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46BE7" w14:paraId="50A683BB" w14:textId="77777777">
      <w:pPr>
        <w:jc w:val="center"/>
        <w:rPr>
          <w:b/>
        </w:rPr>
      </w:pPr>
      <w:r>
        <w:rPr>
          <w:b/>
        </w:rPr>
        <w:t>Before the</w:t>
      </w:r>
    </w:p>
    <w:p w:rsidR="00846BE7" w14:paraId="1F18714E" w14:textId="77777777">
      <w:pPr>
        <w:jc w:val="center"/>
        <w:rPr>
          <w:b/>
        </w:rPr>
      </w:pPr>
      <w:r>
        <w:rPr>
          <w:b/>
        </w:rPr>
        <w:t>Federal Communications Commission</w:t>
      </w:r>
    </w:p>
    <w:p w:rsidR="00846BE7" w14:paraId="07BF850C" w14:textId="77777777">
      <w:pPr>
        <w:jc w:val="center"/>
        <w:rPr>
          <w:b/>
        </w:rPr>
      </w:pPr>
      <w:r>
        <w:rPr>
          <w:b/>
        </w:rPr>
        <w:t>Washington, D.C. 20554</w:t>
      </w:r>
    </w:p>
    <w:p w:rsidR="00846BE7" w14:paraId="595FCA51" w14:textId="77777777"/>
    <w:tbl>
      <w:tblPr>
        <w:tblW w:w="9648" w:type="dxa"/>
        <w:tblLayout w:type="fixed"/>
        <w:tblLook w:val="0000"/>
      </w:tblPr>
      <w:tblGrid>
        <w:gridCol w:w="4698"/>
        <w:gridCol w:w="720"/>
        <w:gridCol w:w="4230"/>
      </w:tblGrid>
      <w:tr w14:paraId="2BE39D2B" w14:textId="77777777">
        <w:tblPrEx>
          <w:tblW w:w="9648" w:type="dxa"/>
          <w:tblLayout w:type="fixed"/>
          <w:tblLook w:val="0000"/>
        </w:tblPrEx>
        <w:tc>
          <w:tcPr>
            <w:tcW w:w="4698" w:type="dxa"/>
          </w:tcPr>
          <w:p w:rsidR="00846BE7" w:rsidRPr="008A281A" w14:paraId="4AE15EAA" w14:textId="77777777">
            <w:pPr>
              <w:tabs>
                <w:tab w:val="center" w:pos="4680"/>
              </w:tabs>
              <w:suppressAutoHyphens/>
              <w:rPr>
                <w:spacing w:val="-2"/>
              </w:rPr>
            </w:pPr>
            <w:r w:rsidRPr="008A281A">
              <w:rPr>
                <w:spacing w:val="-2"/>
              </w:rPr>
              <w:t>In the Matter of</w:t>
            </w:r>
          </w:p>
          <w:p w:rsidR="00846BE7" w:rsidRPr="008A281A" w14:paraId="42F98669" w14:textId="77777777">
            <w:pPr>
              <w:tabs>
                <w:tab w:val="center" w:pos="4680"/>
              </w:tabs>
              <w:suppressAutoHyphens/>
              <w:rPr>
                <w:spacing w:val="-2"/>
              </w:rPr>
            </w:pPr>
          </w:p>
          <w:p w:rsidR="00846BE7" w:rsidRPr="008A281A" w14:paraId="79A63E23" w14:textId="2FF9FA6C">
            <w:pPr>
              <w:tabs>
                <w:tab w:val="left" w:pos="0"/>
              </w:tabs>
              <w:suppressAutoHyphens/>
              <w:ind w:left="5040" w:hanging="5040"/>
              <w:rPr>
                <w:b/>
                <w:bCs/>
                <w:szCs w:val="22"/>
              </w:rPr>
            </w:pPr>
            <w:r w:rsidRPr="008A281A">
              <w:rPr>
                <w:b/>
                <w:bCs/>
                <w:szCs w:val="22"/>
              </w:rPr>
              <w:t>Windy City Broadcasting, LLC</w:t>
            </w:r>
          </w:p>
          <w:p w:rsidR="00846BE7" w:rsidRPr="008A281A" w14:paraId="79AAB64E" w14:textId="77777777">
            <w:pPr>
              <w:tabs>
                <w:tab w:val="center" w:pos="4680"/>
              </w:tabs>
              <w:suppressAutoHyphens/>
              <w:rPr>
                <w:spacing w:val="-2"/>
              </w:rPr>
            </w:pPr>
          </w:p>
          <w:p w:rsidR="00846BE7" w:rsidRPr="008A281A" w14:paraId="2520B643" w14:textId="2D62390C">
            <w:pPr>
              <w:tabs>
                <w:tab w:val="center" w:pos="4680"/>
              </w:tabs>
              <w:suppressAutoHyphens/>
              <w:rPr>
                <w:spacing w:val="-2"/>
              </w:rPr>
            </w:pPr>
            <w:r w:rsidRPr="008A281A">
              <w:rPr>
                <w:spacing w:val="-2"/>
              </w:rPr>
              <w:t xml:space="preserve">To Renew Station </w:t>
            </w:r>
            <w:r w:rsidRPr="008A281A" w:rsidR="000A3A99">
              <w:rPr>
                <w:spacing w:val="-2"/>
              </w:rPr>
              <w:t>W280EM</w:t>
            </w:r>
            <w:r w:rsidRPr="008A281A">
              <w:rPr>
                <w:spacing w:val="-2"/>
              </w:rPr>
              <w:t xml:space="preserve">, </w:t>
            </w:r>
            <w:r w:rsidRPr="008A281A" w:rsidR="004B663F">
              <w:rPr>
                <w:spacing w:val="-2"/>
              </w:rPr>
              <w:t>Chicago</w:t>
            </w:r>
            <w:r w:rsidRPr="008A281A">
              <w:rPr>
                <w:spacing w:val="-2"/>
              </w:rPr>
              <w:t xml:space="preserve">, </w:t>
            </w:r>
            <w:r w:rsidRPr="008A281A" w:rsidR="004B663F">
              <w:rPr>
                <w:spacing w:val="-2"/>
              </w:rPr>
              <w:t>Illinois</w:t>
            </w:r>
          </w:p>
        </w:tc>
        <w:tc>
          <w:tcPr>
            <w:tcW w:w="720" w:type="dxa"/>
          </w:tcPr>
          <w:p w:rsidR="00846BE7" w:rsidRPr="008A281A" w14:paraId="72FCFFC7" w14:textId="77777777">
            <w:pPr>
              <w:rPr>
                <w:b/>
              </w:rPr>
            </w:pPr>
            <w:r w:rsidRPr="008A281A">
              <w:rPr>
                <w:b/>
              </w:rPr>
              <w:t>)</w:t>
            </w:r>
          </w:p>
          <w:p w:rsidR="00846BE7" w:rsidRPr="008A281A" w14:paraId="6EED7485" w14:textId="77777777">
            <w:pPr>
              <w:rPr>
                <w:b/>
              </w:rPr>
            </w:pPr>
            <w:r w:rsidRPr="008A281A">
              <w:rPr>
                <w:b/>
              </w:rPr>
              <w:t>)</w:t>
            </w:r>
          </w:p>
          <w:p w:rsidR="00846BE7" w:rsidRPr="008A281A" w14:paraId="269BFCA4" w14:textId="77777777">
            <w:pPr>
              <w:rPr>
                <w:b/>
              </w:rPr>
            </w:pPr>
            <w:r w:rsidRPr="008A281A">
              <w:rPr>
                <w:b/>
              </w:rPr>
              <w:t>)</w:t>
            </w:r>
          </w:p>
          <w:p w:rsidR="00846BE7" w:rsidRPr="008A281A" w14:paraId="4937EFD3" w14:textId="77777777">
            <w:pPr>
              <w:rPr>
                <w:b/>
              </w:rPr>
            </w:pPr>
            <w:r w:rsidRPr="008A281A">
              <w:rPr>
                <w:b/>
              </w:rPr>
              <w:t>)</w:t>
            </w:r>
          </w:p>
          <w:p w:rsidR="00846BE7" w:rsidRPr="008A281A" w14:paraId="01F8601A" w14:textId="77777777">
            <w:pPr>
              <w:rPr>
                <w:b/>
              </w:rPr>
            </w:pPr>
            <w:r w:rsidRPr="008A281A">
              <w:rPr>
                <w:b/>
              </w:rPr>
              <w:t>)</w:t>
            </w:r>
          </w:p>
          <w:p w:rsidR="00846BE7" w:rsidRPr="008A281A" w14:paraId="308B6EE2" w14:textId="77777777">
            <w:pPr>
              <w:rPr>
                <w:b/>
              </w:rPr>
            </w:pPr>
            <w:r w:rsidRPr="008A281A">
              <w:rPr>
                <w:b/>
              </w:rPr>
              <w:t>)</w:t>
            </w:r>
          </w:p>
          <w:p w:rsidR="00846BE7" w:rsidRPr="008A281A" w14:paraId="702998BC" w14:textId="77777777">
            <w:pPr>
              <w:rPr>
                <w:b/>
              </w:rPr>
            </w:pPr>
          </w:p>
        </w:tc>
        <w:tc>
          <w:tcPr>
            <w:tcW w:w="4230" w:type="dxa"/>
          </w:tcPr>
          <w:p w:rsidR="00846BE7" w:rsidRPr="008A281A" w14:paraId="06D563D4" w14:textId="77777777">
            <w:pPr>
              <w:tabs>
                <w:tab w:val="center" w:pos="4680"/>
              </w:tabs>
              <w:suppressAutoHyphens/>
              <w:rPr>
                <w:spacing w:val="-2"/>
              </w:rPr>
            </w:pPr>
          </w:p>
          <w:p w:rsidR="00846BE7" w:rsidRPr="008A281A" w14:paraId="4363757C" w14:textId="4C54C4A2">
            <w:pPr>
              <w:rPr>
                <w:szCs w:val="22"/>
              </w:rPr>
            </w:pPr>
            <w:r w:rsidRPr="008A281A">
              <w:rPr>
                <w:szCs w:val="22"/>
              </w:rPr>
              <w:t xml:space="preserve">Facility ID No. </w:t>
            </w:r>
            <w:r w:rsidRPr="008A281A" w:rsidR="004B663F">
              <w:rPr>
                <w:szCs w:val="22"/>
              </w:rPr>
              <w:t>140763</w:t>
            </w:r>
          </w:p>
          <w:p w:rsidR="00846BE7" w:rsidRPr="008A281A" w14:paraId="599EFC19" w14:textId="5C9A1EE7">
            <w:pPr>
              <w:rPr>
                <w:szCs w:val="22"/>
              </w:rPr>
            </w:pPr>
            <w:r w:rsidRPr="008A281A">
              <w:rPr>
                <w:szCs w:val="22"/>
              </w:rPr>
              <w:t xml:space="preserve">NAL/Acct. No. </w:t>
            </w:r>
            <w:r w:rsidR="008A281A">
              <w:t>MB-202241410008</w:t>
            </w:r>
          </w:p>
          <w:p w:rsidR="00846BE7" w:rsidRPr="008A281A" w14:paraId="433A340F" w14:textId="752D8D82">
            <w:pPr>
              <w:rPr>
                <w:b/>
                <w:bCs/>
                <w:szCs w:val="22"/>
              </w:rPr>
            </w:pPr>
            <w:r w:rsidRPr="008A281A">
              <w:rPr>
                <w:szCs w:val="22"/>
              </w:rPr>
              <w:t xml:space="preserve">FRN: </w:t>
            </w:r>
            <w:r w:rsidRPr="008A281A" w:rsidR="001B238F">
              <w:rPr>
                <w:szCs w:val="22"/>
              </w:rPr>
              <w:t>0023928856</w:t>
            </w:r>
          </w:p>
          <w:p w:rsidR="00846BE7" w:rsidRPr="008A281A" w14:paraId="2AEBE949" w14:textId="7D02E09B">
            <w:pPr>
              <w:rPr>
                <w:b/>
                <w:bCs/>
                <w:szCs w:val="22"/>
              </w:rPr>
            </w:pPr>
            <w:r w:rsidRPr="008A281A">
              <w:rPr>
                <w:szCs w:val="22"/>
              </w:rPr>
              <w:t>File No.</w:t>
            </w:r>
            <w:r w:rsidRPr="008A281A" w:rsidR="00CF29C9">
              <w:rPr>
                <w:szCs w:val="22"/>
              </w:rPr>
              <w:t xml:space="preserve"> </w:t>
            </w:r>
            <w:r w:rsidRPr="008A281A" w:rsidR="001B238F">
              <w:rPr>
                <w:szCs w:val="22"/>
              </w:rPr>
              <w:t>0000119009</w:t>
            </w:r>
          </w:p>
          <w:p w:rsidR="00846BE7" w:rsidRPr="008A281A" w14:paraId="37615416" w14:textId="726F9EC7"/>
        </w:tc>
      </w:tr>
    </w:tbl>
    <w:p w:rsidR="00903429" w:rsidRPr="008A281A" w:rsidP="00903429" w14:paraId="609169CF" w14:textId="77777777">
      <w:pPr>
        <w:pStyle w:val="StyleBoldCentered"/>
      </w:pPr>
      <w:r w:rsidRPr="008A281A">
        <w:rPr>
          <w:spacing w:val="-2"/>
        </w:rPr>
        <w:t xml:space="preserve">MEMORANDUM OPINION AND ORDER </w:t>
      </w:r>
      <w:r w:rsidRPr="008A281A" w:rsidR="00A37129">
        <w:rPr>
          <w:spacing w:val="-2"/>
        </w:rPr>
        <w:br/>
      </w:r>
      <w:r w:rsidRPr="008A281A">
        <w:rPr>
          <w:spacing w:val="-2"/>
        </w:rPr>
        <w:t xml:space="preserve">AND </w:t>
      </w:r>
      <w:r w:rsidRPr="008A281A" w:rsidR="00A37129">
        <w:rPr>
          <w:spacing w:val="-2"/>
        </w:rPr>
        <w:br/>
      </w:r>
      <w:r w:rsidRPr="008A281A">
        <w:rPr>
          <w:spacing w:val="-2"/>
        </w:rPr>
        <w:t>NOTICE OF APPARENT LIABILITY</w:t>
      </w:r>
      <w:r w:rsidRPr="008A281A" w:rsidR="004A3452">
        <w:rPr>
          <w:spacing w:val="-2"/>
        </w:rPr>
        <w:t xml:space="preserve"> FOR FORFEITURE</w:t>
      </w:r>
    </w:p>
    <w:p w:rsidR="00903429" w:rsidRPr="008A281A" w:rsidP="00903429" w14:paraId="45951CEA" w14:textId="77777777">
      <w:pPr>
        <w:tabs>
          <w:tab w:val="left" w:pos="-720"/>
        </w:tabs>
        <w:suppressAutoHyphens/>
        <w:spacing w:line="227" w:lineRule="auto"/>
        <w:rPr>
          <w:spacing w:val="-2"/>
        </w:rPr>
      </w:pPr>
    </w:p>
    <w:p w:rsidR="00903429" w:rsidP="00903429" w14:paraId="04831A5F" w14:textId="29FFAA38">
      <w:pPr>
        <w:tabs>
          <w:tab w:val="left" w:pos="720"/>
          <w:tab w:val="right" w:pos="9360"/>
        </w:tabs>
        <w:suppressAutoHyphens/>
        <w:spacing w:line="227" w:lineRule="auto"/>
        <w:rPr>
          <w:spacing w:val="-2"/>
        </w:rPr>
      </w:pPr>
      <w:r w:rsidRPr="008A281A">
        <w:rPr>
          <w:b/>
          <w:spacing w:val="-2"/>
        </w:rPr>
        <w:t xml:space="preserve">Adopted:  March </w:t>
      </w:r>
      <w:r w:rsidRPr="008A281A" w:rsidR="008A281A">
        <w:rPr>
          <w:b/>
          <w:spacing w:val="-2"/>
        </w:rPr>
        <w:t>15</w:t>
      </w:r>
      <w:r w:rsidRPr="008A281A">
        <w:rPr>
          <w:b/>
          <w:spacing w:val="-2"/>
        </w:rPr>
        <w:t>, 2022</w:t>
      </w:r>
      <w:r w:rsidRPr="008A281A">
        <w:rPr>
          <w:b/>
          <w:spacing w:val="-2"/>
        </w:rPr>
        <w:tab/>
        <w:t xml:space="preserve">Released:  March </w:t>
      </w:r>
      <w:r w:rsidRPr="008A281A" w:rsidR="008A281A">
        <w:rPr>
          <w:b/>
          <w:spacing w:val="-2"/>
        </w:rPr>
        <w:t>15</w:t>
      </w:r>
      <w:r w:rsidRPr="008A281A">
        <w:rPr>
          <w:b/>
          <w:spacing w:val="-2"/>
        </w:rPr>
        <w:t>, 2022</w:t>
      </w:r>
    </w:p>
    <w:p w:rsidR="00903429" w:rsidP="00903429" w14:paraId="34976E6D" w14:textId="77777777"/>
    <w:p w:rsidR="00846BE7" w14:paraId="3278FF14" w14:textId="77777777">
      <w:pPr>
        <w:tabs>
          <w:tab w:val="left" w:pos="5760"/>
        </w:tabs>
        <w:rPr>
          <w:spacing w:val="-2"/>
        </w:rPr>
      </w:pPr>
      <w:r>
        <w:t xml:space="preserve">By the </w:t>
      </w:r>
      <w:r>
        <w:rPr>
          <w:spacing w:val="-2"/>
        </w:rPr>
        <w:t>Chief, Audio Division, Media Bureau:</w:t>
      </w:r>
    </w:p>
    <w:p w:rsidR="00846BE7" w14:paraId="66DE6EEA" w14:textId="77777777">
      <w:pPr>
        <w:tabs>
          <w:tab w:val="left" w:pos="5760"/>
        </w:tabs>
      </w:pPr>
    </w:p>
    <w:p w:rsidR="00846BE7" w14:paraId="7E52003D" w14:textId="77777777">
      <w:pPr>
        <w:pStyle w:val="Heading1"/>
      </w:pPr>
      <w:r>
        <w:t>INTRODUCTION</w:t>
      </w:r>
    </w:p>
    <w:p w:rsidR="00846BE7" w:rsidP="003B59B4" w14:paraId="2AE02051" w14:textId="625E0546">
      <w:pPr>
        <w:pStyle w:val="ParaNum"/>
      </w:pPr>
      <w:r>
        <w:t>We have before us</w:t>
      </w:r>
      <w:r w:rsidR="00CF29C9">
        <w:t xml:space="preserve"> the</w:t>
      </w:r>
      <w:r w:rsidR="003B59B4">
        <w:t xml:space="preserve"> amended</w:t>
      </w:r>
      <w:r>
        <w:t xml:space="preserve"> application</w:t>
      </w:r>
      <w:r w:rsidR="003B59B4">
        <w:t xml:space="preserve"> (Application)</w:t>
      </w:r>
      <w:r>
        <w:rPr>
          <w:rStyle w:val="FootnoteReference"/>
        </w:rPr>
        <w:footnoteReference w:id="3"/>
      </w:r>
      <w:r>
        <w:t xml:space="preserve"> of </w:t>
      </w:r>
      <w:r w:rsidR="00CF29C9">
        <w:rPr>
          <w:szCs w:val="22"/>
        </w:rPr>
        <w:t>Windy City Broadcasting, LLC</w:t>
      </w:r>
      <w:r w:rsidR="00A37129">
        <w:rPr>
          <w:szCs w:val="22"/>
        </w:rPr>
        <w:t>,</w:t>
      </w:r>
      <w:r>
        <w:rPr>
          <w:szCs w:val="22"/>
        </w:rPr>
        <w:t xml:space="preserve"> (Licensee)</w:t>
      </w:r>
      <w:r w:rsidR="003B59B4">
        <w:rPr>
          <w:szCs w:val="22"/>
        </w:rPr>
        <w:t xml:space="preserve"> to renew the license for translator station W280EM, Chicago, Illinois (Station)</w:t>
      </w:r>
      <w:r w:rsidR="003B59B4">
        <w:t>.</w:t>
      </w:r>
      <w:r w:rsidR="009F71C7">
        <w:t xml:space="preserve">  We also have </w:t>
      </w:r>
      <w:r w:rsidRPr="00A90B0F" w:rsidR="009F71C7">
        <w:t xml:space="preserve">before us an informal objection (Objection) filed by </w:t>
      </w:r>
      <w:r w:rsidRPr="00A90B0F" w:rsidR="006117E7">
        <w:t>Albert Adam</w:t>
      </w:r>
      <w:r w:rsidRPr="00A90B0F" w:rsidR="00FE0FE1">
        <w:t xml:space="preserve"> David (David), and related pleadings.</w:t>
      </w:r>
      <w:r>
        <w:rPr>
          <w:rStyle w:val="FootnoteReference"/>
        </w:rPr>
        <w:footnoteReference w:id="4"/>
      </w:r>
      <w:r w:rsidRPr="00A90B0F">
        <w:t xml:space="preserve">  In this </w:t>
      </w:r>
      <w:r w:rsidRPr="00A90B0F" w:rsidR="004A3452">
        <w:rPr>
          <w:i/>
          <w:iCs/>
          <w:szCs w:val="22"/>
        </w:rPr>
        <w:t>Memorandum Opinion and Order and Notice of Apparent Liability for Forfeiture</w:t>
      </w:r>
      <w:r w:rsidRPr="00A90B0F" w:rsidR="004A3452">
        <w:rPr>
          <w:szCs w:val="22"/>
        </w:rPr>
        <w:t xml:space="preserve"> </w:t>
      </w:r>
      <w:r w:rsidRPr="00A90B0F">
        <w:t>(</w:t>
      </w:r>
      <w:r w:rsidRPr="00A90B0F">
        <w:rPr>
          <w:i/>
        </w:rPr>
        <w:t>NAL</w:t>
      </w:r>
      <w:r w:rsidRPr="00A90B0F">
        <w:t>),</w:t>
      </w:r>
      <w:r w:rsidRPr="00A90B0F">
        <w:rPr>
          <w:szCs w:val="22"/>
          <w:vertAlign w:val="superscript"/>
        </w:rPr>
        <w:t xml:space="preserve"> </w:t>
      </w:r>
      <w:r>
        <w:rPr>
          <w:szCs w:val="22"/>
          <w:vertAlign w:val="superscript"/>
        </w:rPr>
        <w:footnoteReference w:id="5"/>
      </w:r>
      <w:r w:rsidRPr="00A90B0F">
        <w:rPr>
          <w:szCs w:val="22"/>
        </w:rPr>
        <w:t xml:space="preserve"> </w:t>
      </w:r>
      <w:r w:rsidRPr="00A90B0F">
        <w:t xml:space="preserve">we find that Licensee apparently willfully and repeatedly violated </w:t>
      </w:r>
      <w:r w:rsidRPr="00A90B0F" w:rsidR="00255CE4">
        <w:rPr>
          <w:szCs w:val="22"/>
        </w:rPr>
        <w:t>sections</w:t>
      </w:r>
      <w:r w:rsidRPr="00A90B0F" w:rsidR="00255CE4">
        <w:t xml:space="preserve"> 74.1263(c) and (e) </w:t>
      </w:r>
      <w:r w:rsidRPr="00A90B0F">
        <w:t xml:space="preserve">of the </w:t>
      </w:r>
      <w:r w:rsidRPr="00A90B0F" w:rsidR="00FD2EE4">
        <w:t>Commission’s r</w:t>
      </w:r>
      <w:r w:rsidRPr="00A90B0F">
        <w:t xml:space="preserve">ules </w:t>
      </w:r>
      <w:r w:rsidRPr="00A90B0F">
        <w:rPr>
          <w:szCs w:val="22"/>
        </w:rPr>
        <w:t>by discontinuing operation of the Station without timely requesting special temporary authority (STA)</w:t>
      </w:r>
      <w:r w:rsidR="0067440E">
        <w:rPr>
          <w:szCs w:val="22"/>
        </w:rPr>
        <w:t>,</w:t>
      </w:r>
      <w:r>
        <w:rPr>
          <w:rStyle w:val="FootnoteReference"/>
          <w:szCs w:val="22"/>
        </w:rPr>
        <w:footnoteReference w:id="6"/>
      </w:r>
      <w:r w:rsidR="0067440E">
        <w:rPr>
          <w:szCs w:val="22"/>
        </w:rPr>
        <w:t xml:space="preserve"> </w:t>
      </w:r>
      <w:r w:rsidR="00E27C82">
        <w:rPr>
          <w:szCs w:val="22"/>
        </w:rPr>
        <w:t xml:space="preserve">apparently willfully and repeatedly violated section 74.1251(c) of the Commission’s rules by failing to notify the Commission </w:t>
      </w:r>
      <w:r w:rsidR="0078684A">
        <w:rPr>
          <w:szCs w:val="22"/>
        </w:rPr>
        <w:t>of the Station’s change in primary station</w:t>
      </w:r>
      <w:r w:rsidR="00D121B5">
        <w:rPr>
          <w:szCs w:val="22"/>
        </w:rPr>
        <w:t>,</w:t>
      </w:r>
      <w:r>
        <w:rPr>
          <w:rStyle w:val="FootnoteReference"/>
          <w:szCs w:val="22"/>
        </w:rPr>
        <w:footnoteReference w:id="7"/>
      </w:r>
      <w:r w:rsidR="00D121B5">
        <w:rPr>
          <w:szCs w:val="22"/>
        </w:rPr>
        <w:t xml:space="preserve"> and apparently willfully and repeatedly violated section 1.65 of the </w:t>
      </w:r>
      <w:r w:rsidR="00B749BC">
        <w:rPr>
          <w:szCs w:val="22"/>
        </w:rPr>
        <w:t xml:space="preserve">Commission’s rules by failing to maintain completeness and accuracy of the pending </w:t>
      </w:r>
      <w:r w:rsidR="00D0636B">
        <w:rPr>
          <w:szCs w:val="22"/>
        </w:rPr>
        <w:t>Application</w:t>
      </w:r>
      <w:r w:rsidR="00B749BC">
        <w:rPr>
          <w:szCs w:val="22"/>
        </w:rPr>
        <w:t>.</w:t>
      </w:r>
      <w:r>
        <w:rPr>
          <w:rStyle w:val="FootnoteReference"/>
          <w:szCs w:val="22"/>
        </w:rPr>
        <w:footnoteReference w:id="8"/>
      </w:r>
      <w:r w:rsidR="00D121B5">
        <w:rPr>
          <w:szCs w:val="22"/>
        </w:rPr>
        <w:t xml:space="preserve"> </w:t>
      </w:r>
      <w:r w:rsidRPr="00A90B0F" w:rsidR="0071053E">
        <w:rPr>
          <w:szCs w:val="22"/>
        </w:rPr>
        <w:t xml:space="preserve"> </w:t>
      </w:r>
      <w:r w:rsidRPr="00A90B0F">
        <w:rPr>
          <w:szCs w:val="22"/>
        </w:rPr>
        <w:t xml:space="preserve">Based upon our review of the record before us, we find Licensee apparently liable for a </w:t>
      </w:r>
      <w:r w:rsidRPr="00A90B0F">
        <w:t xml:space="preserve">monetary forfeiture in the amount of </w:t>
      </w:r>
      <w:r w:rsidR="0078684A">
        <w:t>eight</w:t>
      </w:r>
      <w:r w:rsidRPr="00A90B0F" w:rsidR="0078684A">
        <w:t xml:space="preserve"> </w:t>
      </w:r>
      <w:r w:rsidRPr="00A90B0F">
        <w:t>thousand dollars ($</w:t>
      </w:r>
      <w:r w:rsidR="0078684A">
        <w:t>8</w:t>
      </w:r>
      <w:r w:rsidRPr="00A90B0F">
        <w:t>,000).</w:t>
      </w:r>
      <w:r w:rsidRPr="00A90B0F" w:rsidR="00A90B0F">
        <w:t xml:space="preserve">  </w:t>
      </w:r>
      <w:r w:rsidR="0021234D">
        <w:t>Finally, we</w:t>
      </w:r>
      <w:r w:rsidRPr="00A90B0F" w:rsidR="0071053E">
        <w:t xml:space="preserve"> </w:t>
      </w:r>
      <w:r w:rsidRPr="00A90B0F" w:rsidR="005B42C2">
        <w:t xml:space="preserve">deny the Objection and </w:t>
      </w:r>
      <w:r w:rsidR="00855C02">
        <w:t>we conclude that we will grant the Application by separate action upon the conclusion of this forfeiture proceeding if there are no issues other than the apparent violations that would preclude grant of the Application.</w:t>
      </w:r>
    </w:p>
    <w:p w:rsidR="00846BE7" w14:paraId="73449C83" w14:textId="77777777">
      <w:pPr>
        <w:pStyle w:val="Heading1"/>
      </w:pPr>
      <w:r>
        <w:t>BACKGROUND</w:t>
      </w:r>
    </w:p>
    <w:p w:rsidR="005B42C2" w14:paraId="4F120E98" w14:textId="0796EE5A">
      <w:pPr>
        <w:pStyle w:val="ParaNum"/>
        <w:rPr>
          <w:szCs w:val="22"/>
        </w:rPr>
      </w:pPr>
      <w:r>
        <w:rPr>
          <w:szCs w:val="22"/>
        </w:rPr>
        <w:t>Licensee filed the Application on July 29, 2020</w:t>
      </w:r>
      <w:r w:rsidR="00330489">
        <w:rPr>
          <w:szCs w:val="22"/>
        </w:rPr>
        <w:t xml:space="preserve">.  David filed the Objection on October 5, </w:t>
      </w:r>
      <w:r w:rsidR="00330489">
        <w:rPr>
          <w:szCs w:val="22"/>
        </w:rPr>
        <w:t>2020</w:t>
      </w:r>
      <w:r>
        <w:rPr>
          <w:szCs w:val="22"/>
        </w:rPr>
        <w:t xml:space="preserve">, and </w:t>
      </w:r>
      <w:r w:rsidR="00330489">
        <w:rPr>
          <w:szCs w:val="22"/>
        </w:rPr>
        <w:t xml:space="preserve">then Licensee </w:t>
      </w:r>
      <w:r>
        <w:rPr>
          <w:szCs w:val="22"/>
        </w:rPr>
        <w:t xml:space="preserve">amended </w:t>
      </w:r>
      <w:r w:rsidR="00330489">
        <w:rPr>
          <w:szCs w:val="22"/>
        </w:rPr>
        <w:t xml:space="preserve">the Application </w:t>
      </w:r>
      <w:r>
        <w:rPr>
          <w:szCs w:val="22"/>
        </w:rPr>
        <w:t xml:space="preserve">on December </w:t>
      </w:r>
      <w:r w:rsidR="00685D1E">
        <w:rPr>
          <w:szCs w:val="22"/>
        </w:rPr>
        <w:t>29, 2020.</w:t>
      </w:r>
      <w:bookmarkStart w:id="0" w:name="_Ref96960409"/>
      <w:r>
        <w:rPr>
          <w:rStyle w:val="FootnoteReference"/>
          <w:szCs w:val="22"/>
        </w:rPr>
        <w:footnoteReference w:id="9"/>
      </w:r>
      <w:bookmarkEnd w:id="0"/>
    </w:p>
    <w:p w:rsidR="008F6E29" w14:paraId="2A1927F6" w14:textId="58A9D1D6">
      <w:pPr>
        <w:pStyle w:val="ParaNum"/>
        <w:rPr>
          <w:szCs w:val="22"/>
        </w:rPr>
      </w:pPr>
      <w:r>
        <w:rPr>
          <w:szCs w:val="22"/>
        </w:rPr>
        <w:t xml:space="preserve">In the Objection, David </w:t>
      </w:r>
      <w:r w:rsidR="00C334AD">
        <w:rPr>
          <w:szCs w:val="22"/>
        </w:rPr>
        <w:t>states</w:t>
      </w:r>
      <w:r>
        <w:rPr>
          <w:szCs w:val="22"/>
        </w:rPr>
        <w:t xml:space="preserve"> that</w:t>
      </w:r>
      <w:r w:rsidR="000B261E">
        <w:rPr>
          <w:szCs w:val="22"/>
        </w:rPr>
        <w:t xml:space="preserve"> </w:t>
      </w:r>
      <w:r w:rsidR="00BE0DF5">
        <w:rPr>
          <w:szCs w:val="22"/>
        </w:rPr>
        <w:t xml:space="preserve">Licensee’s certification on the renewal Application that Station is on the air is false because the Station has been </w:t>
      </w:r>
      <w:r w:rsidR="00702E13">
        <w:rPr>
          <w:szCs w:val="22"/>
        </w:rPr>
        <w:t>silent</w:t>
      </w:r>
      <w:r w:rsidR="00BE0DF5">
        <w:rPr>
          <w:szCs w:val="22"/>
        </w:rPr>
        <w:t xml:space="preserve"> since at least May 2020</w:t>
      </w:r>
      <w:r w:rsidR="00FE3280">
        <w:rPr>
          <w:szCs w:val="22"/>
        </w:rPr>
        <w:t>,</w:t>
      </w:r>
      <w:r w:rsidR="00C4239D">
        <w:rPr>
          <w:szCs w:val="22"/>
        </w:rPr>
        <w:t xml:space="preserve"> without an STA to remain silent.</w:t>
      </w:r>
      <w:r>
        <w:rPr>
          <w:rStyle w:val="FootnoteReference"/>
          <w:szCs w:val="22"/>
        </w:rPr>
        <w:footnoteReference w:id="10"/>
      </w:r>
      <w:r w:rsidR="00C4239D">
        <w:rPr>
          <w:szCs w:val="22"/>
        </w:rPr>
        <w:t xml:space="preserve">  David also </w:t>
      </w:r>
      <w:r w:rsidR="00C334AD">
        <w:rPr>
          <w:szCs w:val="22"/>
        </w:rPr>
        <w:t>claims</w:t>
      </w:r>
      <w:r w:rsidR="00570F27">
        <w:rPr>
          <w:szCs w:val="22"/>
        </w:rPr>
        <w:t xml:space="preserve"> that Licensee falsely stated that </w:t>
      </w:r>
      <w:r w:rsidR="00FE3280">
        <w:rPr>
          <w:szCs w:val="22"/>
        </w:rPr>
        <w:t xml:space="preserve">the </w:t>
      </w:r>
      <w:r w:rsidR="00570F27">
        <w:rPr>
          <w:szCs w:val="22"/>
        </w:rPr>
        <w:t xml:space="preserve">Station rebroadcasts WTMX </w:t>
      </w:r>
      <w:r w:rsidR="002103FE">
        <w:rPr>
          <w:szCs w:val="22"/>
        </w:rPr>
        <w:t xml:space="preserve">and that </w:t>
      </w:r>
      <w:r w:rsidR="00B17432">
        <w:rPr>
          <w:szCs w:val="22"/>
        </w:rPr>
        <w:t>several years before going silent</w:t>
      </w:r>
      <w:r w:rsidR="00FE3280">
        <w:rPr>
          <w:szCs w:val="22"/>
        </w:rPr>
        <w:t xml:space="preserve"> in May 2020</w:t>
      </w:r>
      <w:r w:rsidR="00B17432">
        <w:rPr>
          <w:szCs w:val="22"/>
        </w:rPr>
        <w:t>, the Station rebroadcast WLEY-FM-HD2.</w:t>
      </w:r>
      <w:r>
        <w:rPr>
          <w:rStyle w:val="FootnoteReference"/>
          <w:szCs w:val="22"/>
        </w:rPr>
        <w:footnoteReference w:id="11"/>
      </w:r>
      <w:r w:rsidR="006208A9">
        <w:rPr>
          <w:szCs w:val="22"/>
        </w:rPr>
        <w:t xml:space="preserve">  </w:t>
      </w:r>
      <w:r w:rsidR="00FE3280">
        <w:rPr>
          <w:szCs w:val="22"/>
        </w:rPr>
        <w:t>For those reasons</w:t>
      </w:r>
      <w:r w:rsidR="00F7354E">
        <w:rPr>
          <w:szCs w:val="22"/>
        </w:rPr>
        <w:t xml:space="preserve">, </w:t>
      </w:r>
      <w:r w:rsidR="006208A9">
        <w:rPr>
          <w:szCs w:val="22"/>
        </w:rPr>
        <w:t>David requests that we deny the Application.</w:t>
      </w:r>
    </w:p>
    <w:p w:rsidR="00AB4E3D" w14:paraId="6156FFF9" w14:textId="41C25751">
      <w:pPr>
        <w:pStyle w:val="ParaNum"/>
        <w:rPr>
          <w:szCs w:val="22"/>
        </w:rPr>
      </w:pPr>
      <w:r>
        <w:rPr>
          <w:szCs w:val="22"/>
        </w:rPr>
        <w:t xml:space="preserve">Licensee filed the Opposition on December 29, 2020.  Licensee </w:t>
      </w:r>
      <w:r w:rsidR="009E1F98">
        <w:rPr>
          <w:szCs w:val="22"/>
        </w:rPr>
        <w:t>claims that the Objection is procedurally defective</w:t>
      </w:r>
      <w:r w:rsidR="007C5C0F">
        <w:rPr>
          <w:szCs w:val="22"/>
        </w:rPr>
        <w:t xml:space="preserve"> </w:t>
      </w:r>
      <w:r w:rsidR="00D9452A">
        <w:rPr>
          <w:szCs w:val="22"/>
        </w:rPr>
        <w:t>and</w:t>
      </w:r>
      <w:r w:rsidR="007C5C0F">
        <w:rPr>
          <w:szCs w:val="22"/>
        </w:rPr>
        <w:t xml:space="preserve"> violates section</w:t>
      </w:r>
      <w:r w:rsidR="0068194C">
        <w:rPr>
          <w:szCs w:val="22"/>
        </w:rPr>
        <w:t>s</w:t>
      </w:r>
      <w:r w:rsidR="007C5C0F">
        <w:rPr>
          <w:szCs w:val="22"/>
        </w:rPr>
        <w:t xml:space="preserve"> 1.47 and 1.52</w:t>
      </w:r>
      <w:r w:rsidR="0068194C">
        <w:rPr>
          <w:szCs w:val="22"/>
        </w:rPr>
        <w:t xml:space="preserve"> of the rules</w:t>
      </w:r>
      <w:r>
        <w:rPr>
          <w:rStyle w:val="FootnoteReference"/>
          <w:szCs w:val="22"/>
        </w:rPr>
        <w:footnoteReference w:id="12"/>
      </w:r>
      <w:r w:rsidR="00D9452A">
        <w:rPr>
          <w:szCs w:val="22"/>
        </w:rPr>
        <w:t xml:space="preserve"> because </w:t>
      </w:r>
      <w:r w:rsidR="005A7817">
        <w:rPr>
          <w:szCs w:val="22"/>
        </w:rPr>
        <w:t>David</w:t>
      </w:r>
      <w:r w:rsidR="00D9452A">
        <w:rPr>
          <w:szCs w:val="22"/>
        </w:rPr>
        <w:t xml:space="preserve"> </w:t>
      </w:r>
      <w:r w:rsidR="00B1410C">
        <w:rPr>
          <w:szCs w:val="22"/>
        </w:rPr>
        <w:t>did not</w:t>
      </w:r>
      <w:r w:rsidR="00D9452A">
        <w:rPr>
          <w:szCs w:val="22"/>
        </w:rPr>
        <w:t xml:space="preserve"> properly serve the Objection on the Licensee and </w:t>
      </w:r>
      <w:r w:rsidR="00115404">
        <w:rPr>
          <w:szCs w:val="22"/>
        </w:rPr>
        <w:t>failed to verify the submission.</w:t>
      </w:r>
      <w:r>
        <w:rPr>
          <w:rStyle w:val="FootnoteReference"/>
          <w:szCs w:val="22"/>
        </w:rPr>
        <w:footnoteReference w:id="13"/>
      </w:r>
      <w:r w:rsidR="00115404">
        <w:rPr>
          <w:szCs w:val="22"/>
        </w:rPr>
        <w:t xml:space="preserve">  Licensee argues that the Objection should </w:t>
      </w:r>
      <w:r w:rsidR="00327E08">
        <w:rPr>
          <w:szCs w:val="22"/>
        </w:rPr>
        <w:t xml:space="preserve">therefore </w:t>
      </w:r>
      <w:r w:rsidR="00115404">
        <w:rPr>
          <w:szCs w:val="22"/>
        </w:rPr>
        <w:t>be dismissed on procedural grounds.</w:t>
      </w:r>
      <w:r>
        <w:rPr>
          <w:rStyle w:val="FootnoteReference"/>
          <w:szCs w:val="22"/>
        </w:rPr>
        <w:footnoteReference w:id="14"/>
      </w:r>
      <w:r w:rsidR="00763F9A">
        <w:rPr>
          <w:szCs w:val="22"/>
        </w:rPr>
        <w:t xml:space="preserve">  Regarding the substantive issues raised, Licensee states that the Station went silent on August 17, 2020</w:t>
      </w:r>
      <w:r w:rsidR="007811B3">
        <w:rPr>
          <w:szCs w:val="22"/>
        </w:rPr>
        <w:t>,</w:t>
      </w:r>
      <w:r>
        <w:rPr>
          <w:rStyle w:val="FootnoteReference"/>
          <w:szCs w:val="22"/>
        </w:rPr>
        <w:footnoteReference w:id="15"/>
      </w:r>
      <w:r w:rsidR="0043512A">
        <w:rPr>
          <w:szCs w:val="22"/>
        </w:rPr>
        <w:t xml:space="preserve"> </w:t>
      </w:r>
      <w:r w:rsidR="007811B3">
        <w:rPr>
          <w:szCs w:val="22"/>
        </w:rPr>
        <w:t>and that</w:t>
      </w:r>
      <w:r w:rsidR="0043512A">
        <w:rPr>
          <w:szCs w:val="22"/>
        </w:rPr>
        <w:t xml:space="preserve"> </w:t>
      </w:r>
      <w:r w:rsidR="00311FAF">
        <w:rPr>
          <w:szCs w:val="22"/>
        </w:rPr>
        <w:t>it</w:t>
      </w:r>
      <w:r w:rsidR="0000685E">
        <w:rPr>
          <w:szCs w:val="22"/>
        </w:rPr>
        <w:t xml:space="preserve"> </w:t>
      </w:r>
      <w:r w:rsidR="00311FAF">
        <w:rPr>
          <w:szCs w:val="22"/>
        </w:rPr>
        <w:t xml:space="preserve">amended the Application to reflect </w:t>
      </w:r>
      <w:r w:rsidR="001600B9">
        <w:rPr>
          <w:szCs w:val="22"/>
        </w:rPr>
        <w:t>that</w:t>
      </w:r>
      <w:r w:rsidR="00311FAF">
        <w:rPr>
          <w:szCs w:val="22"/>
        </w:rPr>
        <w:t xml:space="preserve"> the Station</w:t>
      </w:r>
      <w:r w:rsidR="001600B9">
        <w:rPr>
          <w:szCs w:val="22"/>
        </w:rPr>
        <w:t xml:space="preserve"> was silent</w:t>
      </w:r>
      <w:r w:rsidR="00311FAF">
        <w:rPr>
          <w:szCs w:val="22"/>
        </w:rPr>
        <w:t>.</w:t>
      </w:r>
      <w:r>
        <w:rPr>
          <w:rStyle w:val="FootnoteReference"/>
          <w:szCs w:val="22"/>
        </w:rPr>
        <w:footnoteReference w:id="16"/>
      </w:r>
      <w:r w:rsidR="00311FAF">
        <w:rPr>
          <w:szCs w:val="22"/>
        </w:rPr>
        <w:t xml:space="preserve">  </w:t>
      </w:r>
      <w:r w:rsidR="007811B3">
        <w:rPr>
          <w:szCs w:val="22"/>
        </w:rPr>
        <w:t>Additionally</w:t>
      </w:r>
      <w:r w:rsidR="00311FAF">
        <w:rPr>
          <w:szCs w:val="22"/>
        </w:rPr>
        <w:t xml:space="preserve">, Licensee </w:t>
      </w:r>
      <w:r w:rsidR="00950C86">
        <w:rPr>
          <w:szCs w:val="22"/>
        </w:rPr>
        <w:t>states that</w:t>
      </w:r>
      <w:r w:rsidR="009263E8">
        <w:rPr>
          <w:szCs w:val="22"/>
        </w:rPr>
        <w:t xml:space="preserve"> prior to going off the air,</w:t>
      </w:r>
      <w:r w:rsidR="00950C86">
        <w:rPr>
          <w:szCs w:val="22"/>
        </w:rPr>
        <w:t xml:space="preserve"> the Station was rebroadcasting the signal of WLEY, not WTMX.</w:t>
      </w:r>
      <w:r>
        <w:rPr>
          <w:rStyle w:val="FootnoteReference"/>
          <w:szCs w:val="22"/>
        </w:rPr>
        <w:footnoteReference w:id="17"/>
      </w:r>
      <w:r w:rsidR="00950C86">
        <w:rPr>
          <w:szCs w:val="22"/>
        </w:rPr>
        <w:t xml:space="preserve">  Licensee claims that the failure to timely submit a request for </w:t>
      </w:r>
      <w:r w:rsidR="0083017E">
        <w:rPr>
          <w:szCs w:val="22"/>
        </w:rPr>
        <w:t>special temporary a</w:t>
      </w:r>
      <w:r w:rsidR="00950C86">
        <w:rPr>
          <w:szCs w:val="22"/>
        </w:rPr>
        <w:t xml:space="preserve">uthority </w:t>
      </w:r>
      <w:r w:rsidR="0083017E">
        <w:rPr>
          <w:szCs w:val="22"/>
        </w:rPr>
        <w:t xml:space="preserve">to remain silent </w:t>
      </w:r>
      <w:r w:rsidR="00780E9A">
        <w:rPr>
          <w:szCs w:val="22"/>
        </w:rPr>
        <w:t>(</w:t>
      </w:r>
      <w:r w:rsidR="0083017E">
        <w:rPr>
          <w:szCs w:val="22"/>
        </w:rPr>
        <w:t xml:space="preserve">Silent </w:t>
      </w:r>
      <w:r w:rsidR="00950C86">
        <w:rPr>
          <w:szCs w:val="22"/>
        </w:rPr>
        <w:t>STA</w:t>
      </w:r>
      <w:r w:rsidR="00780E9A">
        <w:rPr>
          <w:szCs w:val="22"/>
        </w:rPr>
        <w:t>)</w:t>
      </w:r>
      <w:r w:rsidR="00950C86">
        <w:rPr>
          <w:szCs w:val="22"/>
        </w:rPr>
        <w:t xml:space="preserve"> and the errors identified on the Application were inadvertent and have been addressed.</w:t>
      </w:r>
      <w:r>
        <w:rPr>
          <w:rStyle w:val="FootnoteReference"/>
          <w:szCs w:val="22"/>
        </w:rPr>
        <w:footnoteReference w:id="18"/>
      </w:r>
      <w:r w:rsidR="0004276D">
        <w:rPr>
          <w:szCs w:val="22"/>
        </w:rPr>
        <w:t xml:space="preserve">  Licensee requests that we deny the Objection and grant the renewal.</w:t>
      </w:r>
    </w:p>
    <w:p w:rsidR="00D0305B" w14:paraId="12C8885B" w14:textId="409862E3">
      <w:pPr>
        <w:pStyle w:val="ParaNum"/>
        <w:rPr>
          <w:szCs w:val="22"/>
        </w:rPr>
      </w:pPr>
      <w:r>
        <w:rPr>
          <w:szCs w:val="22"/>
        </w:rPr>
        <w:t xml:space="preserve">David filed the </w:t>
      </w:r>
      <w:r w:rsidR="004C54E5">
        <w:rPr>
          <w:szCs w:val="22"/>
        </w:rPr>
        <w:t xml:space="preserve">Reply on December 30, 2020.  </w:t>
      </w:r>
      <w:r w:rsidR="007311C1">
        <w:rPr>
          <w:szCs w:val="22"/>
        </w:rPr>
        <w:t xml:space="preserve">Regarding the procedural issues, </w:t>
      </w:r>
      <w:r w:rsidR="00682A99">
        <w:rPr>
          <w:szCs w:val="22"/>
        </w:rPr>
        <w:t xml:space="preserve">David argues that section </w:t>
      </w:r>
      <w:r w:rsidR="00034C45">
        <w:rPr>
          <w:szCs w:val="22"/>
        </w:rPr>
        <w:t>1.47</w:t>
      </w:r>
      <w:r>
        <w:rPr>
          <w:rStyle w:val="FootnoteReference"/>
          <w:szCs w:val="22"/>
        </w:rPr>
        <w:footnoteReference w:id="19"/>
      </w:r>
      <w:r w:rsidR="00034C45">
        <w:rPr>
          <w:szCs w:val="22"/>
        </w:rPr>
        <w:t xml:space="preserve"> does not apply to informal objections and that there is</w:t>
      </w:r>
      <w:r w:rsidR="00462712">
        <w:rPr>
          <w:szCs w:val="22"/>
        </w:rPr>
        <w:t xml:space="preserve"> no requirement for informal objections to be served upon the licensee or its </w:t>
      </w:r>
      <w:r w:rsidR="001600B9">
        <w:rPr>
          <w:szCs w:val="22"/>
        </w:rPr>
        <w:t>counsel</w:t>
      </w:r>
      <w:r w:rsidR="00462712">
        <w:rPr>
          <w:szCs w:val="22"/>
        </w:rPr>
        <w:t>.</w:t>
      </w:r>
      <w:r>
        <w:rPr>
          <w:rStyle w:val="FootnoteReference"/>
          <w:szCs w:val="22"/>
        </w:rPr>
        <w:footnoteReference w:id="20"/>
      </w:r>
      <w:r w:rsidR="00F00B5F">
        <w:rPr>
          <w:szCs w:val="22"/>
        </w:rPr>
        <w:t xml:space="preserve">  </w:t>
      </w:r>
      <w:r w:rsidR="008C3ABD">
        <w:rPr>
          <w:szCs w:val="22"/>
        </w:rPr>
        <w:t>Furthermore, David states that the Objection was submitted through the Commission’s Licensing and Management System, and the certification required to submit a pleading through this system constitutes a legal verification.</w:t>
      </w:r>
      <w:r>
        <w:rPr>
          <w:rStyle w:val="FootnoteReference"/>
          <w:szCs w:val="22"/>
        </w:rPr>
        <w:footnoteReference w:id="21"/>
      </w:r>
      <w:r w:rsidR="007311C1">
        <w:rPr>
          <w:szCs w:val="22"/>
        </w:rPr>
        <w:t xml:space="preserve">  In </w:t>
      </w:r>
      <w:r w:rsidR="007311C1">
        <w:rPr>
          <w:szCs w:val="22"/>
        </w:rPr>
        <w:t xml:space="preserve">response to the substantive issues, David </w:t>
      </w:r>
      <w:r w:rsidR="007C1016">
        <w:rPr>
          <w:szCs w:val="22"/>
        </w:rPr>
        <w:t>states that Licensee conceded that it made false certifications on the Application and that the Station was silent for an extended period without authorization.</w:t>
      </w:r>
      <w:r>
        <w:rPr>
          <w:rStyle w:val="FootnoteReference"/>
          <w:szCs w:val="22"/>
        </w:rPr>
        <w:footnoteReference w:id="22"/>
      </w:r>
      <w:r w:rsidR="007C1016">
        <w:rPr>
          <w:szCs w:val="22"/>
        </w:rPr>
        <w:t xml:space="preserve">  </w:t>
      </w:r>
      <w:r w:rsidR="008174B7">
        <w:rPr>
          <w:szCs w:val="22"/>
        </w:rPr>
        <w:t>Therefore</w:t>
      </w:r>
      <w:r w:rsidR="007C1016">
        <w:rPr>
          <w:szCs w:val="22"/>
        </w:rPr>
        <w:t>, David requests that we dismiss the Application.</w:t>
      </w:r>
    </w:p>
    <w:p w:rsidR="00306590" w:rsidRPr="00306590" w:rsidP="00306590" w14:paraId="0DC985E7" w14:textId="736FD633">
      <w:pPr>
        <w:pStyle w:val="ParaNum"/>
        <w:rPr>
          <w:szCs w:val="22"/>
        </w:rPr>
      </w:pPr>
      <w:r>
        <w:rPr>
          <w:szCs w:val="22"/>
        </w:rPr>
        <w:t xml:space="preserve">On August </w:t>
      </w:r>
      <w:r w:rsidR="00847183">
        <w:rPr>
          <w:szCs w:val="22"/>
        </w:rPr>
        <w:t xml:space="preserve">4, 2021, Licensee notified us </w:t>
      </w:r>
      <w:r w:rsidR="00C96B92">
        <w:rPr>
          <w:szCs w:val="22"/>
        </w:rPr>
        <w:t>that the</w:t>
      </w:r>
      <w:r w:rsidR="00847183">
        <w:rPr>
          <w:szCs w:val="22"/>
        </w:rPr>
        <w:t xml:space="preserve"> Station resum</w:t>
      </w:r>
      <w:r w:rsidR="00C96B92">
        <w:rPr>
          <w:szCs w:val="22"/>
        </w:rPr>
        <w:t>ed</w:t>
      </w:r>
      <w:r w:rsidR="00847183">
        <w:rPr>
          <w:szCs w:val="22"/>
        </w:rPr>
        <w:t xml:space="preserve"> operations</w:t>
      </w:r>
      <w:r w:rsidR="00C96B92">
        <w:rPr>
          <w:szCs w:val="22"/>
        </w:rPr>
        <w:t xml:space="preserve"> the </w:t>
      </w:r>
      <w:r w:rsidR="009B5AB3">
        <w:rPr>
          <w:szCs w:val="22"/>
        </w:rPr>
        <w:t xml:space="preserve">previous </w:t>
      </w:r>
      <w:r w:rsidR="00C96B92">
        <w:rPr>
          <w:szCs w:val="22"/>
        </w:rPr>
        <w:t>day</w:t>
      </w:r>
      <w:r>
        <w:rPr>
          <w:rStyle w:val="FootnoteReference"/>
          <w:szCs w:val="22"/>
        </w:rPr>
        <w:footnoteReference w:id="23"/>
      </w:r>
      <w:r w:rsidR="00847183">
        <w:rPr>
          <w:szCs w:val="22"/>
        </w:rPr>
        <w:t xml:space="preserve"> and changed the </w:t>
      </w:r>
      <w:r>
        <w:rPr>
          <w:szCs w:val="22"/>
        </w:rPr>
        <w:t>primary station to WOJO</w:t>
      </w:r>
      <w:r w:rsidR="00C24A39">
        <w:rPr>
          <w:szCs w:val="22"/>
        </w:rPr>
        <w:t>-HD2</w:t>
      </w:r>
      <w:r>
        <w:rPr>
          <w:szCs w:val="22"/>
        </w:rPr>
        <w:t>.</w:t>
      </w:r>
      <w:r>
        <w:rPr>
          <w:rStyle w:val="FootnoteReference"/>
          <w:szCs w:val="22"/>
        </w:rPr>
        <w:footnoteReference w:id="24"/>
      </w:r>
    </w:p>
    <w:p w:rsidR="00846BE7" w14:paraId="5F724BE6" w14:textId="77777777">
      <w:pPr>
        <w:pStyle w:val="Heading1"/>
      </w:pPr>
      <w:r>
        <w:t>DISCUSSION</w:t>
      </w:r>
    </w:p>
    <w:p w:rsidR="002B7AC8" w:rsidRPr="00657B86" w:rsidP="00657B86" w14:paraId="15262E68" w14:textId="4C44D73F">
      <w:pPr>
        <w:pStyle w:val="ParaNum"/>
        <w:rPr>
          <w:snapToGrid/>
        </w:rPr>
      </w:pPr>
      <w:r w:rsidRPr="00104F0C">
        <w:t xml:space="preserve">Under </w:t>
      </w:r>
      <w:r w:rsidR="00FA45FA">
        <w:t>s</w:t>
      </w:r>
      <w:r w:rsidRPr="00104F0C">
        <w:t xml:space="preserve">ection 309(d) of the </w:t>
      </w:r>
      <w:r>
        <w:t>Act</w:t>
      </w:r>
      <w:r w:rsidRPr="00104F0C">
        <w:t>,</w:t>
      </w:r>
      <w:r>
        <w:rPr>
          <w:rStyle w:val="FootnoteReference"/>
        </w:rPr>
        <w:footnoteReference w:id="25"/>
      </w:r>
      <w:r w:rsidRPr="00104F0C">
        <w:t xml:space="preserve"> informal objections, like petitions to deny, must provide properly supported allegations of fact that, if true, would establish a substantial and material question of fact that grant of the application would be </w:t>
      </w:r>
      <w:r w:rsidRPr="002B7AC8">
        <w:rPr>
          <w:i/>
          <w:iCs/>
        </w:rPr>
        <w:t>prima facie</w:t>
      </w:r>
      <w:r w:rsidRPr="00104F0C">
        <w:t xml:space="preserve"> inconsistent with the public interest, convenience, and necessity.</w:t>
      </w:r>
      <w:r>
        <w:rPr>
          <w:rStyle w:val="FootnoteReference"/>
        </w:rPr>
        <w:footnoteReference w:id="26"/>
      </w:r>
      <w:r>
        <w:t xml:space="preserve">  For the reasons explained below, we find that </w:t>
      </w:r>
      <w:r w:rsidR="00131C5B">
        <w:t xml:space="preserve">although </w:t>
      </w:r>
      <w:r w:rsidR="00657B86">
        <w:t>Licensee</w:t>
      </w:r>
      <w:r>
        <w:t xml:space="preserve"> did commit apparent violations of the Act and the </w:t>
      </w:r>
      <w:r w:rsidR="00657B86">
        <w:t>r</w:t>
      </w:r>
      <w:r>
        <w:t>ules, for which we propose a forfeiture, there is no substantial and material question of fact here</w:t>
      </w:r>
      <w:r w:rsidR="00131C5B">
        <w:t xml:space="preserve"> that would preclude grant of the Application</w:t>
      </w:r>
      <w:r>
        <w:t>.</w:t>
      </w:r>
      <w:r w:rsidRPr="002B7AC8">
        <w:rPr>
          <w:szCs w:val="22"/>
        </w:rPr>
        <w:t xml:space="preserve"> </w:t>
      </w:r>
    </w:p>
    <w:p w:rsidR="002A670E" w:rsidRPr="002A670E" w14:paraId="5C9365BE" w14:textId="5B93F1FE">
      <w:pPr>
        <w:pStyle w:val="ParaNum"/>
        <w:rPr>
          <w:szCs w:val="22"/>
        </w:rPr>
      </w:pPr>
      <w:r>
        <w:rPr>
          <w:i/>
          <w:iCs/>
          <w:szCs w:val="22"/>
        </w:rPr>
        <w:t>Procedural Issues.</w:t>
      </w:r>
      <w:r w:rsidR="007561BF">
        <w:rPr>
          <w:i/>
          <w:iCs/>
          <w:szCs w:val="22"/>
        </w:rPr>
        <w:t xml:space="preserve">  </w:t>
      </w:r>
      <w:r w:rsidR="007561BF">
        <w:rPr>
          <w:szCs w:val="22"/>
        </w:rPr>
        <w:t xml:space="preserve">We find that </w:t>
      </w:r>
      <w:r w:rsidR="00DF3621">
        <w:rPr>
          <w:szCs w:val="22"/>
        </w:rPr>
        <w:t xml:space="preserve">the Objection meets the </w:t>
      </w:r>
      <w:r w:rsidR="003555F6">
        <w:rPr>
          <w:szCs w:val="22"/>
        </w:rPr>
        <w:t xml:space="preserve">procedural </w:t>
      </w:r>
      <w:r w:rsidR="00DF3621">
        <w:rPr>
          <w:szCs w:val="22"/>
        </w:rPr>
        <w:t>requirements for an informal objection</w:t>
      </w:r>
      <w:r w:rsidR="009E2D93">
        <w:rPr>
          <w:szCs w:val="22"/>
        </w:rPr>
        <w:t xml:space="preserve"> under section</w:t>
      </w:r>
      <w:r w:rsidR="00B3580F">
        <w:rPr>
          <w:szCs w:val="22"/>
        </w:rPr>
        <w:t>s</w:t>
      </w:r>
      <w:r w:rsidR="009E2D93">
        <w:rPr>
          <w:szCs w:val="22"/>
        </w:rPr>
        <w:t xml:space="preserve"> 73.</w:t>
      </w:r>
      <w:r w:rsidR="00AE6D4E">
        <w:rPr>
          <w:szCs w:val="22"/>
        </w:rPr>
        <w:t>3587</w:t>
      </w:r>
      <w:r w:rsidR="00B3580F">
        <w:rPr>
          <w:szCs w:val="22"/>
        </w:rPr>
        <w:t xml:space="preserve"> and 1.52</w:t>
      </w:r>
      <w:r w:rsidR="00AE6D4E">
        <w:rPr>
          <w:szCs w:val="22"/>
        </w:rPr>
        <w:t xml:space="preserve"> of the rules</w:t>
      </w:r>
      <w:r w:rsidR="00DF3621">
        <w:rPr>
          <w:szCs w:val="22"/>
        </w:rPr>
        <w:t>.</w:t>
      </w:r>
      <w:r>
        <w:rPr>
          <w:rStyle w:val="FootnoteReference"/>
          <w:szCs w:val="22"/>
        </w:rPr>
        <w:footnoteReference w:id="27"/>
      </w:r>
      <w:r w:rsidR="00046848">
        <w:rPr>
          <w:szCs w:val="22"/>
        </w:rPr>
        <w:t xml:space="preserve">  </w:t>
      </w:r>
      <w:r w:rsidR="001A5ECF">
        <w:rPr>
          <w:szCs w:val="22"/>
        </w:rPr>
        <w:t>Contrary to Licensee’s position, i</w:t>
      </w:r>
      <w:r w:rsidR="00F62C20">
        <w:rPr>
          <w:szCs w:val="22"/>
        </w:rPr>
        <w:t xml:space="preserve">nformal objections need not </w:t>
      </w:r>
      <w:r w:rsidR="009067A6">
        <w:rPr>
          <w:szCs w:val="22"/>
        </w:rPr>
        <w:t>be served on the licensee or the licensee’s counsel.</w:t>
      </w:r>
      <w:r>
        <w:rPr>
          <w:rStyle w:val="FootnoteReference"/>
          <w:szCs w:val="22"/>
        </w:rPr>
        <w:footnoteReference w:id="28"/>
      </w:r>
      <w:r w:rsidR="00BE7C36">
        <w:rPr>
          <w:szCs w:val="22"/>
        </w:rPr>
        <w:t xml:space="preserve">  </w:t>
      </w:r>
      <w:r w:rsidR="000B7DC1">
        <w:rPr>
          <w:szCs w:val="22"/>
        </w:rPr>
        <w:t xml:space="preserve">David filed the Objection </w:t>
      </w:r>
      <w:r w:rsidR="00D20347">
        <w:rPr>
          <w:szCs w:val="22"/>
        </w:rPr>
        <w:t>using the Commission’s Licensing and Management System</w:t>
      </w:r>
      <w:r w:rsidR="00E16577">
        <w:rPr>
          <w:szCs w:val="22"/>
        </w:rPr>
        <w:t>,</w:t>
      </w:r>
      <w:r w:rsidR="00377DB7">
        <w:rPr>
          <w:szCs w:val="22"/>
        </w:rPr>
        <w:t xml:space="preserve"> </w:t>
      </w:r>
      <w:r w:rsidR="00CE5BB2">
        <w:rPr>
          <w:szCs w:val="22"/>
        </w:rPr>
        <w:t>which</w:t>
      </w:r>
      <w:r w:rsidR="00D40BC0">
        <w:rPr>
          <w:szCs w:val="22"/>
        </w:rPr>
        <w:t xml:space="preserve"> includes the required certifications</w:t>
      </w:r>
      <w:r w:rsidR="006D6D3F">
        <w:rPr>
          <w:szCs w:val="22"/>
        </w:rPr>
        <w:t>.</w:t>
      </w:r>
      <w:r>
        <w:rPr>
          <w:rStyle w:val="FootnoteReference"/>
          <w:szCs w:val="22"/>
        </w:rPr>
        <w:footnoteReference w:id="29"/>
      </w:r>
      <w:r w:rsidR="00A44E46">
        <w:rPr>
          <w:szCs w:val="22"/>
        </w:rPr>
        <w:t xml:space="preserve">  </w:t>
      </w:r>
      <w:r w:rsidR="007903FC">
        <w:rPr>
          <w:szCs w:val="22"/>
        </w:rPr>
        <w:t>Therefore</w:t>
      </w:r>
      <w:r w:rsidR="006D6D3F">
        <w:rPr>
          <w:szCs w:val="22"/>
        </w:rPr>
        <w:t xml:space="preserve">, we </w:t>
      </w:r>
      <w:r w:rsidR="007207CC">
        <w:rPr>
          <w:szCs w:val="22"/>
        </w:rPr>
        <w:t xml:space="preserve">reject Licensee’s contention that </w:t>
      </w:r>
      <w:r w:rsidR="006D6D3F">
        <w:rPr>
          <w:szCs w:val="22"/>
        </w:rPr>
        <w:t>the Objection</w:t>
      </w:r>
      <w:r w:rsidR="007207CC">
        <w:rPr>
          <w:szCs w:val="22"/>
        </w:rPr>
        <w:t xml:space="preserve"> is procedurally defective</w:t>
      </w:r>
      <w:r>
        <w:rPr>
          <w:rStyle w:val="FootnoteReference"/>
          <w:szCs w:val="22"/>
        </w:rPr>
        <w:footnoteReference w:id="30"/>
      </w:r>
      <w:r w:rsidR="006D6D3F">
        <w:rPr>
          <w:szCs w:val="22"/>
        </w:rPr>
        <w:t xml:space="preserve"> and </w:t>
      </w:r>
      <w:r w:rsidR="0080261D">
        <w:rPr>
          <w:szCs w:val="22"/>
        </w:rPr>
        <w:t>review it on the merits.</w:t>
      </w:r>
    </w:p>
    <w:p w:rsidR="00CF4B0C" w:rsidRPr="00CF4B0C" w:rsidP="00CF4B0C" w14:paraId="78528F4F" w14:textId="26D9C1A3">
      <w:pPr>
        <w:pStyle w:val="ParaNum"/>
        <w:rPr>
          <w:szCs w:val="22"/>
        </w:rPr>
      </w:pPr>
      <w:r>
        <w:rPr>
          <w:i/>
          <w:iCs/>
          <w:szCs w:val="22"/>
        </w:rPr>
        <w:t xml:space="preserve">Off the Air </w:t>
      </w:r>
      <w:r w:rsidR="009C2CD2">
        <w:rPr>
          <w:i/>
          <w:iCs/>
          <w:szCs w:val="22"/>
        </w:rPr>
        <w:t>W</w:t>
      </w:r>
      <w:r>
        <w:rPr>
          <w:i/>
          <w:iCs/>
          <w:szCs w:val="22"/>
        </w:rPr>
        <w:t>ithout Notice</w:t>
      </w:r>
      <w:r w:rsidR="005E3331">
        <w:rPr>
          <w:i/>
          <w:iCs/>
          <w:szCs w:val="22"/>
        </w:rPr>
        <w:t>.</w:t>
      </w:r>
      <w:r w:rsidR="00344604">
        <w:rPr>
          <w:i/>
          <w:iCs/>
          <w:szCs w:val="22"/>
        </w:rPr>
        <w:t xml:space="preserve">  </w:t>
      </w:r>
      <w:r w:rsidR="00DE4F5E">
        <w:rPr>
          <w:szCs w:val="22"/>
        </w:rPr>
        <w:t>We agree with David that the Station was improperly silent without notice to the Commission.</w:t>
      </w:r>
      <w:r w:rsidR="00DE4F5E">
        <w:rPr>
          <w:i/>
          <w:iCs/>
          <w:szCs w:val="22"/>
        </w:rPr>
        <w:t xml:space="preserve">  </w:t>
      </w:r>
      <w:r w:rsidRPr="00F6543F" w:rsidR="00D63678">
        <w:t xml:space="preserve">Section 74.1263(c) of the </w:t>
      </w:r>
      <w:r w:rsidR="00486554">
        <w:t>r</w:t>
      </w:r>
      <w:r w:rsidRPr="00F6543F" w:rsidR="00D63678">
        <w:t xml:space="preserve">ules requires an FM translator licensee to notify the Commission of its intent to discontinue operations for 10 or more consecutive days, and Commission approval is required for such discontinued operation </w:t>
      </w:r>
      <w:r w:rsidR="00DB3C06">
        <w:t xml:space="preserve">to continue </w:t>
      </w:r>
      <w:r w:rsidRPr="00F6543F" w:rsidR="00D63678">
        <w:t>beyond 30 days.</w:t>
      </w:r>
      <w:r>
        <w:rPr>
          <w:rStyle w:val="FootnoteReference"/>
          <w:szCs w:val="22"/>
        </w:rPr>
        <w:footnoteReference w:id="31"/>
      </w:r>
      <w:r w:rsidRPr="00F6543F" w:rsidR="00D63678">
        <w:t xml:space="preserve">  </w:t>
      </w:r>
    </w:p>
    <w:p w:rsidR="00D63678" w:rsidRPr="00D45E0C" w:rsidP="00D45E0C" w14:paraId="4990346B" w14:textId="36A9951C">
      <w:pPr>
        <w:pStyle w:val="ParaNum"/>
        <w:rPr>
          <w:szCs w:val="22"/>
        </w:rPr>
      </w:pPr>
      <w:r>
        <w:t xml:space="preserve">Here, the record evidence indicates that the Station was silent for </w:t>
      </w:r>
      <w:r w:rsidR="00D64D50">
        <w:t>over 11 months</w:t>
      </w:r>
      <w:r w:rsidR="00BF7012">
        <w:t xml:space="preserve">, from </w:t>
      </w:r>
      <w:r w:rsidR="00BF7012">
        <w:t>August 17, 2020</w:t>
      </w:r>
      <w:r w:rsidR="003040F8">
        <w:t>,</w:t>
      </w:r>
      <w:r>
        <w:rPr>
          <w:rStyle w:val="FootnoteReference"/>
        </w:rPr>
        <w:footnoteReference w:id="32"/>
      </w:r>
      <w:r w:rsidR="00BF7012">
        <w:t xml:space="preserve"> </w:t>
      </w:r>
      <w:r w:rsidR="00446452">
        <w:t>until</w:t>
      </w:r>
      <w:r w:rsidR="0061478C">
        <w:t xml:space="preserve"> August 4, 2021.</w:t>
      </w:r>
      <w:r>
        <w:rPr>
          <w:rStyle w:val="FootnoteReference"/>
        </w:rPr>
        <w:footnoteReference w:id="33"/>
      </w:r>
      <w:r w:rsidR="00340049">
        <w:t xml:space="preserve">  Licensee </w:t>
      </w:r>
      <w:r w:rsidR="008A1884">
        <w:t>failed to notify</w:t>
      </w:r>
      <w:r w:rsidR="00C72707">
        <w:t xml:space="preserve"> the FCC of the Station’s discontinued operation </w:t>
      </w:r>
      <w:r w:rsidR="008A1884">
        <w:t>by the</w:t>
      </w:r>
      <w:r w:rsidR="00C72707">
        <w:t xml:space="preserve"> August</w:t>
      </w:r>
      <w:r w:rsidR="00855161">
        <w:t xml:space="preserve"> 27, 2020, </w:t>
      </w:r>
      <w:r w:rsidR="008A1884">
        <w:t>deadline</w:t>
      </w:r>
      <w:r w:rsidR="00855161">
        <w:t>.  Additionally,</w:t>
      </w:r>
      <w:r w:rsidR="00D64D50">
        <w:t xml:space="preserve"> Licensee </w:t>
      </w:r>
      <w:r w:rsidR="008A1884">
        <w:t>failed to request an STA</w:t>
      </w:r>
      <w:r w:rsidR="000561CF">
        <w:t xml:space="preserve"> for the Station to </w:t>
      </w:r>
      <w:r w:rsidR="00486166">
        <w:t xml:space="preserve">remain </w:t>
      </w:r>
      <w:r w:rsidR="000561CF">
        <w:t xml:space="preserve">silent </w:t>
      </w:r>
      <w:r w:rsidR="00802AAE">
        <w:t xml:space="preserve">within 30 days.  In fact, </w:t>
      </w:r>
      <w:r w:rsidR="000552C6">
        <w:t>Licensee did not request an STA</w:t>
      </w:r>
      <w:r w:rsidR="00676E93">
        <w:t xml:space="preserve"> until December 28, 2020</w:t>
      </w:r>
      <w:r w:rsidR="000D499F">
        <w:t>,</w:t>
      </w:r>
      <w:r>
        <w:rPr>
          <w:rStyle w:val="FootnoteReference"/>
        </w:rPr>
        <w:footnoteReference w:id="34"/>
      </w:r>
      <w:r w:rsidR="00676E93">
        <w:t xml:space="preserve"> </w:t>
      </w:r>
      <w:r w:rsidR="004D5676">
        <w:t xml:space="preserve">over </w:t>
      </w:r>
      <w:r w:rsidR="00D66F1B">
        <w:t>3</w:t>
      </w:r>
      <w:r w:rsidR="00676E93">
        <w:t xml:space="preserve"> months late.</w:t>
      </w:r>
      <w:r w:rsidR="00CF4B0C">
        <w:rPr>
          <w:szCs w:val="22"/>
        </w:rPr>
        <w:t xml:space="preserve">  </w:t>
      </w:r>
      <w:r>
        <w:t xml:space="preserve">We therefore find that </w:t>
      </w:r>
      <w:r w:rsidR="00676E93">
        <w:t>Licensee</w:t>
      </w:r>
      <w:r>
        <w:t xml:space="preserve"> apparently willfully and repeatedly violated </w:t>
      </w:r>
      <w:r w:rsidR="00676E93">
        <w:t>s</w:t>
      </w:r>
      <w:r>
        <w:t>ection 74.1263(</w:t>
      </w:r>
      <w:r w:rsidR="00872E1F">
        <w:t>e</w:t>
      </w:r>
      <w:r>
        <w:t xml:space="preserve">) of the </w:t>
      </w:r>
      <w:r w:rsidR="00676E93">
        <w:t>r</w:t>
      </w:r>
      <w:r>
        <w:t xml:space="preserve">ules by remaining silent </w:t>
      </w:r>
      <w:r w:rsidR="00FE38DA">
        <w:t xml:space="preserve">for months </w:t>
      </w:r>
      <w:r>
        <w:t>without authority</w:t>
      </w:r>
      <w:r w:rsidRPr="00A958E1">
        <w:t xml:space="preserve">.  </w:t>
      </w:r>
      <w:r w:rsidR="006461EE">
        <w:rPr>
          <w:szCs w:val="22"/>
        </w:rPr>
        <w:t>W</w:t>
      </w:r>
      <w:r w:rsidRPr="00CF4B0C">
        <w:rPr>
          <w:szCs w:val="22"/>
        </w:rPr>
        <w:t xml:space="preserve">e will issue a forfeiture to </w:t>
      </w:r>
      <w:r w:rsidRPr="00CF4B0C" w:rsidR="00882F1C">
        <w:rPr>
          <w:szCs w:val="22"/>
        </w:rPr>
        <w:t>Licensee</w:t>
      </w:r>
      <w:r w:rsidRPr="00CF4B0C">
        <w:rPr>
          <w:szCs w:val="22"/>
        </w:rPr>
        <w:t xml:space="preserve"> for its apparent violation of </w:t>
      </w:r>
      <w:r w:rsidRPr="00CF4B0C" w:rsidR="00882F1C">
        <w:rPr>
          <w:szCs w:val="22"/>
        </w:rPr>
        <w:t>s</w:t>
      </w:r>
      <w:r w:rsidRPr="00CF4B0C">
        <w:rPr>
          <w:szCs w:val="22"/>
        </w:rPr>
        <w:t>ections</w:t>
      </w:r>
      <w:r w:rsidRPr="00330E34">
        <w:t xml:space="preserve"> 74.1263</w:t>
      </w:r>
      <w:r>
        <w:t xml:space="preserve">(c) and </w:t>
      </w:r>
      <w:r w:rsidRPr="00330E34">
        <w:t>(e</w:t>
      </w:r>
      <w:r w:rsidR="00F57070">
        <w:t>)</w:t>
      </w:r>
      <w:r w:rsidRPr="00330E34">
        <w:t>.</w:t>
      </w:r>
    </w:p>
    <w:p w:rsidR="0015064B" w:rsidRPr="002D7F97" w:rsidP="00CB7880" w14:paraId="275E8D20" w14:textId="0F166338">
      <w:pPr>
        <w:pStyle w:val="ParaNum"/>
        <w:rPr>
          <w:szCs w:val="22"/>
        </w:rPr>
      </w:pPr>
      <w:r>
        <w:rPr>
          <w:i/>
          <w:iCs/>
          <w:szCs w:val="22"/>
        </w:rPr>
        <w:t>Failure to Maintain Completeness and Accuracy of Pending Application</w:t>
      </w:r>
      <w:r w:rsidR="002D7F97">
        <w:rPr>
          <w:i/>
          <w:iCs/>
          <w:szCs w:val="22"/>
        </w:rPr>
        <w:t>.</w:t>
      </w:r>
      <w:r w:rsidR="005E3331">
        <w:rPr>
          <w:i/>
          <w:iCs/>
          <w:szCs w:val="22"/>
        </w:rPr>
        <w:t xml:space="preserve">  </w:t>
      </w:r>
      <w:r w:rsidR="00356D2A">
        <w:rPr>
          <w:szCs w:val="22"/>
        </w:rPr>
        <w:t>We</w:t>
      </w:r>
      <w:r w:rsidR="000C1543">
        <w:rPr>
          <w:szCs w:val="22"/>
        </w:rPr>
        <w:t xml:space="preserve"> </w:t>
      </w:r>
      <w:r w:rsidR="00257927">
        <w:rPr>
          <w:szCs w:val="22"/>
        </w:rPr>
        <w:t>find that the Licensee</w:t>
      </w:r>
      <w:r w:rsidR="00CF3A61">
        <w:rPr>
          <w:szCs w:val="22"/>
        </w:rPr>
        <w:t xml:space="preserve"> failed to update the Application to reflect the Station’s silence</w:t>
      </w:r>
      <w:r w:rsidR="007A0DA2">
        <w:rPr>
          <w:szCs w:val="22"/>
        </w:rPr>
        <w:t>.</w:t>
      </w:r>
      <w:r w:rsidR="00283A73">
        <w:rPr>
          <w:szCs w:val="22"/>
        </w:rPr>
        <w:t xml:space="preserve">  </w:t>
      </w:r>
      <w:r w:rsidRPr="00796C43" w:rsidR="00283A73">
        <w:rPr>
          <w:szCs w:val="22"/>
          <w:shd w:val="clear" w:color="auto" w:fill="FFFFFF"/>
        </w:rPr>
        <w:t xml:space="preserve">Under </w:t>
      </w:r>
      <w:r w:rsidR="00283A73">
        <w:rPr>
          <w:szCs w:val="22"/>
          <w:shd w:val="clear" w:color="auto" w:fill="FFFFFF"/>
        </w:rPr>
        <w:t>s</w:t>
      </w:r>
      <w:r w:rsidRPr="00796C43" w:rsidR="00283A73">
        <w:rPr>
          <w:szCs w:val="22"/>
          <w:shd w:val="clear" w:color="auto" w:fill="FFFFFF"/>
        </w:rPr>
        <w:t xml:space="preserve">ection 1.65 of the </w:t>
      </w:r>
      <w:r w:rsidR="00283A73">
        <w:rPr>
          <w:szCs w:val="22"/>
          <w:shd w:val="clear" w:color="auto" w:fill="FFFFFF"/>
        </w:rPr>
        <w:t>r</w:t>
      </w:r>
      <w:r w:rsidRPr="00796C43" w:rsidR="00283A73">
        <w:rPr>
          <w:szCs w:val="22"/>
          <w:shd w:val="clear" w:color="auto" w:fill="FFFFFF"/>
        </w:rPr>
        <w:t>ules, an applicant is responsible for the continuing accuracy and completeness of the information furnished in a pending application or in Commission proceedings involving a pending application.</w:t>
      </w:r>
      <w:r>
        <w:rPr>
          <w:rStyle w:val="FootnoteReference"/>
          <w:szCs w:val="22"/>
          <w:shd w:val="clear" w:color="auto" w:fill="FFFFFF"/>
        </w:rPr>
        <w:footnoteReference w:id="35"/>
      </w:r>
      <w:r w:rsidRPr="00796C43" w:rsidR="00283A73">
        <w:rPr>
          <w:szCs w:val="22"/>
          <w:shd w:val="clear" w:color="auto" w:fill="FFFFFF"/>
        </w:rPr>
        <w:t xml:space="preserve">  Whenever the information furnished in </w:t>
      </w:r>
      <w:r w:rsidR="00283A73">
        <w:rPr>
          <w:szCs w:val="22"/>
          <w:shd w:val="clear" w:color="auto" w:fill="FFFFFF"/>
        </w:rPr>
        <w:t>a</w:t>
      </w:r>
      <w:r w:rsidRPr="00796C43" w:rsidR="00283A73">
        <w:rPr>
          <w:szCs w:val="22"/>
          <w:shd w:val="clear" w:color="auto" w:fill="FFFFFF"/>
        </w:rPr>
        <w:t xml:space="preserve"> pending application is no longer substantially accurate and complete in all significant respects, the applicant must, as promptly as possible and in any event within 30 days, amend </w:t>
      </w:r>
      <w:r w:rsidR="00283A73">
        <w:rPr>
          <w:szCs w:val="22"/>
          <w:shd w:val="clear" w:color="auto" w:fill="FFFFFF"/>
        </w:rPr>
        <w:t>the</w:t>
      </w:r>
      <w:r w:rsidRPr="00796C43" w:rsidR="00283A73">
        <w:rPr>
          <w:szCs w:val="22"/>
          <w:shd w:val="clear" w:color="auto" w:fill="FFFFFF"/>
        </w:rPr>
        <w:t xml:space="preserve"> application so as to furnish the additional or correct information.</w:t>
      </w:r>
      <w:r>
        <w:rPr>
          <w:rStyle w:val="FootnoteReference"/>
          <w:szCs w:val="22"/>
          <w:shd w:val="clear" w:color="auto" w:fill="FFFFFF"/>
        </w:rPr>
        <w:footnoteReference w:id="36"/>
      </w:r>
      <w:r w:rsidRPr="00796C43" w:rsidR="00283A73">
        <w:rPr>
          <w:szCs w:val="22"/>
          <w:shd w:val="clear" w:color="auto" w:fill="FFFFFF"/>
        </w:rPr>
        <w:t xml:space="preserve">  </w:t>
      </w:r>
      <w:r w:rsidR="00CB7880">
        <w:rPr>
          <w:szCs w:val="22"/>
          <w:shd w:val="clear" w:color="auto" w:fill="FFFFFF"/>
        </w:rPr>
        <w:t xml:space="preserve">Licensee did not </w:t>
      </w:r>
      <w:r w:rsidR="005D7623">
        <w:rPr>
          <w:szCs w:val="22"/>
          <w:shd w:val="clear" w:color="auto" w:fill="FFFFFF"/>
        </w:rPr>
        <w:t>amend the Application</w:t>
      </w:r>
      <w:r w:rsidR="005105C8">
        <w:rPr>
          <w:szCs w:val="22"/>
        </w:rPr>
        <w:t xml:space="preserve"> until December 29, 2020</w:t>
      </w:r>
      <w:r w:rsidR="00E716E7">
        <w:rPr>
          <w:szCs w:val="22"/>
        </w:rPr>
        <w:t xml:space="preserve">, more than </w:t>
      </w:r>
      <w:r w:rsidR="005D7623">
        <w:rPr>
          <w:szCs w:val="22"/>
        </w:rPr>
        <w:t>3 months</w:t>
      </w:r>
      <w:r w:rsidR="00E716E7">
        <w:rPr>
          <w:szCs w:val="22"/>
        </w:rPr>
        <w:t xml:space="preserve"> after </w:t>
      </w:r>
      <w:r w:rsidR="00A06AF8">
        <w:rPr>
          <w:szCs w:val="22"/>
        </w:rPr>
        <w:t>the information furnished on the Application was no longer substantially accurate</w:t>
      </w:r>
      <w:r w:rsidR="005105C8">
        <w:rPr>
          <w:szCs w:val="22"/>
        </w:rPr>
        <w:t>.</w:t>
      </w:r>
      <w:r w:rsidR="00A06AF8">
        <w:rPr>
          <w:szCs w:val="22"/>
        </w:rPr>
        <w:t xml:space="preserve">  </w:t>
      </w:r>
      <w:r w:rsidR="00762282">
        <w:rPr>
          <w:szCs w:val="22"/>
        </w:rPr>
        <w:t xml:space="preserve">Additionally, Licensee </w:t>
      </w:r>
      <w:r w:rsidR="000A1F3A">
        <w:rPr>
          <w:szCs w:val="22"/>
        </w:rPr>
        <w:t xml:space="preserve">also </w:t>
      </w:r>
      <w:r w:rsidR="005F1068">
        <w:rPr>
          <w:szCs w:val="22"/>
        </w:rPr>
        <w:t>failed to amend</w:t>
      </w:r>
      <w:r w:rsidR="00E06582">
        <w:rPr>
          <w:szCs w:val="22"/>
        </w:rPr>
        <w:t xml:space="preserve"> the Application</w:t>
      </w:r>
      <w:r w:rsidR="00D11120">
        <w:rPr>
          <w:szCs w:val="22"/>
        </w:rPr>
        <w:t xml:space="preserve"> within </w:t>
      </w:r>
      <w:r w:rsidR="008B1E30">
        <w:rPr>
          <w:szCs w:val="22"/>
        </w:rPr>
        <w:t xml:space="preserve">30 days after it resumed operations on August 4, 2021, to reflect that it </w:t>
      </w:r>
      <w:r w:rsidR="003D4939">
        <w:rPr>
          <w:szCs w:val="22"/>
        </w:rPr>
        <w:t xml:space="preserve">is </w:t>
      </w:r>
      <w:r w:rsidR="008B1E30">
        <w:rPr>
          <w:szCs w:val="22"/>
        </w:rPr>
        <w:t>back on the air and rebroadcasting WOJO-HD2.</w:t>
      </w:r>
      <w:r>
        <w:rPr>
          <w:rStyle w:val="FootnoteReference"/>
          <w:szCs w:val="22"/>
        </w:rPr>
        <w:footnoteReference w:id="37"/>
      </w:r>
      <w:r w:rsidR="00E06582">
        <w:rPr>
          <w:szCs w:val="22"/>
        </w:rPr>
        <w:t xml:space="preserve"> </w:t>
      </w:r>
      <w:r w:rsidR="008B1E30">
        <w:rPr>
          <w:szCs w:val="22"/>
        </w:rPr>
        <w:t xml:space="preserve"> </w:t>
      </w:r>
      <w:r w:rsidR="00A06AF8">
        <w:rPr>
          <w:szCs w:val="22"/>
        </w:rPr>
        <w:t>Accordingly, we propose a forfeiture in relation to Licensee’s apparent willful and repeated violations of section 1.65 of the rules.</w:t>
      </w:r>
      <w:r w:rsidR="005105C8">
        <w:rPr>
          <w:szCs w:val="22"/>
        </w:rPr>
        <w:t xml:space="preserve">  </w:t>
      </w:r>
      <w:r w:rsidR="003D5BEA">
        <w:rPr>
          <w:szCs w:val="22"/>
        </w:rPr>
        <w:t xml:space="preserve"> </w:t>
      </w:r>
    </w:p>
    <w:p w:rsidR="00454992" w:rsidRPr="00D549F0" w:rsidP="00D549F0" w14:paraId="66855368" w14:textId="0ABBDBD7">
      <w:pPr>
        <w:pStyle w:val="ParaNum"/>
        <w:rPr>
          <w:szCs w:val="22"/>
        </w:rPr>
      </w:pPr>
      <w:r w:rsidRPr="00804F51">
        <w:rPr>
          <w:i/>
          <w:iCs/>
          <w:szCs w:val="22"/>
        </w:rPr>
        <w:t>Failure to Notify Commission of Change of Primary Station.</w:t>
      </w:r>
      <w:r w:rsidRPr="00804F51" w:rsidR="00344604">
        <w:rPr>
          <w:i/>
          <w:iCs/>
          <w:szCs w:val="22"/>
        </w:rPr>
        <w:t xml:space="preserve">  </w:t>
      </w:r>
      <w:r w:rsidRPr="00804F51" w:rsidR="009B394F">
        <w:rPr>
          <w:szCs w:val="22"/>
        </w:rPr>
        <w:t>Finally</w:t>
      </w:r>
      <w:r w:rsidR="009B394F">
        <w:rPr>
          <w:szCs w:val="22"/>
        </w:rPr>
        <w:t xml:space="preserve">, we find that </w:t>
      </w:r>
      <w:r w:rsidR="005F1B1F">
        <w:rPr>
          <w:szCs w:val="22"/>
        </w:rPr>
        <w:t>the Station did not rebroadcast its authorized primary station for some period of time and, as a result, violated section 74.12</w:t>
      </w:r>
      <w:r w:rsidR="00420B1F">
        <w:rPr>
          <w:szCs w:val="22"/>
        </w:rPr>
        <w:t>51(c) of the rules.</w:t>
      </w:r>
      <w:r>
        <w:rPr>
          <w:rStyle w:val="FootnoteReference"/>
          <w:szCs w:val="22"/>
        </w:rPr>
        <w:footnoteReference w:id="38"/>
      </w:r>
      <w:r w:rsidR="00420B1F">
        <w:rPr>
          <w:szCs w:val="22"/>
        </w:rPr>
        <w:t xml:space="preserve">  </w:t>
      </w:r>
      <w:r w:rsidR="001A7777">
        <w:rPr>
          <w:szCs w:val="22"/>
        </w:rPr>
        <w:t>Licensee</w:t>
      </w:r>
      <w:r w:rsidR="00D959DE">
        <w:rPr>
          <w:szCs w:val="22"/>
        </w:rPr>
        <w:t xml:space="preserve"> admits that it was broadcasting WLEY</w:t>
      </w:r>
      <w:r w:rsidR="001A7777">
        <w:rPr>
          <w:szCs w:val="22"/>
        </w:rPr>
        <w:t xml:space="preserve"> for </w:t>
      </w:r>
      <w:r w:rsidR="00970CD0">
        <w:rPr>
          <w:szCs w:val="22"/>
        </w:rPr>
        <w:t>some period of time prior to going silent</w:t>
      </w:r>
      <w:r w:rsidR="00E56F25">
        <w:rPr>
          <w:szCs w:val="22"/>
        </w:rPr>
        <w:t xml:space="preserve"> on </w:t>
      </w:r>
      <w:r w:rsidR="000A76F1">
        <w:rPr>
          <w:szCs w:val="22"/>
        </w:rPr>
        <w:t>August 17, 2020</w:t>
      </w:r>
      <w:r w:rsidR="00AB4F40">
        <w:rPr>
          <w:szCs w:val="22"/>
        </w:rPr>
        <w:t>.</w:t>
      </w:r>
      <w:r>
        <w:rPr>
          <w:rStyle w:val="FootnoteReference"/>
          <w:szCs w:val="22"/>
        </w:rPr>
        <w:footnoteReference w:id="39"/>
      </w:r>
      <w:r w:rsidR="00AB4F40">
        <w:rPr>
          <w:szCs w:val="22"/>
        </w:rPr>
        <w:t xml:space="preserve">  However, our records indicate that Station was authorized to rebroadcast the signal</w:t>
      </w:r>
      <w:r w:rsidR="00C13AFC">
        <w:rPr>
          <w:szCs w:val="22"/>
        </w:rPr>
        <w:t xml:space="preserve"> of WTMX-HD2</w:t>
      </w:r>
      <w:r w:rsidR="00404E4F">
        <w:rPr>
          <w:szCs w:val="22"/>
        </w:rPr>
        <w:t xml:space="preserve"> at that time</w:t>
      </w:r>
      <w:r w:rsidR="00C13AFC">
        <w:rPr>
          <w:szCs w:val="22"/>
        </w:rPr>
        <w:t>.</w:t>
      </w:r>
      <w:r>
        <w:rPr>
          <w:rStyle w:val="FootnoteReference"/>
          <w:szCs w:val="22"/>
        </w:rPr>
        <w:footnoteReference w:id="40"/>
      </w:r>
      <w:r w:rsidR="004B6824">
        <w:rPr>
          <w:szCs w:val="22"/>
        </w:rPr>
        <w:t xml:space="preserve">  </w:t>
      </w:r>
      <w:r w:rsidR="00D549F0">
        <w:rPr>
          <w:szCs w:val="22"/>
        </w:rPr>
        <w:t>Licensee did not notify the Commission of this change in the Station’s primary station</w:t>
      </w:r>
      <w:r w:rsidR="001200CE">
        <w:rPr>
          <w:szCs w:val="22"/>
        </w:rPr>
        <w:t>.  Accordingly, we find that Licensee apparently violated</w:t>
      </w:r>
      <w:r w:rsidR="00D549F0">
        <w:rPr>
          <w:szCs w:val="22"/>
        </w:rPr>
        <w:t xml:space="preserve"> section 74.1251(c).</w:t>
      </w:r>
      <w:r>
        <w:rPr>
          <w:rStyle w:val="FootnoteReference"/>
          <w:szCs w:val="22"/>
        </w:rPr>
        <w:footnoteReference w:id="41"/>
      </w:r>
      <w:r w:rsidR="001200CE">
        <w:rPr>
          <w:szCs w:val="22"/>
        </w:rPr>
        <w:t xml:space="preserve">  Below, we propose a forfeiture for this violation.</w:t>
      </w:r>
      <w:r w:rsidR="00D549F0">
        <w:rPr>
          <w:szCs w:val="22"/>
        </w:rPr>
        <w:t xml:space="preserve">  </w:t>
      </w:r>
    </w:p>
    <w:p w:rsidR="00EB5B34" w:rsidRPr="00D4142E" w:rsidP="00EB5B34" w14:paraId="4729F857" w14:textId="01ACD030">
      <w:pPr>
        <w:pStyle w:val="ParaNum"/>
        <w:widowControl/>
        <w:tabs>
          <w:tab w:val="num" w:pos="1260"/>
          <w:tab w:val="clear" w:pos="1440"/>
        </w:tabs>
        <w:rPr>
          <w:snapToGrid/>
          <w:kern w:val="0"/>
          <w:sz w:val="24"/>
          <w:szCs w:val="24"/>
        </w:rPr>
      </w:pPr>
      <w:r>
        <w:rPr>
          <w:i/>
          <w:iCs/>
          <w:szCs w:val="22"/>
        </w:rPr>
        <w:t xml:space="preserve">Proposed Forfeiture.  </w:t>
      </w:r>
      <w:r w:rsidRPr="00775E89">
        <w:rPr>
          <w:szCs w:val="22"/>
        </w:rPr>
        <w:t xml:space="preserve">Under </w:t>
      </w:r>
      <w:r>
        <w:rPr>
          <w:szCs w:val="22"/>
        </w:rPr>
        <w:t>s</w:t>
      </w:r>
      <w:r w:rsidRPr="00775E89">
        <w:rPr>
          <w:szCs w:val="22"/>
        </w:rPr>
        <w:t>ection 503(b)(1)(B) of the Act, a person who is found to have willfully or repeatedly failed to comply with any provision of the Act or any rule, regulation, or order issued by the Commission shall be liable to the United States for a forfeiture penalty.</w:t>
      </w:r>
      <w:r>
        <w:rPr>
          <w:rStyle w:val="FootnoteReference"/>
          <w:szCs w:val="22"/>
        </w:rPr>
        <w:footnoteReference w:id="42"/>
      </w:r>
      <w:r w:rsidRPr="00775E89">
        <w:rPr>
          <w:szCs w:val="22"/>
        </w:rPr>
        <w:t xml:space="preserve">  Section 312(f)(1) of the Act defines willful as “the conscious and deliberate commission or omission of [any] act, </w:t>
      </w:r>
      <w:r w:rsidRPr="00775E89">
        <w:rPr>
          <w:szCs w:val="22"/>
        </w:rPr>
        <w:t>irrespective of any intent to violate” the law.</w:t>
      </w:r>
      <w:r>
        <w:rPr>
          <w:rStyle w:val="FootnoteReference"/>
          <w:szCs w:val="22"/>
        </w:rPr>
        <w:footnoteReference w:id="43"/>
      </w:r>
      <w:r w:rsidRPr="00775E89">
        <w:rPr>
          <w:szCs w:val="22"/>
        </w:rPr>
        <w:t xml:space="preserve">  The legislative history to </w:t>
      </w:r>
      <w:r w:rsidR="0024053A">
        <w:rPr>
          <w:szCs w:val="22"/>
        </w:rPr>
        <w:t>s</w:t>
      </w:r>
      <w:r w:rsidRPr="00775E89">
        <w:rPr>
          <w:szCs w:val="22"/>
        </w:rPr>
        <w:t xml:space="preserve">ection 312(f)(1) of the Act clarifies that this definition of willful applies to both </w:t>
      </w:r>
      <w:r w:rsidR="0024053A">
        <w:rPr>
          <w:szCs w:val="22"/>
        </w:rPr>
        <w:t>s</w:t>
      </w:r>
      <w:r w:rsidRPr="00775E89">
        <w:rPr>
          <w:szCs w:val="22"/>
        </w:rPr>
        <w:t>ections 312 and 503(b) of the Act,</w:t>
      </w:r>
      <w:r>
        <w:rPr>
          <w:rStyle w:val="FootnoteReference"/>
          <w:szCs w:val="22"/>
        </w:rPr>
        <w:footnoteReference w:id="44"/>
      </w:r>
      <w:r w:rsidRPr="00775E89">
        <w:rPr>
          <w:szCs w:val="22"/>
        </w:rPr>
        <w:t xml:space="preserve"> and the Commission has so interpreted the term in the </w:t>
      </w:r>
      <w:r w:rsidR="0024053A">
        <w:rPr>
          <w:szCs w:val="22"/>
        </w:rPr>
        <w:t>s</w:t>
      </w:r>
      <w:r w:rsidRPr="00775E89">
        <w:rPr>
          <w:szCs w:val="22"/>
        </w:rPr>
        <w:t>ection 503(b) context.</w:t>
      </w:r>
      <w:r>
        <w:rPr>
          <w:rStyle w:val="FootnoteReference"/>
          <w:szCs w:val="22"/>
        </w:rPr>
        <w:footnoteReference w:id="45"/>
      </w:r>
      <w:r w:rsidRPr="00775E89">
        <w:rPr>
          <w:szCs w:val="22"/>
        </w:rPr>
        <w:t xml:space="preserve">  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szCs w:val="22"/>
        </w:rPr>
        <w:footnoteReference w:id="46"/>
      </w:r>
      <w:r>
        <w:rPr>
          <w:szCs w:val="22"/>
        </w:rPr>
        <w:t xml:space="preserve">  </w:t>
      </w:r>
      <w:r w:rsidRPr="00E57A15">
        <w:rPr>
          <w:szCs w:val="22"/>
        </w:rPr>
        <w:t>The</w:t>
      </w:r>
      <w:r w:rsidRPr="00E57A15">
        <w:rPr>
          <w:i/>
          <w:szCs w:val="22"/>
        </w:rPr>
        <w:t xml:space="preserve"> </w:t>
      </w:r>
      <w:r w:rsidRPr="00E57A15">
        <w:rPr>
          <w:szCs w:val="22"/>
        </w:rPr>
        <w:t>Commission’s</w:t>
      </w:r>
      <w:r w:rsidRPr="00E57A15">
        <w:rPr>
          <w:i/>
          <w:szCs w:val="22"/>
        </w:rPr>
        <w:t xml:space="preserve"> Forfeiture Policy Statement</w:t>
      </w:r>
      <w:r w:rsidRPr="00E57A15">
        <w:rPr>
          <w:szCs w:val="22"/>
        </w:rPr>
        <w:t xml:space="preserve">, </w:t>
      </w:r>
      <w:r w:rsidR="00102B96">
        <w:rPr>
          <w:szCs w:val="22"/>
        </w:rPr>
        <w:t>s</w:t>
      </w:r>
      <w:r w:rsidRPr="00E57A15">
        <w:rPr>
          <w:szCs w:val="22"/>
        </w:rPr>
        <w:t xml:space="preserve">ection 1.80 of the </w:t>
      </w:r>
      <w:r w:rsidR="00214FAF">
        <w:rPr>
          <w:szCs w:val="22"/>
        </w:rPr>
        <w:t>r</w:t>
      </w:r>
      <w:r w:rsidRPr="00E57A15">
        <w:rPr>
          <w:szCs w:val="22"/>
        </w:rPr>
        <w:t xml:space="preserve">ules, and </w:t>
      </w:r>
      <w:r w:rsidR="00102B96">
        <w:rPr>
          <w:szCs w:val="22"/>
        </w:rPr>
        <w:t>s</w:t>
      </w:r>
      <w:r w:rsidRPr="00E57A15">
        <w:rPr>
          <w:szCs w:val="22"/>
        </w:rPr>
        <w:t xml:space="preserve">ection 503(b)(2)(A) of the Act establish Commission guidelines for assessing </w:t>
      </w:r>
      <w:r w:rsidRPr="002D0FA3">
        <w:rPr>
          <w:szCs w:val="22"/>
        </w:rPr>
        <w:t>forfeitures.</w:t>
      </w:r>
      <w:r>
        <w:rPr>
          <w:rStyle w:val="FootnoteTextChar2"/>
          <w:szCs w:val="22"/>
          <w:vertAlign w:val="superscript"/>
        </w:rPr>
        <w:footnoteReference w:id="47"/>
      </w:r>
      <w:r w:rsidRPr="00514754">
        <w:rPr>
          <w:szCs w:val="22"/>
          <w:vertAlign w:val="superscript"/>
        </w:rPr>
        <w:t xml:space="preserve"> </w:t>
      </w:r>
      <w:r w:rsidRPr="00E57A15">
        <w:rPr>
          <w:szCs w:val="22"/>
        </w:rPr>
        <w:t xml:space="preserve"> In determining the appropriate forfeiture amount, we may adjust the base amount upward or downward by considering the factors enumerated in </w:t>
      </w:r>
      <w:r w:rsidR="00914D03">
        <w:rPr>
          <w:szCs w:val="22"/>
        </w:rPr>
        <w:t>s</w:t>
      </w:r>
      <w:r w:rsidRPr="00E57A15">
        <w:rPr>
          <w:szCs w:val="22"/>
        </w:rPr>
        <w:t>ection 503(b)(2)(D) of the Act, including “the nature, circumstances, extent and gravity of the violation, and, wit</w:t>
      </w:r>
      <w:r w:rsidRPr="002D0FA3">
        <w:rPr>
          <w:szCs w:val="22"/>
        </w:rPr>
        <w:t>h respect to the violator, the degree of culpability, any history of prior offenses, ability to pay, and such other matters as justice may require.”</w:t>
      </w:r>
      <w:r>
        <w:rPr>
          <w:rStyle w:val="FootnoteReference"/>
          <w:szCs w:val="22"/>
        </w:rPr>
        <w:footnoteReference w:id="48"/>
      </w:r>
      <w:r w:rsidRPr="00E57A15">
        <w:rPr>
          <w:snapToGrid/>
          <w:kern w:val="0"/>
          <w:szCs w:val="22"/>
        </w:rPr>
        <w:t xml:space="preserve"> </w:t>
      </w:r>
    </w:p>
    <w:p w:rsidR="00846BE7" w14:paraId="127C4EC2" w14:textId="692C82A1">
      <w:pPr>
        <w:pStyle w:val="ParaNum"/>
        <w:widowControl/>
        <w:rPr>
          <w:szCs w:val="22"/>
        </w:rPr>
      </w:pPr>
      <w:r>
        <w:rPr>
          <w:szCs w:val="22"/>
        </w:rPr>
        <w:t>The</w:t>
      </w:r>
      <w:r>
        <w:rPr>
          <w:i/>
          <w:szCs w:val="22"/>
        </w:rPr>
        <w:t xml:space="preserve"> </w:t>
      </w:r>
      <w:r>
        <w:rPr>
          <w:szCs w:val="22"/>
        </w:rPr>
        <w:t>Commission’s</w:t>
      </w:r>
      <w:r>
        <w:rPr>
          <w:i/>
          <w:szCs w:val="22"/>
        </w:rPr>
        <w:t xml:space="preserve"> Forfeiture Policy Statement</w:t>
      </w:r>
      <w:r>
        <w:rPr>
          <w:szCs w:val="22"/>
        </w:rPr>
        <w:t xml:space="preserve"> and </w:t>
      </w:r>
      <w:r w:rsidR="0024053A">
        <w:rPr>
          <w:szCs w:val="22"/>
        </w:rPr>
        <w:t>s</w:t>
      </w:r>
      <w:r>
        <w:rPr>
          <w:szCs w:val="22"/>
        </w:rPr>
        <w:t>ection 1.80(b)(</w:t>
      </w:r>
      <w:r w:rsidR="00AD389C">
        <w:rPr>
          <w:szCs w:val="22"/>
        </w:rPr>
        <w:t>10</w:t>
      </w:r>
      <w:r>
        <w:rPr>
          <w:szCs w:val="22"/>
        </w:rPr>
        <w:t xml:space="preserve">) of the </w:t>
      </w:r>
      <w:r w:rsidR="00E85772">
        <w:rPr>
          <w:szCs w:val="22"/>
        </w:rPr>
        <w:t>r</w:t>
      </w:r>
      <w:r>
        <w:rPr>
          <w:szCs w:val="22"/>
        </w:rPr>
        <w:t>ules establish a base forfeiture amount of $5,000 for the unauthorized discontinuance of service</w:t>
      </w:r>
      <w:r w:rsidR="0086655A">
        <w:rPr>
          <w:szCs w:val="22"/>
        </w:rPr>
        <w:t xml:space="preserve">, and a base </w:t>
      </w:r>
      <w:r w:rsidR="003F019D">
        <w:rPr>
          <w:szCs w:val="22"/>
        </w:rPr>
        <w:t>forfeiture amount of $3,000 for failure to file required forms or information</w:t>
      </w:r>
      <w:r>
        <w:rPr>
          <w:szCs w:val="22"/>
        </w:rPr>
        <w:t>.</w:t>
      </w:r>
      <w:r>
        <w:rPr>
          <w:rStyle w:val="FootnoteReference"/>
          <w:szCs w:val="22"/>
        </w:rPr>
        <w:footnoteReference w:id="49"/>
      </w:r>
      <w:r>
        <w:rPr>
          <w:szCs w:val="22"/>
        </w:rPr>
        <w:t xml:space="preserve">  Here, the Station was silent for </w:t>
      </w:r>
      <w:r w:rsidR="006C1DDB">
        <w:rPr>
          <w:szCs w:val="22"/>
        </w:rPr>
        <w:t>over four</w:t>
      </w:r>
      <w:r>
        <w:rPr>
          <w:szCs w:val="22"/>
        </w:rPr>
        <w:t xml:space="preserve"> months without the required STA</w:t>
      </w:r>
      <w:r w:rsidR="006C1DDB">
        <w:rPr>
          <w:szCs w:val="22"/>
        </w:rPr>
        <w:t>, and over eleven months total</w:t>
      </w:r>
      <w:r>
        <w:rPr>
          <w:szCs w:val="22"/>
        </w:rPr>
        <w:t>.  Moreover, Licensee has not provided an explanation for its failure to timely request STA, other than to say that it</w:t>
      </w:r>
      <w:r w:rsidR="006C1DDB">
        <w:rPr>
          <w:szCs w:val="22"/>
        </w:rPr>
        <w:t xml:space="preserve"> was an “inadvertent</w:t>
      </w:r>
      <w:r w:rsidR="00A539CF">
        <w:rPr>
          <w:szCs w:val="22"/>
        </w:rPr>
        <w:t>”</w:t>
      </w:r>
      <w:r w:rsidR="006C1DDB">
        <w:rPr>
          <w:szCs w:val="22"/>
        </w:rPr>
        <w:t xml:space="preserve"> error.</w:t>
      </w:r>
      <w:r>
        <w:rPr>
          <w:rStyle w:val="FootnoteReference"/>
          <w:szCs w:val="22"/>
        </w:rPr>
        <w:footnoteReference w:id="50"/>
      </w:r>
      <w:r w:rsidR="00D46EA1">
        <w:rPr>
          <w:szCs w:val="22"/>
        </w:rPr>
        <w:t xml:space="preserve">  </w:t>
      </w:r>
      <w:r w:rsidRPr="00DF6C1B" w:rsidR="00D46EA1">
        <w:rPr>
          <w:szCs w:val="22"/>
        </w:rPr>
        <w:t>It is also uncontested that the Station</w:t>
      </w:r>
      <w:r w:rsidR="009F39EF">
        <w:rPr>
          <w:szCs w:val="22"/>
        </w:rPr>
        <w:t>’</w:t>
      </w:r>
      <w:r w:rsidRPr="00DF6C1B" w:rsidR="00D46EA1">
        <w:rPr>
          <w:szCs w:val="22"/>
        </w:rPr>
        <w:t xml:space="preserve">s discontinued operations caused certifications made in the Application to be inaccurate, and that </w:t>
      </w:r>
      <w:r w:rsidR="00D46EA1">
        <w:rPr>
          <w:szCs w:val="22"/>
        </w:rPr>
        <w:t>Licensee</w:t>
      </w:r>
      <w:r w:rsidRPr="00DF6C1B" w:rsidR="00D46EA1">
        <w:rPr>
          <w:szCs w:val="22"/>
        </w:rPr>
        <w:t xml:space="preserve"> failed to</w:t>
      </w:r>
      <w:r w:rsidR="00D46EA1">
        <w:rPr>
          <w:szCs w:val="22"/>
        </w:rPr>
        <w:t xml:space="preserve"> timely</w:t>
      </w:r>
      <w:r w:rsidRPr="00DF6C1B" w:rsidR="00D46EA1">
        <w:rPr>
          <w:szCs w:val="22"/>
        </w:rPr>
        <w:t xml:space="preserve"> update the certifications or otherwise </w:t>
      </w:r>
      <w:r w:rsidR="00D46EA1">
        <w:rPr>
          <w:szCs w:val="22"/>
        </w:rPr>
        <w:t xml:space="preserve">timely </w:t>
      </w:r>
      <w:r w:rsidRPr="00DF6C1B" w:rsidR="00D46EA1">
        <w:rPr>
          <w:szCs w:val="22"/>
        </w:rPr>
        <w:t>notify the Commission that the certifications were no longer accurate.</w:t>
      </w:r>
      <w:r w:rsidR="003E4539">
        <w:rPr>
          <w:szCs w:val="22"/>
        </w:rPr>
        <w:t xml:space="preserve">  Furthermore, it is uncontested that Licensee failed to notify the Commission of the Station’s change in primary station.</w:t>
      </w:r>
      <w:r>
        <w:rPr>
          <w:szCs w:val="22"/>
        </w:rPr>
        <w:t xml:space="preserve">  Accordingly, we propose a $</w:t>
      </w:r>
      <w:r w:rsidR="00D02391">
        <w:rPr>
          <w:szCs w:val="22"/>
        </w:rPr>
        <w:t>8</w:t>
      </w:r>
      <w:r>
        <w:rPr>
          <w:szCs w:val="22"/>
        </w:rPr>
        <w:t>,000 forfeiture for</w:t>
      </w:r>
      <w:r w:rsidR="00847C76">
        <w:rPr>
          <w:szCs w:val="22"/>
        </w:rPr>
        <w:t xml:space="preserve"> Licensee’s apparent violations of sections </w:t>
      </w:r>
      <w:r w:rsidRPr="00330E34" w:rsidR="00176DE8">
        <w:t>74.1263</w:t>
      </w:r>
      <w:r w:rsidR="00176DE8">
        <w:t xml:space="preserve">(c) and </w:t>
      </w:r>
      <w:r w:rsidRPr="00330E34" w:rsidR="00176DE8">
        <w:t>(e)</w:t>
      </w:r>
      <w:r w:rsidR="00176DE8">
        <w:t xml:space="preserve">, </w:t>
      </w:r>
      <w:r w:rsidR="00F90148">
        <w:t xml:space="preserve">1.65, and </w:t>
      </w:r>
      <w:r w:rsidR="00F90148">
        <w:rPr>
          <w:szCs w:val="22"/>
        </w:rPr>
        <w:t>74.1251(c)</w:t>
      </w:r>
      <w:r w:rsidR="0069710C">
        <w:rPr>
          <w:szCs w:val="22"/>
        </w:rPr>
        <w:t xml:space="preserve"> of the Commission’s rules</w:t>
      </w:r>
      <w:r w:rsidR="00F90148">
        <w:rPr>
          <w:szCs w:val="22"/>
        </w:rPr>
        <w:t>.</w:t>
      </w:r>
      <w:r>
        <w:rPr>
          <w:szCs w:val="22"/>
        </w:rPr>
        <w:t xml:space="preserve"> </w:t>
      </w:r>
    </w:p>
    <w:p w:rsidR="00E735A7" w:rsidRPr="005D7273" w:rsidP="009935AC" w14:paraId="0053C7C0" w14:textId="4F435AC7">
      <w:pPr>
        <w:pStyle w:val="ParaNum"/>
        <w:rPr>
          <w:szCs w:val="22"/>
        </w:rPr>
      </w:pPr>
      <w:r>
        <w:rPr>
          <w:i/>
          <w:iCs/>
          <w:szCs w:val="22"/>
        </w:rPr>
        <w:t xml:space="preserve">Renewal Application.  </w:t>
      </w:r>
      <w:r>
        <w:t xml:space="preserve">In evaluating an application for license renewal, the Commission’s decision is governed by </w:t>
      </w:r>
      <w:r w:rsidR="00F46701">
        <w:t>s</w:t>
      </w:r>
      <w:r>
        <w:t>ection 309(k) of the Act.</w:t>
      </w:r>
      <w:r>
        <w:rPr>
          <w:vertAlign w:val="superscript"/>
        </w:rPr>
        <w:footnoteReference w:id="51"/>
      </w:r>
      <w:r>
        <w:t xml:space="preserve">  That </w:t>
      </w:r>
      <w:r w:rsidR="009265B3">
        <w:t>s</w:t>
      </w:r>
      <w:r>
        <w:t xml:space="preserve">ection provides that if, upon consideration of the application and pleadings, we find that (1) the station has served the public interest, convenience, and necessity; (2) there have been no serious violations of the Act or the </w:t>
      </w:r>
      <w:r w:rsidR="00833CC9">
        <w:t>Commission’s r</w:t>
      </w:r>
      <w:r>
        <w:t>ules; and (3) there have been no other violations which, taken together, constitute a pattern of abuse, we are to grant the renewal application.</w:t>
      </w:r>
      <w:r>
        <w:rPr>
          <w:vertAlign w:val="superscript"/>
        </w:rPr>
        <w:footnoteReference w:id="52"/>
      </w:r>
      <w:r>
        <w:t xml:space="preserve"> </w:t>
      </w:r>
      <w:r>
        <w:rPr>
          <w:i/>
        </w:rPr>
        <w:t xml:space="preserve"> </w:t>
      </w:r>
      <w:r>
        <w:t xml:space="preserve">If, however, the licensee fails to meet that standard, the Commission may deny the </w:t>
      </w:r>
      <w:r>
        <w:t>application</w:t>
      </w:r>
      <w:r w:rsidR="00F46701">
        <w:t>—</w:t>
      </w:r>
      <w:r>
        <w:t xml:space="preserve">after notice and opportunity for a hearing under </w:t>
      </w:r>
      <w:r w:rsidR="007C03AC">
        <w:t>s</w:t>
      </w:r>
      <w:r>
        <w:t>ection 309(e) of the Act</w:t>
      </w:r>
      <w:r w:rsidR="00F46701">
        <w:t>—</w:t>
      </w:r>
      <w:r>
        <w:t>or grant the application “on terms and conditions that are appropriate, including a renewal for a term less than the maximum otherwise permitted.”</w:t>
      </w:r>
      <w:r>
        <w:rPr>
          <w:vertAlign w:val="superscript"/>
        </w:rPr>
        <w:footnoteReference w:id="53"/>
      </w:r>
      <w:r>
        <w:t xml:space="preserve">  </w:t>
      </w:r>
    </w:p>
    <w:p w:rsidR="005D7273" w:rsidRPr="0025598B" w:rsidP="0025598B" w14:paraId="11DD9337" w14:textId="22AC13EC">
      <w:pPr>
        <w:pStyle w:val="ParaNum"/>
        <w:widowControl/>
        <w:rPr>
          <w:szCs w:val="22"/>
        </w:rPr>
      </w:pPr>
      <w:r w:rsidRPr="00DD639E">
        <w:rPr>
          <w:szCs w:val="22"/>
        </w:rPr>
        <w:t>We find that Licensee’s apparent violation</w:t>
      </w:r>
      <w:r>
        <w:rPr>
          <w:szCs w:val="22"/>
        </w:rPr>
        <w:t>s</w:t>
      </w:r>
      <w:r w:rsidRPr="00DD639E">
        <w:rPr>
          <w:szCs w:val="22"/>
        </w:rPr>
        <w:t xml:space="preserve"> of section</w:t>
      </w:r>
      <w:r>
        <w:rPr>
          <w:szCs w:val="22"/>
        </w:rPr>
        <w:t>s</w:t>
      </w:r>
      <w:r w:rsidRPr="00DD639E">
        <w:rPr>
          <w:szCs w:val="22"/>
        </w:rPr>
        <w:t xml:space="preserve"> </w:t>
      </w:r>
      <w:r w:rsidRPr="00330E34">
        <w:t>74.1263</w:t>
      </w:r>
      <w:r>
        <w:t xml:space="preserve">(c) and </w:t>
      </w:r>
      <w:r w:rsidRPr="00330E34">
        <w:t>(e)</w:t>
      </w:r>
      <w:r w:rsidR="00AD6FA3">
        <w:t xml:space="preserve">, section </w:t>
      </w:r>
      <w:r w:rsidR="00C000F2">
        <w:t>1.65,</w:t>
      </w:r>
      <w:r w:rsidR="0012708D">
        <w:t xml:space="preserve"> and section </w:t>
      </w:r>
      <w:r w:rsidR="0012708D">
        <w:rPr>
          <w:szCs w:val="22"/>
        </w:rPr>
        <w:t xml:space="preserve">74.1251(c) </w:t>
      </w:r>
      <w:r w:rsidRPr="00DD639E">
        <w:rPr>
          <w:szCs w:val="22"/>
        </w:rPr>
        <w:t xml:space="preserve">of the </w:t>
      </w:r>
      <w:r>
        <w:rPr>
          <w:szCs w:val="22"/>
        </w:rPr>
        <w:t>r</w:t>
      </w:r>
      <w:r w:rsidRPr="00DD639E">
        <w:rPr>
          <w:szCs w:val="22"/>
        </w:rPr>
        <w:t>ules do not constitute “serious violations” warranting designation of the Application for evidentiary hearing.  Moreover, we find no evidence of violations that, when considered together, constitute a pattern of abuse.</w:t>
      </w:r>
      <w:r>
        <w:rPr>
          <w:rStyle w:val="FootnoteReference"/>
          <w:szCs w:val="22"/>
        </w:rPr>
        <w:footnoteReference w:id="54"/>
      </w:r>
      <w:r w:rsidRPr="00DD639E">
        <w:rPr>
          <w:szCs w:val="22"/>
        </w:rPr>
        <w:t xml:space="preserve">  </w:t>
      </w:r>
      <w:r w:rsidRPr="00DD639E">
        <w:rPr>
          <w:spacing w:val="-2"/>
          <w:szCs w:val="22"/>
        </w:rPr>
        <w:t>Further, we find that</w:t>
      </w:r>
      <w:r w:rsidRPr="00DD639E">
        <w:rPr>
          <w:szCs w:val="22"/>
        </w:rPr>
        <w:t xml:space="preserve"> the Station served the public interest, convenience, and necessity during the subject license term.  We will therefore grant the Application by separate action upon the conclusion of this forfeiture proceeding if there are no issues other than the apparent violation</w:t>
      </w:r>
      <w:r w:rsidR="00AB527B">
        <w:rPr>
          <w:szCs w:val="22"/>
        </w:rPr>
        <w:t>s</w:t>
      </w:r>
      <w:r w:rsidRPr="00DD639E">
        <w:rPr>
          <w:szCs w:val="22"/>
        </w:rPr>
        <w:t xml:space="preserve"> that would preclude grant of the Application.    </w:t>
      </w:r>
    </w:p>
    <w:p w:rsidR="00846BE7" w14:paraId="6DE6FF0C" w14:textId="77777777">
      <w:pPr>
        <w:pStyle w:val="Heading1"/>
      </w:pPr>
      <w:r>
        <w:t>ORDERING CLAUSES</w:t>
      </w:r>
    </w:p>
    <w:p w:rsidR="00754495" w:rsidRPr="00DD639E" w:rsidP="00754495" w14:paraId="33A47B98" w14:textId="4C553300">
      <w:pPr>
        <w:pStyle w:val="ParaNum"/>
        <w:widowControl/>
        <w:rPr>
          <w:szCs w:val="22"/>
        </w:rPr>
      </w:pPr>
      <w:r w:rsidRPr="00DD639E">
        <w:rPr>
          <w:szCs w:val="22"/>
        </w:rPr>
        <w:t xml:space="preserve">Accordingly, </w:t>
      </w:r>
      <w:r w:rsidRPr="00DD639E">
        <w:rPr>
          <w:b/>
          <w:bCs/>
          <w:szCs w:val="22"/>
        </w:rPr>
        <w:t>IT IS ORDERED,</w:t>
      </w:r>
      <w:r w:rsidRPr="00DD639E">
        <w:rPr>
          <w:szCs w:val="22"/>
        </w:rPr>
        <w:t xml:space="preserve"> pursuant to section 503(b) of the Communications Act of 1934, as amended, and section 1.80 of the FCC’s rules, that </w:t>
      </w:r>
      <w:r w:rsidR="0019203E">
        <w:rPr>
          <w:szCs w:val="22"/>
        </w:rPr>
        <w:t>Windy City Broadcasting, LLC</w:t>
      </w:r>
      <w:r w:rsidRPr="00DD639E">
        <w:rPr>
          <w:szCs w:val="22"/>
        </w:rPr>
        <w:t xml:space="preserve">, is hereby </w:t>
      </w:r>
      <w:r w:rsidRPr="00DD639E">
        <w:rPr>
          <w:b/>
          <w:bCs/>
          <w:szCs w:val="22"/>
        </w:rPr>
        <w:t>NOTIFIED</w:t>
      </w:r>
      <w:r w:rsidRPr="00DD639E">
        <w:rPr>
          <w:szCs w:val="22"/>
        </w:rPr>
        <w:t xml:space="preserve"> of its </w:t>
      </w:r>
      <w:r w:rsidRPr="00DD639E">
        <w:rPr>
          <w:b/>
          <w:bCs/>
          <w:szCs w:val="22"/>
        </w:rPr>
        <w:t>APPARENT LIABILITY FOR FORFEITURE</w:t>
      </w:r>
      <w:r w:rsidRPr="00DD639E">
        <w:rPr>
          <w:szCs w:val="22"/>
        </w:rPr>
        <w:t xml:space="preserve"> in th</w:t>
      </w:r>
      <w:r w:rsidRPr="00255CE4">
        <w:rPr>
          <w:szCs w:val="22"/>
        </w:rPr>
        <w:t xml:space="preserve">e amount of </w:t>
      </w:r>
      <w:r w:rsidR="00ED1348">
        <w:rPr>
          <w:szCs w:val="22"/>
        </w:rPr>
        <w:t>eight</w:t>
      </w:r>
      <w:r w:rsidRPr="00255CE4" w:rsidR="00ED1348">
        <w:rPr>
          <w:szCs w:val="22"/>
        </w:rPr>
        <w:t xml:space="preserve"> </w:t>
      </w:r>
      <w:r w:rsidRPr="00255CE4">
        <w:rPr>
          <w:szCs w:val="22"/>
        </w:rPr>
        <w:t>thousand dollars ($</w:t>
      </w:r>
      <w:r w:rsidR="00ED1348">
        <w:rPr>
          <w:szCs w:val="22"/>
        </w:rPr>
        <w:t>8</w:t>
      </w:r>
      <w:r w:rsidRPr="00255CE4">
        <w:rPr>
          <w:szCs w:val="22"/>
        </w:rPr>
        <w:t xml:space="preserve">,000) for </w:t>
      </w:r>
      <w:r w:rsidRPr="00DD639E">
        <w:rPr>
          <w:szCs w:val="22"/>
        </w:rPr>
        <w:t xml:space="preserve">its apparent willful violation of </w:t>
      </w:r>
      <w:r w:rsidRPr="00CF4B0C" w:rsidR="00255CE4">
        <w:rPr>
          <w:szCs w:val="22"/>
        </w:rPr>
        <w:t>sections</w:t>
      </w:r>
      <w:r w:rsidRPr="00330E34" w:rsidR="00255CE4">
        <w:t xml:space="preserve"> 74.1263</w:t>
      </w:r>
      <w:r w:rsidR="00255CE4">
        <w:t xml:space="preserve">(c) and </w:t>
      </w:r>
      <w:r w:rsidRPr="00330E34" w:rsidR="00255CE4">
        <w:t>(e)</w:t>
      </w:r>
      <w:r w:rsidR="00105CC1">
        <w:t>,</w:t>
      </w:r>
      <w:r w:rsidR="00EC3056">
        <w:t xml:space="preserve"> section </w:t>
      </w:r>
      <w:r w:rsidR="00EC3056">
        <w:rPr>
          <w:szCs w:val="22"/>
        </w:rPr>
        <w:t>74.1251(c)</w:t>
      </w:r>
      <w:r w:rsidR="00346473">
        <w:rPr>
          <w:szCs w:val="22"/>
        </w:rPr>
        <w:t xml:space="preserve">, and </w:t>
      </w:r>
      <w:r w:rsidR="00C72A3D">
        <w:rPr>
          <w:szCs w:val="22"/>
        </w:rPr>
        <w:t xml:space="preserve">section </w:t>
      </w:r>
      <w:r w:rsidR="00346473">
        <w:rPr>
          <w:szCs w:val="22"/>
        </w:rPr>
        <w:t>1.65</w:t>
      </w:r>
      <w:r w:rsidR="00255CE4">
        <w:t xml:space="preserve"> </w:t>
      </w:r>
      <w:r w:rsidRPr="00DD639E">
        <w:rPr>
          <w:szCs w:val="22"/>
        </w:rPr>
        <w:t xml:space="preserve">of the Commission’s rules. </w:t>
      </w:r>
    </w:p>
    <w:p w:rsidR="00754495" w:rsidRPr="00DD639E" w:rsidP="00754495" w14:paraId="48264079" w14:textId="37C25112">
      <w:pPr>
        <w:pStyle w:val="ParaNum"/>
        <w:widowControl/>
        <w:rPr>
          <w:szCs w:val="22"/>
        </w:rPr>
      </w:pPr>
      <w:r w:rsidRPr="00DD639E">
        <w:rPr>
          <w:b/>
          <w:bCs/>
          <w:szCs w:val="22"/>
        </w:rPr>
        <w:t>IT IS FURTHER ORDERED</w:t>
      </w:r>
      <w:r w:rsidRPr="00DD639E">
        <w:rPr>
          <w:szCs w:val="22"/>
        </w:rPr>
        <w:t xml:space="preserve">, pursuant to section 1.80 of the </w:t>
      </w:r>
      <w:r w:rsidR="0084457D">
        <w:rPr>
          <w:szCs w:val="22"/>
        </w:rPr>
        <w:t>r</w:t>
      </w:r>
      <w:r w:rsidRPr="00DD639E">
        <w:rPr>
          <w:szCs w:val="22"/>
        </w:rPr>
        <w:t xml:space="preserve">ules, that, within thirty (30) days of the release date of this </w:t>
      </w:r>
      <w:r w:rsidRPr="00DD639E">
        <w:rPr>
          <w:i/>
          <w:szCs w:val="22"/>
        </w:rPr>
        <w:t xml:space="preserve">NAL, </w:t>
      </w:r>
      <w:r w:rsidR="0019203E">
        <w:rPr>
          <w:szCs w:val="22"/>
        </w:rPr>
        <w:t xml:space="preserve">Windy City Broadcasting, LLC </w:t>
      </w:r>
      <w:r w:rsidRPr="00DD639E">
        <w:rPr>
          <w:b/>
          <w:bCs/>
          <w:szCs w:val="22"/>
        </w:rPr>
        <w:t>SHALL PAY</w:t>
      </w:r>
      <w:r w:rsidRPr="00DD639E">
        <w:rPr>
          <w:szCs w:val="22"/>
        </w:rPr>
        <w:t xml:space="preserve"> the full amount of the proposed forfeiture or </w:t>
      </w:r>
      <w:r w:rsidRPr="00DD639E">
        <w:rPr>
          <w:b/>
          <w:bCs/>
          <w:szCs w:val="22"/>
        </w:rPr>
        <w:t>SHALL FILE</w:t>
      </w:r>
      <w:r w:rsidRPr="00DD639E">
        <w:rPr>
          <w:szCs w:val="22"/>
        </w:rPr>
        <w:t xml:space="preserve"> a written statement seeking reduction or cancellation of the proposed forfeiture.</w:t>
      </w:r>
    </w:p>
    <w:p w:rsidR="00754495" w:rsidRPr="00071E88" w:rsidP="007B4FDB" w14:paraId="7E843C04" w14:textId="1DF1F95D">
      <w:pPr>
        <w:pStyle w:val="ParaNum"/>
        <w:widowControl/>
        <w:tabs>
          <w:tab w:val="num" w:pos="1080"/>
        </w:tabs>
        <w:rPr>
          <w:szCs w:val="22"/>
        </w:rPr>
      </w:pPr>
      <w:r w:rsidRPr="00DD639E">
        <w:rPr>
          <w:szCs w:val="22"/>
        </w:rPr>
        <w:t xml:space="preserve">Payment of the forfeiture </w:t>
      </w:r>
      <w:r w:rsidRPr="00071E88" w:rsidR="007F5D67">
        <w:rPr>
          <w:szCs w:val="22"/>
        </w:rPr>
        <w:t>must be made by credit card, ACH (Automated Clearing House) debit from a bank account using CORES (the Commission’s online payment system),</w:t>
      </w:r>
      <w:r>
        <w:rPr>
          <w:rStyle w:val="FootnoteReference"/>
          <w:szCs w:val="22"/>
        </w:rPr>
        <w:footnoteReference w:id="55"/>
      </w:r>
      <w:r w:rsidRPr="00071E88" w:rsidR="007F5D67">
        <w:rPr>
          <w:szCs w:val="22"/>
        </w:rPr>
        <w:t xml:space="preserve"> or by wire transfer.  Payments by check or money order to pay a </w:t>
      </w:r>
      <w:r w:rsidRPr="00844864" w:rsidR="007F5D67">
        <w:rPr>
          <w:szCs w:val="22"/>
        </w:rPr>
        <w:t>forfeiture</w:t>
      </w:r>
      <w:r w:rsidRPr="00071E88" w:rsidR="007F5D67">
        <w:rPr>
          <w:szCs w:val="22"/>
        </w:rPr>
        <w:t xml:space="preserve"> are no longer accepted.  Below are instructions that payors should follow based on the form of payment selected:</w:t>
      </w:r>
      <w:r>
        <w:rPr>
          <w:rStyle w:val="FootnoteReference"/>
          <w:szCs w:val="22"/>
        </w:rPr>
        <w:footnoteReference w:id="56"/>
      </w:r>
      <w:r w:rsidRPr="00071E88" w:rsidR="007F5D67">
        <w:rPr>
          <w:szCs w:val="22"/>
        </w:rPr>
        <w:t xml:space="preserve"> </w:t>
      </w:r>
    </w:p>
    <w:p w:rsidR="00754495" w:rsidRPr="00DD639E" w:rsidP="00754495" w14:paraId="31FF7265" w14:textId="2F87809D">
      <w:pPr>
        <w:numPr>
          <w:ilvl w:val="0"/>
          <w:numId w:val="41"/>
        </w:numPr>
        <w:spacing w:after="120"/>
        <w:rPr>
          <w:szCs w:val="22"/>
        </w:rPr>
      </w:pPr>
      <w:bookmarkStart w:id="1" w:name="_Hlk499800471"/>
      <w:r w:rsidRPr="00DD639E">
        <w:rPr>
          <w:szCs w:val="22"/>
        </w:rPr>
        <w:t xml:space="preserve">Payment by wire transfer </w:t>
      </w:r>
      <w:r w:rsidRPr="00514C8E" w:rsidR="005C6BC5">
        <w:rPr>
          <w:szCs w:val="22"/>
        </w:rPr>
        <w:t xml:space="preserve">must be made to ABA Number 021030004, receiving bank TREAS/NYC, and Account Number 27000001.  A completed Form 159 must be faxed to the Federal Communications Commission at 202-418-2843 or e-mailed to </w:t>
      </w:r>
      <w:hyperlink r:id="rId5" w:history="1">
        <w:r w:rsidRPr="00514C8E" w:rsidR="005C6BC5">
          <w:rPr>
            <w:rStyle w:val="Hyperlink"/>
            <w:szCs w:val="22"/>
          </w:rPr>
          <w:t>RROGWireFaxes@fcc.gov</w:t>
        </w:r>
      </w:hyperlink>
      <w:r w:rsidRPr="00514C8E" w:rsidR="005C6BC5">
        <w:rPr>
          <w:szCs w:val="22"/>
        </w:rPr>
        <w:t xml:space="preserve"> on the same business day the wire transfer is initiated.  Failure to provide all required information in Form 159 may result in payment not being recognized as </w:t>
      </w:r>
      <w:r w:rsidRPr="00514C8E" w:rsidR="005C6BC5">
        <w:rPr>
          <w:szCs w:val="22"/>
        </w:rPr>
        <w:t>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57"/>
      </w:r>
      <w:r w:rsidRPr="00514C8E" w:rsidR="005C6BC5">
        <w:rPr>
          <w:szCs w:val="22"/>
        </w:rPr>
        <w:t xml:space="preserve">  For additional detail and wire transfer instructions, go to </w:t>
      </w:r>
      <w:hyperlink r:id="rId6" w:history="1">
        <w:r w:rsidRPr="00514C8E" w:rsidR="005C6BC5">
          <w:rPr>
            <w:rStyle w:val="Hyperlink"/>
            <w:szCs w:val="22"/>
          </w:rPr>
          <w:t>https://www.fcc.gov/licensing-databases/fees/wire-transfer</w:t>
        </w:r>
      </w:hyperlink>
      <w:r w:rsidRPr="00514C8E" w:rsidR="005C6BC5">
        <w:rPr>
          <w:szCs w:val="22"/>
        </w:rPr>
        <w:t>.</w:t>
      </w:r>
    </w:p>
    <w:p w:rsidR="00754495" w:rsidRPr="00DD639E" w:rsidP="00754495" w14:paraId="2FD459CB" w14:textId="6D2CD017">
      <w:pPr>
        <w:widowControl/>
        <w:numPr>
          <w:ilvl w:val="0"/>
          <w:numId w:val="41"/>
        </w:numPr>
        <w:spacing w:after="120"/>
        <w:rPr>
          <w:szCs w:val="22"/>
        </w:rPr>
      </w:pPr>
      <w:bookmarkStart w:id="2" w:name="_Hlk78548385"/>
      <w:r w:rsidRPr="00DD639E">
        <w:rPr>
          <w:szCs w:val="22"/>
        </w:rPr>
        <w:t xml:space="preserve">Payment by credit card </w:t>
      </w:r>
      <w:r w:rsidRPr="00591AAC" w:rsidR="00574909">
        <w:rPr>
          <w:szCs w:val="22"/>
        </w:rPr>
        <w:t xml:space="preserve">must be made by using the Commission’s Registration System (CORES) at </w:t>
      </w:r>
      <w:hyperlink r:id="rId7" w:history="1">
        <w:r w:rsidRPr="00021174" w:rsidR="00574909">
          <w:rPr>
            <w:rStyle w:val="Hyperlink"/>
            <w:szCs w:val="22"/>
          </w:rPr>
          <w:t>https://apps.fcc.gov/cores/userLogin.do</w:t>
        </w:r>
      </w:hyperlink>
      <w:r w:rsidRPr="00591AAC" w:rsidR="00574909">
        <w:rPr>
          <w:szCs w:val="22"/>
        </w:rPr>
        <w:t xml:space="preserve">.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w:t>
      </w:r>
      <w:r w:rsidR="00574909">
        <w:rPr>
          <w:szCs w:val="22"/>
        </w:rPr>
        <w:t>NAL/</w:t>
      </w:r>
      <w:r w:rsidRPr="00591AAC" w:rsidR="00574909">
        <w:rPr>
          <w:szCs w:val="22"/>
        </w:rPr>
        <w:t xml:space="preserve">Acct. No.  The bill number is the  </w:t>
      </w:r>
      <w:r w:rsidR="00574909">
        <w:rPr>
          <w:szCs w:val="22"/>
        </w:rPr>
        <w:t>NAL</w:t>
      </w:r>
      <w:r w:rsidRPr="00591AAC" w:rsidR="00574909">
        <w:rPr>
          <w:szCs w:val="22"/>
        </w:rPr>
        <w:t xml:space="preserve"> Acct. No. (e.g., </w:t>
      </w:r>
      <w:r w:rsidR="00574909">
        <w:rPr>
          <w:szCs w:val="22"/>
        </w:rPr>
        <w:t>NAL/Acct. No.</w:t>
      </w:r>
      <w:r w:rsidRPr="00591AAC" w:rsidR="00574909">
        <w:rPr>
          <w:szCs w:val="22"/>
        </w:rPr>
        <w:t xml:space="preserve"> 1912345678 would be associated with FCC Bill Number </w:t>
      </w:r>
      <w:r w:rsidR="00574909">
        <w:rPr>
          <w:szCs w:val="22"/>
        </w:rPr>
        <w:t>19</w:t>
      </w:r>
      <w:r w:rsidRPr="00591AAC" w:rsidR="00574909">
        <w:rPr>
          <w:szCs w:val="22"/>
        </w:rPr>
        <w:t>12345678).  After selecting the bill for payment, choose the “Pay by Credit Card” option.  Please note that there is a $24,999.99 limit on credit card transactions.</w:t>
      </w:r>
    </w:p>
    <w:p w:rsidR="00754495" w:rsidRPr="00DD639E" w:rsidP="00754495" w14:paraId="00859711" w14:textId="3B1EBB9D">
      <w:pPr>
        <w:numPr>
          <w:ilvl w:val="0"/>
          <w:numId w:val="41"/>
        </w:numPr>
        <w:rPr>
          <w:szCs w:val="22"/>
        </w:rPr>
      </w:pPr>
      <w:r w:rsidRPr="00DD639E">
        <w:rPr>
          <w:szCs w:val="22"/>
        </w:rPr>
        <w:t xml:space="preserve">Payment by ACH </w:t>
      </w:r>
      <w:r w:rsidRPr="00021174" w:rsidR="00DA7195">
        <w:rPr>
          <w:szCs w:val="22"/>
        </w:rPr>
        <w:t xml:space="preserve">must be made by using the Commission’s Registration System (CORES) at </w:t>
      </w:r>
      <w:hyperlink r:id="rId8" w:history="1">
        <w:r w:rsidRPr="00021174" w:rsidR="00DA7195">
          <w:rPr>
            <w:rStyle w:val="Hyperlink"/>
            <w:szCs w:val="22"/>
          </w:rPr>
          <w:t>https://apps.fcc.gov/cores/paymentFrnLogin.do</w:t>
        </w:r>
      </w:hyperlink>
      <w:r w:rsidRPr="00021174" w:rsidR="00DA7195">
        <w:rPr>
          <w:szCs w:val="22"/>
        </w:rPr>
        <w:t xml:space="preserve">.  </w:t>
      </w:r>
      <w:r w:rsidRPr="00514C8E" w:rsidR="00DA7195">
        <w:rPr>
          <w:szCs w:val="22"/>
        </w:rPr>
        <w:t xml:space="preserve">To pay by ACH, log in using the FRN captioned above.  If payment must be split across FRNs, complete this process for each FRN.  </w:t>
      </w:r>
      <w:r w:rsidRPr="00021174" w:rsidR="00DA7195">
        <w:rPr>
          <w:szCs w:val="22"/>
        </w:rPr>
        <w:t xml:space="preserve">Next, select “Manage Existing FRNs | FRN Financial | Bills &amp; Fees” on the CORES Menu, then select FRN Financial and the view/make payments option next to the FRN. </w:t>
      </w:r>
      <w:r w:rsidR="00DA7195">
        <w:rPr>
          <w:szCs w:val="22"/>
        </w:rPr>
        <w:t xml:space="preserve"> </w:t>
      </w:r>
      <w:r w:rsidRPr="00021174" w:rsidR="00DA7195">
        <w:rPr>
          <w:szCs w:val="22"/>
        </w:rPr>
        <w:t xml:space="preserve">Select the “Open Bills” tab and find the bill number associated with the </w:t>
      </w:r>
      <w:r w:rsidR="00DA7195">
        <w:rPr>
          <w:szCs w:val="22"/>
        </w:rPr>
        <w:t>NAL/</w:t>
      </w:r>
      <w:r w:rsidRPr="00021174" w:rsidR="00DA7195">
        <w:rPr>
          <w:szCs w:val="22"/>
        </w:rPr>
        <w:t xml:space="preserve">Acct. No.  The bill number is the </w:t>
      </w:r>
      <w:r w:rsidR="00DA7195">
        <w:rPr>
          <w:szCs w:val="22"/>
        </w:rPr>
        <w:t>NAL/</w:t>
      </w:r>
      <w:r w:rsidRPr="00021174" w:rsidR="00DA7195">
        <w:rPr>
          <w:szCs w:val="22"/>
        </w:rPr>
        <w:t xml:space="preserve">Acct. No. (e.g., </w:t>
      </w:r>
      <w:r w:rsidR="00DA7195">
        <w:rPr>
          <w:szCs w:val="22"/>
        </w:rPr>
        <w:t>NAL/Acct. No.</w:t>
      </w:r>
      <w:r w:rsidRPr="00021174" w:rsidR="00DA7195">
        <w:rPr>
          <w:szCs w:val="22"/>
        </w:rPr>
        <w:t xml:space="preserve"> 1912345678 would be associated with FCC Bill Number</w:t>
      </w:r>
      <w:r w:rsidR="00DA7195">
        <w:rPr>
          <w:szCs w:val="22"/>
        </w:rPr>
        <w:t xml:space="preserve"> 19</w:t>
      </w:r>
      <w:r w:rsidRPr="00021174" w:rsidR="00DA7195">
        <w:rPr>
          <w:szCs w:val="22"/>
        </w:rPr>
        <w:t xml:space="preserve">12345678).  </w:t>
      </w:r>
      <w:r w:rsidRPr="00546822" w:rsidR="00DA7195">
        <w:rPr>
          <w:szCs w:val="22"/>
        </w:rPr>
        <w:t xml:space="preserve">Finally, choose the “Pay from Bank Account” option.  </w:t>
      </w:r>
      <w:r w:rsidRPr="00021174" w:rsidR="00DA7195">
        <w:rPr>
          <w:szCs w:val="22"/>
        </w:rPr>
        <w:t>Please contact the appropriate financial institution to confirm the correct Routing Number and the correct account number from which payment will be made and verify with that financial institution that the designated account has authorization to accept ACH transactions.</w:t>
      </w:r>
      <w:bookmarkEnd w:id="1"/>
    </w:p>
    <w:bookmarkEnd w:id="2"/>
    <w:p w:rsidR="00754495" w:rsidRPr="00DD639E" w:rsidP="00754495" w14:paraId="2001243F" w14:textId="77777777">
      <w:pPr>
        <w:tabs>
          <w:tab w:val="left" w:pos="0"/>
        </w:tabs>
        <w:suppressAutoHyphens/>
        <w:jc w:val="both"/>
        <w:rPr>
          <w:szCs w:val="22"/>
        </w:rPr>
      </w:pPr>
      <w:r w:rsidRPr="00DD639E">
        <w:rPr>
          <w:szCs w:val="22"/>
        </w:rPr>
        <w:tab/>
      </w:r>
      <w:r w:rsidRPr="00DD639E">
        <w:rPr>
          <w:szCs w:val="22"/>
        </w:rPr>
        <w:tab/>
      </w:r>
      <w:r w:rsidRPr="00DD639E">
        <w:rPr>
          <w:szCs w:val="22"/>
        </w:rPr>
        <w:tab/>
      </w:r>
      <w:r w:rsidRPr="00DD639E">
        <w:rPr>
          <w:szCs w:val="22"/>
        </w:rPr>
        <w:tab/>
      </w:r>
      <w:r w:rsidRPr="00DD639E">
        <w:rPr>
          <w:szCs w:val="22"/>
        </w:rPr>
        <w:tab/>
      </w:r>
      <w:r w:rsidRPr="00DD639E">
        <w:rPr>
          <w:szCs w:val="22"/>
        </w:rPr>
        <w:tab/>
      </w:r>
      <w:r w:rsidRPr="00DD639E">
        <w:rPr>
          <w:szCs w:val="22"/>
        </w:rPr>
        <w:tab/>
      </w:r>
      <w:r w:rsidRPr="00DD639E">
        <w:rPr>
          <w:szCs w:val="22"/>
        </w:rPr>
        <w:tab/>
      </w:r>
      <w:r w:rsidRPr="00DD639E">
        <w:rPr>
          <w:szCs w:val="22"/>
        </w:rPr>
        <w:tab/>
      </w:r>
      <w:r w:rsidRPr="00DD639E">
        <w:rPr>
          <w:szCs w:val="22"/>
        </w:rPr>
        <w:tab/>
      </w:r>
      <w:r w:rsidRPr="00DD639E">
        <w:rPr>
          <w:szCs w:val="22"/>
        </w:rPr>
        <w:tab/>
      </w:r>
      <w:r w:rsidRPr="00DD639E">
        <w:rPr>
          <w:szCs w:val="22"/>
        </w:rPr>
        <w:tab/>
      </w:r>
      <w:r w:rsidRPr="00DD639E">
        <w:rPr>
          <w:szCs w:val="22"/>
        </w:rPr>
        <w:tab/>
      </w:r>
    </w:p>
    <w:p w:rsidR="00754495" w:rsidRPr="00DD639E" w:rsidP="00754495" w14:paraId="66D839C9" w14:textId="00C80F94">
      <w:pPr>
        <w:pStyle w:val="ParaNum"/>
        <w:widowControl/>
        <w:rPr>
          <w:szCs w:val="22"/>
        </w:rPr>
      </w:pPr>
      <w:r w:rsidRPr="00DD639E">
        <w:rPr>
          <w:szCs w:val="22"/>
        </w:rPr>
        <w:t xml:space="preserve">Any request for making full payment over time under an installment plan should be sent to:  </w:t>
      </w:r>
      <w:r w:rsidR="00D0031C">
        <w:t>Associate Managing Director</w:t>
      </w:r>
      <w:r w:rsidRPr="00264220" w:rsidR="00D0031C">
        <w:t xml:space="preserve">—Financial Operations, Federal Communications Commission, </w:t>
      </w:r>
      <w:r w:rsidR="00D0031C">
        <w:t>45</w:t>
      </w:r>
      <w:r w:rsidRPr="00264220" w:rsidR="00D0031C">
        <w:t xml:space="preserve"> </w:t>
      </w:r>
      <w:r w:rsidR="00D0031C">
        <w:t>L</w:t>
      </w:r>
      <w:r w:rsidRPr="00264220" w:rsidR="00D0031C">
        <w:t xml:space="preserve"> Street, </w:t>
      </w:r>
      <w:r w:rsidR="00D0031C">
        <w:t>N.E.</w:t>
      </w:r>
      <w:r w:rsidRPr="00264220" w:rsidR="00D0031C">
        <w:t>, Washington, DC 20554.</w:t>
      </w:r>
      <w:r>
        <w:rPr>
          <w:vertAlign w:val="superscript"/>
        </w:rPr>
        <w:footnoteReference w:id="58"/>
      </w:r>
      <w:r w:rsidRPr="00264220" w:rsidR="00D0031C">
        <w:t xml:space="preserve">  Questions regarding payment procedures should be directed to the Financial Operations Group Help Desk by phone, 1-877-480-3201</w:t>
      </w:r>
      <w:r w:rsidR="00D0031C">
        <w:t xml:space="preserve"> (option #6)</w:t>
      </w:r>
      <w:r w:rsidRPr="00264220" w:rsidR="00D0031C">
        <w:t>, or by e-mail</w:t>
      </w:r>
      <w:r w:rsidR="00D0031C">
        <w:t xml:space="preserve"> at</w:t>
      </w:r>
      <w:r w:rsidRPr="00264220" w:rsidR="00D0031C">
        <w:t xml:space="preserve"> </w:t>
      </w:r>
      <w:hyperlink r:id="rId9" w:history="1">
        <w:r w:rsidRPr="00264220" w:rsidR="00D0031C">
          <w:rPr>
            <w:rStyle w:val="Hyperlink"/>
          </w:rPr>
          <w:t>ARINQUIRIES@fcc.gov</w:t>
        </w:r>
      </w:hyperlink>
      <w:r w:rsidRPr="00264220" w:rsidR="00D0031C">
        <w:t>.</w:t>
      </w:r>
    </w:p>
    <w:p w:rsidR="00754495" w:rsidRPr="00DD639E" w:rsidP="00754495" w14:paraId="102DC281" w14:textId="79AE62E2">
      <w:pPr>
        <w:pStyle w:val="ParaNum"/>
        <w:widowControl/>
        <w:rPr>
          <w:szCs w:val="22"/>
        </w:rPr>
      </w:pPr>
      <w:r w:rsidRPr="00DD639E">
        <w:rPr>
          <w:szCs w:val="22"/>
        </w:rPr>
        <w:t>Any written response seeking reduction or cancellation of the proposed forfeiture must include a detailed factual statement supported by appropriate documentation and affidavits pursuant to sections 1.16 and 1.80(</w:t>
      </w:r>
      <w:r>
        <w:rPr>
          <w:szCs w:val="22"/>
        </w:rPr>
        <w:t>g</w:t>
      </w:r>
      <w:r w:rsidRPr="00DD639E">
        <w:rPr>
          <w:szCs w:val="22"/>
        </w:rPr>
        <w:t>)(3) of the Commission’s rules.</w:t>
      </w:r>
      <w:r>
        <w:rPr>
          <w:rStyle w:val="FootnoteReference"/>
          <w:szCs w:val="22"/>
        </w:rPr>
        <w:footnoteReference w:id="59"/>
      </w:r>
      <w:r w:rsidRPr="00DD639E">
        <w:rPr>
          <w:szCs w:val="22"/>
        </w:rPr>
        <w:t xml:space="preserve">  The written response must be filed with the Office of the Secretary, Federal Communications Commission, 45 L Street NE, Washington DC 20554, ATTN:  Albert Shuldiner, Chief, Audio Division, Media Bureau, and </w:t>
      </w:r>
      <w:r w:rsidRPr="00C70319">
        <w:rPr>
          <w:b/>
          <w:bCs/>
          <w:szCs w:val="22"/>
        </w:rPr>
        <w:t>MUST INCLUDE</w:t>
      </w:r>
      <w:r w:rsidRPr="00DD639E">
        <w:rPr>
          <w:szCs w:val="22"/>
        </w:rPr>
        <w:t xml:space="preserve"> the NAL/Acct. No. referenced above.  Filings can be sent by commercial overnight courier, or by first-class or overnight U.S. Postal Service mail.  All filings must be addressed to the Commission’s Secretary, Office of the Secretary, Federal Communications Commission.</w:t>
      </w:r>
      <w:r>
        <w:rPr>
          <w:rStyle w:val="FootnoteReference"/>
          <w:szCs w:val="22"/>
        </w:rPr>
        <w:footnoteReference w:id="60"/>
      </w:r>
      <w:r w:rsidRPr="00DD639E">
        <w:rPr>
          <w:szCs w:val="22"/>
        </w:rPr>
        <w:t xml:space="preserve">  A courtesy copy emailed to </w:t>
      </w:r>
      <w:hyperlink r:id="rId10" w:history="1">
        <w:r w:rsidR="00673780">
          <w:rPr>
            <w:rStyle w:val="Hyperlink"/>
            <w:szCs w:val="22"/>
          </w:rPr>
          <w:t>Kimia.Nikseresht@fcc.gov</w:t>
        </w:r>
      </w:hyperlink>
      <w:r w:rsidRPr="00DD639E">
        <w:rPr>
          <w:szCs w:val="22"/>
        </w:rPr>
        <w:t xml:space="preserve"> will assist in processing the response.</w:t>
      </w:r>
    </w:p>
    <w:p w:rsidR="00754495" w:rsidRPr="00DD639E" w:rsidP="00754495" w14:paraId="468B8F00" w14:textId="77777777">
      <w:pPr>
        <w:widowControl/>
        <w:numPr>
          <w:ilvl w:val="0"/>
          <w:numId w:val="41"/>
        </w:numPr>
        <w:spacing w:after="120"/>
        <w:rPr>
          <w:szCs w:val="22"/>
        </w:rPr>
      </w:pPr>
      <w:r w:rsidRPr="00DD639E">
        <w:rPr>
          <w:szCs w:val="22"/>
        </w:rPr>
        <w:t>Commercial overnight mail (other than U.S. Postal Service Express Mail and Priority Mail) must be sent to 9050 Junction Drive, Annapolis Junction, MD 20701.</w:t>
      </w:r>
    </w:p>
    <w:p w:rsidR="00754495" w:rsidRPr="00DD639E" w:rsidP="00754495" w14:paraId="72F9DF6B" w14:textId="77777777">
      <w:pPr>
        <w:widowControl/>
        <w:numPr>
          <w:ilvl w:val="0"/>
          <w:numId w:val="41"/>
        </w:numPr>
        <w:spacing w:after="120"/>
        <w:rPr>
          <w:szCs w:val="22"/>
        </w:rPr>
      </w:pPr>
      <w:r w:rsidRPr="00DD639E">
        <w:rPr>
          <w:szCs w:val="22"/>
        </w:rPr>
        <w:t>Postal Service first-class, Express, and Priority mail must be addressed to 45 L Street, NE, Washington, DC 20554.</w:t>
      </w:r>
    </w:p>
    <w:p w:rsidR="00754495" w:rsidRPr="008F3CE9" w:rsidP="00754495" w14:paraId="76FD05B4" w14:textId="77777777">
      <w:pPr>
        <w:pStyle w:val="ParaNum"/>
        <w:widowControl/>
        <w:rPr>
          <w:szCs w:val="22"/>
        </w:rPr>
      </w:pPr>
      <w:r w:rsidRPr="00DD639E">
        <w:rPr>
          <w:szCs w:val="22"/>
        </w:rPr>
        <w:t xml:space="preserve">The Commission will not consider reducing or canceling a forfeiture in response to a claim of inability to pay unless the respondent submits: </w:t>
      </w:r>
      <w:r>
        <w:rPr>
          <w:szCs w:val="22"/>
        </w:rPr>
        <w:t xml:space="preserve"> </w:t>
      </w:r>
      <w:r w:rsidRPr="00DD639E">
        <w:rPr>
          <w:szCs w:val="22"/>
        </w:rPr>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Inability to pay, however, is only one of several factors that the Commission will consider in determining the appropriate forfeiture, and we have discretion to not reduce or cancel the forfeiture if other prongs of section 503(b)(2)(E) of the </w:t>
      </w:r>
      <w:r w:rsidRPr="008F3CE9">
        <w:rPr>
          <w:szCs w:val="22"/>
        </w:rPr>
        <w:t>Communications Act of 1934, as amended, support that result.</w:t>
      </w:r>
      <w:r>
        <w:rPr>
          <w:rStyle w:val="FootnoteReference"/>
          <w:szCs w:val="22"/>
        </w:rPr>
        <w:footnoteReference w:id="61"/>
      </w:r>
    </w:p>
    <w:p w:rsidR="00E82BF6" w:rsidRPr="00EF4F60" w:rsidP="000258BE" w14:paraId="49A5D87A" w14:textId="478FE012">
      <w:pPr>
        <w:pStyle w:val="ParaNum"/>
        <w:widowControl/>
        <w:rPr>
          <w:szCs w:val="22"/>
        </w:rPr>
      </w:pPr>
      <w:r w:rsidRPr="00EF4F60">
        <w:rPr>
          <w:b/>
          <w:bCs/>
          <w:szCs w:val="22"/>
        </w:rPr>
        <w:t>IT IS FURTHER ORDERED</w:t>
      </w:r>
      <w:r>
        <w:rPr>
          <w:szCs w:val="22"/>
        </w:rPr>
        <w:t xml:space="preserve"> that the informal objection filed </w:t>
      </w:r>
      <w:r w:rsidRPr="00A90B0F">
        <w:t>by Albert Adam David</w:t>
      </w:r>
      <w:r>
        <w:t xml:space="preserve"> (Pleading File No. </w:t>
      </w:r>
      <w:r w:rsidRPr="00F763FC">
        <w:t>0000124015</w:t>
      </w:r>
      <w:r>
        <w:t xml:space="preserve">) </w:t>
      </w:r>
      <w:r w:rsidRPr="00EF4F60">
        <w:rPr>
          <w:b/>
          <w:bCs/>
        </w:rPr>
        <w:t>IS DENIED</w:t>
      </w:r>
      <w:r>
        <w:t>.</w:t>
      </w:r>
    </w:p>
    <w:p w:rsidR="00754495" w:rsidP="000258BE" w14:paraId="766F6263" w14:textId="01CA4132">
      <w:pPr>
        <w:pStyle w:val="ParaNum"/>
        <w:widowControl/>
        <w:rPr>
          <w:szCs w:val="22"/>
        </w:rPr>
      </w:pPr>
      <w:r w:rsidRPr="008F3CE9">
        <w:rPr>
          <w:b/>
          <w:bCs/>
          <w:szCs w:val="22"/>
        </w:rPr>
        <w:t>IT IS FURTHER ORDERED</w:t>
      </w:r>
      <w:r w:rsidRPr="008F3CE9">
        <w:rPr>
          <w:szCs w:val="22"/>
        </w:rPr>
        <w:t xml:space="preserve"> that a copy of this </w:t>
      </w:r>
      <w:r w:rsidRPr="008F3CE9">
        <w:rPr>
          <w:i/>
          <w:iCs/>
          <w:szCs w:val="22"/>
        </w:rPr>
        <w:t>NAL</w:t>
      </w:r>
      <w:r w:rsidRPr="008F3CE9">
        <w:rPr>
          <w:szCs w:val="22"/>
        </w:rPr>
        <w:t xml:space="preserve"> shall be sent by First Class and Certified Mail, Return Receipt Requested, to </w:t>
      </w:r>
      <w:r w:rsidR="0019203E">
        <w:rPr>
          <w:szCs w:val="22"/>
        </w:rPr>
        <w:t>Windy City Broadcasting, LLC</w:t>
      </w:r>
      <w:r w:rsidR="00980A07">
        <w:rPr>
          <w:szCs w:val="22"/>
        </w:rPr>
        <w:t xml:space="preserve">, </w:t>
      </w:r>
      <w:r w:rsidR="009E23B1">
        <w:rPr>
          <w:szCs w:val="22"/>
        </w:rPr>
        <w:t>and its counsel, Shai</w:t>
      </w:r>
      <w:r w:rsidR="00AE512D">
        <w:rPr>
          <w:szCs w:val="22"/>
        </w:rPr>
        <w:t xml:space="preserve">nis &amp; Peltzman, Chartered, c/o Aaron P. Shainis, </w:t>
      </w:r>
      <w:r w:rsidR="00C91096">
        <w:rPr>
          <w:szCs w:val="22"/>
        </w:rPr>
        <w:t>1850 M Street, Suite 240, Washington, DC 20036</w:t>
      </w:r>
      <w:r w:rsidR="00AB7B64">
        <w:rPr>
          <w:szCs w:val="22"/>
        </w:rPr>
        <w:t xml:space="preserve">, as well as emailed to </w:t>
      </w:r>
      <w:r w:rsidR="001C5C48">
        <w:rPr>
          <w:szCs w:val="22"/>
        </w:rPr>
        <w:t>aaron@s-plaw.com</w:t>
      </w:r>
      <w:r w:rsidR="00C91096">
        <w:rPr>
          <w:szCs w:val="22"/>
        </w:rPr>
        <w:t>.</w:t>
      </w:r>
    </w:p>
    <w:p w:rsidR="000258BE" w:rsidRPr="000258BE" w:rsidP="000258BE" w14:paraId="6398EA23" w14:textId="77777777">
      <w:pPr>
        <w:pStyle w:val="ParaNum"/>
        <w:widowControl/>
        <w:numPr>
          <w:ilvl w:val="0"/>
          <w:numId w:val="0"/>
        </w:numPr>
        <w:ind w:left="720"/>
        <w:rPr>
          <w:szCs w:val="22"/>
        </w:rPr>
      </w:pPr>
    </w:p>
    <w:p w:rsidR="00754495" w:rsidRPr="00DD639E" w:rsidP="00754495" w14:paraId="2A1E5725" w14:textId="77777777">
      <w:pPr>
        <w:keepLines/>
        <w:tabs>
          <w:tab w:val="left" w:pos="0"/>
        </w:tabs>
        <w:suppressAutoHyphens/>
        <w:jc w:val="both"/>
        <w:rPr>
          <w:szCs w:val="22"/>
        </w:rPr>
      </w:pPr>
      <w:r w:rsidRPr="00DD639E">
        <w:rPr>
          <w:szCs w:val="22"/>
        </w:rPr>
        <w:tab/>
      </w:r>
      <w:r w:rsidRPr="00DD639E">
        <w:rPr>
          <w:szCs w:val="22"/>
        </w:rPr>
        <w:tab/>
      </w:r>
      <w:r w:rsidRPr="00DD639E">
        <w:rPr>
          <w:szCs w:val="22"/>
        </w:rPr>
        <w:tab/>
      </w:r>
      <w:r w:rsidRPr="00DD639E">
        <w:rPr>
          <w:szCs w:val="22"/>
        </w:rPr>
        <w:tab/>
      </w:r>
      <w:r w:rsidRPr="00DD639E">
        <w:rPr>
          <w:szCs w:val="22"/>
        </w:rPr>
        <w:tab/>
      </w:r>
      <w:r w:rsidRPr="00DD639E">
        <w:rPr>
          <w:szCs w:val="22"/>
        </w:rPr>
        <w:tab/>
        <w:t>FEDERAL COMMUNICATIONS COMMISSION</w:t>
      </w:r>
    </w:p>
    <w:p w:rsidR="00754495" w:rsidRPr="00DD639E" w:rsidP="00754495" w14:paraId="6901DE8F" w14:textId="77777777">
      <w:pPr>
        <w:keepLines/>
        <w:tabs>
          <w:tab w:val="left" w:pos="0"/>
        </w:tabs>
        <w:suppressAutoHyphens/>
        <w:jc w:val="both"/>
        <w:rPr>
          <w:szCs w:val="22"/>
        </w:rPr>
      </w:pPr>
    </w:p>
    <w:p w:rsidR="00754495" w:rsidRPr="00DD639E" w:rsidP="00754495" w14:paraId="07C41607" w14:textId="77777777">
      <w:pPr>
        <w:keepLines/>
        <w:tabs>
          <w:tab w:val="left" w:pos="0"/>
        </w:tabs>
        <w:suppressAutoHyphens/>
        <w:jc w:val="both"/>
        <w:rPr>
          <w:szCs w:val="22"/>
        </w:rPr>
      </w:pPr>
    </w:p>
    <w:p w:rsidR="00754495" w:rsidRPr="00DD639E" w:rsidP="00754495" w14:paraId="088DCA9C" w14:textId="77777777">
      <w:pPr>
        <w:keepLines/>
        <w:tabs>
          <w:tab w:val="left" w:pos="0"/>
        </w:tabs>
        <w:suppressAutoHyphens/>
        <w:jc w:val="both"/>
        <w:rPr>
          <w:szCs w:val="22"/>
        </w:rPr>
      </w:pPr>
    </w:p>
    <w:p w:rsidR="00754495" w:rsidRPr="00DD639E" w:rsidP="00754495" w14:paraId="42A281C3" w14:textId="77777777">
      <w:pPr>
        <w:keepLines/>
        <w:tabs>
          <w:tab w:val="left" w:pos="0"/>
        </w:tabs>
        <w:suppressAutoHyphens/>
        <w:jc w:val="both"/>
        <w:rPr>
          <w:szCs w:val="22"/>
        </w:rPr>
      </w:pPr>
      <w:r w:rsidRPr="00DD639E">
        <w:rPr>
          <w:szCs w:val="22"/>
        </w:rPr>
        <w:tab/>
      </w:r>
      <w:r w:rsidRPr="00DD639E">
        <w:rPr>
          <w:szCs w:val="22"/>
        </w:rPr>
        <w:tab/>
      </w:r>
      <w:r w:rsidRPr="00DD639E">
        <w:rPr>
          <w:szCs w:val="22"/>
        </w:rPr>
        <w:tab/>
      </w:r>
      <w:r w:rsidRPr="00DD639E">
        <w:rPr>
          <w:szCs w:val="22"/>
        </w:rPr>
        <w:tab/>
      </w:r>
      <w:r w:rsidRPr="00DD639E">
        <w:rPr>
          <w:szCs w:val="22"/>
        </w:rPr>
        <w:tab/>
      </w:r>
      <w:r w:rsidRPr="00DD639E">
        <w:rPr>
          <w:szCs w:val="22"/>
        </w:rPr>
        <w:tab/>
        <w:t xml:space="preserve"> Albert Shuldiner</w:t>
      </w:r>
    </w:p>
    <w:p w:rsidR="00754495" w:rsidRPr="00DD639E" w:rsidP="00754495" w14:paraId="6F58ED6E" w14:textId="77777777">
      <w:pPr>
        <w:keepLines/>
        <w:tabs>
          <w:tab w:val="left" w:pos="0"/>
        </w:tabs>
        <w:suppressAutoHyphens/>
        <w:jc w:val="both"/>
        <w:rPr>
          <w:szCs w:val="22"/>
        </w:rPr>
      </w:pPr>
      <w:r w:rsidRPr="00DD639E">
        <w:rPr>
          <w:szCs w:val="22"/>
        </w:rPr>
        <w:tab/>
      </w:r>
      <w:r w:rsidRPr="00DD639E">
        <w:rPr>
          <w:szCs w:val="22"/>
        </w:rPr>
        <w:tab/>
      </w:r>
      <w:r w:rsidRPr="00DD639E">
        <w:rPr>
          <w:szCs w:val="22"/>
        </w:rPr>
        <w:tab/>
      </w:r>
      <w:r w:rsidRPr="00DD639E">
        <w:rPr>
          <w:szCs w:val="22"/>
        </w:rPr>
        <w:tab/>
      </w:r>
      <w:r w:rsidRPr="00DD639E">
        <w:rPr>
          <w:szCs w:val="22"/>
        </w:rPr>
        <w:tab/>
      </w:r>
      <w:r w:rsidRPr="00DD639E">
        <w:rPr>
          <w:szCs w:val="22"/>
        </w:rPr>
        <w:tab/>
        <w:t xml:space="preserve"> Chief, Audio Division</w:t>
      </w:r>
    </w:p>
    <w:p w:rsidR="00754495" w:rsidRPr="00DD639E" w:rsidP="00754495" w14:paraId="41997BC3" w14:textId="77777777">
      <w:pPr>
        <w:keepLines/>
        <w:tabs>
          <w:tab w:val="left" w:pos="0"/>
        </w:tabs>
        <w:suppressAutoHyphens/>
        <w:jc w:val="both"/>
        <w:rPr>
          <w:szCs w:val="22"/>
        </w:rPr>
      </w:pPr>
      <w:r w:rsidRPr="00DD639E">
        <w:rPr>
          <w:szCs w:val="22"/>
        </w:rPr>
        <w:tab/>
      </w:r>
      <w:r w:rsidRPr="00DD639E">
        <w:rPr>
          <w:szCs w:val="22"/>
        </w:rPr>
        <w:tab/>
      </w:r>
      <w:r w:rsidRPr="00DD639E">
        <w:rPr>
          <w:szCs w:val="22"/>
        </w:rPr>
        <w:tab/>
      </w:r>
      <w:r w:rsidRPr="00DD639E">
        <w:rPr>
          <w:szCs w:val="22"/>
        </w:rPr>
        <w:tab/>
      </w:r>
      <w:r w:rsidRPr="00DD639E">
        <w:rPr>
          <w:szCs w:val="22"/>
        </w:rPr>
        <w:tab/>
      </w:r>
      <w:r w:rsidRPr="00DD639E">
        <w:rPr>
          <w:szCs w:val="22"/>
        </w:rPr>
        <w:tab/>
        <w:t xml:space="preserve"> Media Bureau</w:t>
      </w:r>
    </w:p>
    <w:p w:rsidR="00754495" w:rsidRPr="00AE2D78" w:rsidP="00754495" w14:paraId="382DC9C6" w14:textId="77777777"/>
    <w:p w:rsidR="000123CD" w:rsidP="00754495" w14:paraId="621D3621" w14:textId="77777777">
      <w:pPr>
        <w:pStyle w:val="ParaNum"/>
        <w:numPr>
          <w:ilvl w:val="0"/>
          <w:numId w:val="0"/>
        </w:numPr>
      </w:pPr>
    </w:p>
    <w:sectPr>
      <w:headerReference w:type="default" r:id="rId11"/>
      <w:footerReference w:type="default" r:id="rId12"/>
      <w:headerReference w:type="first" r:id="rId13"/>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6BE7" w14:paraId="6EC49440" w14:textId="77777777">
    <w:pPr>
      <w:pStyle w:val="Footer"/>
      <w:tabs>
        <w:tab w:val="center" w:pos="4680"/>
        <w:tab w:val="left" w:pos="6994"/>
      </w:tabs>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rPr>
        <w:rStyle w:val="PageNumbe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width:480pt;height:636pt">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7368B" w14:paraId="3DF1C536" w14:textId="77777777">
      <w:pPr>
        <w:rPr>
          <w:sz w:val="20"/>
        </w:rPr>
      </w:pPr>
      <w:r>
        <w:rPr>
          <w:sz w:val="20"/>
        </w:rPr>
        <w:separator/>
      </w:r>
    </w:p>
  </w:footnote>
  <w:footnote w:type="continuationSeparator" w:id="1">
    <w:p w:rsidR="0087368B" w14:paraId="2B68414C" w14:textId="77777777">
      <w:pPr>
        <w:rPr>
          <w:sz w:val="20"/>
        </w:rPr>
      </w:pPr>
      <w:r>
        <w:rPr>
          <w:sz w:val="20"/>
        </w:rPr>
        <w:separator/>
      </w:r>
    </w:p>
    <w:p w:rsidR="0087368B" w14:paraId="599DBFC6" w14:textId="77777777">
      <w:pPr>
        <w:rPr>
          <w:sz w:val="20"/>
        </w:rPr>
      </w:pPr>
      <w:r>
        <w:rPr>
          <w:sz w:val="20"/>
        </w:rPr>
        <w:t>(...continued from previous page)</w:t>
      </w:r>
    </w:p>
  </w:footnote>
  <w:footnote w:type="continuationNotice" w:id="2">
    <w:p w:rsidR="0087368B" w14:paraId="1DEDB718" w14:textId="77777777">
      <w:pPr>
        <w:jc w:val="right"/>
        <w:rPr>
          <w:sz w:val="20"/>
        </w:rPr>
      </w:pPr>
      <w:r>
        <w:rPr>
          <w:sz w:val="20"/>
        </w:rPr>
        <w:t>(continued....)</w:t>
      </w:r>
    </w:p>
  </w:footnote>
  <w:footnote w:id="3">
    <w:p w:rsidR="003B59B4" w14:paraId="2FBC3927" w14:textId="5A88756D">
      <w:pPr>
        <w:pStyle w:val="FootnoteText"/>
      </w:pPr>
      <w:r>
        <w:rPr>
          <w:rStyle w:val="FootnoteReference"/>
        </w:rPr>
        <w:footnoteRef/>
      </w:r>
      <w:r>
        <w:t xml:space="preserve"> </w:t>
      </w:r>
      <w:r w:rsidR="00383C93">
        <w:rPr>
          <w:szCs w:val="22"/>
        </w:rPr>
        <w:t xml:space="preserve">Amended Application of Windy City Broadcasting, LLC, Application File No. </w:t>
      </w:r>
      <w:r w:rsidRPr="00CF29C9" w:rsidR="00383C93">
        <w:rPr>
          <w:szCs w:val="22"/>
        </w:rPr>
        <w:t>0000119009</w:t>
      </w:r>
      <w:r w:rsidR="00383C93">
        <w:rPr>
          <w:szCs w:val="22"/>
        </w:rPr>
        <w:t xml:space="preserve"> (filed </w:t>
      </w:r>
      <w:r w:rsidR="00BD25E5">
        <w:rPr>
          <w:szCs w:val="22"/>
        </w:rPr>
        <w:t>Dec. 29, 2020)</w:t>
      </w:r>
      <w:r w:rsidR="009F71C7">
        <w:rPr>
          <w:szCs w:val="22"/>
        </w:rPr>
        <w:t xml:space="preserve"> (Application)</w:t>
      </w:r>
      <w:r w:rsidR="00BD25E5">
        <w:rPr>
          <w:szCs w:val="22"/>
        </w:rPr>
        <w:t>.  The original application was filed on July 29, 2020.</w:t>
      </w:r>
    </w:p>
  </w:footnote>
  <w:footnote w:id="4">
    <w:p w:rsidR="00FE0FE1" w14:paraId="47A69733" w14:textId="427781B0">
      <w:pPr>
        <w:pStyle w:val="FootnoteText"/>
      </w:pPr>
      <w:r>
        <w:rPr>
          <w:rStyle w:val="FootnoteReference"/>
        </w:rPr>
        <w:footnoteRef/>
      </w:r>
      <w:r>
        <w:t xml:space="preserve"> </w:t>
      </w:r>
      <w:r w:rsidR="00BE4CD6">
        <w:t xml:space="preserve">Informal Objection of David, Pleading File No. </w:t>
      </w:r>
      <w:r w:rsidRPr="00F763FC" w:rsidR="00BE4CD6">
        <w:t>0000124015</w:t>
      </w:r>
      <w:r w:rsidR="00BE4CD6">
        <w:t xml:space="preserve"> (filed Oct. 5, 2020) (Objection); </w:t>
      </w:r>
      <w:r w:rsidR="00F763FC">
        <w:t xml:space="preserve">Opposition of Licensee, Pleading File No. </w:t>
      </w:r>
      <w:r w:rsidRPr="00B71B98" w:rsidR="00B71B98">
        <w:t>0000130202</w:t>
      </w:r>
      <w:r w:rsidR="00B71B98">
        <w:t xml:space="preserve"> (filed Dec. 29, 2020)</w:t>
      </w:r>
      <w:r w:rsidR="00647185">
        <w:t xml:space="preserve"> (Opposition)</w:t>
      </w:r>
      <w:r w:rsidR="00B71B98">
        <w:t xml:space="preserve">; Reply of David, Pleading File No. </w:t>
      </w:r>
      <w:r w:rsidRPr="00FD2EE4" w:rsidR="00FD2EE4">
        <w:t>0000130213</w:t>
      </w:r>
      <w:r w:rsidR="00FD2EE4">
        <w:t xml:space="preserve"> (filed Dec. 30, 2020)</w:t>
      </w:r>
      <w:r w:rsidR="00647185">
        <w:t xml:space="preserve"> (Reply)</w:t>
      </w:r>
      <w:r w:rsidR="00FD2EE4">
        <w:t>.</w:t>
      </w:r>
    </w:p>
  </w:footnote>
  <w:footnote w:id="5">
    <w:p w:rsidR="00846BE7" w14:paraId="3C55F2AF" w14:textId="06B3EE51">
      <w:pPr>
        <w:pStyle w:val="FootnoteText"/>
      </w:pPr>
      <w:r>
        <w:rPr>
          <w:rStyle w:val="FootnoteReference"/>
        </w:rPr>
        <w:footnoteRef/>
      </w:r>
      <w:r>
        <w:t xml:space="preserve"> </w:t>
      </w:r>
      <w:r>
        <w:t xml:space="preserve">This </w:t>
      </w:r>
      <w:r>
        <w:rPr>
          <w:i/>
        </w:rPr>
        <w:t>NAL</w:t>
      </w:r>
      <w:r>
        <w:t xml:space="preserve"> is issued pursuant to </w:t>
      </w:r>
      <w:r w:rsidR="00A37129">
        <w:t>s</w:t>
      </w:r>
      <w:r>
        <w:t xml:space="preserve">ections 309(k) and 503(b) of the Communications Act of 1934, as amended (Act), and </w:t>
      </w:r>
      <w:r w:rsidR="00A37129">
        <w:t>s</w:t>
      </w:r>
      <w:r>
        <w:t xml:space="preserve">ection 1.80 of the Commission’s rules.  </w:t>
      </w:r>
      <w:r>
        <w:rPr>
          <w:i/>
        </w:rPr>
        <w:t>See</w:t>
      </w:r>
      <w:r>
        <w:t xml:space="preserve"> 47 U.S.C. §§ 309(k), 503(b); 47 CFR § 1.80.  The Bureau has delegated authority to issue the </w:t>
      </w:r>
      <w:r>
        <w:rPr>
          <w:i/>
        </w:rPr>
        <w:t>NAL</w:t>
      </w:r>
      <w:r>
        <w:t xml:space="preserve"> under </w:t>
      </w:r>
      <w:r w:rsidR="00A37129">
        <w:t>s</w:t>
      </w:r>
      <w:r>
        <w:t xml:space="preserve">ection 0.283 of the Rules.  </w:t>
      </w:r>
      <w:r>
        <w:rPr>
          <w:i/>
        </w:rPr>
        <w:t>See</w:t>
      </w:r>
      <w:r>
        <w:t xml:space="preserve"> 47 CFR § 0.283.</w:t>
      </w:r>
    </w:p>
  </w:footnote>
  <w:footnote w:id="6">
    <w:p w:rsidR="00846BE7" w14:paraId="484BE895" w14:textId="5AEB6AE7">
      <w:pPr>
        <w:pStyle w:val="FootnoteText"/>
      </w:pPr>
      <w:r>
        <w:rPr>
          <w:rStyle w:val="FootnoteReference"/>
        </w:rPr>
        <w:footnoteRef/>
      </w:r>
      <w:r>
        <w:t xml:space="preserve"> </w:t>
      </w:r>
      <w:r>
        <w:rPr>
          <w:i/>
        </w:rPr>
        <w:t xml:space="preserve">See </w:t>
      </w:r>
      <w:r w:rsidR="00AA2659">
        <w:t>47 CFR §§ 74.1263(c), 74.1263(e).</w:t>
      </w:r>
    </w:p>
  </w:footnote>
  <w:footnote w:id="7">
    <w:p w:rsidR="0078684A" w14:paraId="6F02D56C" w14:textId="0B11C940">
      <w:pPr>
        <w:pStyle w:val="FootnoteText"/>
      </w:pPr>
      <w:r>
        <w:rPr>
          <w:rStyle w:val="FootnoteReference"/>
        </w:rPr>
        <w:footnoteRef/>
      </w:r>
      <w:r>
        <w:t xml:space="preserve"> </w:t>
      </w:r>
      <w:r w:rsidR="00EC3056">
        <w:rPr>
          <w:i/>
          <w:iCs/>
        </w:rPr>
        <w:t>See</w:t>
      </w:r>
      <w:r w:rsidR="00EC3056">
        <w:t xml:space="preserve"> </w:t>
      </w:r>
      <w:r>
        <w:t>4</w:t>
      </w:r>
      <w:r w:rsidR="00EC3056">
        <w:t>7</w:t>
      </w:r>
      <w:r>
        <w:t xml:space="preserve"> CFR § 74.1251(c).</w:t>
      </w:r>
    </w:p>
  </w:footnote>
  <w:footnote w:id="8">
    <w:p w:rsidR="00B749BC" w:rsidRPr="00B749BC" w14:paraId="44C77F7B" w14:textId="576789F2">
      <w:pPr>
        <w:pStyle w:val="FootnoteText"/>
      </w:pPr>
      <w:r>
        <w:rPr>
          <w:rStyle w:val="FootnoteReference"/>
        </w:rPr>
        <w:footnoteRef/>
      </w:r>
      <w:r>
        <w:t xml:space="preserve"> </w:t>
      </w:r>
      <w:r>
        <w:rPr>
          <w:i/>
          <w:iCs/>
        </w:rPr>
        <w:t xml:space="preserve">See </w:t>
      </w:r>
      <w:r>
        <w:t>47 CFR § 1.65.</w:t>
      </w:r>
    </w:p>
  </w:footnote>
  <w:footnote w:id="9">
    <w:p w:rsidR="00685D1E" w:rsidRPr="00BD173F" w14:paraId="0EBEF974" w14:textId="7C70C94E">
      <w:pPr>
        <w:pStyle w:val="FootnoteText"/>
      </w:pPr>
      <w:r>
        <w:rPr>
          <w:rStyle w:val="FootnoteReference"/>
        </w:rPr>
        <w:footnoteRef/>
      </w:r>
      <w:r>
        <w:t xml:space="preserve"> </w:t>
      </w:r>
      <w:r>
        <w:t xml:space="preserve">Licensee amended the Application to reflect that the Station </w:t>
      </w:r>
      <w:r w:rsidR="005C477F">
        <w:t xml:space="preserve">was then </w:t>
      </w:r>
      <w:r w:rsidR="00C608B2">
        <w:t>off the air</w:t>
      </w:r>
      <w:r w:rsidR="008F6E29">
        <w:t>.</w:t>
      </w:r>
      <w:r w:rsidR="00BD173F">
        <w:t xml:space="preserve">  </w:t>
      </w:r>
      <w:r w:rsidR="00BD173F">
        <w:rPr>
          <w:i/>
          <w:iCs/>
        </w:rPr>
        <w:t xml:space="preserve">See </w:t>
      </w:r>
      <w:r w:rsidRPr="00FD2298" w:rsidR="00FD2298">
        <w:t>Applicatio</w:t>
      </w:r>
      <w:r w:rsidR="00405D55">
        <w:t xml:space="preserve">n; </w:t>
      </w:r>
      <w:r w:rsidR="00506C83">
        <w:t>Opposition at 2.</w:t>
      </w:r>
      <w:r w:rsidR="00FE3280">
        <w:t xml:space="preserve">  The Station subsequently resumed operations on </w:t>
      </w:r>
      <w:r w:rsidR="001600B9">
        <w:t>August 3, 2021</w:t>
      </w:r>
      <w:r w:rsidR="00FE3280">
        <w:t xml:space="preserve">.  </w:t>
      </w:r>
      <w:r w:rsidR="001600B9">
        <w:t xml:space="preserve">Resumption of Operations Notice of Licensee (filed Aug. 4, 2021), </w:t>
      </w:r>
      <w:r w:rsidRPr="001600B9" w:rsidR="001600B9">
        <w:t>https://licensing.fcc.gov/cgi-bin/ws.exe/prod/cdbs/forms/prod/cdbsmenu.hts?context=25&amp;appn=101827007&amp;formid=910&amp;fac_num=140763</w:t>
      </w:r>
      <w:r w:rsidR="001600B9">
        <w:t xml:space="preserve">. </w:t>
      </w:r>
    </w:p>
  </w:footnote>
  <w:footnote w:id="10">
    <w:p w:rsidR="00C4239D" w14:paraId="40F099AA" w14:textId="407D5A5C">
      <w:pPr>
        <w:pStyle w:val="FootnoteText"/>
      </w:pPr>
      <w:r>
        <w:rPr>
          <w:rStyle w:val="FootnoteReference"/>
        </w:rPr>
        <w:footnoteRef/>
      </w:r>
      <w:r>
        <w:t xml:space="preserve"> </w:t>
      </w:r>
      <w:r>
        <w:t>Objection at 1.</w:t>
      </w:r>
    </w:p>
  </w:footnote>
  <w:footnote w:id="11">
    <w:p w:rsidR="00B17432" w:rsidRPr="006208A9" w14:paraId="68F74002" w14:textId="471C251C">
      <w:pPr>
        <w:pStyle w:val="FootnoteText"/>
        <w:rPr>
          <w:i/>
          <w:iCs/>
        </w:rPr>
      </w:pPr>
      <w:r>
        <w:rPr>
          <w:rStyle w:val="FootnoteReference"/>
        </w:rPr>
        <w:footnoteRef/>
      </w:r>
      <w:r>
        <w:t xml:space="preserve"> </w:t>
      </w:r>
      <w:r w:rsidR="00C5570C">
        <w:rPr>
          <w:i/>
          <w:iCs/>
        </w:rPr>
        <w:t xml:space="preserve">Id.  </w:t>
      </w:r>
      <w:r w:rsidR="00C5570C">
        <w:t xml:space="preserve">David states that Station did at one time rebroadcast WTMX, but </w:t>
      </w:r>
      <w:r w:rsidR="006208A9">
        <w:t xml:space="preserve">not for several years before going off the air.  </w:t>
      </w:r>
      <w:r w:rsidR="006208A9">
        <w:rPr>
          <w:i/>
          <w:iCs/>
        </w:rPr>
        <w:t>Id.</w:t>
      </w:r>
    </w:p>
  </w:footnote>
  <w:footnote w:id="12">
    <w:p w:rsidR="0068194C" w:rsidRPr="0068194C" w14:paraId="4FAB4F4D" w14:textId="1C1FCFB5">
      <w:pPr>
        <w:pStyle w:val="FootnoteText"/>
      </w:pPr>
      <w:r>
        <w:rPr>
          <w:rStyle w:val="FootnoteReference"/>
        </w:rPr>
        <w:footnoteRef/>
      </w:r>
      <w:r>
        <w:t xml:space="preserve"> </w:t>
      </w:r>
      <w:r>
        <w:rPr>
          <w:i/>
          <w:iCs/>
        </w:rPr>
        <w:t xml:space="preserve">See </w:t>
      </w:r>
      <w:r>
        <w:t xml:space="preserve">47 CFR §§ 1.47, 1.52.  </w:t>
      </w:r>
    </w:p>
  </w:footnote>
  <w:footnote w:id="13">
    <w:p w:rsidR="00115404" w14:paraId="4384B6F9" w14:textId="31CBEB19">
      <w:pPr>
        <w:pStyle w:val="FootnoteText"/>
      </w:pPr>
      <w:r>
        <w:rPr>
          <w:rStyle w:val="FootnoteReference"/>
        </w:rPr>
        <w:footnoteRef/>
      </w:r>
      <w:r>
        <w:t xml:space="preserve"> </w:t>
      </w:r>
      <w:r>
        <w:t>Opposition at 1-2.</w:t>
      </w:r>
    </w:p>
  </w:footnote>
  <w:footnote w:id="14">
    <w:p w:rsidR="00115404" w:rsidRPr="00763F9A" w14:paraId="4BBB675B" w14:textId="5194DF91">
      <w:pPr>
        <w:pStyle w:val="FootnoteText"/>
      </w:pPr>
      <w:r>
        <w:rPr>
          <w:rStyle w:val="FootnoteReference"/>
        </w:rPr>
        <w:footnoteRef/>
      </w:r>
      <w:r>
        <w:t xml:space="preserve"> </w:t>
      </w:r>
      <w:r w:rsidR="00763F9A">
        <w:rPr>
          <w:i/>
          <w:iCs/>
        </w:rPr>
        <w:t xml:space="preserve">Id. </w:t>
      </w:r>
      <w:r w:rsidR="00763F9A">
        <w:t>at 2.</w:t>
      </w:r>
    </w:p>
  </w:footnote>
  <w:footnote w:id="15">
    <w:p w:rsidR="0043512A" w:rsidRPr="0043512A" w14:paraId="2742CA23" w14:textId="52FD9695">
      <w:pPr>
        <w:pStyle w:val="FootnoteText"/>
      </w:pPr>
      <w:r>
        <w:rPr>
          <w:rStyle w:val="FootnoteReference"/>
        </w:rPr>
        <w:footnoteRef/>
      </w:r>
      <w:r>
        <w:t xml:space="preserve"> </w:t>
      </w:r>
      <w:r w:rsidR="00B81077">
        <w:rPr>
          <w:i/>
          <w:iCs/>
        </w:rPr>
        <w:t>Id</w:t>
      </w:r>
      <w:r w:rsidRPr="007F3FED" w:rsidR="009263E8">
        <w:t>.  Licensee does not state why the Station went off the air.</w:t>
      </w:r>
    </w:p>
  </w:footnote>
  <w:footnote w:id="16">
    <w:p w:rsidR="00311FAF" w:rsidRPr="001600B9" w14:paraId="2BD766AC" w14:textId="1A4E07DA">
      <w:pPr>
        <w:pStyle w:val="FootnoteText"/>
      </w:pPr>
      <w:r>
        <w:rPr>
          <w:rStyle w:val="FootnoteReference"/>
        </w:rPr>
        <w:footnoteRef/>
      </w:r>
      <w:r>
        <w:t xml:space="preserve"> </w:t>
      </w:r>
      <w:r>
        <w:rPr>
          <w:i/>
          <w:iCs/>
        </w:rPr>
        <w:t>Id.</w:t>
      </w:r>
      <w:r w:rsidR="002E2B89">
        <w:t xml:space="preserve"> Attach. C, </w:t>
      </w:r>
      <w:r w:rsidR="00B24A47">
        <w:t>Amended Application at 10-11.</w:t>
      </w:r>
      <w:r w:rsidR="001600B9">
        <w:t xml:space="preserve">  The Station subsequently resumed operations on August 3, 2021.  </w:t>
      </w:r>
      <w:r w:rsidR="001600B9">
        <w:rPr>
          <w:i/>
          <w:iCs/>
        </w:rPr>
        <w:t xml:space="preserve">See supra </w:t>
      </w:r>
      <w:r w:rsidR="001600B9">
        <w:t xml:space="preserve">note </w:t>
      </w:r>
      <w:r w:rsidR="003F6C6B">
        <w:t>7</w:t>
      </w:r>
      <w:r w:rsidR="001600B9">
        <w:t>.</w:t>
      </w:r>
    </w:p>
  </w:footnote>
  <w:footnote w:id="17">
    <w:p w:rsidR="00950C86" w:rsidRPr="00950C86" w14:paraId="46A75E54" w14:textId="31EAE3A8">
      <w:pPr>
        <w:pStyle w:val="FootnoteText"/>
      </w:pPr>
      <w:r>
        <w:rPr>
          <w:rStyle w:val="FootnoteReference"/>
        </w:rPr>
        <w:footnoteRef/>
      </w:r>
      <w:r>
        <w:t xml:space="preserve"> </w:t>
      </w:r>
      <w:r>
        <w:rPr>
          <w:i/>
          <w:iCs/>
        </w:rPr>
        <w:t xml:space="preserve">Id. </w:t>
      </w:r>
      <w:r>
        <w:t xml:space="preserve">at 1-2.  </w:t>
      </w:r>
      <w:r w:rsidR="00017B95">
        <w:t>Licensee does not state for how long Station was rebroadcasting WLEY instead of WTMX.</w:t>
      </w:r>
    </w:p>
  </w:footnote>
  <w:footnote w:id="18">
    <w:p w:rsidR="00950C86" w:rsidRPr="00652E3B" w:rsidP="00950C86" w14:paraId="712075CD" w14:textId="28602B6D">
      <w:pPr>
        <w:pStyle w:val="FootnoteText"/>
        <w:rPr>
          <w:i/>
          <w:iCs/>
        </w:rPr>
      </w:pPr>
      <w:r>
        <w:rPr>
          <w:rStyle w:val="FootnoteReference"/>
        </w:rPr>
        <w:footnoteRef/>
      </w:r>
      <w:r>
        <w:t xml:space="preserve"> </w:t>
      </w:r>
      <w:r>
        <w:rPr>
          <w:i/>
          <w:iCs/>
        </w:rPr>
        <w:t>Id</w:t>
      </w:r>
      <w:r w:rsidR="00DB39B7">
        <w:rPr>
          <w:i/>
          <w:iCs/>
        </w:rPr>
        <w:t xml:space="preserve">.  </w:t>
      </w:r>
      <w:r w:rsidR="00CC6802">
        <w:t>According to Licensee, t</w:t>
      </w:r>
      <w:r w:rsidR="00DB39B7">
        <w:t>he errors were addressed by filing a request</w:t>
      </w:r>
      <w:r w:rsidR="00406C9B">
        <w:t xml:space="preserve"> for STA on December 28, 2020, and amending the Application on </w:t>
      </w:r>
      <w:r w:rsidR="000A118A">
        <w:t>December 29, 2020.</w:t>
      </w:r>
      <w:r w:rsidR="00652E3B">
        <w:t xml:space="preserve">  </w:t>
      </w:r>
      <w:r w:rsidR="00652E3B">
        <w:rPr>
          <w:i/>
          <w:iCs/>
        </w:rPr>
        <w:t>See Id.</w:t>
      </w:r>
      <w:r w:rsidR="00652E3B">
        <w:t xml:space="preserve"> Attach. B, </w:t>
      </w:r>
      <w:r w:rsidRPr="007F3FED" w:rsidR="00652E3B">
        <w:t>W280EM Notification of Suspension &amp; Request for STA at 1</w:t>
      </w:r>
      <w:r w:rsidR="002E2B89">
        <w:t>-3</w:t>
      </w:r>
      <w:r w:rsidR="00CE3E68">
        <w:t xml:space="preserve"> (STA Request).</w:t>
      </w:r>
    </w:p>
  </w:footnote>
  <w:footnote w:id="19">
    <w:p w:rsidR="00AA15E7" w14:paraId="2D6A42BF" w14:textId="089A871D">
      <w:pPr>
        <w:pStyle w:val="FootnoteText"/>
      </w:pPr>
      <w:r>
        <w:rPr>
          <w:rStyle w:val="FootnoteReference"/>
        </w:rPr>
        <w:footnoteRef/>
      </w:r>
      <w:r>
        <w:t xml:space="preserve"> </w:t>
      </w:r>
      <w:r>
        <w:t>47 CFR § 1.47.</w:t>
      </w:r>
    </w:p>
  </w:footnote>
  <w:footnote w:id="20">
    <w:p w:rsidR="00462712" w14:paraId="344D5B83" w14:textId="160A566B">
      <w:pPr>
        <w:pStyle w:val="FootnoteText"/>
      </w:pPr>
      <w:r>
        <w:rPr>
          <w:rStyle w:val="FootnoteReference"/>
        </w:rPr>
        <w:footnoteRef/>
      </w:r>
      <w:r>
        <w:t xml:space="preserve"> </w:t>
      </w:r>
      <w:r>
        <w:t xml:space="preserve">Reply at 1; 47 CFR § </w:t>
      </w:r>
      <w:r w:rsidR="00F00B5F">
        <w:t>73.3587</w:t>
      </w:r>
      <w:r>
        <w:t xml:space="preserve">.  </w:t>
      </w:r>
      <w:r w:rsidR="00A2322D">
        <w:t>David</w:t>
      </w:r>
      <w:r w:rsidR="00F00B5F">
        <w:t xml:space="preserve"> also cites to the</w:t>
      </w:r>
      <w:r w:rsidR="00112F8D">
        <w:t xml:space="preserve"> Commission’s website</w:t>
      </w:r>
      <w:r w:rsidR="003F30BA">
        <w:t>.</w:t>
      </w:r>
      <w:r w:rsidR="00126D07">
        <w:t xml:space="preserve">  FCC, </w:t>
      </w:r>
      <w:r w:rsidR="00126D07">
        <w:rPr>
          <w:i/>
          <w:iCs/>
        </w:rPr>
        <w:t>License Renewal Applications for Radio Broadcast Stations</w:t>
      </w:r>
      <w:r w:rsidR="00214E35">
        <w:rPr>
          <w:i/>
          <w:iCs/>
        </w:rPr>
        <w:t>,</w:t>
      </w:r>
      <w:r w:rsidR="000E3DBE">
        <w:t xml:space="preserve"> </w:t>
      </w:r>
      <w:hyperlink r:id="rId1" w:anchor="P2D" w:history="1">
        <w:r w:rsidRPr="000F612C" w:rsidR="0006173D">
          <w:rPr>
            <w:rStyle w:val="Hyperlink"/>
          </w:rPr>
          <w:t>https://www.fcc.gov/media/radio/broadcast-radio-license-renewal#P2D</w:t>
        </w:r>
      </w:hyperlink>
      <w:r w:rsidR="00717687">
        <w:rPr>
          <w:rStyle w:val="Hyperlink"/>
        </w:rPr>
        <w:t xml:space="preserve"> (last visited Mar. 8, 2022)</w:t>
      </w:r>
      <w:r w:rsidR="0083017E">
        <w:rPr>
          <w:rStyle w:val="Hyperlink"/>
        </w:rPr>
        <w:t>.</w:t>
      </w:r>
      <w:r w:rsidR="0006173D">
        <w:t xml:space="preserve"> </w:t>
      </w:r>
    </w:p>
  </w:footnote>
  <w:footnote w:id="21">
    <w:p w:rsidR="00A2322D" w:rsidRPr="00A2322D" w14:paraId="03BBC807" w14:textId="1CD8EB46">
      <w:pPr>
        <w:pStyle w:val="FootnoteText"/>
      </w:pPr>
      <w:r>
        <w:rPr>
          <w:rStyle w:val="FootnoteReference"/>
        </w:rPr>
        <w:footnoteRef/>
      </w:r>
      <w:r>
        <w:t xml:space="preserve"> </w:t>
      </w:r>
      <w:r>
        <w:rPr>
          <w:i/>
          <w:iCs/>
        </w:rPr>
        <w:t>Id</w:t>
      </w:r>
      <w:r>
        <w:t xml:space="preserve">. at 2.  David again also cites to the Commission’s website </w:t>
      </w:r>
      <w:r w:rsidR="00573CFA">
        <w:t>where we state “[a]n informal objection need not contain the affidavit required for a Petition to Deny.”</w:t>
      </w:r>
      <w:r w:rsidR="0047605E">
        <w:t xml:space="preserve">  FCC, </w:t>
      </w:r>
      <w:r w:rsidR="0047605E">
        <w:rPr>
          <w:i/>
          <w:iCs/>
        </w:rPr>
        <w:t>License Renewal Applications for Radio Broadcast Stations,</w:t>
      </w:r>
      <w:r w:rsidR="0047605E">
        <w:t xml:space="preserve"> </w:t>
      </w:r>
      <w:hyperlink r:id="rId1" w:anchor="P2D" w:history="1">
        <w:r w:rsidRPr="000F612C" w:rsidR="0047605E">
          <w:rPr>
            <w:rStyle w:val="Hyperlink"/>
          </w:rPr>
          <w:t>https://www.fcc.gov/media/radio/broadcast-radio-license-renewal#P2D</w:t>
        </w:r>
      </w:hyperlink>
      <w:r w:rsidR="0047605E">
        <w:rPr>
          <w:rStyle w:val="Hyperlink"/>
        </w:rPr>
        <w:t xml:space="preserve"> (last visited Mar. 8, 2022).</w:t>
      </w:r>
      <w:r w:rsidR="0047605E">
        <w:t xml:space="preserve"> </w:t>
      </w:r>
      <w:r w:rsidR="00C24A39">
        <w:t xml:space="preserve">  </w:t>
      </w:r>
    </w:p>
  </w:footnote>
  <w:footnote w:id="22">
    <w:p w:rsidR="007C1016" w:rsidRPr="007C1016" w14:paraId="55A064E1" w14:textId="596B9366">
      <w:pPr>
        <w:pStyle w:val="FootnoteText"/>
        <w:rPr>
          <w:i/>
          <w:iCs/>
        </w:rPr>
      </w:pPr>
      <w:r>
        <w:rPr>
          <w:rStyle w:val="FootnoteReference"/>
        </w:rPr>
        <w:footnoteRef/>
      </w:r>
      <w:r>
        <w:t xml:space="preserve"> </w:t>
      </w:r>
      <w:r>
        <w:rPr>
          <w:i/>
          <w:iCs/>
        </w:rPr>
        <w:t>Id.</w:t>
      </w:r>
    </w:p>
  </w:footnote>
  <w:footnote w:id="23">
    <w:p w:rsidR="00306590" w14:paraId="715AE2EA" w14:textId="57DD11B6">
      <w:pPr>
        <w:pStyle w:val="FootnoteText"/>
      </w:pPr>
      <w:r>
        <w:rPr>
          <w:rStyle w:val="FootnoteReference"/>
        </w:rPr>
        <w:footnoteRef/>
      </w:r>
      <w:r>
        <w:t xml:space="preserve"> </w:t>
      </w:r>
      <w:r w:rsidR="002F7A06">
        <w:rPr>
          <w:i/>
          <w:iCs/>
        </w:rPr>
        <w:t xml:space="preserve">See </w:t>
      </w:r>
      <w:r w:rsidRPr="002F7A06">
        <w:t>Resumption of Operations</w:t>
      </w:r>
      <w:r w:rsidRPr="002F7A06" w:rsidR="002F7A06">
        <w:t>, filed Aug. 4, 2021.</w:t>
      </w:r>
    </w:p>
  </w:footnote>
  <w:footnote w:id="24">
    <w:p w:rsidR="00306590" w14:paraId="7D5AF6EA" w14:textId="10FFB43D">
      <w:pPr>
        <w:pStyle w:val="FootnoteText"/>
      </w:pPr>
      <w:r>
        <w:rPr>
          <w:rStyle w:val="FootnoteReference"/>
        </w:rPr>
        <w:footnoteRef/>
      </w:r>
      <w:r>
        <w:t xml:space="preserve"> </w:t>
      </w:r>
      <w:r w:rsidRPr="0055139A" w:rsidR="005E0BD0">
        <w:t xml:space="preserve">E-mail from </w:t>
      </w:r>
      <w:r w:rsidRPr="0055139A" w:rsidR="00100C09">
        <w:t>Dr. Gene Wisniew</w:t>
      </w:r>
      <w:r w:rsidRPr="0055139A" w:rsidR="00C31C8F">
        <w:t xml:space="preserve">ski, World Radio Link, Inc., to </w:t>
      </w:r>
      <w:r w:rsidRPr="0055139A" w:rsidR="003572CF">
        <w:t>Robert Gates, Electronic Engineer, Audio Division, FCC Media Bureau (Aug. 4</w:t>
      </w:r>
      <w:r w:rsidRPr="0055139A" w:rsidR="0055139A">
        <w:t>, 2021, 1:02 AM EDT)</w:t>
      </w:r>
      <w:r w:rsidR="00CC1DB7">
        <w:t xml:space="preserve"> (</w:t>
      </w:r>
      <w:r w:rsidR="00472A4E">
        <w:t xml:space="preserve">August 4 </w:t>
      </w:r>
      <w:r w:rsidR="00CC1DB7">
        <w:t>E-mail).</w:t>
      </w:r>
    </w:p>
  </w:footnote>
  <w:footnote w:id="25">
    <w:p w:rsidR="002B7AC8" w:rsidP="002B7AC8" w14:paraId="45F223D4" w14:textId="45EECC3A">
      <w:pPr>
        <w:widowControl/>
        <w:spacing w:after="120"/>
      </w:pPr>
      <w:r w:rsidRPr="00104F0C">
        <w:rPr>
          <w:rStyle w:val="FootnoteReference"/>
        </w:rPr>
        <w:footnoteRef/>
      </w:r>
      <w:r w:rsidR="00E03CE1">
        <w:t xml:space="preserve"> </w:t>
      </w:r>
      <w:hyperlink r:id="rId2" w:anchor="co_pp_5ba1000067d06" w:history="1">
        <w:r w:rsidRPr="00104F0C">
          <w:rPr>
            <w:snapToGrid/>
            <w:kern w:val="0"/>
            <w:sz w:val="20"/>
          </w:rPr>
          <w:t>47 U.S.C. § 309(d)</w:t>
        </w:r>
      </w:hyperlink>
      <w:r w:rsidRPr="00104F0C">
        <w:rPr>
          <w:snapToGrid/>
          <w:kern w:val="0"/>
          <w:sz w:val="20"/>
        </w:rPr>
        <w:t>.</w:t>
      </w:r>
      <w:r>
        <w:t xml:space="preserve"> </w:t>
      </w:r>
    </w:p>
  </w:footnote>
  <w:footnote w:id="26">
    <w:p w:rsidR="002B7AC8" w:rsidRPr="00104F0C" w:rsidP="002B7AC8" w14:paraId="75554A2A" w14:textId="77777777">
      <w:pPr>
        <w:pStyle w:val="FootnoteText"/>
      </w:pPr>
      <w:r>
        <w:rPr>
          <w:rStyle w:val="FootnoteReference"/>
        </w:rPr>
        <w:footnoteRef/>
      </w:r>
      <w:r>
        <w:t xml:space="preserve"> </w:t>
      </w:r>
      <w:r w:rsidRPr="00104F0C">
        <w:rPr>
          <w:i/>
          <w:iCs/>
          <w:snapToGrid w:val="0"/>
          <w:kern w:val="28"/>
        </w:rPr>
        <w:t>See, e.g.</w:t>
      </w:r>
      <w:r w:rsidRPr="00216285">
        <w:rPr>
          <w:snapToGrid w:val="0"/>
          <w:kern w:val="28"/>
        </w:rPr>
        <w:t xml:space="preserve">, </w:t>
      </w:r>
      <w:hyperlink r:id="rId3" w:anchor="co_pp_sp_4493_197" w:history="1">
        <w:r w:rsidRPr="00104F0C">
          <w:rPr>
            <w:i/>
            <w:iCs/>
            <w:snapToGrid w:val="0"/>
            <w:kern w:val="28"/>
          </w:rPr>
          <w:t>WWOR-TV, Inc.</w:t>
        </w:r>
        <w:r w:rsidRPr="00104F0C">
          <w:rPr>
            <w:snapToGrid w:val="0"/>
            <w:kern w:val="28"/>
          </w:rPr>
          <w:t xml:space="preserve">, Memorandum Opinion and Order, 6 FCC </w:t>
        </w:r>
        <w:r w:rsidRPr="00104F0C">
          <w:rPr>
            <w:snapToGrid w:val="0"/>
            <w:kern w:val="28"/>
          </w:rPr>
          <w:t>Rcd</w:t>
        </w:r>
        <w:r w:rsidRPr="00104F0C">
          <w:rPr>
            <w:snapToGrid w:val="0"/>
            <w:kern w:val="28"/>
          </w:rPr>
          <w:t xml:space="preserve"> 193, 197 n.10 (1990)</w:t>
        </w:r>
      </w:hyperlink>
      <w:r w:rsidRPr="00104F0C">
        <w:rPr>
          <w:snapToGrid w:val="0"/>
          <w:kern w:val="28"/>
        </w:rPr>
        <w:t xml:space="preserve">, </w:t>
      </w:r>
      <w:r w:rsidRPr="00104F0C">
        <w:rPr>
          <w:i/>
          <w:iCs/>
          <w:snapToGrid w:val="0"/>
          <w:kern w:val="28"/>
        </w:rPr>
        <w:t xml:space="preserve">aff'd sub nom. </w:t>
      </w:r>
      <w:hyperlink r:id="rId4" w:history="1">
        <w:r w:rsidRPr="00104F0C">
          <w:rPr>
            <w:i/>
            <w:iCs/>
            <w:snapToGrid w:val="0"/>
            <w:kern w:val="28"/>
          </w:rPr>
          <w:t>Garden State Broad</w:t>
        </w:r>
        <w:r>
          <w:rPr>
            <w:i/>
            <w:iCs/>
            <w:snapToGrid w:val="0"/>
            <w:kern w:val="28"/>
          </w:rPr>
          <w:t>.</w:t>
        </w:r>
        <w:r w:rsidRPr="00104F0C">
          <w:rPr>
            <w:i/>
            <w:iCs/>
            <w:snapToGrid w:val="0"/>
            <w:kern w:val="28"/>
          </w:rPr>
          <w:t xml:space="preserve"> L.P. v. FCC</w:t>
        </w:r>
        <w:r w:rsidRPr="00104F0C">
          <w:rPr>
            <w:snapToGrid w:val="0"/>
            <w:kern w:val="28"/>
          </w:rPr>
          <w:t>, 996 F.2d 386 (D.C. Cir. 1993)</w:t>
        </w:r>
      </w:hyperlink>
      <w:r w:rsidRPr="00104F0C">
        <w:rPr>
          <w:snapToGrid w:val="0"/>
          <w:kern w:val="28"/>
        </w:rPr>
        <w:t xml:space="preserve">, </w:t>
      </w:r>
      <w:r w:rsidRPr="00104F0C">
        <w:rPr>
          <w:i/>
          <w:iCs/>
          <w:snapToGrid w:val="0"/>
          <w:kern w:val="28"/>
        </w:rPr>
        <w:t>reh'g denied</w:t>
      </w:r>
      <w:r w:rsidRPr="00104F0C">
        <w:rPr>
          <w:snapToGrid w:val="0"/>
          <w:kern w:val="28"/>
        </w:rPr>
        <w:t xml:space="preserve"> (Sept. 10, 1993); </w:t>
      </w:r>
      <w:hyperlink r:id="rId5" w:anchor="co_pp_sp_265_864" w:history="1">
        <w:r w:rsidRPr="00104F0C">
          <w:rPr>
            <w:i/>
            <w:iCs/>
            <w:snapToGrid w:val="0"/>
            <w:kern w:val="28"/>
          </w:rPr>
          <w:t>Area Christian Television, Inc.</w:t>
        </w:r>
        <w:r w:rsidRPr="00104F0C">
          <w:rPr>
            <w:snapToGrid w:val="0"/>
            <w:kern w:val="28"/>
          </w:rPr>
          <w:t>, Memorandum Opinion and Order, 60 RR 2d 862, 864 (1986)</w:t>
        </w:r>
      </w:hyperlink>
      <w:r w:rsidRPr="00104F0C">
        <w:rPr>
          <w:snapToGrid w:val="0"/>
          <w:kern w:val="28"/>
        </w:rPr>
        <w:t xml:space="preserve"> (informal objection must contain adequate and specific factual allegations sufficient to warrant the relief requested).</w:t>
      </w:r>
    </w:p>
  </w:footnote>
  <w:footnote w:id="27">
    <w:p w:rsidR="00AE6D4E" w14:paraId="25F9129F" w14:textId="5677BC7E">
      <w:pPr>
        <w:pStyle w:val="FootnoteText"/>
      </w:pPr>
      <w:r>
        <w:rPr>
          <w:rStyle w:val="FootnoteReference"/>
        </w:rPr>
        <w:footnoteRef/>
      </w:r>
      <w:r>
        <w:t xml:space="preserve"> </w:t>
      </w:r>
      <w:r>
        <w:t>47 CFR §</w:t>
      </w:r>
      <w:r w:rsidRPr="00135E29" w:rsidR="00B3580F">
        <w:t>§</w:t>
      </w:r>
      <w:r w:rsidR="00B3580F">
        <w:t xml:space="preserve"> 1.52,</w:t>
      </w:r>
      <w:r>
        <w:t xml:space="preserve"> 73.3587</w:t>
      </w:r>
      <w:r w:rsidR="00654750">
        <w:t>.</w:t>
      </w:r>
    </w:p>
  </w:footnote>
  <w:footnote w:id="28">
    <w:p w:rsidR="009067A6" w:rsidRPr="009A0093" w14:paraId="0FE93DA7" w14:textId="5AE131CC">
      <w:pPr>
        <w:pStyle w:val="FootnoteText"/>
      </w:pPr>
      <w:r>
        <w:rPr>
          <w:rStyle w:val="FootnoteReference"/>
        </w:rPr>
        <w:footnoteRef/>
      </w:r>
      <w:r>
        <w:t xml:space="preserve"> </w:t>
      </w:r>
      <w:r w:rsidR="00AE0C59">
        <w:rPr>
          <w:i/>
          <w:iCs/>
        </w:rPr>
        <w:t>See, e.g.</w:t>
      </w:r>
      <w:r w:rsidRPr="00216285" w:rsidR="00AE0C59">
        <w:t xml:space="preserve">, </w:t>
      </w:r>
      <w:r w:rsidR="00AE0C59">
        <w:rPr>
          <w:i/>
          <w:iCs/>
        </w:rPr>
        <w:t>Geraldine R. Miller</w:t>
      </w:r>
      <w:r w:rsidR="009A0093">
        <w:t xml:space="preserve">, 24 FCC </w:t>
      </w:r>
      <w:r w:rsidR="009A0093">
        <w:t>Rcd</w:t>
      </w:r>
      <w:r w:rsidR="009A0093">
        <w:t xml:space="preserve"> </w:t>
      </w:r>
      <w:r w:rsidRPr="002F6261" w:rsidR="009A0093">
        <w:t>11814, 11815</w:t>
      </w:r>
      <w:r w:rsidRPr="002F6261" w:rsidR="002F6261">
        <w:t xml:space="preserve"> (MB 2009)</w:t>
      </w:r>
      <w:r w:rsidRPr="002F6261" w:rsidR="009A0093">
        <w:t xml:space="preserve"> (treating a</w:t>
      </w:r>
      <w:r w:rsidRPr="002F6261" w:rsidR="00463867">
        <w:t xml:space="preserve"> petition</w:t>
      </w:r>
      <w:r w:rsidR="00463867">
        <w:t xml:space="preserve"> to deny as an informal objection because the objector failed to properly serve the pleading on either the licensee or its counsel and </w:t>
      </w:r>
      <w:r w:rsidR="00BE7C36">
        <w:t>because the objector did not provide an affidavit to support the allegations).</w:t>
      </w:r>
    </w:p>
  </w:footnote>
  <w:footnote w:id="29">
    <w:p w:rsidR="0080261D" w14:paraId="51F951AB" w14:textId="3E85E072">
      <w:pPr>
        <w:pStyle w:val="FootnoteText"/>
      </w:pPr>
      <w:r>
        <w:rPr>
          <w:rStyle w:val="FootnoteReference"/>
        </w:rPr>
        <w:footnoteRef/>
      </w:r>
      <w:r>
        <w:t xml:space="preserve"> </w:t>
      </w:r>
      <w:r>
        <w:t>Objection at 1.</w:t>
      </w:r>
    </w:p>
  </w:footnote>
  <w:footnote w:id="30">
    <w:p w:rsidR="007207CC" w:rsidRPr="00156A23" w:rsidP="007207CC" w14:paraId="2A6FDA66" w14:textId="77777777">
      <w:pPr>
        <w:pStyle w:val="FootnoteText"/>
      </w:pPr>
      <w:r>
        <w:rPr>
          <w:rStyle w:val="FootnoteReference"/>
        </w:rPr>
        <w:footnoteRef/>
      </w:r>
      <w:r>
        <w:t xml:space="preserve"> </w:t>
      </w:r>
      <w:r>
        <w:t xml:space="preserve">47 CFR </w:t>
      </w:r>
      <w:r w:rsidRPr="00135E29">
        <w:t>§</w:t>
      </w:r>
      <w:r>
        <w:t xml:space="preserve"> 73.3587; </w:t>
      </w:r>
      <w:r>
        <w:rPr>
          <w:i/>
          <w:iCs/>
        </w:rPr>
        <w:t>see, e.g.</w:t>
      </w:r>
      <w:r>
        <w:t xml:space="preserve">, </w:t>
      </w:r>
      <w:r>
        <w:rPr>
          <w:i/>
          <w:iCs/>
        </w:rPr>
        <w:t>Channel 61 Associates, LLC</w:t>
      </w:r>
      <w:r>
        <w:t xml:space="preserve">, 31 FCC </w:t>
      </w:r>
      <w:r>
        <w:t>Rcd</w:t>
      </w:r>
      <w:r>
        <w:t xml:space="preserve"> 1340, 1342-43 (MB 2016) (treating a petition to deny from a party not represented by an attorney as an informal objection under section 73.3587 of the rules, because it lacked verification under penalty of perjury and did not state the party’s address).</w:t>
      </w:r>
    </w:p>
  </w:footnote>
  <w:footnote w:id="31">
    <w:p w:rsidR="00D63678" w:rsidP="00D63678" w14:paraId="3E5C4011" w14:textId="479C0835">
      <w:pPr>
        <w:pStyle w:val="FootnoteText"/>
      </w:pPr>
      <w:r>
        <w:rPr>
          <w:rStyle w:val="FootnoteReference"/>
        </w:rPr>
        <w:footnoteRef/>
      </w:r>
      <w:r>
        <w:t xml:space="preserve"> </w:t>
      </w:r>
      <w:r>
        <w:t>47 CFR § 74.1263(c)</w:t>
      </w:r>
      <w:r w:rsidR="001014DA">
        <w:t xml:space="preserve">; </w:t>
      </w:r>
      <w:r w:rsidR="001014DA">
        <w:rPr>
          <w:i/>
          <w:iCs/>
        </w:rPr>
        <w:t>see also Alabama Media, LLC</w:t>
      </w:r>
      <w:r w:rsidR="001014DA">
        <w:t xml:space="preserve">, </w:t>
      </w:r>
      <w:r w:rsidR="00B433BD">
        <w:t xml:space="preserve">34 FCC </w:t>
      </w:r>
      <w:r w:rsidR="00B433BD">
        <w:t>Rcd</w:t>
      </w:r>
      <w:r w:rsidR="00B433BD">
        <w:t xml:space="preserve"> 1913, 1918 (</w:t>
      </w:r>
      <w:r w:rsidR="006C159C">
        <w:t>MB 2019)</w:t>
      </w:r>
      <w:r>
        <w:t>.  Notification must be made within 10 days of the date on which the station first discontinues operation, and Commission approval is required for such discontinued operation</w:t>
      </w:r>
      <w:r w:rsidR="003B4D80">
        <w:t xml:space="preserve"> to continue</w:t>
      </w:r>
      <w:r>
        <w:t xml:space="preserve"> beyond 30 days.   </w:t>
      </w:r>
    </w:p>
  </w:footnote>
  <w:footnote w:id="32">
    <w:p w:rsidR="00676E93" w14:paraId="3634AA0D" w14:textId="2EACF375">
      <w:pPr>
        <w:pStyle w:val="FootnoteText"/>
      </w:pPr>
      <w:r>
        <w:rPr>
          <w:rStyle w:val="FootnoteReference"/>
        </w:rPr>
        <w:footnoteRef/>
      </w:r>
      <w:r>
        <w:t xml:space="preserve"> </w:t>
      </w:r>
      <w:r>
        <w:t>Opposition at 2.</w:t>
      </w:r>
    </w:p>
  </w:footnote>
  <w:footnote w:id="33">
    <w:p w:rsidR="00676E93" w14:paraId="61D44EE3" w14:textId="2C9A307C">
      <w:pPr>
        <w:pStyle w:val="FootnoteText"/>
      </w:pPr>
      <w:r>
        <w:rPr>
          <w:rStyle w:val="FootnoteReference"/>
        </w:rPr>
        <w:footnoteRef/>
      </w:r>
      <w:r>
        <w:t xml:space="preserve"> </w:t>
      </w:r>
      <w:r w:rsidR="0055139A">
        <w:rPr>
          <w:i/>
          <w:iCs/>
        </w:rPr>
        <w:t xml:space="preserve">See </w:t>
      </w:r>
      <w:r w:rsidRPr="002F7A06" w:rsidR="0055139A">
        <w:t>Resumption of Operations, filed Aug. 4, 2021.</w:t>
      </w:r>
    </w:p>
  </w:footnote>
  <w:footnote w:id="34">
    <w:p w:rsidR="00676E93" w:rsidRPr="00CE3E68" w14:paraId="3C89345E" w14:textId="4EDC333D">
      <w:pPr>
        <w:pStyle w:val="FootnoteText"/>
      </w:pPr>
      <w:r w:rsidRPr="00CE3E68">
        <w:rPr>
          <w:rStyle w:val="FootnoteReference"/>
        </w:rPr>
        <w:footnoteRef/>
      </w:r>
      <w:r w:rsidRPr="00CE3E68">
        <w:t xml:space="preserve"> </w:t>
      </w:r>
      <w:r w:rsidRPr="00CE3E68" w:rsidR="00CE3E68">
        <w:rPr>
          <w:i/>
          <w:iCs/>
        </w:rPr>
        <w:t xml:space="preserve">See </w:t>
      </w:r>
      <w:r w:rsidRPr="00CE3E68" w:rsidR="00CE3E68">
        <w:t>STA Request.</w:t>
      </w:r>
    </w:p>
  </w:footnote>
  <w:footnote w:id="35">
    <w:p w:rsidR="00283A73" w:rsidP="00283A73" w14:paraId="33CC02E1" w14:textId="1D6D7D76">
      <w:pPr>
        <w:pStyle w:val="FootnoteText"/>
      </w:pPr>
      <w:r>
        <w:rPr>
          <w:rStyle w:val="FootnoteReference"/>
        </w:rPr>
        <w:footnoteRef/>
      </w:r>
      <w:r>
        <w:t xml:space="preserve"> </w:t>
      </w:r>
      <w:r w:rsidR="00CC6488">
        <w:t>47 CFR</w:t>
      </w:r>
      <w:r>
        <w:t xml:space="preserve"> § 1.65.</w:t>
      </w:r>
    </w:p>
  </w:footnote>
  <w:footnote w:id="36">
    <w:p w:rsidR="00283A73" w:rsidP="00283A73" w14:paraId="349753AC" w14:textId="77777777">
      <w:pPr>
        <w:pStyle w:val="FootnoteText"/>
      </w:pPr>
      <w:r>
        <w:rPr>
          <w:rStyle w:val="FootnoteReference"/>
        </w:rPr>
        <w:footnoteRef/>
      </w:r>
      <w:r>
        <w:t xml:space="preserve"> </w:t>
      </w:r>
      <w:r w:rsidRPr="00796C43">
        <w:rPr>
          <w:i/>
          <w:iCs/>
        </w:rPr>
        <w:t>Id</w:t>
      </w:r>
      <w:r>
        <w:t>.</w:t>
      </w:r>
    </w:p>
  </w:footnote>
  <w:footnote w:id="37">
    <w:p w:rsidR="008A4B61" w:rsidRPr="006E0218" w14:paraId="1D4BB7EE" w14:textId="63EF8905">
      <w:pPr>
        <w:pStyle w:val="FootnoteText"/>
      </w:pPr>
      <w:r>
        <w:rPr>
          <w:rStyle w:val="FootnoteReference"/>
        </w:rPr>
        <w:footnoteRef/>
      </w:r>
      <w:r>
        <w:t xml:space="preserve"> </w:t>
      </w:r>
      <w:r w:rsidR="006E0218">
        <w:rPr>
          <w:i/>
          <w:iCs/>
        </w:rPr>
        <w:t xml:space="preserve">See supra </w:t>
      </w:r>
      <w:r w:rsidR="006E0218">
        <w:t>notes 21-22.</w:t>
      </w:r>
    </w:p>
  </w:footnote>
  <w:footnote w:id="38">
    <w:p w:rsidR="00420B1F" w14:paraId="369FFBEC" w14:textId="6DF16F3C">
      <w:pPr>
        <w:pStyle w:val="FootnoteText"/>
      </w:pPr>
      <w:r>
        <w:rPr>
          <w:rStyle w:val="FootnoteReference"/>
        </w:rPr>
        <w:footnoteRef/>
      </w:r>
      <w:r>
        <w:t xml:space="preserve"> </w:t>
      </w:r>
      <w:r>
        <w:t xml:space="preserve">47 CFR </w:t>
      </w:r>
      <w:r w:rsidRPr="007B26A7">
        <w:t>§</w:t>
      </w:r>
      <w:r>
        <w:t xml:space="preserve"> 74.1251(c)</w:t>
      </w:r>
      <w:r w:rsidR="009B61C8">
        <w:t xml:space="preserve"> (“</w:t>
      </w:r>
      <w:r w:rsidRPr="009B61C8" w:rsidR="009B61C8">
        <w:t>Changes in the primary FM station being retransmitted must be submitted to the FCC in writing.</w:t>
      </w:r>
      <w:r w:rsidR="009B61C8">
        <w:t>”).</w:t>
      </w:r>
    </w:p>
  </w:footnote>
  <w:footnote w:id="39">
    <w:p w:rsidR="00AB4F40" w14:paraId="30D201E4" w14:textId="6C0B365A">
      <w:pPr>
        <w:pStyle w:val="FootnoteText"/>
      </w:pPr>
      <w:r>
        <w:rPr>
          <w:rStyle w:val="FootnoteReference"/>
        </w:rPr>
        <w:footnoteRef/>
      </w:r>
      <w:r>
        <w:t xml:space="preserve"> </w:t>
      </w:r>
      <w:r>
        <w:t>Opposition at 2</w:t>
      </w:r>
      <w:r w:rsidR="00B516FD">
        <w:t>-3</w:t>
      </w:r>
      <w:r>
        <w:t>.</w:t>
      </w:r>
      <w:r w:rsidR="004070FF">
        <w:t xml:space="preserve">  David states that Station was rebroadcasting WLEY-FM-HD2.</w:t>
      </w:r>
      <w:r w:rsidR="002B3630">
        <w:t xml:space="preserve">  Objection at 1.</w:t>
      </w:r>
    </w:p>
  </w:footnote>
  <w:footnote w:id="40">
    <w:p w:rsidR="00C13AFC" w14:paraId="37D25622" w14:textId="489634B5">
      <w:pPr>
        <w:pStyle w:val="FootnoteText"/>
      </w:pPr>
      <w:r>
        <w:rPr>
          <w:rStyle w:val="FootnoteReference"/>
        </w:rPr>
        <w:footnoteRef/>
      </w:r>
      <w:r>
        <w:t xml:space="preserve"> </w:t>
      </w:r>
      <w:r w:rsidRPr="00C035E7" w:rsidR="00C035E7">
        <w:rPr>
          <w:i/>
          <w:iCs/>
        </w:rPr>
        <w:t xml:space="preserve">See </w:t>
      </w:r>
      <w:r w:rsidRPr="00C035E7" w:rsidR="00C035E7">
        <w:t>BPFT-20141218AEA</w:t>
      </w:r>
      <w:r w:rsidRPr="00C035E7">
        <w:t xml:space="preserve">.  Licensee </w:t>
      </w:r>
      <w:r>
        <w:t>states that</w:t>
      </w:r>
      <w:r w:rsidR="00B516FD">
        <w:t xml:space="preserve"> “at one time</w:t>
      </w:r>
      <w:r w:rsidR="004B6824">
        <w:t>, the</w:t>
      </w:r>
      <w:r>
        <w:t xml:space="preserve"> </w:t>
      </w:r>
      <w:r w:rsidR="004B6824">
        <w:t>[</w:t>
      </w:r>
      <w:r w:rsidR="00210669">
        <w:t>S</w:t>
      </w:r>
      <w:r w:rsidR="004B6824">
        <w:t>]</w:t>
      </w:r>
      <w:r w:rsidR="00210669">
        <w:t>tation</w:t>
      </w:r>
      <w:r w:rsidR="004B6824">
        <w:t xml:space="preserve"> was rebroadcasting WTMX” but</w:t>
      </w:r>
      <w:r w:rsidR="005C0336">
        <w:t xml:space="preserve"> Licensee</w:t>
      </w:r>
      <w:r w:rsidR="00AD7214">
        <w:t xml:space="preserve"> </w:t>
      </w:r>
      <w:r w:rsidR="00C040B8">
        <w:t xml:space="preserve">does not indicate when or why the Station ceased to </w:t>
      </w:r>
      <w:r w:rsidR="004B6824">
        <w:t>rebroadcast</w:t>
      </w:r>
      <w:r w:rsidR="00C040B8">
        <w:t xml:space="preserve"> </w:t>
      </w:r>
      <w:r w:rsidR="00AD7214">
        <w:t xml:space="preserve">that </w:t>
      </w:r>
      <w:r w:rsidR="004B6824">
        <w:t>station</w:t>
      </w:r>
      <w:r w:rsidR="00AD7214">
        <w:t xml:space="preserve"> and instead began rebroadcasting WLEY.  Opposition at </w:t>
      </w:r>
      <w:r w:rsidR="004B6824">
        <w:t>3</w:t>
      </w:r>
      <w:r w:rsidR="00AD7214">
        <w:t>.</w:t>
      </w:r>
      <w:r w:rsidR="000A76F1">
        <w:t xml:space="preserve">  Once the Station resumed operations, Licensee changed the primary station to WOJO-HD2 and brought the Station back into compliance.  </w:t>
      </w:r>
      <w:r w:rsidRPr="00CC1DB7" w:rsidR="000A76F1">
        <w:rPr>
          <w:i/>
          <w:iCs/>
        </w:rPr>
        <w:t xml:space="preserve">See </w:t>
      </w:r>
      <w:r w:rsidR="000A76F1">
        <w:t>August 4 E-mail</w:t>
      </w:r>
      <w:r w:rsidRPr="00CC1DB7" w:rsidR="000A76F1">
        <w:t>.</w:t>
      </w:r>
    </w:p>
  </w:footnote>
  <w:footnote w:id="41">
    <w:p w:rsidR="00D47815" w:rsidRPr="00D47815" w14:paraId="43BEFC29" w14:textId="61658799">
      <w:pPr>
        <w:pStyle w:val="FootnoteText"/>
      </w:pPr>
      <w:r>
        <w:rPr>
          <w:rStyle w:val="FootnoteReference"/>
        </w:rPr>
        <w:footnoteRef/>
      </w:r>
      <w:r>
        <w:t xml:space="preserve"> </w:t>
      </w:r>
      <w:r>
        <w:rPr>
          <w:i/>
          <w:iCs/>
        </w:rPr>
        <w:t>See Carolina Radio Group, Inc.</w:t>
      </w:r>
      <w:r>
        <w:t xml:space="preserve">, </w:t>
      </w:r>
      <w:r w:rsidR="00C11ACD">
        <w:t xml:space="preserve">34 FCC </w:t>
      </w:r>
      <w:r w:rsidR="00C11ACD">
        <w:t>Rcd</w:t>
      </w:r>
      <w:r w:rsidR="00C11ACD">
        <w:t xml:space="preserve"> 11181, </w:t>
      </w:r>
      <w:r w:rsidR="002836A6">
        <w:t xml:space="preserve">11183 </w:t>
      </w:r>
      <w:r w:rsidR="00C11ACD">
        <w:t>(MB 2019).</w:t>
      </w:r>
    </w:p>
  </w:footnote>
  <w:footnote w:id="42">
    <w:p w:rsidR="00EB5B34" w:rsidRPr="007B26A7" w:rsidP="00EB5B34" w14:paraId="2F995235" w14:textId="77777777">
      <w:pPr>
        <w:pStyle w:val="Footer"/>
        <w:spacing w:after="120"/>
        <w:rPr>
          <w:sz w:val="20"/>
        </w:rPr>
      </w:pPr>
      <w:r w:rsidRPr="007B26A7">
        <w:rPr>
          <w:rStyle w:val="FootnoteReference"/>
        </w:rPr>
        <w:footnoteRef/>
      </w:r>
      <w:r w:rsidRPr="007B26A7">
        <w:rPr>
          <w:sz w:val="20"/>
        </w:rPr>
        <w:t xml:space="preserve"> </w:t>
      </w:r>
      <w:r w:rsidRPr="007B26A7">
        <w:rPr>
          <w:sz w:val="20"/>
        </w:rPr>
        <w:t xml:space="preserve">47 U.S.C. § 503(b)(1)(B).  </w:t>
      </w:r>
      <w:r w:rsidRPr="007B26A7">
        <w:rPr>
          <w:i/>
          <w:sz w:val="20"/>
        </w:rPr>
        <w:t>S</w:t>
      </w:r>
      <w:r w:rsidRPr="007B26A7">
        <w:rPr>
          <w:i/>
          <w:iCs/>
          <w:sz w:val="20"/>
        </w:rPr>
        <w:t>ee also</w:t>
      </w:r>
      <w:r w:rsidRPr="007B26A7">
        <w:rPr>
          <w:sz w:val="20"/>
        </w:rPr>
        <w:t xml:space="preserve"> 47 CFR </w:t>
      </w:r>
      <w:r>
        <w:rPr>
          <w:sz w:val="20"/>
        </w:rPr>
        <w:t xml:space="preserve">§ </w:t>
      </w:r>
      <w:r w:rsidRPr="007B26A7">
        <w:rPr>
          <w:sz w:val="20"/>
        </w:rPr>
        <w:t>1.80(a)(1).</w:t>
      </w:r>
    </w:p>
  </w:footnote>
  <w:footnote w:id="43">
    <w:p w:rsidR="00EB5B34" w:rsidRPr="007B26A7" w:rsidP="00EB5B34" w14:paraId="27F38C1A" w14:textId="77777777">
      <w:pPr>
        <w:pStyle w:val="Footer"/>
        <w:spacing w:after="120"/>
        <w:rPr>
          <w:sz w:val="20"/>
        </w:rPr>
      </w:pPr>
      <w:r w:rsidRPr="007B26A7">
        <w:rPr>
          <w:rStyle w:val="FootnoteReference"/>
        </w:rPr>
        <w:footnoteRef/>
      </w:r>
      <w:r w:rsidRPr="007B26A7">
        <w:rPr>
          <w:sz w:val="20"/>
        </w:rPr>
        <w:t xml:space="preserve"> </w:t>
      </w:r>
      <w:r w:rsidRPr="007B26A7">
        <w:rPr>
          <w:sz w:val="20"/>
        </w:rPr>
        <w:t>47 U.S.C. § 312(f)(1).</w:t>
      </w:r>
    </w:p>
  </w:footnote>
  <w:footnote w:id="44">
    <w:p w:rsidR="00EB5B34" w:rsidRPr="007B26A7" w:rsidP="00EB5B34" w14:paraId="45529AE9" w14:textId="77777777">
      <w:pPr>
        <w:pStyle w:val="Footer"/>
        <w:spacing w:after="120"/>
        <w:rPr>
          <w:sz w:val="20"/>
        </w:rPr>
      </w:pPr>
      <w:r w:rsidRPr="007B26A7">
        <w:rPr>
          <w:rStyle w:val="FootnoteReference"/>
        </w:rPr>
        <w:footnoteRef/>
      </w:r>
      <w:r w:rsidRPr="007B26A7">
        <w:rPr>
          <w:i/>
          <w:sz w:val="20"/>
        </w:rPr>
        <w:t xml:space="preserve"> </w:t>
      </w:r>
      <w:r w:rsidRPr="007B26A7">
        <w:rPr>
          <w:i/>
          <w:sz w:val="20"/>
        </w:rPr>
        <w:t>See</w:t>
      </w:r>
      <w:r w:rsidRPr="007B26A7">
        <w:rPr>
          <w:sz w:val="20"/>
        </w:rPr>
        <w:t xml:space="preserve"> H.R. Rep. No. 97-765, 97</w:t>
      </w:r>
      <w:r w:rsidRPr="007B26A7">
        <w:rPr>
          <w:sz w:val="20"/>
          <w:vertAlign w:val="superscript"/>
        </w:rPr>
        <w:t>th</w:t>
      </w:r>
      <w:r w:rsidRPr="007B26A7">
        <w:rPr>
          <w:sz w:val="20"/>
        </w:rPr>
        <w:t xml:space="preserve"> Cong. 2d Sess. 51 (1982).</w:t>
      </w:r>
    </w:p>
  </w:footnote>
  <w:footnote w:id="45">
    <w:p w:rsidR="00EB5B34" w:rsidRPr="007B26A7" w:rsidP="00EB5B34" w14:paraId="0D0DB1D7" w14:textId="77777777">
      <w:pPr>
        <w:pStyle w:val="Footer"/>
        <w:spacing w:after="120"/>
        <w:rPr>
          <w:sz w:val="20"/>
        </w:rPr>
      </w:pPr>
      <w:r w:rsidRPr="007B26A7">
        <w:rPr>
          <w:rStyle w:val="FootnoteReference"/>
        </w:rPr>
        <w:footnoteRef/>
      </w:r>
      <w:r w:rsidRPr="007B26A7">
        <w:rPr>
          <w:i/>
          <w:iCs/>
          <w:sz w:val="20"/>
        </w:rPr>
        <w:t xml:space="preserve"> </w:t>
      </w:r>
      <w:r w:rsidRPr="007B26A7">
        <w:rPr>
          <w:i/>
          <w:iCs/>
          <w:sz w:val="20"/>
        </w:rPr>
        <w:t>See Southern California Broad. Co.</w:t>
      </w:r>
      <w:r w:rsidRPr="007B26A7">
        <w:rPr>
          <w:sz w:val="20"/>
        </w:rPr>
        <w:t xml:space="preserve">, Memorandum Opinion and Order, 6 FCC </w:t>
      </w:r>
      <w:r w:rsidRPr="007B26A7">
        <w:rPr>
          <w:sz w:val="20"/>
        </w:rPr>
        <w:t>Rcd</w:t>
      </w:r>
      <w:r w:rsidRPr="007B26A7">
        <w:rPr>
          <w:sz w:val="20"/>
        </w:rPr>
        <w:t xml:space="preserve"> 4387, 4388</w:t>
      </w:r>
      <w:r>
        <w:rPr>
          <w:sz w:val="20"/>
        </w:rPr>
        <w:t>,</w:t>
      </w:r>
      <w:r w:rsidRPr="007B26A7">
        <w:rPr>
          <w:sz w:val="20"/>
        </w:rPr>
        <w:t xml:space="preserve"> para. 5 (1991) </w:t>
      </w:r>
      <w:r w:rsidRPr="007B26A7">
        <w:rPr>
          <w:i/>
          <w:sz w:val="20"/>
        </w:rPr>
        <w:t>recon denied</w:t>
      </w:r>
      <w:r w:rsidRPr="007B26A7">
        <w:rPr>
          <w:sz w:val="20"/>
        </w:rPr>
        <w:t xml:space="preserve">, 7 FCC </w:t>
      </w:r>
      <w:r w:rsidRPr="007B26A7">
        <w:rPr>
          <w:sz w:val="20"/>
        </w:rPr>
        <w:t>Rcd</w:t>
      </w:r>
      <w:r w:rsidRPr="007B26A7">
        <w:rPr>
          <w:sz w:val="20"/>
        </w:rPr>
        <w:t xml:space="preserve"> 3454 (1992).</w:t>
      </w:r>
    </w:p>
  </w:footnote>
  <w:footnote w:id="46">
    <w:p w:rsidR="00EB5B34" w:rsidRPr="007B26A7" w:rsidP="00EB5B34" w14:paraId="616C4CBC" w14:textId="77777777">
      <w:pPr>
        <w:pStyle w:val="Footer"/>
        <w:spacing w:after="120"/>
        <w:rPr>
          <w:sz w:val="20"/>
        </w:rPr>
      </w:pPr>
      <w:r w:rsidRPr="007B26A7">
        <w:rPr>
          <w:rStyle w:val="FootnoteReference"/>
        </w:rPr>
        <w:footnoteRef/>
      </w:r>
      <w:r w:rsidRPr="007B26A7">
        <w:rPr>
          <w:sz w:val="20"/>
        </w:rPr>
        <w:t xml:space="preserve"> </w:t>
      </w:r>
      <w:r w:rsidRPr="007B26A7">
        <w:rPr>
          <w:sz w:val="20"/>
        </w:rPr>
        <w:t xml:space="preserve">47 U.S.C. § 312(f)(2). </w:t>
      </w:r>
    </w:p>
  </w:footnote>
  <w:footnote w:id="47">
    <w:p w:rsidR="00EB5B34" w:rsidP="00EB5B34" w14:paraId="12C8BB04" w14:textId="77777777">
      <w:pPr>
        <w:pStyle w:val="FootnoteText"/>
      </w:pPr>
      <w:r>
        <w:rPr>
          <w:rStyle w:val="FootnoteReference"/>
        </w:rPr>
        <w:footnoteRef/>
      </w:r>
      <w:r>
        <w:t xml:space="preserve"> </w:t>
      </w:r>
      <w:r w:rsidRPr="004F4EDD">
        <w:rPr>
          <w:i/>
          <w:szCs w:val="22"/>
        </w:rPr>
        <w:t>See Forfeiture Policy Statement</w:t>
      </w:r>
      <w:r>
        <w:rPr>
          <w:i/>
          <w:szCs w:val="22"/>
        </w:rPr>
        <w:t xml:space="preserve"> and Amendment of Section 1.80(b) of the Rules to Incorporate Forfeiture Guidelines</w:t>
      </w:r>
      <w:r>
        <w:rPr>
          <w:szCs w:val="22"/>
        </w:rPr>
        <w:t xml:space="preserve">, Report and Order, 12 FCC </w:t>
      </w:r>
      <w:r>
        <w:rPr>
          <w:szCs w:val="22"/>
        </w:rPr>
        <w:t>Rcd</w:t>
      </w:r>
      <w:r>
        <w:rPr>
          <w:szCs w:val="22"/>
        </w:rPr>
        <w:t xml:space="preserve"> 17087, 17113-15 (1997) (</w:t>
      </w:r>
      <w:r w:rsidRPr="004F4EDD">
        <w:rPr>
          <w:i/>
          <w:szCs w:val="22"/>
        </w:rPr>
        <w:t>Forfeiture Policy Statement</w:t>
      </w:r>
      <w:r>
        <w:rPr>
          <w:szCs w:val="22"/>
        </w:rPr>
        <w:t xml:space="preserve">), </w:t>
      </w:r>
      <w:r w:rsidRPr="004F4EDD">
        <w:rPr>
          <w:i/>
          <w:szCs w:val="22"/>
        </w:rPr>
        <w:t>recon denied</w:t>
      </w:r>
      <w:r>
        <w:rPr>
          <w:szCs w:val="22"/>
        </w:rPr>
        <w:t xml:space="preserve">, Memorandum Opinion and Order, 15 FCC </w:t>
      </w:r>
      <w:r>
        <w:rPr>
          <w:szCs w:val="22"/>
        </w:rPr>
        <w:t>Rcd</w:t>
      </w:r>
      <w:r>
        <w:rPr>
          <w:szCs w:val="22"/>
        </w:rPr>
        <w:t xml:space="preserve"> 303 (1999); 47 CFR § 1.80.  </w:t>
      </w:r>
    </w:p>
  </w:footnote>
  <w:footnote w:id="48">
    <w:p w:rsidR="00EB5B34" w:rsidRPr="0038030B" w:rsidP="00EB5B34" w14:paraId="5F7E050E" w14:textId="3BEB16FE">
      <w:pPr>
        <w:pStyle w:val="FootnoteText"/>
      </w:pPr>
      <w:r w:rsidRPr="0038030B">
        <w:rPr>
          <w:rStyle w:val="FootnoteReference"/>
        </w:rPr>
        <w:footnoteRef/>
      </w:r>
      <w:r w:rsidRPr="0038030B">
        <w:t xml:space="preserve"> </w:t>
      </w:r>
      <w:r w:rsidRPr="0038030B">
        <w:t xml:space="preserve">47 U.S.C. § 503(b)(2)(D); </w:t>
      </w:r>
      <w:r w:rsidRPr="0038030B">
        <w:rPr>
          <w:i/>
        </w:rPr>
        <w:t xml:space="preserve">see also Forfeiture Policy Statement, </w:t>
      </w:r>
      <w:r w:rsidRPr="0038030B">
        <w:t xml:space="preserve">12 FCC </w:t>
      </w:r>
      <w:r w:rsidRPr="0038030B">
        <w:t>Rcd</w:t>
      </w:r>
      <w:r w:rsidRPr="0038030B">
        <w:t xml:space="preserve"> at 17100, para. 27; 47 CFR § 1.80(b)(</w:t>
      </w:r>
      <w:r w:rsidR="00424672">
        <w:t>10</w:t>
      </w:r>
      <w:r w:rsidRPr="0038030B">
        <w:t>).</w:t>
      </w:r>
    </w:p>
  </w:footnote>
  <w:footnote w:id="49">
    <w:p w:rsidR="00846BE7" w14:paraId="549FDEFC" w14:textId="2126B78B">
      <w:pPr>
        <w:pStyle w:val="FootnoteText"/>
      </w:pPr>
      <w:r>
        <w:rPr>
          <w:rStyle w:val="FootnoteReference"/>
        </w:rPr>
        <w:footnoteRef/>
      </w:r>
      <w:r>
        <w:t xml:space="preserve"> </w:t>
      </w:r>
      <w:r>
        <w:rPr>
          <w:i/>
        </w:rPr>
        <w:t>See Forfeiture Policy Statement and Amendment of Section 1.80(b) of the Rules to Incorporate the Forfeiture Guidelines</w:t>
      </w:r>
      <w:r>
        <w:t xml:space="preserve">, Report and Order, 12 FCC </w:t>
      </w:r>
      <w:r>
        <w:t>Rcd</w:t>
      </w:r>
      <w:r>
        <w:t xml:space="preserve"> 17087, 17113-15 (1997) </w:t>
      </w:r>
      <w:r>
        <w:rPr>
          <w:i/>
        </w:rPr>
        <w:t>(Forfeiture Policy Statement),</w:t>
      </w:r>
      <w:r>
        <w:t xml:space="preserve"> </w:t>
      </w:r>
      <w:r>
        <w:rPr>
          <w:i/>
        </w:rPr>
        <w:t>recon. denied</w:t>
      </w:r>
      <w:r>
        <w:t xml:space="preserve">, 15 FCC </w:t>
      </w:r>
      <w:r>
        <w:t>Rcd</w:t>
      </w:r>
      <w:r>
        <w:t xml:space="preserve"> 303 (1999); 47 CFR § 1.80(b</w:t>
      </w:r>
      <w:r w:rsidRPr="003D4939">
        <w:t>)(</w:t>
      </w:r>
      <w:r w:rsidRPr="003D4939" w:rsidR="00424672">
        <w:t>10</w:t>
      </w:r>
      <w:r w:rsidRPr="003D4939">
        <w:t>), note to paragraph (b)(</w:t>
      </w:r>
      <w:r w:rsidRPr="003D4939" w:rsidR="00424672">
        <w:t>10</w:t>
      </w:r>
      <w:r w:rsidRPr="003D4939">
        <w:t>), Section I.</w:t>
      </w:r>
    </w:p>
  </w:footnote>
  <w:footnote w:id="50">
    <w:p w:rsidR="006C1DDB" w14:paraId="61639689" w14:textId="6CABFA6F">
      <w:pPr>
        <w:pStyle w:val="FootnoteText"/>
      </w:pPr>
      <w:r>
        <w:rPr>
          <w:rStyle w:val="FootnoteReference"/>
        </w:rPr>
        <w:footnoteRef/>
      </w:r>
      <w:r>
        <w:t xml:space="preserve"> </w:t>
      </w:r>
      <w:r w:rsidR="00A539CF">
        <w:t>Opposition at 2.</w:t>
      </w:r>
    </w:p>
  </w:footnote>
  <w:footnote w:id="51">
    <w:p w:rsidR="00E735A7" w:rsidP="00E735A7" w14:paraId="24579ED5" w14:textId="77777777">
      <w:pPr>
        <w:pStyle w:val="FootnoteText"/>
      </w:pPr>
      <w:r>
        <w:rPr>
          <w:rStyle w:val="FootnoteReference"/>
        </w:rPr>
        <w:footnoteRef/>
      </w:r>
      <w:r>
        <w:rPr>
          <w:i/>
        </w:rPr>
        <w:t xml:space="preserve"> </w:t>
      </w:r>
      <w:r>
        <w:t>47 U.S.C. § 309(k).</w:t>
      </w:r>
    </w:p>
  </w:footnote>
  <w:footnote w:id="52">
    <w:p w:rsidR="00E735A7" w:rsidP="00E735A7" w14:paraId="50752320" w14:textId="778E2BB2">
      <w:pPr>
        <w:pStyle w:val="FootnoteText"/>
      </w:pPr>
      <w:r>
        <w:rPr>
          <w:rStyle w:val="FootnoteReference"/>
        </w:rPr>
        <w:footnoteRef/>
      </w:r>
      <w:r>
        <w:t xml:space="preserve"> </w:t>
      </w:r>
      <w:r w:rsidR="007C03AC">
        <w:rPr>
          <w:i/>
          <w:iCs/>
        </w:rPr>
        <w:t>Id.</w:t>
      </w:r>
      <w:r>
        <w:t xml:space="preserve"> § 309(k)(1).  The renewal standard was amended to read as described by Section 204(a) of the Telecommunications Act of 1996, Pub. L. No. 104-104, 110 Stat. 56 (1996).  </w:t>
      </w:r>
      <w:r>
        <w:rPr>
          <w:i/>
        </w:rPr>
        <w:t>See Implementation of Sections 204(a) and 204(c) of the Telecommunications Act of 1996 (Broadcast License Renewal Procedures)</w:t>
      </w:r>
      <w:r>
        <w:t xml:space="preserve">, Order, 11 FCC </w:t>
      </w:r>
      <w:r>
        <w:t>Rcd</w:t>
      </w:r>
      <w:r>
        <w:t xml:space="preserve"> 6363 (1996).</w:t>
      </w:r>
    </w:p>
  </w:footnote>
  <w:footnote w:id="53">
    <w:p w:rsidR="00E735A7" w:rsidP="00E735A7" w14:paraId="38D162FC" w14:textId="77777777">
      <w:pPr>
        <w:pStyle w:val="FootnoteText"/>
      </w:pPr>
      <w:r>
        <w:rPr>
          <w:rStyle w:val="FootnoteReference"/>
        </w:rPr>
        <w:footnoteRef/>
      </w:r>
      <w:r>
        <w:t xml:space="preserve"> </w:t>
      </w:r>
      <w:r>
        <w:t>47 U.S.C. §§ 309(k)(2), 309(k)(3).</w:t>
      </w:r>
    </w:p>
  </w:footnote>
  <w:footnote w:id="54">
    <w:p w:rsidR="0025598B" w:rsidRPr="00F32824" w:rsidP="0025598B" w14:paraId="255027F2" w14:textId="77777777">
      <w:pPr>
        <w:pStyle w:val="Footer"/>
        <w:spacing w:after="120"/>
        <w:rPr>
          <w:sz w:val="20"/>
        </w:rPr>
      </w:pPr>
      <w:r>
        <w:rPr>
          <w:rStyle w:val="FootnoteReference"/>
        </w:rPr>
        <w:footnoteRef/>
      </w:r>
      <w:r>
        <w:t xml:space="preserve"> </w:t>
      </w:r>
      <w:r>
        <w:rPr>
          <w:sz w:val="20"/>
        </w:rPr>
        <w:t xml:space="preserve">For example, we do not find here that Licensee’s operation of the Station “was conducted in an exceedingly careless, inept and negligent manner and that the licensee is either incapable of correcting or unwilling to correct the operating deficiencies.”  </w:t>
      </w:r>
      <w:r>
        <w:rPr>
          <w:i/>
          <w:sz w:val="20"/>
        </w:rPr>
        <w:t>See Heart of the Black Hills Stations</w:t>
      </w:r>
      <w:r>
        <w:rPr>
          <w:sz w:val="20"/>
        </w:rPr>
        <w:t xml:space="preserve">, Decision, 32 FCC 2d 196, 198 (1971).  Nor do we find on the record here that “the number, nature and extent” of the violations indicate that “the licensee cannot be relied upon to operate [the Station] in the future in accordance with the requirements of its licenses and the Commission's Rules.”  </w:t>
      </w:r>
      <w:r>
        <w:rPr>
          <w:i/>
          <w:sz w:val="20"/>
        </w:rPr>
        <w:t>Id.</w:t>
      </w:r>
      <w:r>
        <w:rPr>
          <w:sz w:val="20"/>
        </w:rPr>
        <w:t xml:space="preserve"> at 200.  </w:t>
      </w:r>
      <w:r>
        <w:rPr>
          <w:i/>
          <w:sz w:val="20"/>
        </w:rPr>
        <w:t>Compare with Center for Study and Application of Black Economic Development</w:t>
      </w:r>
      <w:r>
        <w:rPr>
          <w:sz w:val="20"/>
        </w:rPr>
        <w:t xml:space="preserve">, Hearing Designation Order, 6 FCC </w:t>
      </w:r>
      <w:r>
        <w:rPr>
          <w:sz w:val="20"/>
        </w:rPr>
        <w:t>Rcd</w:t>
      </w:r>
      <w:r>
        <w:rPr>
          <w:sz w:val="20"/>
        </w:rPr>
        <w:t xml:space="preserve"> 4622 (1991), </w:t>
      </w:r>
      <w:r>
        <w:rPr>
          <w:i/>
          <w:sz w:val="20"/>
        </w:rPr>
        <w:t>Calvary Educational Broad. Network, Inc</w:t>
      </w:r>
      <w:r>
        <w:rPr>
          <w:sz w:val="20"/>
        </w:rPr>
        <w:t xml:space="preserve">., Hearing Designation Order, 7 FCC </w:t>
      </w:r>
      <w:r>
        <w:rPr>
          <w:sz w:val="20"/>
        </w:rPr>
        <w:t>Rcd</w:t>
      </w:r>
      <w:r>
        <w:rPr>
          <w:sz w:val="20"/>
        </w:rPr>
        <w:t xml:space="preserve"> 4037 (1992).</w:t>
      </w:r>
    </w:p>
  </w:footnote>
  <w:footnote w:id="55">
    <w:p w:rsidR="007F5D67" w:rsidRPr="00514C8E" w:rsidP="007F5D67" w14:paraId="03FD0103" w14:textId="77777777">
      <w:pPr>
        <w:pStyle w:val="FootnoteText"/>
      </w:pPr>
      <w:r w:rsidRPr="00514C8E">
        <w:rPr>
          <w:rStyle w:val="FootnoteReference"/>
        </w:rPr>
        <w:footnoteRef/>
      </w:r>
      <w:r w:rsidRPr="00514C8E">
        <w:t xml:space="preserve"> </w:t>
      </w:r>
      <w:r w:rsidRPr="00514C8E">
        <w:t xml:space="preserve">Payments made using </w:t>
      </w:r>
      <w:r>
        <w:t>CORES</w:t>
      </w:r>
      <w:r w:rsidRPr="00514C8E">
        <w:t xml:space="preserve"> do not require the submission of an FCC Form 159.</w:t>
      </w:r>
    </w:p>
  </w:footnote>
  <w:footnote w:id="56">
    <w:p w:rsidR="007F5D67" w:rsidRPr="00514C8E" w:rsidP="007F5D67" w14:paraId="1C1C7063" w14:textId="77777777">
      <w:pPr>
        <w:pStyle w:val="FootnoteText"/>
      </w:pPr>
      <w:r w:rsidRPr="00514C8E">
        <w:rPr>
          <w:rStyle w:val="FootnoteReference"/>
        </w:rPr>
        <w:footnoteRef/>
      </w:r>
      <w:r w:rsidRPr="00514C8E">
        <w:t xml:space="preserve"> </w:t>
      </w:r>
      <w:r w:rsidRPr="00514C8E">
        <w:t>For questions regarding payment procedures, please contact the Financial Operations Group Help Desk by phone at 1-877-480-3201</w:t>
      </w:r>
      <w:r>
        <w:t xml:space="preserve"> (option #6)</w:t>
      </w:r>
      <w:r w:rsidRPr="00514C8E">
        <w:t xml:space="preserve">, or by e-mail at </w:t>
      </w:r>
      <w:hyperlink r:id="rId6" w:history="1">
        <w:r w:rsidRPr="00514C8E">
          <w:rPr>
            <w:rStyle w:val="Hyperlink"/>
          </w:rPr>
          <w:t>ARINQUIRIES@fcc.gov</w:t>
        </w:r>
      </w:hyperlink>
      <w:r w:rsidRPr="00514C8E">
        <w:t xml:space="preserve">.  </w:t>
      </w:r>
    </w:p>
  </w:footnote>
  <w:footnote w:id="57">
    <w:p w:rsidR="005C6BC5" w:rsidRPr="00514C8E" w:rsidP="005C6BC5" w14:paraId="2579B1E2" w14:textId="77777777">
      <w:pPr>
        <w:pStyle w:val="FootnoteText"/>
      </w:pPr>
      <w:r w:rsidRPr="00514C8E">
        <w:rPr>
          <w:rStyle w:val="FootnoteReference"/>
        </w:rPr>
        <w:footnoteRef/>
      </w:r>
      <w:r w:rsidRPr="00514C8E">
        <w:t xml:space="preserve"> </w:t>
      </w:r>
      <w:r w:rsidRPr="00514C8E">
        <w:t xml:space="preserve">Instructions for completing the form may be obtained at </w:t>
      </w:r>
      <w:hyperlink r:id="rId7" w:history="1">
        <w:r w:rsidRPr="00514C8E">
          <w:rPr>
            <w:rStyle w:val="Hyperlink"/>
          </w:rPr>
          <w:t>https://www.fcc.gov/Forms/Form159/159.pdf</w:t>
        </w:r>
      </w:hyperlink>
      <w:r w:rsidRPr="00514C8E">
        <w:t xml:space="preserve">. </w:t>
      </w:r>
    </w:p>
  </w:footnote>
  <w:footnote w:id="58">
    <w:p w:rsidR="00D0031C" w:rsidRPr="000A4DEF" w:rsidP="00D0031C" w14:paraId="6C3C5E79" w14:textId="77777777">
      <w:pPr>
        <w:pStyle w:val="FootnoteText"/>
        <w:widowControl w:val="0"/>
      </w:pPr>
      <w:r w:rsidRPr="000A4DEF">
        <w:rPr>
          <w:rStyle w:val="FootnoteReference"/>
        </w:rPr>
        <w:footnoteRef/>
      </w:r>
      <w:r w:rsidRPr="000A4DEF">
        <w:t xml:space="preserve"> </w:t>
      </w:r>
      <w:r w:rsidRPr="000A4DEF">
        <w:rPr>
          <w:i/>
        </w:rPr>
        <w:t>See</w:t>
      </w:r>
      <w:r w:rsidRPr="000A4DEF">
        <w:t xml:space="preserve"> 47 CFR § 1.1914.</w:t>
      </w:r>
    </w:p>
  </w:footnote>
  <w:footnote w:id="59">
    <w:p w:rsidR="00754495" w:rsidP="00754495" w14:paraId="575C44FC" w14:textId="77777777">
      <w:pPr>
        <w:pStyle w:val="FootnoteText"/>
      </w:pPr>
      <w:r>
        <w:rPr>
          <w:rStyle w:val="FootnoteReference"/>
        </w:rPr>
        <w:footnoteRef/>
      </w:r>
      <w:r>
        <w:t xml:space="preserve"> </w:t>
      </w:r>
      <w:r>
        <w:rPr>
          <w:rFonts w:ascii="TimesNewRomanPSMT" w:hAnsi="TimesNewRomanPSMT" w:cs="TimesNewRomanPSMT"/>
        </w:rPr>
        <w:t>47 CFR §§ 1.16 and 1.80(f)(3).</w:t>
      </w:r>
    </w:p>
  </w:footnote>
  <w:footnote w:id="60">
    <w:p w:rsidR="00754495" w:rsidP="00754495" w14:paraId="09CF62EC" w14:textId="77777777">
      <w:pPr>
        <w:autoSpaceDE w:val="0"/>
        <w:autoSpaceDN w:val="0"/>
        <w:adjustRightInd w:val="0"/>
        <w:rPr>
          <w:rFonts w:ascii="TimesNewRomanPSMT" w:hAnsi="TimesNewRomanPSMT" w:cs="TimesNewRomanPSMT"/>
          <w:sz w:val="20"/>
        </w:rPr>
      </w:pPr>
      <w:r>
        <w:rPr>
          <w:rStyle w:val="FootnoteReference"/>
        </w:rPr>
        <w:footnoteRef/>
      </w:r>
      <w:r>
        <w:t xml:space="preserve"> </w:t>
      </w:r>
      <w:r>
        <w:rPr>
          <w:rFonts w:ascii="TimesNewRomanPSMT" w:hAnsi="TimesNewRomanPSMT" w:cs="TimesNewRomanPSMT"/>
          <w:sz w:val="20"/>
        </w:rPr>
        <w:t>Effective March 19, 2020, and until further notice, the Commission no longer accepts any hand or messenger</w:t>
      </w:r>
    </w:p>
    <w:p w:rsidR="00754495" w:rsidP="00754495" w14:paraId="7412B65F" w14:textId="77777777">
      <w:pPr>
        <w:autoSpaceDE w:val="0"/>
        <w:autoSpaceDN w:val="0"/>
        <w:adjustRightInd w:val="0"/>
        <w:rPr>
          <w:rFonts w:ascii="TimesNewRomanPSMT" w:hAnsi="TimesNewRomanPSMT" w:cs="TimesNewRomanPSMT"/>
          <w:sz w:val="20"/>
        </w:rPr>
      </w:pPr>
      <w:r>
        <w:rPr>
          <w:rFonts w:ascii="TimesNewRomanPSMT" w:hAnsi="TimesNewRomanPSMT" w:cs="TimesNewRomanPSMT"/>
          <w:sz w:val="20"/>
        </w:rPr>
        <w:t>delivered filings.  This is a temporary measure taken to help protect the health and safety of individuals, and to</w:t>
      </w:r>
    </w:p>
    <w:p w:rsidR="00754495" w:rsidP="00754495" w14:paraId="0CEB5506" w14:textId="77777777">
      <w:pPr>
        <w:autoSpaceDE w:val="0"/>
        <w:autoSpaceDN w:val="0"/>
        <w:adjustRightInd w:val="0"/>
        <w:rPr>
          <w:rFonts w:ascii="TimesNewRomanPS-ItalicMT" w:hAnsi="TimesNewRomanPS-ItalicMT" w:cs="TimesNewRomanPS-ItalicMT"/>
          <w:i/>
          <w:iCs/>
          <w:sz w:val="20"/>
        </w:rPr>
      </w:pPr>
      <w:r>
        <w:rPr>
          <w:rFonts w:ascii="TimesNewRomanPSMT" w:hAnsi="TimesNewRomanPSMT" w:cs="TimesNewRomanPSMT"/>
          <w:sz w:val="20"/>
        </w:rPr>
        <w:t xml:space="preserve">mitigate the transmission of COVID-19.  </w:t>
      </w:r>
      <w:r>
        <w:rPr>
          <w:rFonts w:ascii="TimesNewRomanPS-ItalicMT" w:hAnsi="TimesNewRomanPS-ItalicMT" w:cs="TimesNewRomanPS-ItalicMT"/>
          <w:i/>
          <w:iCs/>
          <w:sz w:val="20"/>
        </w:rPr>
        <w:t>See FCC Announces Closure of FCC Headquarters Open Window and</w:t>
      </w:r>
    </w:p>
    <w:p w:rsidR="00754495" w:rsidP="00754495" w14:paraId="3B297A0E" w14:textId="77777777">
      <w:pPr>
        <w:pStyle w:val="FootnoteText"/>
      </w:pPr>
      <w:r>
        <w:rPr>
          <w:rFonts w:ascii="TimesNewRomanPS-ItalicMT" w:hAnsi="TimesNewRomanPS-ItalicMT" w:cs="TimesNewRomanPS-ItalicMT"/>
          <w:i/>
          <w:iCs/>
        </w:rPr>
        <w:t>Change in Hand-Delivery Filing</w:t>
      </w:r>
      <w:r>
        <w:rPr>
          <w:rFonts w:ascii="TimesNewRomanPSMT" w:hAnsi="TimesNewRomanPSMT" w:cs="TimesNewRomanPSMT"/>
        </w:rPr>
        <w:t xml:space="preserve">, Public Notice, 35 FCC </w:t>
      </w:r>
      <w:r>
        <w:rPr>
          <w:rFonts w:ascii="TimesNewRomanPSMT" w:hAnsi="TimesNewRomanPSMT" w:cs="TimesNewRomanPSMT"/>
        </w:rPr>
        <w:t>Rcd</w:t>
      </w:r>
      <w:r>
        <w:rPr>
          <w:rFonts w:ascii="TimesNewRomanPSMT" w:hAnsi="TimesNewRomanPSMT" w:cs="TimesNewRomanPSMT"/>
        </w:rPr>
        <w:t xml:space="preserve"> 2788 (2020).</w:t>
      </w:r>
    </w:p>
  </w:footnote>
  <w:footnote w:id="61">
    <w:p w:rsidR="00754495" w:rsidP="00754495" w14:paraId="413C51BD" w14:textId="77777777">
      <w:pPr>
        <w:autoSpaceDE w:val="0"/>
        <w:autoSpaceDN w:val="0"/>
        <w:adjustRightInd w:val="0"/>
        <w:rPr>
          <w:rFonts w:ascii="TimesNewRomanPSMT" w:hAnsi="TimesNewRomanPSMT" w:cs="TimesNewRomanPSMT"/>
          <w:sz w:val="20"/>
        </w:rPr>
      </w:pPr>
      <w:r>
        <w:rPr>
          <w:rStyle w:val="FootnoteReference"/>
        </w:rPr>
        <w:footnoteRef/>
      </w:r>
      <w:r>
        <w:t xml:space="preserve"> </w:t>
      </w:r>
      <w:r>
        <w:rPr>
          <w:rFonts w:ascii="TimesNewRomanPSMT" w:hAnsi="TimesNewRomanPSMT" w:cs="TimesNewRomanPSMT"/>
          <w:sz w:val="20"/>
        </w:rPr>
        <w:t xml:space="preserve">47 U.S.C. § 503(b)(2)(E). </w:t>
      </w:r>
      <w:r>
        <w:rPr>
          <w:rFonts w:ascii="TimesNewRomanPS-ItalicMT" w:hAnsi="TimesNewRomanPS-ItalicMT" w:cs="TimesNewRomanPS-ItalicMT"/>
          <w:i/>
          <w:iCs/>
          <w:sz w:val="20"/>
        </w:rPr>
        <w:t>See, e.g.</w:t>
      </w:r>
      <w:r>
        <w:rPr>
          <w:rFonts w:ascii="TimesNewRomanPSMT" w:hAnsi="TimesNewRomanPSMT" w:cs="TimesNewRomanPSMT"/>
          <w:sz w:val="20"/>
        </w:rPr>
        <w:t xml:space="preserve">, </w:t>
      </w:r>
      <w:r>
        <w:rPr>
          <w:rFonts w:ascii="TimesNewRomanPS-ItalicMT" w:hAnsi="TimesNewRomanPS-ItalicMT" w:cs="TimesNewRomanPS-ItalicMT"/>
          <w:i/>
          <w:iCs/>
          <w:sz w:val="20"/>
        </w:rPr>
        <w:t>Adrian Abramovich</w:t>
      </w:r>
      <w:r>
        <w:rPr>
          <w:rFonts w:ascii="TimesNewRomanPSMT" w:hAnsi="TimesNewRomanPSMT" w:cs="TimesNewRomanPSMT"/>
          <w:sz w:val="20"/>
        </w:rPr>
        <w:t xml:space="preserve">, Forfeiture Order, 33 FCC </w:t>
      </w:r>
      <w:r>
        <w:rPr>
          <w:rFonts w:ascii="TimesNewRomanPSMT" w:hAnsi="TimesNewRomanPSMT" w:cs="TimesNewRomanPSMT"/>
          <w:sz w:val="20"/>
        </w:rPr>
        <w:t>Rcd</w:t>
      </w:r>
      <w:r>
        <w:rPr>
          <w:rFonts w:ascii="TimesNewRomanPSMT" w:hAnsi="TimesNewRomanPSMT" w:cs="TimesNewRomanPSMT"/>
          <w:sz w:val="20"/>
        </w:rPr>
        <w:t xml:space="preserve"> 4663, 4678-79, paras. 44-</w:t>
      </w:r>
    </w:p>
    <w:p w:rsidR="00754495" w:rsidP="00754495" w14:paraId="421893A8" w14:textId="77777777">
      <w:pPr>
        <w:pStyle w:val="FootnoteText"/>
      </w:pPr>
      <w:r>
        <w:rPr>
          <w:rFonts w:ascii="TimesNewRomanPSMT" w:hAnsi="TimesNewRomanPSMT" w:cs="TimesNewRomanPSMT"/>
        </w:rPr>
        <w:t>45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3452" w:rsidP="004A3452" w14:paraId="66F57695" w14:textId="5A4BD6CC">
    <w:pPr>
      <w:pStyle w:val="Header"/>
    </w:pPr>
    <w:r>
      <w:tab/>
    </w:r>
    <w:r>
      <w:t>Federal Communications Commission</w:t>
    </w:r>
    <w:r>
      <w:tab/>
      <w:t xml:space="preserve">DA </w:t>
    </w:r>
    <w:r w:rsidR="008A281A">
      <w:t>22-276</w:t>
    </w:r>
  </w:p>
  <w:p w:rsidR="00846BE7" w14:paraId="14513702" w14:textId="71D31FBF">
    <w:pPr>
      <w:pStyle w:val="Header"/>
    </w:pPr>
  </w:p>
  <w:p w:rsidR="00846BE7" w14:paraId="0AB7FFA0" w14:textId="77777777">
    <w:pPr>
      <w:pStyle w:val="Header"/>
    </w:pPr>
    <w:r>
      <w:rPr>
        <w:noProof/>
      </w:rPr>
      <w:pict>
        <v:line id="_x0000_s2049" style="position:absolute;z-index:251659264" from="0,1.75pt" to="468pt,1.75pt" o:allowincell="f"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6BE7" w14:paraId="4E2BF2FF" w14:textId="2B96C72F">
    <w:pPr>
      <w:pStyle w:val="Header"/>
    </w:pPr>
    <w:r>
      <w:tab/>
    </w:r>
    <w:r>
      <w:t>Federal Communications Commission</w:t>
    </w:r>
    <w:r>
      <w:tab/>
      <w:t xml:space="preserve">DA </w:t>
    </w:r>
    <w:bookmarkStart w:id="3" w:name="_Hlk98232471"/>
    <w:r w:rsidR="008A281A">
      <w:t>22-276</w:t>
    </w:r>
    <w:bookmarkEnd w:id="3"/>
  </w:p>
  <w:p w:rsidR="00846BE7" w14:paraId="0715FF80" w14:textId="77777777">
    <w:pPr>
      <w:pStyle w:val="Header"/>
    </w:pPr>
    <w:r>
      <w:rPr>
        <w:noProof/>
      </w:rPr>
      <w:pict>
        <v:line id="_x0000_s2051" style="position:absolute;z-index:251658240" from="0,1.75pt" to="468pt,1.75pt" o:allowincell="f" strokeweight="1.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3">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4">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5">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3D0F1B3D"/>
    <w:multiLevelType w:val="singleLevel"/>
    <w:tmpl w:val="84D209B0"/>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7">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4BBF264E"/>
    <w:multiLevelType w:val="hybridMultilevel"/>
    <w:tmpl w:val="4296E3B2"/>
    <w:lvl w:ilvl="0">
      <w:start w:val="1"/>
      <w:numFmt w:val="decimal"/>
      <w:lvlText w:val="%1."/>
      <w:lvlJc w:val="left"/>
      <w:pPr>
        <w:tabs>
          <w:tab w:val="num" w:pos="1035"/>
        </w:tabs>
        <w:ind w:left="-45" w:firstLine="720"/>
      </w:pPr>
      <w:rPr>
        <w:rFonts w:ascii="Times New Roman" w:hAnsi="Times New Roman" w:hint="default"/>
        <w:b w:val="0"/>
        <w:i w:val="0"/>
        <w:caps w:val="0"/>
        <w:strike w:val="0"/>
        <w:dstrike w:val="0"/>
        <w:shadow w:val="0"/>
        <w:emboss w:val="0"/>
        <w:imprint w:val="0"/>
        <w:vanish w:val="0"/>
        <w:sz w:val="22"/>
        <w:u w:val="none"/>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2">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3">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4">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5">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7">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8">
    <w:nsid w:val="6B376EA1"/>
    <w:multiLevelType w:val="hybridMultilevel"/>
    <w:tmpl w:val="FC3E6744"/>
    <w:lvl w:ilvl="0">
      <w:start w:val="0"/>
      <w:numFmt w:val="bullet"/>
      <w:lvlText w:val="-"/>
      <w:lvlJc w:val="left"/>
      <w:pPr>
        <w:ind w:left="720" w:hanging="360"/>
      </w:pPr>
      <w:rPr>
        <w:rFonts w:ascii="Times New Roman" w:eastAsia="Times New Roman" w:hAnsi="Times New Roman" w:cs="Times New Roman" w:hint="default"/>
        <w:color w:val="FF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13F4486"/>
    <w:multiLevelType w:val="hybridMultilevel"/>
    <w:tmpl w:val="39B2BF10"/>
    <w:lvl w:ilvl="0">
      <w:start w:val="2"/>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lvl w:ilvl="1" w:tentative="1">
      <w:start w:val="1"/>
      <w:numFmt w:val="lowerLetter"/>
      <w:lvlText w:val="%2."/>
      <w:lvlJc w:val="left"/>
      <w:pPr>
        <w:ind w:left="1485" w:hanging="360"/>
      </w:pPr>
    </w:lvl>
    <w:lvl w:ilvl="2" w:tentative="1">
      <w:start w:val="1"/>
      <w:numFmt w:val="lowerRoman"/>
      <w:lvlText w:val="%3."/>
      <w:lvlJc w:val="right"/>
      <w:pPr>
        <w:ind w:left="2205" w:hanging="180"/>
      </w:pPr>
    </w:lvl>
    <w:lvl w:ilvl="3" w:tentative="1">
      <w:start w:val="1"/>
      <w:numFmt w:val="decimal"/>
      <w:lvlText w:val="%4."/>
      <w:lvlJc w:val="left"/>
      <w:pPr>
        <w:ind w:left="2925" w:hanging="360"/>
      </w:pPr>
    </w:lvl>
    <w:lvl w:ilvl="4" w:tentative="1">
      <w:start w:val="1"/>
      <w:numFmt w:val="lowerLetter"/>
      <w:lvlText w:val="%5."/>
      <w:lvlJc w:val="left"/>
      <w:pPr>
        <w:ind w:left="3645" w:hanging="360"/>
      </w:pPr>
    </w:lvl>
    <w:lvl w:ilvl="5" w:tentative="1">
      <w:start w:val="1"/>
      <w:numFmt w:val="lowerRoman"/>
      <w:lvlText w:val="%6."/>
      <w:lvlJc w:val="right"/>
      <w:pPr>
        <w:ind w:left="4365" w:hanging="180"/>
      </w:pPr>
    </w:lvl>
    <w:lvl w:ilvl="6" w:tentative="1">
      <w:start w:val="1"/>
      <w:numFmt w:val="decimal"/>
      <w:lvlText w:val="%7."/>
      <w:lvlJc w:val="left"/>
      <w:pPr>
        <w:ind w:left="5085" w:hanging="360"/>
      </w:pPr>
    </w:lvl>
    <w:lvl w:ilvl="7" w:tentative="1">
      <w:start w:val="1"/>
      <w:numFmt w:val="lowerLetter"/>
      <w:lvlText w:val="%8."/>
      <w:lvlJc w:val="left"/>
      <w:pPr>
        <w:ind w:left="5805" w:hanging="360"/>
      </w:pPr>
    </w:lvl>
    <w:lvl w:ilvl="8" w:tentative="1">
      <w:start w:val="1"/>
      <w:numFmt w:val="lowerRoman"/>
      <w:lvlText w:val="%9."/>
      <w:lvlJc w:val="right"/>
      <w:pPr>
        <w:ind w:left="6525" w:hanging="180"/>
      </w:pPr>
    </w:lvl>
  </w:abstractNum>
  <w:abstractNum w:abstractNumId="30">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7"/>
  </w:num>
  <w:num w:numId="2">
    <w:abstractNumId w:val="30"/>
  </w:num>
  <w:num w:numId="3">
    <w:abstractNumId w:val="5"/>
  </w:num>
  <w:num w:numId="4">
    <w:abstractNumId w:val="22"/>
  </w:num>
  <w:num w:numId="5">
    <w:abstractNumId w:val="9"/>
  </w:num>
  <w:num w:numId="6">
    <w:abstractNumId w:val="25"/>
  </w:num>
  <w:num w:numId="7">
    <w:abstractNumId w:val="17"/>
  </w:num>
  <w:num w:numId="8">
    <w:abstractNumId w:val="10"/>
  </w:num>
  <w:num w:numId="9">
    <w:abstractNumId w:val="24"/>
  </w:num>
  <w:num w:numId="10">
    <w:abstractNumId w:val="15"/>
  </w:num>
  <w:num w:numId="11">
    <w:abstractNumId w:val="14"/>
  </w:num>
  <w:num w:numId="12">
    <w:abstractNumId w:val="11"/>
  </w:num>
  <w:num w:numId="13">
    <w:abstractNumId w:val="16"/>
  </w:num>
  <w:num w:numId="14">
    <w:abstractNumId w:val="23"/>
  </w:num>
  <w:num w:numId="15">
    <w:abstractNumId w:val="3"/>
  </w:num>
  <w:num w:numId="16">
    <w:abstractNumId w:val="4"/>
  </w:num>
  <w:num w:numId="17">
    <w:abstractNumId w:val="12"/>
  </w:num>
  <w:num w:numId="18">
    <w:abstractNumId w:val="1"/>
  </w:num>
  <w:num w:numId="19">
    <w:abstractNumId w:val="13"/>
  </w:num>
  <w:num w:numId="20">
    <w:abstractNumId w:val="18"/>
  </w:num>
  <w:num w:numId="21">
    <w:abstractNumId w:val="21"/>
  </w:num>
  <w:num w:numId="22">
    <w:abstractNumId w:val="16"/>
  </w:num>
  <w:num w:numId="23">
    <w:abstractNumId w:val="26"/>
  </w:num>
  <w:num w:numId="24">
    <w:abstractNumId w:val="16"/>
    <w:lvlOverride w:ilvl="0">
      <w:startOverride w:val="3"/>
    </w:lvlOverride>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9"/>
  </w:num>
  <w:num w:numId="32">
    <w:abstractNumId w:val="29"/>
  </w:num>
  <w:num w:numId="33">
    <w:abstractNumId w:val="16"/>
    <w:lvlOverride w:ilvl="0">
      <w:startOverride w:val="3"/>
    </w:lvlOverride>
  </w:num>
  <w:num w:numId="34">
    <w:abstractNumId w:val="6"/>
  </w:num>
  <w:num w:numId="35">
    <w:abstractNumId w:val="8"/>
  </w:num>
  <w:num w:numId="36">
    <w:abstractNumId w:val="20"/>
  </w:num>
  <w:num w:numId="37">
    <w:abstractNumId w:val="7"/>
  </w:num>
  <w:num w:numId="38">
    <w:abstractNumId w:val="0"/>
  </w:num>
  <w:num w:numId="39">
    <w:abstractNumId w:val="26"/>
    <w:lvlOverride w:ilvl="0">
      <w:startOverride w:val="1"/>
    </w:lvlOverride>
  </w:num>
  <w:num w:numId="40">
    <w:abstractNumId w:val="26"/>
    <w:lvlOverride w:ilvl="0">
      <w:startOverride w:val="14"/>
    </w:lvlOverride>
  </w:num>
  <w:num w:numId="41">
    <w:abstractNumId w:val="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52"/>
    <w:rsid w:val="0000383A"/>
    <w:rsid w:val="0000685E"/>
    <w:rsid w:val="000123CD"/>
    <w:rsid w:val="00017B95"/>
    <w:rsid w:val="00021174"/>
    <w:rsid w:val="0002434E"/>
    <w:rsid w:val="000258BE"/>
    <w:rsid w:val="00025F43"/>
    <w:rsid w:val="00034C45"/>
    <w:rsid w:val="000409CB"/>
    <w:rsid w:val="0004276D"/>
    <w:rsid w:val="00046848"/>
    <w:rsid w:val="0005123B"/>
    <w:rsid w:val="00054BFB"/>
    <w:rsid w:val="000552C6"/>
    <w:rsid w:val="000561CF"/>
    <w:rsid w:val="0006173D"/>
    <w:rsid w:val="00071636"/>
    <w:rsid w:val="00071E88"/>
    <w:rsid w:val="00091C3E"/>
    <w:rsid w:val="00092BC8"/>
    <w:rsid w:val="000A118A"/>
    <w:rsid w:val="000A1F3A"/>
    <w:rsid w:val="000A35F5"/>
    <w:rsid w:val="000A3A99"/>
    <w:rsid w:val="000A4DEF"/>
    <w:rsid w:val="000A4EFB"/>
    <w:rsid w:val="000A76F1"/>
    <w:rsid w:val="000B261E"/>
    <w:rsid w:val="000B7DC1"/>
    <w:rsid w:val="000C1543"/>
    <w:rsid w:val="000D499F"/>
    <w:rsid w:val="000E17FD"/>
    <w:rsid w:val="000E2DD5"/>
    <w:rsid w:val="000E3648"/>
    <w:rsid w:val="000E3DBE"/>
    <w:rsid w:val="000E5387"/>
    <w:rsid w:val="000E6EAF"/>
    <w:rsid w:val="000F0195"/>
    <w:rsid w:val="000F0254"/>
    <w:rsid w:val="000F612C"/>
    <w:rsid w:val="00100C09"/>
    <w:rsid w:val="001014DA"/>
    <w:rsid w:val="00102B96"/>
    <w:rsid w:val="00104F0C"/>
    <w:rsid w:val="00105CC1"/>
    <w:rsid w:val="00112F8D"/>
    <w:rsid w:val="00115404"/>
    <w:rsid w:val="00117707"/>
    <w:rsid w:val="00117A8A"/>
    <w:rsid w:val="001200CE"/>
    <w:rsid w:val="00126D07"/>
    <w:rsid w:val="0012708D"/>
    <w:rsid w:val="00131AF3"/>
    <w:rsid w:val="00131C5B"/>
    <w:rsid w:val="00133ACA"/>
    <w:rsid w:val="00135E29"/>
    <w:rsid w:val="001376C8"/>
    <w:rsid w:val="0015064B"/>
    <w:rsid w:val="00150FBC"/>
    <w:rsid w:val="001523D8"/>
    <w:rsid w:val="00152538"/>
    <w:rsid w:val="00156A23"/>
    <w:rsid w:val="001600B9"/>
    <w:rsid w:val="00160F39"/>
    <w:rsid w:val="001645E3"/>
    <w:rsid w:val="00165969"/>
    <w:rsid w:val="00176DE8"/>
    <w:rsid w:val="00186F17"/>
    <w:rsid w:val="001873AB"/>
    <w:rsid w:val="0019203E"/>
    <w:rsid w:val="001A5ECF"/>
    <w:rsid w:val="001A67AD"/>
    <w:rsid w:val="001A7777"/>
    <w:rsid w:val="001A7DF9"/>
    <w:rsid w:val="001B238F"/>
    <w:rsid w:val="001B38A2"/>
    <w:rsid w:val="001C51A1"/>
    <w:rsid w:val="001C5C48"/>
    <w:rsid w:val="001D41FF"/>
    <w:rsid w:val="001F0A4A"/>
    <w:rsid w:val="00201F91"/>
    <w:rsid w:val="002103FE"/>
    <w:rsid w:val="00210669"/>
    <w:rsid w:val="0021234D"/>
    <w:rsid w:val="00214E35"/>
    <w:rsid w:val="00214FAF"/>
    <w:rsid w:val="00215590"/>
    <w:rsid w:val="00216285"/>
    <w:rsid w:val="00223DE8"/>
    <w:rsid w:val="0024053A"/>
    <w:rsid w:val="00246236"/>
    <w:rsid w:val="00246419"/>
    <w:rsid w:val="0025598B"/>
    <w:rsid w:val="00255CE4"/>
    <w:rsid w:val="00257927"/>
    <w:rsid w:val="00263EE5"/>
    <w:rsid w:val="00264220"/>
    <w:rsid w:val="0027748D"/>
    <w:rsid w:val="002836A6"/>
    <w:rsid w:val="00283A73"/>
    <w:rsid w:val="00293282"/>
    <w:rsid w:val="002A6395"/>
    <w:rsid w:val="002A670E"/>
    <w:rsid w:val="002B3630"/>
    <w:rsid w:val="002B7AC8"/>
    <w:rsid w:val="002C2AA2"/>
    <w:rsid w:val="002C7E58"/>
    <w:rsid w:val="002D0891"/>
    <w:rsid w:val="002D0FA3"/>
    <w:rsid w:val="002D5081"/>
    <w:rsid w:val="002D7F97"/>
    <w:rsid w:val="002E1B6B"/>
    <w:rsid w:val="002E22EA"/>
    <w:rsid w:val="002E2B89"/>
    <w:rsid w:val="002E4039"/>
    <w:rsid w:val="002F51F7"/>
    <w:rsid w:val="002F6261"/>
    <w:rsid w:val="002F7A06"/>
    <w:rsid w:val="003040F8"/>
    <w:rsid w:val="00306590"/>
    <w:rsid w:val="00311FAF"/>
    <w:rsid w:val="00325681"/>
    <w:rsid w:val="00327E08"/>
    <w:rsid w:val="00330489"/>
    <w:rsid w:val="00330E34"/>
    <w:rsid w:val="003359D1"/>
    <w:rsid w:val="00336DE2"/>
    <w:rsid w:val="00340049"/>
    <w:rsid w:val="003427DF"/>
    <w:rsid w:val="00344604"/>
    <w:rsid w:val="00346473"/>
    <w:rsid w:val="003555F6"/>
    <w:rsid w:val="00356D2A"/>
    <w:rsid w:val="003572CF"/>
    <w:rsid w:val="00377DB7"/>
    <w:rsid w:val="0038030B"/>
    <w:rsid w:val="00383C93"/>
    <w:rsid w:val="003A2D03"/>
    <w:rsid w:val="003A3E18"/>
    <w:rsid w:val="003A4175"/>
    <w:rsid w:val="003B4996"/>
    <w:rsid w:val="003B4D80"/>
    <w:rsid w:val="003B59B4"/>
    <w:rsid w:val="003C07E0"/>
    <w:rsid w:val="003C6F0D"/>
    <w:rsid w:val="003D3D48"/>
    <w:rsid w:val="003D4939"/>
    <w:rsid w:val="003D5BEA"/>
    <w:rsid w:val="003E221F"/>
    <w:rsid w:val="003E4539"/>
    <w:rsid w:val="003E49E7"/>
    <w:rsid w:val="003F019D"/>
    <w:rsid w:val="003F30BA"/>
    <w:rsid w:val="003F4CC6"/>
    <w:rsid w:val="003F6C6B"/>
    <w:rsid w:val="00400D02"/>
    <w:rsid w:val="00404E4F"/>
    <w:rsid w:val="00405D55"/>
    <w:rsid w:val="00406C9B"/>
    <w:rsid w:val="004070FF"/>
    <w:rsid w:val="00416BD4"/>
    <w:rsid w:val="00420B1F"/>
    <w:rsid w:val="00424672"/>
    <w:rsid w:val="00427FD1"/>
    <w:rsid w:val="004305BD"/>
    <w:rsid w:val="00430C87"/>
    <w:rsid w:val="00430FA0"/>
    <w:rsid w:val="0043512A"/>
    <w:rsid w:val="00446452"/>
    <w:rsid w:val="0045278A"/>
    <w:rsid w:val="00454992"/>
    <w:rsid w:val="004619F4"/>
    <w:rsid w:val="00462712"/>
    <w:rsid w:val="00463867"/>
    <w:rsid w:val="00465187"/>
    <w:rsid w:val="00472A4E"/>
    <w:rsid w:val="00473FAD"/>
    <w:rsid w:val="0047605E"/>
    <w:rsid w:val="00477229"/>
    <w:rsid w:val="004846C1"/>
    <w:rsid w:val="00486166"/>
    <w:rsid w:val="00486554"/>
    <w:rsid w:val="004900CC"/>
    <w:rsid w:val="004A3452"/>
    <w:rsid w:val="004A39B7"/>
    <w:rsid w:val="004B3489"/>
    <w:rsid w:val="004B5294"/>
    <w:rsid w:val="004B5395"/>
    <w:rsid w:val="004B663F"/>
    <w:rsid w:val="004B6824"/>
    <w:rsid w:val="004B7238"/>
    <w:rsid w:val="004B78C7"/>
    <w:rsid w:val="004C54E5"/>
    <w:rsid w:val="004C5976"/>
    <w:rsid w:val="004D5676"/>
    <w:rsid w:val="004D641B"/>
    <w:rsid w:val="004F03E8"/>
    <w:rsid w:val="004F4EDD"/>
    <w:rsid w:val="0050040B"/>
    <w:rsid w:val="00505185"/>
    <w:rsid w:val="00506C83"/>
    <w:rsid w:val="005105C8"/>
    <w:rsid w:val="00511363"/>
    <w:rsid w:val="00514754"/>
    <w:rsid w:val="00514C8E"/>
    <w:rsid w:val="0052563A"/>
    <w:rsid w:val="00533313"/>
    <w:rsid w:val="0053711A"/>
    <w:rsid w:val="005379DF"/>
    <w:rsid w:val="00537F15"/>
    <w:rsid w:val="00546822"/>
    <w:rsid w:val="0055139A"/>
    <w:rsid w:val="00555BD7"/>
    <w:rsid w:val="00561F81"/>
    <w:rsid w:val="00566FC9"/>
    <w:rsid w:val="00570F27"/>
    <w:rsid w:val="00573CFA"/>
    <w:rsid w:val="00574909"/>
    <w:rsid w:val="00575883"/>
    <w:rsid w:val="00591AAC"/>
    <w:rsid w:val="00593F34"/>
    <w:rsid w:val="005A05CD"/>
    <w:rsid w:val="005A3E39"/>
    <w:rsid w:val="005A7817"/>
    <w:rsid w:val="005B17F0"/>
    <w:rsid w:val="005B42C2"/>
    <w:rsid w:val="005C0336"/>
    <w:rsid w:val="005C477F"/>
    <w:rsid w:val="005C6B06"/>
    <w:rsid w:val="005C6BC5"/>
    <w:rsid w:val="005D4D90"/>
    <w:rsid w:val="005D6C1D"/>
    <w:rsid w:val="005D6EF9"/>
    <w:rsid w:val="005D7273"/>
    <w:rsid w:val="005D7623"/>
    <w:rsid w:val="005E0BD0"/>
    <w:rsid w:val="005E3331"/>
    <w:rsid w:val="005F1068"/>
    <w:rsid w:val="005F1B1F"/>
    <w:rsid w:val="00602F27"/>
    <w:rsid w:val="00604901"/>
    <w:rsid w:val="00611294"/>
    <w:rsid w:val="006117E7"/>
    <w:rsid w:val="0061478C"/>
    <w:rsid w:val="006208A9"/>
    <w:rsid w:val="006212E6"/>
    <w:rsid w:val="006234BE"/>
    <w:rsid w:val="00631FCE"/>
    <w:rsid w:val="006322EA"/>
    <w:rsid w:val="00633392"/>
    <w:rsid w:val="00635C43"/>
    <w:rsid w:val="006360FF"/>
    <w:rsid w:val="00636C8B"/>
    <w:rsid w:val="00641A20"/>
    <w:rsid w:val="006461EE"/>
    <w:rsid w:val="00647185"/>
    <w:rsid w:val="00652E3B"/>
    <w:rsid w:val="00654750"/>
    <w:rsid w:val="00657B86"/>
    <w:rsid w:val="00664A5C"/>
    <w:rsid w:val="006651BB"/>
    <w:rsid w:val="00670E79"/>
    <w:rsid w:val="00673780"/>
    <w:rsid w:val="0067440E"/>
    <w:rsid w:val="0067522C"/>
    <w:rsid w:val="00676E93"/>
    <w:rsid w:val="0068194C"/>
    <w:rsid w:val="00682A99"/>
    <w:rsid w:val="00685D1E"/>
    <w:rsid w:val="00686636"/>
    <w:rsid w:val="00687A6E"/>
    <w:rsid w:val="0069710C"/>
    <w:rsid w:val="006B5C6E"/>
    <w:rsid w:val="006B7A89"/>
    <w:rsid w:val="006C159C"/>
    <w:rsid w:val="006C1DDB"/>
    <w:rsid w:val="006C34B0"/>
    <w:rsid w:val="006D04E5"/>
    <w:rsid w:val="006D62FE"/>
    <w:rsid w:val="006D6D3F"/>
    <w:rsid w:val="006E0218"/>
    <w:rsid w:val="006E1084"/>
    <w:rsid w:val="006E17E6"/>
    <w:rsid w:val="006F0787"/>
    <w:rsid w:val="00702E13"/>
    <w:rsid w:val="0071053E"/>
    <w:rsid w:val="00717687"/>
    <w:rsid w:val="007207CC"/>
    <w:rsid w:val="0073096E"/>
    <w:rsid w:val="007311C1"/>
    <w:rsid w:val="0073660E"/>
    <w:rsid w:val="007460AA"/>
    <w:rsid w:val="00752D6F"/>
    <w:rsid w:val="00754255"/>
    <w:rsid w:val="00754495"/>
    <w:rsid w:val="00754E81"/>
    <w:rsid w:val="007561BF"/>
    <w:rsid w:val="00756774"/>
    <w:rsid w:val="00762282"/>
    <w:rsid w:val="00763F9A"/>
    <w:rsid w:val="007657A8"/>
    <w:rsid w:val="00770F3D"/>
    <w:rsid w:val="00775E89"/>
    <w:rsid w:val="00780E9A"/>
    <w:rsid w:val="007811B3"/>
    <w:rsid w:val="0078684A"/>
    <w:rsid w:val="007903FC"/>
    <w:rsid w:val="00796C43"/>
    <w:rsid w:val="007A008D"/>
    <w:rsid w:val="007A0DA2"/>
    <w:rsid w:val="007B037B"/>
    <w:rsid w:val="007B26A7"/>
    <w:rsid w:val="007B4FDB"/>
    <w:rsid w:val="007C03AC"/>
    <w:rsid w:val="007C1016"/>
    <w:rsid w:val="007C23CA"/>
    <w:rsid w:val="007C5C0F"/>
    <w:rsid w:val="007C7863"/>
    <w:rsid w:val="007D2038"/>
    <w:rsid w:val="007E1A4A"/>
    <w:rsid w:val="007E2710"/>
    <w:rsid w:val="007F227F"/>
    <w:rsid w:val="007F2850"/>
    <w:rsid w:val="007F307B"/>
    <w:rsid w:val="007F3FED"/>
    <w:rsid w:val="007F5BBE"/>
    <w:rsid w:val="007F5D67"/>
    <w:rsid w:val="00800E6A"/>
    <w:rsid w:val="0080261D"/>
    <w:rsid w:val="00802AAE"/>
    <w:rsid w:val="0080378D"/>
    <w:rsid w:val="00804F51"/>
    <w:rsid w:val="00816886"/>
    <w:rsid w:val="008174B7"/>
    <w:rsid w:val="0083017E"/>
    <w:rsid w:val="00830C06"/>
    <w:rsid w:val="00833CC9"/>
    <w:rsid w:val="0084457D"/>
    <w:rsid w:val="00844864"/>
    <w:rsid w:val="00846BE7"/>
    <w:rsid w:val="00847183"/>
    <w:rsid w:val="00847C76"/>
    <w:rsid w:val="00852D3B"/>
    <w:rsid w:val="00854B76"/>
    <w:rsid w:val="00855161"/>
    <w:rsid w:val="00855C02"/>
    <w:rsid w:val="00857DF6"/>
    <w:rsid w:val="00857E15"/>
    <w:rsid w:val="00857F69"/>
    <w:rsid w:val="00861630"/>
    <w:rsid w:val="008617EA"/>
    <w:rsid w:val="008636CE"/>
    <w:rsid w:val="0086655A"/>
    <w:rsid w:val="00870028"/>
    <w:rsid w:val="00872E1F"/>
    <w:rsid w:val="0087368B"/>
    <w:rsid w:val="00882F1C"/>
    <w:rsid w:val="008853B5"/>
    <w:rsid w:val="00886CC0"/>
    <w:rsid w:val="008938B6"/>
    <w:rsid w:val="008A1884"/>
    <w:rsid w:val="008A281A"/>
    <w:rsid w:val="008A4B61"/>
    <w:rsid w:val="008B1E30"/>
    <w:rsid w:val="008B670B"/>
    <w:rsid w:val="008C1FC6"/>
    <w:rsid w:val="008C231E"/>
    <w:rsid w:val="008C3ABD"/>
    <w:rsid w:val="008C3F68"/>
    <w:rsid w:val="008C7BF8"/>
    <w:rsid w:val="008D188B"/>
    <w:rsid w:val="008D3F0C"/>
    <w:rsid w:val="008D5149"/>
    <w:rsid w:val="008D7289"/>
    <w:rsid w:val="008D77F8"/>
    <w:rsid w:val="008E2B05"/>
    <w:rsid w:val="008F2C2A"/>
    <w:rsid w:val="008F3CE9"/>
    <w:rsid w:val="008F3F14"/>
    <w:rsid w:val="008F6E29"/>
    <w:rsid w:val="00901D06"/>
    <w:rsid w:val="00903429"/>
    <w:rsid w:val="00903F63"/>
    <w:rsid w:val="009067A6"/>
    <w:rsid w:val="009075A4"/>
    <w:rsid w:val="00912E0E"/>
    <w:rsid w:val="00914D03"/>
    <w:rsid w:val="00924271"/>
    <w:rsid w:val="00924EE0"/>
    <w:rsid w:val="009263E8"/>
    <w:rsid w:val="009265B3"/>
    <w:rsid w:val="00931D1A"/>
    <w:rsid w:val="009349E3"/>
    <w:rsid w:val="009417B9"/>
    <w:rsid w:val="009429E9"/>
    <w:rsid w:val="00950C86"/>
    <w:rsid w:val="00970CD0"/>
    <w:rsid w:val="00970F85"/>
    <w:rsid w:val="009776CD"/>
    <w:rsid w:val="00980A07"/>
    <w:rsid w:val="00991D9A"/>
    <w:rsid w:val="009935AC"/>
    <w:rsid w:val="00996DB9"/>
    <w:rsid w:val="009A0093"/>
    <w:rsid w:val="009A3F65"/>
    <w:rsid w:val="009A4984"/>
    <w:rsid w:val="009B292A"/>
    <w:rsid w:val="009B394F"/>
    <w:rsid w:val="009B40AB"/>
    <w:rsid w:val="009B5AB3"/>
    <w:rsid w:val="009B61C8"/>
    <w:rsid w:val="009B63BB"/>
    <w:rsid w:val="009C2CD2"/>
    <w:rsid w:val="009C2E42"/>
    <w:rsid w:val="009D2211"/>
    <w:rsid w:val="009D34BB"/>
    <w:rsid w:val="009E1F98"/>
    <w:rsid w:val="009E23B1"/>
    <w:rsid w:val="009E2D93"/>
    <w:rsid w:val="009E4C9B"/>
    <w:rsid w:val="009E6903"/>
    <w:rsid w:val="009E72C8"/>
    <w:rsid w:val="009F2677"/>
    <w:rsid w:val="009F39EF"/>
    <w:rsid w:val="009F71C7"/>
    <w:rsid w:val="00A02AA4"/>
    <w:rsid w:val="00A04585"/>
    <w:rsid w:val="00A06AF8"/>
    <w:rsid w:val="00A2322D"/>
    <w:rsid w:val="00A351DE"/>
    <w:rsid w:val="00A37129"/>
    <w:rsid w:val="00A4376D"/>
    <w:rsid w:val="00A44E46"/>
    <w:rsid w:val="00A539CF"/>
    <w:rsid w:val="00A61DB5"/>
    <w:rsid w:val="00A624F9"/>
    <w:rsid w:val="00A861A7"/>
    <w:rsid w:val="00A87BDF"/>
    <w:rsid w:val="00A90B0F"/>
    <w:rsid w:val="00A92550"/>
    <w:rsid w:val="00A93A4F"/>
    <w:rsid w:val="00A958E1"/>
    <w:rsid w:val="00AA15E7"/>
    <w:rsid w:val="00AA2659"/>
    <w:rsid w:val="00AA2CA4"/>
    <w:rsid w:val="00AB0F75"/>
    <w:rsid w:val="00AB4E3D"/>
    <w:rsid w:val="00AB4F40"/>
    <w:rsid w:val="00AB527B"/>
    <w:rsid w:val="00AB6C53"/>
    <w:rsid w:val="00AB7B64"/>
    <w:rsid w:val="00AD1634"/>
    <w:rsid w:val="00AD1CCC"/>
    <w:rsid w:val="00AD389C"/>
    <w:rsid w:val="00AD6FA3"/>
    <w:rsid w:val="00AD7214"/>
    <w:rsid w:val="00AE0C59"/>
    <w:rsid w:val="00AE2D78"/>
    <w:rsid w:val="00AE4296"/>
    <w:rsid w:val="00AE512D"/>
    <w:rsid w:val="00AE6D4E"/>
    <w:rsid w:val="00AE7BED"/>
    <w:rsid w:val="00AF31A5"/>
    <w:rsid w:val="00AF6D27"/>
    <w:rsid w:val="00B051F8"/>
    <w:rsid w:val="00B07AE4"/>
    <w:rsid w:val="00B115ED"/>
    <w:rsid w:val="00B1410C"/>
    <w:rsid w:val="00B17432"/>
    <w:rsid w:val="00B23331"/>
    <w:rsid w:val="00B24A47"/>
    <w:rsid w:val="00B3580F"/>
    <w:rsid w:val="00B3728F"/>
    <w:rsid w:val="00B415B5"/>
    <w:rsid w:val="00B433BD"/>
    <w:rsid w:val="00B46649"/>
    <w:rsid w:val="00B516FD"/>
    <w:rsid w:val="00B54D4E"/>
    <w:rsid w:val="00B55338"/>
    <w:rsid w:val="00B55B11"/>
    <w:rsid w:val="00B60A2A"/>
    <w:rsid w:val="00B71B98"/>
    <w:rsid w:val="00B72996"/>
    <w:rsid w:val="00B749BC"/>
    <w:rsid w:val="00B81077"/>
    <w:rsid w:val="00B83062"/>
    <w:rsid w:val="00B836D5"/>
    <w:rsid w:val="00B849E4"/>
    <w:rsid w:val="00B85BAF"/>
    <w:rsid w:val="00B95B33"/>
    <w:rsid w:val="00BB2C76"/>
    <w:rsid w:val="00BD173F"/>
    <w:rsid w:val="00BD25E5"/>
    <w:rsid w:val="00BE01EB"/>
    <w:rsid w:val="00BE03E3"/>
    <w:rsid w:val="00BE0DF5"/>
    <w:rsid w:val="00BE4CD6"/>
    <w:rsid w:val="00BE7C36"/>
    <w:rsid w:val="00BF4685"/>
    <w:rsid w:val="00BF7012"/>
    <w:rsid w:val="00C000F2"/>
    <w:rsid w:val="00C035E7"/>
    <w:rsid w:val="00C040B8"/>
    <w:rsid w:val="00C07C5F"/>
    <w:rsid w:val="00C11ACD"/>
    <w:rsid w:val="00C13AFC"/>
    <w:rsid w:val="00C16629"/>
    <w:rsid w:val="00C24A39"/>
    <w:rsid w:val="00C317C5"/>
    <w:rsid w:val="00C31C8F"/>
    <w:rsid w:val="00C32D4E"/>
    <w:rsid w:val="00C334AD"/>
    <w:rsid w:val="00C4239D"/>
    <w:rsid w:val="00C42B50"/>
    <w:rsid w:val="00C443A8"/>
    <w:rsid w:val="00C47ED3"/>
    <w:rsid w:val="00C54629"/>
    <w:rsid w:val="00C5570C"/>
    <w:rsid w:val="00C55A46"/>
    <w:rsid w:val="00C608B2"/>
    <w:rsid w:val="00C64061"/>
    <w:rsid w:val="00C70319"/>
    <w:rsid w:val="00C72707"/>
    <w:rsid w:val="00C72A3D"/>
    <w:rsid w:val="00C75D7A"/>
    <w:rsid w:val="00C81B52"/>
    <w:rsid w:val="00C91096"/>
    <w:rsid w:val="00C9433D"/>
    <w:rsid w:val="00C96B92"/>
    <w:rsid w:val="00CB08FE"/>
    <w:rsid w:val="00CB7880"/>
    <w:rsid w:val="00CC1DB7"/>
    <w:rsid w:val="00CC393C"/>
    <w:rsid w:val="00CC3F41"/>
    <w:rsid w:val="00CC6488"/>
    <w:rsid w:val="00CC6802"/>
    <w:rsid w:val="00CD11E2"/>
    <w:rsid w:val="00CE3E68"/>
    <w:rsid w:val="00CE5BB2"/>
    <w:rsid w:val="00CF11E6"/>
    <w:rsid w:val="00CF230E"/>
    <w:rsid w:val="00CF29C9"/>
    <w:rsid w:val="00CF3A61"/>
    <w:rsid w:val="00CF4B0C"/>
    <w:rsid w:val="00D0031C"/>
    <w:rsid w:val="00D02391"/>
    <w:rsid w:val="00D0305B"/>
    <w:rsid w:val="00D0636B"/>
    <w:rsid w:val="00D11120"/>
    <w:rsid w:val="00D121B5"/>
    <w:rsid w:val="00D171B7"/>
    <w:rsid w:val="00D20347"/>
    <w:rsid w:val="00D22ED7"/>
    <w:rsid w:val="00D242E8"/>
    <w:rsid w:val="00D3563A"/>
    <w:rsid w:val="00D357C7"/>
    <w:rsid w:val="00D40BC0"/>
    <w:rsid w:val="00D4142E"/>
    <w:rsid w:val="00D42160"/>
    <w:rsid w:val="00D45E0C"/>
    <w:rsid w:val="00D4625F"/>
    <w:rsid w:val="00D46EA1"/>
    <w:rsid w:val="00D46F84"/>
    <w:rsid w:val="00D47815"/>
    <w:rsid w:val="00D47D65"/>
    <w:rsid w:val="00D50640"/>
    <w:rsid w:val="00D549F0"/>
    <w:rsid w:val="00D63678"/>
    <w:rsid w:val="00D64D50"/>
    <w:rsid w:val="00D66F1B"/>
    <w:rsid w:val="00D808D9"/>
    <w:rsid w:val="00D83224"/>
    <w:rsid w:val="00D87413"/>
    <w:rsid w:val="00D87B3E"/>
    <w:rsid w:val="00D91ACD"/>
    <w:rsid w:val="00D9452A"/>
    <w:rsid w:val="00D959DE"/>
    <w:rsid w:val="00DA5A26"/>
    <w:rsid w:val="00DA7195"/>
    <w:rsid w:val="00DB39B7"/>
    <w:rsid w:val="00DB3C06"/>
    <w:rsid w:val="00DB46C6"/>
    <w:rsid w:val="00DD4BD4"/>
    <w:rsid w:val="00DD639E"/>
    <w:rsid w:val="00DE4F5E"/>
    <w:rsid w:val="00DF3621"/>
    <w:rsid w:val="00DF48CB"/>
    <w:rsid w:val="00DF6C1B"/>
    <w:rsid w:val="00E004CD"/>
    <w:rsid w:val="00E03CE1"/>
    <w:rsid w:val="00E06582"/>
    <w:rsid w:val="00E1284A"/>
    <w:rsid w:val="00E16577"/>
    <w:rsid w:val="00E1790F"/>
    <w:rsid w:val="00E17F02"/>
    <w:rsid w:val="00E251C4"/>
    <w:rsid w:val="00E27C82"/>
    <w:rsid w:val="00E33452"/>
    <w:rsid w:val="00E43A95"/>
    <w:rsid w:val="00E4504C"/>
    <w:rsid w:val="00E5012C"/>
    <w:rsid w:val="00E56F25"/>
    <w:rsid w:val="00E57A15"/>
    <w:rsid w:val="00E62BD6"/>
    <w:rsid w:val="00E716E7"/>
    <w:rsid w:val="00E735A7"/>
    <w:rsid w:val="00E82BF6"/>
    <w:rsid w:val="00E85772"/>
    <w:rsid w:val="00E9342D"/>
    <w:rsid w:val="00E97AAA"/>
    <w:rsid w:val="00EB12A4"/>
    <w:rsid w:val="00EB5B34"/>
    <w:rsid w:val="00EC3056"/>
    <w:rsid w:val="00EC3E01"/>
    <w:rsid w:val="00EC5C8E"/>
    <w:rsid w:val="00ED1348"/>
    <w:rsid w:val="00EE0C43"/>
    <w:rsid w:val="00EF09B3"/>
    <w:rsid w:val="00EF1D04"/>
    <w:rsid w:val="00EF4F60"/>
    <w:rsid w:val="00EF574D"/>
    <w:rsid w:val="00EF5F17"/>
    <w:rsid w:val="00F002EA"/>
    <w:rsid w:val="00F005B3"/>
    <w:rsid w:val="00F00B5F"/>
    <w:rsid w:val="00F0668E"/>
    <w:rsid w:val="00F157FF"/>
    <w:rsid w:val="00F164B1"/>
    <w:rsid w:val="00F32824"/>
    <w:rsid w:val="00F4173D"/>
    <w:rsid w:val="00F46701"/>
    <w:rsid w:val="00F57070"/>
    <w:rsid w:val="00F60A9C"/>
    <w:rsid w:val="00F61C5F"/>
    <w:rsid w:val="00F6299D"/>
    <w:rsid w:val="00F62C20"/>
    <w:rsid w:val="00F63070"/>
    <w:rsid w:val="00F6543F"/>
    <w:rsid w:val="00F6764B"/>
    <w:rsid w:val="00F7039F"/>
    <w:rsid w:val="00F7354E"/>
    <w:rsid w:val="00F763FC"/>
    <w:rsid w:val="00F90148"/>
    <w:rsid w:val="00F90CA6"/>
    <w:rsid w:val="00F96EB2"/>
    <w:rsid w:val="00FA31CB"/>
    <w:rsid w:val="00FA45FA"/>
    <w:rsid w:val="00FC4654"/>
    <w:rsid w:val="00FC5796"/>
    <w:rsid w:val="00FC61DB"/>
    <w:rsid w:val="00FC6924"/>
    <w:rsid w:val="00FC6B78"/>
    <w:rsid w:val="00FD10B5"/>
    <w:rsid w:val="00FD2298"/>
    <w:rsid w:val="00FD2EE4"/>
    <w:rsid w:val="00FD5939"/>
    <w:rsid w:val="00FE0FE1"/>
    <w:rsid w:val="00FE28F4"/>
    <w:rsid w:val="00FE3280"/>
    <w:rsid w:val="00FE38DA"/>
    <w:rsid w:val="00FF77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1538EF3"/>
  <w15:chartTrackingRefBased/>
  <w15:docId w15:val="{EC1C4CA3-7FF6-44E0-84BC-50D5915D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8A281A"/>
    <w:pPr>
      <w:widowControl w:val="0"/>
    </w:pPr>
    <w:rPr>
      <w:snapToGrid w:val="0"/>
      <w:kern w:val="28"/>
      <w:sz w:val="22"/>
    </w:rPr>
  </w:style>
  <w:style w:type="paragraph" w:styleId="Heading1">
    <w:name w:val="heading 1"/>
    <w:basedOn w:val="Normal"/>
    <w:next w:val="ParaNum"/>
    <w:qFormat/>
    <w:rsid w:val="008A281A"/>
    <w:pPr>
      <w:keepNext/>
      <w:numPr>
        <w:numId w:val="3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A281A"/>
    <w:pPr>
      <w:keepNext/>
      <w:numPr>
        <w:ilvl w:val="1"/>
        <w:numId w:val="35"/>
      </w:numPr>
      <w:spacing w:after="120"/>
      <w:outlineLvl w:val="1"/>
    </w:pPr>
    <w:rPr>
      <w:b/>
    </w:rPr>
  </w:style>
  <w:style w:type="paragraph" w:styleId="Heading3">
    <w:name w:val="heading 3"/>
    <w:basedOn w:val="Normal"/>
    <w:next w:val="ParaNum"/>
    <w:qFormat/>
    <w:rsid w:val="008A281A"/>
    <w:pPr>
      <w:keepNext/>
      <w:numPr>
        <w:ilvl w:val="2"/>
        <w:numId w:val="35"/>
      </w:numPr>
      <w:tabs>
        <w:tab w:val="left" w:pos="2160"/>
      </w:tabs>
      <w:spacing w:after="120"/>
      <w:outlineLvl w:val="2"/>
    </w:pPr>
    <w:rPr>
      <w:b/>
    </w:rPr>
  </w:style>
  <w:style w:type="paragraph" w:styleId="Heading4">
    <w:name w:val="heading 4"/>
    <w:basedOn w:val="Normal"/>
    <w:next w:val="ParaNum"/>
    <w:qFormat/>
    <w:rsid w:val="008A281A"/>
    <w:pPr>
      <w:keepNext/>
      <w:numPr>
        <w:ilvl w:val="3"/>
        <w:numId w:val="35"/>
      </w:numPr>
      <w:tabs>
        <w:tab w:val="left" w:pos="2880"/>
      </w:tabs>
      <w:spacing w:after="120"/>
      <w:outlineLvl w:val="3"/>
    </w:pPr>
    <w:rPr>
      <w:b/>
    </w:rPr>
  </w:style>
  <w:style w:type="paragraph" w:styleId="Heading5">
    <w:name w:val="heading 5"/>
    <w:basedOn w:val="Normal"/>
    <w:next w:val="ParaNum"/>
    <w:qFormat/>
    <w:rsid w:val="008A281A"/>
    <w:pPr>
      <w:keepNext/>
      <w:numPr>
        <w:ilvl w:val="4"/>
        <w:numId w:val="35"/>
      </w:numPr>
      <w:tabs>
        <w:tab w:val="left" w:pos="3600"/>
      </w:tabs>
      <w:suppressAutoHyphens/>
      <w:spacing w:after="120"/>
      <w:outlineLvl w:val="4"/>
    </w:pPr>
    <w:rPr>
      <w:b/>
    </w:rPr>
  </w:style>
  <w:style w:type="paragraph" w:styleId="Heading6">
    <w:name w:val="heading 6"/>
    <w:basedOn w:val="Normal"/>
    <w:next w:val="ParaNum"/>
    <w:qFormat/>
    <w:rsid w:val="008A281A"/>
    <w:pPr>
      <w:numPr>
        <w:ilvl w:val="5"/>
        <w:numId w:val="35"/>
      </w:numPr>
      <w:tabs>
        <w:tab w:val="left" w:pos="4320"/>
      </w:tabs>
      <w:spacing w:after="120"/>
      <w:outlineLvl w:val="5"/>
    </w:pPr>
    <w:rPr>
      <w:b/>
    </w:rPr>
  </w:style>
  <w:style w:type="paragraph" w:styleId="Heading7">
    <w:name w:val="heading 7"/>
    <w:basedOn w:val="Normal"/>
    <w:next w:val="ParaNum"/>
    <w:qFormat/>
    <w:rsid w:val="008A281A"/>
    <w:pPr>
      <w:numPr>
        <w:ilvl w:val="6"/>
        <w:numId w:val="35"/>
      </w:numPr>
      <w:tabs>
        <w:tab w:val="left" w:pos="5040"/>
      </w:tabs>
      <w:spacing w:after="120"/>
      <w:ind w:left="5040" w:hanging="720"/>
      <w:outlineLvl w:val="6"/>
    </w:pPr>
    <w:rPr>
      <w:b/>
    </w:rPr>
  </w:style>
  <w:style w:type="paragraph" w:styleId="Heading8">
    <w:name w:val="heading 8"/>
    <w:basedOn w:val="Normal"/>
    <w:next w:val="ParaNum"/>
    <w:qFormat/>
    <w:rsid w:val="008A281A"/>
    <w:pPr>
      <w:numPr>
        <w:ilvl w:val="7"/>
        <w:numId w:val="35"/>
      </w:numPr>
      <w:tabs>
        <w:tab w:val="clear" w:pos="5400"/>
        <w:tab w:val="left" w:pos="5760"/>
      </w:tabs>
      <w:spacing w:after="120"/>
      <w:ind w:left="5760" w:hanging="720"/>
      <w:outlineLvl w:val="7"/>
    </w:pPr>
    <w:rPr>
      <w:b/>
    </w:rPr>
  </w:style>
  <w:style w:type="paragraph" w:styleId="Heading9">
    <w:name w:val="heading 9"/>
    <w:basedOn w:val="Normal"/>
    <w:next w:val="ParaNum"/>
    <w:qFormat/>
    <w:rsid w:val="008A281A"/>
    <w:pPr>
      <w:numPr>
        <w:ilvl w:val="8"/>
        <w:numId w:val="3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A28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281A"/>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8A281A"/>
    <w:pPr>
      <w:numPr>
        <w:numId w:val="23"/>
      </w:numPr>
      <w:tabs>
        <w:tab w:val="clear" w:pos="1080"/>
        <w:tab w:val="num" w:pos="1440"/>
      </w:tabs>
      <w:spacing w:after="120"/>
    </w:pPr>
  </w:style>
  <w:style w:type="paragraph" w:styleId="FootnoteText">
    <w:name w:val="footnote text"/>
    <w:aliases w:val="Footnote Text Ch,Footnote Text Char Char,Footnote Text Char Char Char Char,Footnote Text Char1,Footnote Text Char1 Char Char,Footnote Text Char2 Char,rrfootnote,rrfootnote Char Char,rrfootnote Char Char Char Char,rrfootnote Char1 Char Char"/>
    <w:link w:val="FootnoteTextChar"/>
    <w:rsid w:val="008A281A"/>
    <w:pPr>
      <w:spacing w:after="120"/>
    </w:pPr>
  </w:style>
  <w:style w:type="paragraph" w:customStyle="1" w:styleId="Bullet">
    <w:name w:val="Bullet"/>
    <w:basedOn w:val="Normal"/>
    <w:rsid w:val="008A281A"/>
    <w:pPr>
      <w:tabs>
        <w:tab w:val="left" w:pos="2160"/>
      </w:tabs>
      <w:spacing w:after="220"/>
      <w:ind w:left="2160" w:hanging="720"/>
    </w:pPr>
  </w:style>
  <w:style w:type="paragraph" w:styleId="BlockText">
    <w:name w:val="Block Text"/>
    <w:basedOn w:val="Normal"/>
    <w:rsid w:val="008A281A"/>
    <w:pPr>
      <w:spacing w:after="240"/>
      <w:ind w:left="1440" w:right="1440"/>
    </w:pPr>
  </w:style>
  <w:style w:type="paragraph" w:customStyle="1" w:styleId="TableFormat">
    <w:name w:val="TableFormat"/>
    <w:basedOn w:val="Bullet"/>
    <w:rsid w:val="008A281A"/>
    <w:pPr>
      <w:tabs>
        <w:tab w:val="clear" w:pos="2160"/>
        <w:tab w:val="left" w:pos="5040"/>
      </w:tabs>
      <w:ind w:left="5040" w:hanging="360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8A281A"/>
    <w:rPr>
      <w:rFonts w:ascii="Times New Roman" w:hAnsi="Times New Roman"/>
      <w:dstrike w:val="0"/>
      <w:color w:val="auto"/>
      <w:sz w:val="20"/>
      <w:vertAlign w:val="superscript"/>
    </w:rPr>
  </w:style>
  <w:style w:type="paragraph" w:styleId="Header">
    <w:name w:val="header"/>
    <w:basedOn w:val="Normal"/>
    <w:autoRedefine/>
    <w:rsid w:val="008A281A"/>
    <w:pPr>
      <w:tabs>
        <w:tab w:val="center" w:pos="4680"/>
        <w:tab w:val="right" w:pos="9360"/>
      </w:tabs>
    </w:pPr>
    <w:rPr>
      <w:b/>
    </w:rPr>
  </w:style>
  <w:style w:type="paragraph" w:styleId="Footer">
    <w:name w:val="footer"/>
    <w:basedOn w:val="Normal"/>
    <w:link w:val="FooterChar"/>
    <w:uiPriority w:val="99"/>
    <w:rsid w:val="008A281A"/>
    <w:pPr>
      <w:tabs>
        <w:tab w:val="center" w:pos="4320"/>
        <w:tab w:val="right" w:pos="8640"/>
      </w:tabs>
    </w:pPr>
  </w:style>
  <w:style w:type="paragraph" w:styleId="TOC2">
    <w:name w:val="toc 2"/>
    <w:basedOn w:val="Normal"/>
    <w:next w:val="Normal"/>
    <w:semiHidden/>
    <w:rsid w:val="008A281A"/>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rsid w:val="008A281A"/>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8A281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A281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A281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A281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A281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A281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A281A"/>
    <w:pPr>
      <w:tabs>
        <w:tab w:val="left" w:pos="3240"/>
        <w:tab w:val="right" w:leader="dot" w:pos="9360"/>
      </w:tabs>
      <w:suppressAutoHyphens/>
      <w:ind w:left="3240" w:hanging="360"/>
    </w:pPr>
    <w:rPr>
      <w:noProof/>
    </w:rPr>
  </w:style>
  <w:style w:type="character" w:styleId="PageNumber">
    <w:name w:val="page number"/>
    <w:basedOn w:val="DefaultParagraphFont"/>
    <w:rsid w:val="008A281A"/>
  </w:style>
  <w:style w:type="paragraph" w:styleId="Title">
    <w:name w:val="Title"/>
    <w:basedOn w:val="Normal"/>
    <w:qFormat/>
    <w:pPr>
      <w:jc w:val="center"/>
    </w:pPr>
    <w:rPr>
      <w:b/>
    </w:rPr>
  </w:style>
  <w:style w:type="character" w:customStyle="1" w:styleId="Footnote">
    <w:name w:val="Footnote"/>
    <w:rPr>
      <w:rFonts w:ascii="Times New Roman" w:hAnsi="Times New Roman"/>
      <w:sz w:val="20"/>
    </w:rPr>
  </w:style>
  <w:style w:type="character" w:customStyle="1" w:styleId="pmterms11">
    <w:name w:val="pmterms11"/>
    <w:rPr>
      <w:rFonts w:ascii="Verdana" w:hAnsi="Verdana" w:hint="default"/>
      <w:b/>
      <w:bCs/>
      <w:i w:val="0"/>
      <w:iCs w:val="0"/>
      <w:color w:val="000000"/>
      <w:sz w:val="20"/>
      <w:szCs w:val="20"/>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 Char,Footnote Text Char Char Char,Footnote Text Char Char Char Char Char,Footnote Text Char1 Char,Footnote Text Char1 Char Char Char,rrfootnote Char,rrfootnote Char Char Char,rrfootnote Char Char Char Char Char"/>
    <w:link w:val="FootnoteText"/>
  </w:style>
  <w:style w:type="character" w:customStyle="1" w:styleId="documentbody">
    <w:name w:val="documentbody"/>
    <w:basedOn w:val="DefaultParagraphFont"/>
  </w:style>
  <w:style w:type="character" w:customStyle="1" w:styleId="bestsection">
    <w:name w:val="bestsection"/>
    <w:basedOn w:val="DefaultParagraphFont"/>
  </w:style>
  <w:style w:type="character" w:customStyle="1" w:styleId="documentbody5">
    <w:name w:val="documentbody5"/>
    <w:rPr>
      <w:rFonts w:ascii="Verdana" w:hAnsi="Verdana" w:hint="default"/>
      <w:sz w:val="19"/>
      <w:szCs w:val="19"/>
    </w:rPr>
  </w:style>
  <w:style w:type="character" w:styleId="Hyperlink">
    <w:name w:val="Hyperlink"/>
    <w:rsid w:val="008A281A"/>
    <w:rPr>
      <w:color w:val="0000FF"/>
      <w:u w:val="single"/>
    </w:rPr>
  </w:style>
  <w:style w:type="character" w:customStyle="1" w:styleId="searchterm3">
    <w:name w:val="searchterm3"/>
    <w:rPr>
      <w:b/>
      <w:bCs/>
      <w:shd w:val="clear" w:color="auto" w:fill="FFFF00"/>
    </w:rPr>
  </w:style>
  <w:style w:type="character" w:customStyle="1" w:styleId="FootnoteTextChar2">
    <w:name w:val="Footnote Text Char2"/>
    <w:aliases w:val="Footnote Text Char Char1 Char Char Char1 Char1,Footnote Text Char Char1 Char Char1,Footnote Text Char1 Char Char Char1 Char Char Char1,Footnote Text Char1 Char Char1,Footnote Text Char1 Char2,Footnote Text Char2 Char1 Char Char Char1"/>
    <w:locked/>
  </w:style>
  <w:style w:type="character" w:customStyle="1" w:styleId="ParaNumChar">
    <w:name w:val="ParaNum Char"/>
    <w:link w:val="ParaNum"/>
    <w:locked/>
    <w:rPr>
      <w:snapToGrid w:val="0"/>
      <w:kern w:val="28"/>
      <w:sz w:val="22"/>
    </w:rPr>
  </w:style>
  <w:style w:type="character" w:customStyle="1" w:styleId="apple-converted-space">
    <w:name w:val="apple-converted-space"/>
  </w:style>
  <w:style w:type="paragraph" w:styleId="EndnoteText">
    <w:name w:val="endnote text"/>
    <w:basedOn w:val="Normal"/>
    <w:link w:val="EndnoteTextChar"/>
    <w:rsid w:val="008A281A"/>
    <w:rPr>
      <w:sz w:val="20"/>
    </w:rPr>
  </w:style>
  <w:style w:type="character" w:customStyle="1" w:styleId="EndnoteTextChar">
    <w:name w:val="Endnote Text Char"/>
    <w:link w:val="EndnoteText"/>
    <w:rPr>
      <w:snapToGrid w:val="0"/>
      <w:kern w:val="28"/>
    </w:rPr>
  </w:style>
  <w:style w:type="character" w:styleId="EndnoteReference">
    <w:name w:val="endnote reference"/>
    <w:rsid w:val="008A281A"/>
    <w:rPr>
      <w:vertAlign w:val="superscript"/>
    </w:rPr>
  </w:style>
  <w:style w:type="paragraph" w:styleId="TOAHeading">
    <w:name w:val="toa heading"/>
    <w:basedOn w:val="Normal"/>
    <w:next w:val="Normal"/>
    <w:rsid w:val="008A281A"/>
    <w:pPr>
      <w:tabs>
        <w:tab w:val="right" w:pos="9360"/>
      </w:tabs>
      <w:suppressAutoHyphens/>
    </w:pPr>
  </w:style>
  <w:style w:type="character" w:customStyle="1" w:styleId="EquationCaption">
    <w:name w:val="_Equation Caption"/>
    <w:rsid w:val="008A281A"/>
  </w:style>
  <w:style w:type="paragraph" w:customStyle="1" w:styleId="Paratitle">
    <w:name w:val="Para title"/>
    <w:basedOn w:val="Normal"/>
    <w:rsid w:val="008A281A"/>
    <w:pPr>
      <w:tabs>
        <w:tab w:val="center" w:pos="9270"/>
      </w:tabs>
      <w:spacing w:after="240"/>
    </w:pPr>
    <w:rPr>
      <w:spacing w:val="-2"/>
    </w:rPr>
  </w:style>
  <w:style w:type="paragraph" w:customStyle="1" w:styleId="TOCTitle">
    <w:name w:val="TOC Title"/>
    <w:basedOn w:val="Normal"/>
    <w:rsid w:val="008A281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A281A"/>
    <w:pPr>
      <w:jc w:val="center"/>
    </w:pPr>
    <w:rPr>
      <w:rFonts w:ascii="Times New Roman Bold" w:hAnsi="Times New Roman Bold"/>
      <w:b/>
      <w:bCs/>
      <w:caps/>
      <w:szCs w:val="22"/>
    </w:rPr>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snapToGrid w:val="0"/>
      <w:kern w:val="2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napToGrid w:val="0"/>
      <w:kern w:val="28"/>
    </w:rPr>
  </w:style>
  <w:style w:type="character" w:customStyle="1" w:styleId="FooterChar">
    <w:name w:val="Footer Char"/>
    <w:link w:val="Footer"/>
    <w:uiPriority w:val="99"/>
    <w:rsid w:val="008A281A"/>
    <w:rPr>
      <w:snapToGrid w:val="0"/>
      <w:kern w:val="28"/>
      <w:sz w:val="22"/>
    </w:rPr>
  </w:style>
  <w:style w:type="character" w:customStyle="1" w:styleId="UnresolvedMention">
    <w:name w:val="Unresolved Mention"/>
    <w:uiPriority w:val="99"/>
    <w:semiHidden/>
    <w:unhideWhenUsed/>
    <w:rsid w:val="00F763FC"/>
    <w:rPr>
      <w:color w:val="605E5C"/>
      <w:shd w:val="clear" w:color="auto" w:fill="E1DFDD"/>
    </w:rPr>
  </w:style>
  <w:style w:type="character" w:customStyle="1" w:styleId="cosearchterm">
    <w:name w:val="co_searchterm"/>
    <w:basedOn w:val="DefaultParagraphFont"/>
    <w:rsid w:val="00D63678"/>
  </w:style>
  <w:style w:type="character" w:styleId="FollowedHyperlink">
    <w:name w:val="FollowedHyperlink"/>
    <w:rsid w:val="007F227F"/>
    <w:rPr>
      <w:color w:val="954F72"/>
      <w:u w:val="single"/>
    </w:rPr>
  </w:style>
  <w:style w:type="paragraph" w:styleId="Revision">
    <w:name w:val="Revision"/>
    <w:hidden/>
    <w:uiPriority w:val="99"/>
    <w:semiHidden/>
    <w:rsid w:val="00A87BD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lexander.Sanjenis@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cores/userLogin.do" TargetMode="External" /><Relationship Id="rId8" Type="http://schemas.openxmlformats.org/officeDocument/2006/relationships/hyperlink" Target="https://apps.fcc.gov/cores/paymentFrnLogin.do" TargetMode="External" /><Relationship Id="rId9" Type="http://schemas.openxmlformats.org/officeDocument/2006/relationships/hyperlink" Target="mailto:ARINQUIRIES@fcc.gov" TargetMode="External" /></Relationships>
</file>

<file path=word/_rels/footer1.xml.rels><?xml version="1.0" encoding="utf-8" standalone="yes"?><Relationships xmlns="http://schemas.openxmlformats.org/package/2006/relationships"><Relationship Id="rId1" Type="http://schemas.openxmlformats.org/officeDocument/2006/relationships/image" Target="media/image1.emf" /></Relationships>
</file>

<file path=word/_rels/footnotes.xml.rels><?xml version="1.0" encoding="utf-8" standalone="yes"?><Relationships xmlns="http://schemas.openxmlformats.org/package/2006/relationships"><Relationship Id="rId1" Type="http://schemas.openxmlformats.org/officeDocument/2006/relationships/hyperlink" Target="https://www.fcc.gov/media/radio/broadcast-radio-license-renewal" TargetMode="External" /><Relationship Id="rId2" Type="http://schemas.openxmlformats.org/officeDocument/2006/relationships/hyperlink" Target="https://1.next.westlaw.com/Link/Document/FullText?findType=L&amp;pubNum=1000546&amp;cite=47USCAS309&amp;originatingDoc=I9a6244513d8311e6a807ad48145ed9f1&amp;refType=RB&amp;originationContext=document&amp;transitionType=DocumentItem&amp;contextData=(sc.Search)" TargetMode="External" /><Relationship Id="rId3" Type="http://schemas.openxmlformats.org/officeDocument/2006/relationships/hyperlink" Target="https://1.next.westlaw.com/Link/Document/FullText?findType=Y&amp;serNum=1990195256&amp;pubNum=0004493&amp;originatingDoc=I9a6244513d8311e6a807ad48145ed9f1&amp;refType=CA&amp;fi=co_pp_sp_4493_197&amp;originationContext=document&amp;transitionType=DocumentItem&amp;contextData=(sc.Search)" TargetMode="External" /><Relationship Id="rId4" Type="http://schemas.openxmlformats.org/officeDocument/2006/relationships/hyperlink" Target="https://1.next.westlaw.com/Link/Document/FullText?findType=Y&amp;serNum=1993122752&amp;pubNum=0000350&amp;originatingDoc=I9a6244513d8311e6a807ad48145ed9f1&amp;refType=RP&amp;originationContext=document&amp;transitionType=DocumentItem&amp;contextData=(sc.Search)" TargetMode="External" /><Relationship Id="rId5" Type="http://schemas.openxmlformats.org/officeDocument/2006/relationships/hyperlink" Target="https://1.next.westlaw.com/Link/Document/FullText?findType=Y&amp;serNum=1986028724&amp;pubNum=0000265&amp;originatingDoc=I9a6244513d8311e6a807ad48145ed9f1&amp;refType=CA&amp;fi=co_pp_sp_265_864&amp;originationContext=document&amp;transitionType=DocumentItem&amp;contextData=(sc.Search)" TargetMode="External" /><Relationship Id="rId6" Type="http://schemas.openxmlformats.org/officeDocument/2006/relationships/hyperlink" Target="mailto:ARINQUIRIES@fcc.gov" TargetMode="External" /><Relationship Id="rId7"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