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36306477"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98B071D" w14:textId="77777777">
      <w:pPr>
        <w:pStyle w:val="StyleBoldCentered"/>
      </w:pPr>
      <w:r>
        <w:t>F</w:t>
      </w:r>
      <w:r>
        <w:rPr>
          <w:caps w:val="0"/>
        </w:rPr>
        <w:t>ederal Communications Commission</w:t>
      </w:r>
    </w:p>
    <w:p w:rsidR="004C2EE3" w:rsidP="00096D8C" w14:paraId="659CD43A" w14:textId="77777777">
      <w:pPr>
        <w:pStyle w:val="StyleBoldCentered"/>
      </w:pPr>
      <w:r>
        <w:rPr>
          <w:caps w:val="0"/>
        </w:rPr>
        <w:t>Washington, D.C. 20554</w:t>
      </w:r>
    </w:p>
    <w:p w:rsidR="004C2EE3" w:rsidP="0070224F" w14:paraId="4C86961A" w14:textId="77777777"/>
    <w:p w:rsidR="004C2EE3" w:rsidP="0070224F" w14:paraId="623945E6" w14:textId="77777777"/>
    <w:tbl>
      <w:tblPr>
        <w:tblW w:w="0" w:type="auto"/>
        <w:tblLayout w:type="fixed"/>
        <w:tblLook w:val="0000"/>
      </w:tblPr>
      <w:tblGrid>
        <w:gridCol w:w="4698"/>
        <w:gridCol w:w="630"/>
        <w:gridCol w:w="4248"/>
      </w:tblGrid>
      <w:tr w14:paraId="581AE3E7" w14:textId="77777777">
        <w:tblPrEx>
          <w:tblW w:w="0" w:type="auto"/>
          <w:tblLayout w:type="fixed"/>
          <w:tblLook w:val="0000"/>
        </w:tblPrEx>
        <w:tc>
          <w:tcPr>
            <w:tcW w:w="4698" w:type="dxa"/>
          </w:tcPr>
          <w:p w:rsidR="004C2EE3" w14:paraId="4A3B7C52" w14:textId="77777777">
            <w:pPr>
              <w:tabs>
                <w:tab w:val="center" w:pos="4680"/>
              </w:tabs>
              <w:suppressAutoHyphens/>
              <w:rPr>
                <w:spacing w:val="-2"/>
              </w:rPr>
            </w:pPr>
            <w:r>
              <w:rPr>
                <w:spacing w:val="-2"/>
              </w:rPr>
              <w:t>In the Matter of</w:t>
            </w:r>
          </w:p>
          <w:p w:rsidR="004C2EE3" w14:paraId="671D219D" w14:textId="77777777">
            <w:pPr>
              <w:tabs>
                <w:tab w:val="center" w:pos="4680"/>
              </w:tabs>
              <w:suppressAutoHyphens/>
              <w:rPr>
                <w:spacing w:val="-2"/>
              </w:rPr>
            </w:pPr>
          </w:p>
          <w:p w:rsidR="00CE4E97" w:rsidRPr="00CE4E97" w:rsidP="00CE4E97" w14:paraId="6DB2AF97" w14:textId="77777777">
            <w:pPr>
              <w:tabs>
                <w:tab w:val="center" w:pos="4680"/>
              </w:tabs>
              <w:suppressAutoHyphens/>
              <w:rPr>
                <w:spacing w:val="-2"/>
              </w:rPr>
            </w:pPr>
            <w:r w:rsidRPr="00CE4E97">
              <w:rPr>
                <w:spacing w:val="-2"/>
              </w:rPr>
              <w:t>Connect America Fund</w:t>
            </w:r>
          </w:p>
          <w:p w:rsidR="00CE4E97" w:rsidRPr="00CE4E97" w:rsidP="00CE4E97" w14:paraId="7B07351A" w14:textId="77777777">
            <w:pPr>
              <w:tabs>
                <w:tab w:val="center" w:pos="4680"/>
              </w:tabs>
              <w:suppressAutoHyphens/>
              <w:rPr>
                <w:spacing w:val="-2"/>
              </w:rPr>
            </w:pPr>
          </w:p>
          <w:p w:rsidR="00CE4E97" w:rsidRPr="00CE4E97" w:rsidP="00CE4E97" w14:paraId="5E8D3362" w14:textId="77777777">
            <w:pPr>
              <w:tabs>
                <w:tab w:val="center" w:pos="4680"/>
              </w:tabs>
              <w:suppressAutoHyphens/>
              <w:rPr>
                <w:spacing w:val="-2"/>
              </w:rPr>
            </w:pPr>
            <w:r w:rsidRPr="00CE4E97">
              <w:rPr>
                <w:spacing w:val="-2"/>
              </w:rPr>
              <w:t>ETC Annual Reports and Certifications</w:t>
            </w:r>
          </w:p>
          <w:p w:rsidR="00CE4E97" w:rsidRPr="00CE4E97" w:rsidP="00CE4E97" w14:paraId="69F92A10" w14:textId="77777777">
            <w:pPr>
              <w:tabs>
                <w:tab w:val="center" w:pos="4680"/>
              </w:tabs>
              <w:suppressAutoHyphens/>
              <w:rPr>
                <w:spacing w:val="-2"/>
              </w:rPr>
            </w:pPr>
          </w:p>
          <w:p w:rsidR="00CE4E97" w:rsidRPr="00CE4E97" w:rsidP="00CE4E97" w14:paraId="16CFA47F" w14:textId="77777777">
            <w:pPr>
              <w:tabs>
                <w:tab w:val="center" w:pos="4680"/>
              </w:tabs>
              <w:suppressAutoHyphens/>
              <w:rPr>
                <w:spacing w:val="-2"/>
              </w:rPr>
            </w:pPr>
            <w:r w:rsidRPr="00CE4E97">
              <w:rPr>
                <w:spacing w:val="-2"/>
              </w:rPr>
              <w:t>Rural Broadband Experiments</w:t>
            </w:r>
          </w:p>
          <w:p w:rsidR="00CE4E97" w:rsidRPr="00CE4E97" w:rsidP="00CE4E97" w14:paraId="36E65934" w14:textId="77777777">
            <w:pPr>
              <w:tabs>
                <w:tab w:val="center" w:pos="4680"/>
              </w:tabs>
              <w:suppressAutoHyphens/>
              <w:rPr>
                <w:spacing w:val="-2"/>
              </w:rPr>
            </w:pPr>
          </w:p>
          <w:p w:rsidR="00CE4E97" w:rsidRPr="00CE4E97" w:rsidP="00CE4E97" w14:paraId="3DF8FB27" w14:textId="77777777">
            <w:pPr>
              <w:tabs>
                <w:tab w:val="center" w:pos="4680"/>
              </w:tabs>
              <w:suppressAutoHyphens/>
              <w:rPr>
                <w:spacing w:val="-2"/>
              </w:rPr>
            </w:pPr>
            <w:r w:rsidRPr="00CE4E97">
              <w:rPr>
                <w:spacing w:val="-2"/>
              </w:rPr>
              <w:t xml:space="preserve">Petition of </w:t>
            </w:r>
            <w:r w:rsidRPr="00CE4E97">
              <w:rPr>
                <w:spacing w:val="-2"/>
              </w:rPr>
              <w:t>Skybeam</w:t>
            </w:r>
            <w:r w:rsidRPr="00CE4E97">
              <w:rPr>
                <w:spacing w:val="-2"/>
              </w:rPr>
              <w:t>, LLC, for Waiver</w:t>
            </w:r>
          </w:p>
          <w:p w:rsidR="00CE4E97" w:rsidRPr="00CE4E97" w:rsidP="00CE4E97" w14:paraId="13C7EA27" w14:textId="77777777">
            <w:pPr>
              <w:tabs>
                <w:tab w:val="center" w:pos="4680"/>
              </w:tabs>
              <w:suppressAutoHyphens/>
              <w:rPr>
                <w:spacing w:val="-2"/>
              </w:rPr>
            </w:pPr>
          </w:p>
          <w:p w:rsidR="00CE4E97" w:rsidRPr="00CE4E97" w:rsidP="00CE4E97" w14:paraId="776E8B9E" w14:textId="77777777">
            <w:pPr>
              <w:tabs>
                <w:tab w:val="center" w:pos="4680"/>
              </w:tabs>
              <w:suppressAutoHyphens/>
              <w:rPr>
                <w:spacing w:val="-2"/>
              </w:rPr>
            </w:pPr>
            <w:r w:rsidRPr="00CE4E97">
              <w:rPr>
                <w:spacing w:val="-2"/>
              </w:rPr>
              <w:t xml:space="preserve">Petition of Midwest Energy Cooperative </w:t>
            </w:r>
          </w:p>
          <w:p w:rsidR="00CE4E97" w:rsidRPr="00CE4E97" w:rsidP="00CE4E97" w14:paraId="66EF281A" w14:textId="77777777">
            <w:pPr>
              <w:tabs>
                <w:tab w:val="center" w:pos="4680"/>
              </w:tabs>
              <w:suppressAutoHyphens/>
              <w:rPr>
                <w:spacing w:val="-2"/>
              </w:rPr>
            </w:pPr>
            <w:r w:rsidRPr="00CE4E97">
              <w:rPr>
                <w:spacing w:val="-2"/>
              </w:rPr>
              <w:t>D/B/A Midwest Energy &amp; Communications</w:t>
            </w:r>
          </w:p>
          <w:p w:rsidR="004C2EE3" w:rsidRPr="007115F7" w:rsidP="00CE4E97" w14:paraId="639F7D58" w14:textId="7FE26973">
            <w:pPr>
              <w:tabs>
                <w:tab w:val="center" w:pos="4680"/>
              </w:tabs>
              <w:suppressAutoHyphens/>
              <w:rPr>
                <w:spacing w:val="-2"/>
              </w:rPr>
            </w:pPr>
            <w:r w:rsidRPr="00CE4E97">
              <w:rPr>
                <w:spacing w:val="-2"/>
              </w:rPr>
              <w:t>for Waiver</w:t>
            </w:r>
          </w:p>
        </w:tc>
        <w:tc>
          <w:tcPr>
            <w:tcW w:w="630" w:type="dxa"/>
          </w:tcPr>
          <w:p w:rsidR="004C2EE3" w14:paraId="789875BA" w14:textId="77777777">
            <w:pPr>
              <w:tabs>
                <w:tab w:val="center" w:pos="4680"/>
              </w:tabs>
              <w:suppressAutoHyphens/>
              <w:rPr>
                <w:b/>
                <w:spacing w:val="-2"/>
              </w:rPr>
            </w:pPr>
            <w:r>
              <w:rPr>
                <w:b/>
                <w:spacing w:val="-2"/>
              </w:rPr>
              <w:t>)</w:t>
            </w:r>
          </w:p>
          <w:p w:rsidR="004C2EE3" w14:paraId="0BE95BD5" w14:textId="77777777">
            <w:pPr>
              <w:tabs>
                <w:tab w:val="center" w:pos="4680"/>
              </w:tabs>
              <w:suppressAutoHyphens/>
              <w:rPr>
                <w:b/>
                <w:spacing w:val="-2"/>
              </w:rPr>
            </w:pPr>
            <w:r>
              <w:rPr>
                <w:b/>
                <w:spacing w:val="-2"/>
              </w:rPr>
              <w:t>)</w:t>
            </w:r>
          </w:p>
          <w:p w:rsidR="004C2EE3" w14:paraId="1274A637" w14:textId="77777777">
            <w:pPr>
              <w:tabs>
                <w:tab w:val="center" w:pos="4680"/>
              </w:tabs>
              <w:suppressAutoHyphens/>
              <w:rPr>
                <w:b/>
                <w:spacing w:val="-2"/>
              </w:rPr>
            </w:pPr>
            <w:r>
              <w:rPr>
                <w:b/>
                <w:spacing w:val="-2"/>
              </w:rPr>
              <w:t>)</w:t>
            </w:r>
          </w:p>
          <w:p w:rsidR="004C2EE3" w14:paraId="2019496D" w14:textId="77777777">
            <w:pPr>
              <w:tabs>
                <w:tab w:val="center" w:pos="4680"/>
              </w:tabs>
              <w:suppressAutoHyphens/>
              <w:rPr>
                <w:b/>
                <w:spacing w:val="-2"/>
              </w:rPr>
            </w:pPr>
            <w:r>
              <w:rPr>
                <w:b/>
                <w:spacing w:val="-2"/>
              </w:rPr>
              <w:t>)</w:t>
            </w:r>
          </w:p>
          <w:p w:rsidR="004C2EE3" w14:paraId="05228BFB" w14:textId="77777777">
            <w:pPr>
              <w:tabs>
                <w:tab w:val="center" w:pos="4680"/>
              </w:tabs>
              <w:suppressAutoHyphens/>
              <w:rPr>
                <w:b/>
                <w:spacing w:val="-2"/>
              </w:rPr>
            </w:pPr>
            <w:r>
              <w:rPr>
                <w:b/>
                <w:spacing w:val="-2"/>
              </w:rPr>
              <w:t>)</w:t>
            </w:r>
          </w:p>
          <w:p w:rsidR="004C2EE3" w14:paraId="1960C433" w14:textId="77777777">
            <w:pPr>
              <w:tabs>
                <w:tab w:val="center" w:pos="4680"/>
              </w:tabs>
              <w:suppressAutoHyphens/>
              <w:rPr>
                <w:b/>
                <w:spacing w:val="-2"/>
              </w:rPr>
            </w:pPr>
            <w:r>
              <w:rPr>
                <w:b/>
                <w:spacing w:val="-2"/>
              </w:rPr>
              <w:t>)</w:t>
            </w:r>
          </w:p>
          <w:p w:rsidR="004C2EE3" w14:paraId="30538BDB" w14:textId="77777777">
            <w:pPr>
              <w:tabs>
                <w:tab w:val="center" w:pos="4680"/>
              </w:tabs>
              <w:suppressAutoHyphens/>
              <w:rPr>
                <w:b/>
                <w:spacing w:val="-2"/>
              </w:rPr>
            </w:pPr>
            <w:r>
              <w:rPr>
                <w:b/>
                <w:spacing w:val="-2"/>
              </w:rPr>
              <w:t>)</w:t>
            </w:r>
          </w:p>
          <w:p w:rsidR="004C2EE3" w14:paraId="1029144C" w14:textId="77777777">
            <w:pPr>
              <w:tabs>
                <w:tab w:val="center" w:pos="4680"/>
              </w:tabs>
              <w:suppressAutoHyphens/>
              <w:rPr>
                <w:b/>
                <w:spacing w:val="-2"/>
              </w:rPr>
            </w:pPr>
            <w:r>
              <w:rPr>
                <w:b/>
                <w:spacing w:val="-2"/>
              </w:rPr>
              <w:t>)</w:t>
            </w:r>
          </w:p>
          <w:p w:rsidR="004C2EE3" w14:paraId="1FF355DA" w14:textId="77777777">
            <w:pPr>
              <w:tabs>
                <w:tab w:val="center" w:pos="4680"/>
              </w:tabs>
              <w:suppressAutoHyphens/>
              <w:rPr>
                <w:b/>
                <w:spacing w:val="-2"/>
              </w:rPr>
            </w:pPr>
            <w:r>
              <w:rPr>
                <w:b/>
                <w:spacing w:val="-2"/>
              </w:rPr>
              <w:t>)</w:t>
            </w:r>
          </w:p>
          <w:p w:rsidR="00CE4E97" w14:paraId="4CC0C7FF" w14:textId="77777777">
            <w:pPr>
              <w:tabs>
                <w:tab w:val="center" w:pos="4680"/>
              </w:tabs>
              <w:suppressAutoHyphens/>
              <w:rPr>
                <w:b/>
                <w:spacing w:val="-2"/>
              </w:rPr>
            </w:pPr>
            <w:r>
              <w:rPr>
                <w:b/>
                <w:spacing w:val="-2"/>
              </w:rPr>
              <w:t>)</w:t>
            </w:r>
          </w:p>
          <w:p w:rsidR="00CE4E97" w14:paraId="07D341F0" w14:textId="77777777">
            <w:pPr>
              <w:tabs>
                <w:tab w:val="center" w:pos="4680"/>
              </w:tabs>
              <w:suppressAutoHyphens/>
              <w:rPr>
                <w:b/>
                <w:spacing w:val="-2"/>
              </w:rPr>
            </w:pPr>
            <w:r>
              <w:rPr>
                <w:b/>
                <w:spacing w:val="-2"/>
              </w:rPr>
              <w:t>)</w:t>
            </w:r>
          </w:p>
          <w:p w:rsidR="00CE4E97" w14:paraId="67B87F9F" w14:textId="77777777">
            <w:pPr>
              <w:tabs>
                <w:tab w:val="center" w:pos="4680"/>
              </w:tabs>
              <w:suppressAutoHyphens/>
              <w:rPr>
                <w:b/>
                <w:spacing w:val="-2"/>
              </w:rPr>
            </w:pPr>
            <w:r>
              <w:rPr>
                <w:b/>
                <w:spacing w:val="-2"/>
              </w:rPr>
              <w:t>)</w:t>
            </w:r>
          </w:p>
          <w:p w:rsidR="00CE4E97" w14:paraId="550E2028" w14:textId="77777777">
            <w:pPr>
              <w:tabs>
                <w:tab w:val="center" w:pos="4680"/>
              </w:tabs>
              <w:suppressAutoHyphens/>
              <w:rPr>
                <w:b/>
                <w:spacing w:val="-2"/>
              </w:rPr>
            </w:pPr>
            <w:r>
              <w:rPr>
                <w:b/>
                <w:spacing w:val="-2"/>
              </w:rPr>
              <w:t>)</w:t>
            </w:r>
          </w:p>
          <w:p w:rsidR="00CE4E97" w14:paraId="12FC62E1" w14:textId="19F4858F">
            <w:pPr>
              <w:tabs>
                <w:tab w:val="center" w:pos="4680"/>
              </w:tabs>
              <w:suppressAutoHyphens/>
              <w:rPr>
                <w:spacing w:val="-2"/>
              </w:rPr>
            </w:pPr>
            <w:r>
              <w:rPr>
                <w:b/>
                <w:spacing w:val="-2"/>
              </w:rPr>
              <w:t>)</w:t>
            </w:r>
          </w:p>
        </w:tc>
        <w:tc>
          <w:tcPr>
            <w:tcW w:w="4248" w:type="dxa"/>
          </w:tcPr>
          <w:p w:rsidR="004C2EE3" w14:paraId="776A1F36" w14:textId="77777777">
            <w:pPr>
              <w:tabs>
                <w:tab w:val="center" w:pos="4680"/>
              </w:tabs>
              <w:suppressAutoHyphens/>
              <w:rPr>
                <w:spacing w:val="-2"/>
              </w:rPr>
            </w:pPr>
          </w:p>
          <w:p w:rsidR="004C2EE3" w14:paraId="3D3C53C7" w14:textId="77777777">
            <w:pPr>
              <w:pStyle w:val="TOAHeading"/>
              <w:tabs>
                <w:tab w:val="center" w:pos="4680"/>
                <w:tab w:val="clear" w:pos="9360"/>
              </w:tabs>
              <w:rPr>
                <w:spacing w:val="-2"/>
              </w:rPr>
            </w:pPr>
          </w:p>
          <w:p w:rsidR="004C2EE3" w14:paraId="3E836BCD" w14:textId="77777777">
            <w:pPr>
              <w:tabs>
                <w:tab w:val="center" w:pos="4680"/>
              </w:tabs>
              <w:suppressAutoHyphens/>
              <w:rPr>
                <w:spacing w:val="-2"/>
              </w:rPr>
            </w:pPr>
            <w:r>
              <w:rPr>
                <w:spacing w:val="-2"/>
              </w:rPr>
              <w:t>WC Docket No. 10-90</w:t>
            </w:r>
          </w:p>
          <w:p w:rsidR="00CE4E97" w14:paraId="60F5052C" w14:textId="77777777">
            <w:pPr>
              <w:tabs>
                <w:tab w:val="center" w:pos="4680"/>
              </w:tabs>
              <w:suppressAutoHyphens/>
              <w:rPr>
                <w:spacing w:val="-2"/>
              </w:rPr>
            </w:pPr>
          </w:p>
          <w:p w:rsidR="00CE4E97" w14:paraId="235F105A" w14:textId="77777777">
            <w:pPr>
              <w:tabs>
                <w:tab w:val="center" w:pos="4680"/>
              </w:tabs>
              <w:suppressAutoHyphens/>
              <w:rPr>
                <w:spacing w:val="-2"/>
              </w:rPr>
            </w:pPr>
            <w:r>
              <w:rPr>
                <w:spacing w:val="-2"/>
              </w:rPr>
              <w:t>WC Docket No. 14-58</w:t>
            </w:r>
          </w:p>
          <w:p w:rsidR="00CE4E97" w14:paraId="3D3B51DC" w14:textId="77777777">
            <w:pPr>
              <w:tabs>
                <w:tab w:val="center" w:pos="4680"/>
              </w:tabs>
              <w:suppressAutoHyphens/>
              <w:rPr>
                <w:spacing w:val="-2"/>
              </w:rPr>
            </w:pPr>
          </w:p>
          <w:p w:rsidR="00CE4E97" w14:paraId="4E66C831" w14:textId="3C7E44C7">
            <w:pPr>
              <w:tabs>
                <w:tab w:val="center" w:pos="4680"/>
              </w:tabs>
              <w:suppressAutoHyphens/>
              <w:rPr>
                <w:spacing w:val="-2"/>
              </w:rPr>
            </w:pPr>
            <w:r>
              <w:rPr>
                <w:spacing w:val="-2"/>
              </w:rPr>
              <w:t>WC Docket No. 14-259</w:t>
            </w:r>
          </w:p>
        </w:tc>
      </w:tr>
    </w:tbl>
    <w:p w:rsidR="004C2EE3" w:rsidP="0070224F" w14:paraId="1AA60889" w14:textId="77777777"/>
    <w:p w:rsidR="00841AB1" w:rsidP="00F021FA" w14:paraId="6EA22DA8" w14:textId="3B829EA6">
      <w:pPr>
        <w:pStyle w:val="StyleBoldCentered"/>
      </w:pPr>
      <w:r>
        <w:t>Order</w:t>
      </w:r>
    </w:p>
    <w:p w:rsidR="004C2EE3" w14:paraId="5EBE8795" w14:textId="77777777">
      <w:pPr>
        <w:tabs>
          <w:tab w:val="left" w:pos="-720"/>
        </w:tabs>
        <w:suppressAutoHyphens/>
        <w:spacing w:line="227" w:lineRule="auto"/>
        <w:rPr>
          <w:spacing w:val="-2"/>
        </w:rPr>
      </w:pPr>
    </w:p>
    <w:p w:rsidR="004C2EE3" w:rsidP="00133F79" w14:paraId="4E643B37" w14:textId="2E95B54C">
      <w:pPr>
        <w:tabs>
          <w:tab w:val="left" w:pos="720"/>
          <w:tab w:val="right" w:pos="9360"/>
        </w:tabs>
        <w:suppressAutoHyphens/>
        <w:spacing w:line="227" w:lineRule="auto"/>
        <w:rPr>
          <w:spacing w:val="-2"/>
        </w:rPr>
      </w:pPr>
      <w:r>
        <w:rPr>
          <w:b/>
          <w:spacing w:val="-2"/>
        </w:rPr>
        <w:t xml:space="preserve">Adopted:  </w:t>
      </w:r>
      <w:r w:rsidR="00CE4E97">
        <w:rPr>
          <w:b/>
          <w:spacing w:val="-2"/>
        </w:rPr>
        <w:t>January 11,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E4E97">
        <w:rPr>
          <w:b/>
          <w:spacing w:val="-2"/>
        </w:rPr>
        <w:t>January 11, 2022</w:t>
      </w:r>
    </w:p>
    <w:p w:rsidR="00822CE0" w14:paraId="76408FE2" w14:textId="77777777"/>
    <w:p w:rsidR="004C2EE3" w14:paraId="25DCC850" w14:textId="406507FA">
      <w:pPr>
        <w:rPr>
          <w:spacing w:val="-2"/>
        </w:rPr>
      </w:pPr>
      <w:r>
        <w:t xml:space="preserve">By </w:t>
      </w:r>
      <w:r w:rsidR="004E4A22">
        <w:t>the</w:t>
      </w:r>
      <w:r w:rsidR="002A2D2E">
        <w:t xml:space="preserve"> </w:t>
      </w:r>
      <w:r w:rsidR="00CE4E97">
        <w:rPr>
          <w:spacing w:val="-2"/>
        </w:rPr>
        <w:t>Chief, Wireline Competition Bureau</w:t>
      </w:r>
      <w:r>
        <w:rPr>
          <w:spacing w:val="-2"/>
        </w:rPr>
        <w:t>:</w:t>
      </w:r>
    </w:p>
    <w:p w:rsidR="00822CE0" w14:paraId="21FD7E9B" w14:textId="77777777">
      <w:pPr>
        <w:rPr>
          <w:spacing w:val="-2"/>
        </w:rPr>
      </w:pPr>
    </w:p>
    <w:p w:rsidR="00412FC5" w:rsidP="00C36B4C" w14:paraId="14EEB61C" w14:textId="5BA0641D">
      <w:pPr>
        <w:pStyle w:val="Heading1"/>
      </w:pPr>
      <w:r>
        <w:t>Introduction</w:t>
      </w:r>
    </w:p>
    <w:p w:rsidR="00CE4E97" w:rsidRPr="009B2B80" w:rsidP="00CE4E97" w14:paraId="1ED629F6" w14:textId="77777777">
      <w:pPr>
        <w:pStyle w:val="ParaNum"/>
      </w:pPr>
      <w:r w:rsidRPr="00EC31AA">
        <w:t xml:space="preserve">In this Order, </w:t>
      </w:r>
      <w:r>
        <w:t xml:space="preserve">the Wireline Competition Bureau (Bureau) addresses two petitions </w:t>
      </w:r>
      <w:r w:rsidRPr="00EC31AA">
        <w:t xml:space="preserve">separately filed by </w:t>
      </w:r>
      <w:r>
        <w:t>Skybeam, LLC (Skybeam) and Midwest Energy Cooperative d/b/a Midwest Energy &amp; Communications (Midwest)</w:t>
      </w:r>
      <w:r w:rsidRPr="00EC31AA">
        <w:t xml:space="preserve"> (collectively, petitioners), </w:t>
      </w:r>
      <w:r>
        <w:t>seeking waiver of the Rural Broadband Experiments (RBE) default rules and modification of their associated defined deployment obligations.</w:t>
      </w:r>
      <w:r>
        <w:rPr>
          <w:rStyle w:val="FootnoteReference"/>
          <w:sz w:val="22"/>
          <w:szCs w:val="22"/>
        </w:rPr>
        <w:footnoteReference w:id="3"/>
      </w:r>
      <w:r>
        <w:t xml:space="preserve">   We </w:t>
      </w:r>
      <w:r w:rsidRPr="00EC31AA">
        <w:t xml:space="preserve">find that petitioners have demonstrated that special circumstances warrant waiver of their defined deployment obligations </w:t>
      </w:r>
      <w:r>
        <w:t xml:space="preserve">and therefore, we reduce the defined deployment obligations of each of these petitioners to reflect the total number of actual, qualifying locations that the petitioners were able to identify during their build-out terms using reasonable and systematic methods, as documented in their petitions.  We </w:t>
      </w:r>
      <w:r w:rsidRPr="00102AE0">
        <w:t>reject</w:t>
      </w:r>
      <w:r>
        <w:t>, however,</w:t>
      </w:r>
      <w:r w:rsidRPr="00102AE0">
        <w:t xml:space="preserve"> Skybeam’s</w:t>
      </w:r>
      <w:r>
        <w:t xml:space="preserve"> arguments in favor of retaining all support awarded and, accordingly, </w:t>
      </w:r>
      <w:r w:rsidRPr="00EC31AA">
        <w:t>make pro-rata adjustments to th</w:t>
      </w:r>
      <w:r>
        <w:t>e petitioners’</w:t>
      </w:r>
      <w:r w:rsidRPr="00EC31AA">
        <w:t xml:space="preserve"> support amounts</w:t>
      </w:r>
      <w:r>
        <w:t xml:space="preserve"> and direct </w:t>
      </w:r>
      <w:r w:rsidRPr="00EC31AA">
        <w:t>the Universal Service Administrative Company (USAC) to prorate reductions in future payments for the remainder of the support term</w:t>
      </w:r>
      <w:r>
        <w:t xml:space="preserve">.  </w:t>
      </w:r>
    </w:p>
    <w:p w:rsidR="00CE4E97" w:rsidP="00CE4E97" w14:paraId="332D9AE8" w14:textId="62430C03">
      <w:pPr>
        <w:pStyle w:val="Heading1"/>
      </w:pPr>
      <w:r>
        <w:t>Background</w:t>
      </w:r>
    </w:p>
    <w:p w:rsidR="00CE4E97" w:rsidRPr="00B137D8" w:rsidP="00CE4E97" w14:paraId="087DBA0A" w14:textId="77777777">
      <w:pPr>
        <w:pStyle w:val="ParaNum"/>
        <w:widowControl/>
        <w:rPr>
          <w:szCs w:val="22"/>
        </w:rPr>
      </w:pPr>
      <w:r w:rsidRPr="00EC31AA">
        <w:rPr>
          <w:szCs w:val="22"/>
        </w:rPr>
        <w:t xml:space="preserve">On July 14, 2014, the Commission </w:t>
      </w:r>
      <w:r>
        <w:rPr>
          <w:szCs w:val="22"/>
        </w:rPr>
        <w:t xml:space="preserve">established the RBE to test future Connect America Fund (CAF) auction processes that would </w:t>
      </w:r>
      <w:r w:rsidRPr="00EC31AA">
        <w:rPr>
          <w:szCs w:val="22"/>
        </w:rPr>
        <w:t>allocate support in price</w:t>
      </w:r>
      <w:r>
        <w:rPr>
          <w:szCs w:val="22"/>
        </w:rPr>
        <w:t xml:space="preserve"> </w:t>
      </w:r>
      <w:r w:rsidRPr="00EC31AA">
        <w:rPr>
          <w:szCs w:val="22"/>
        </w:rPr>
        <w:t xml:space="preserve">cap territories where the average cost of service exceeded a certain high-cost threshold, as determined by the Connect America Model (CAM) </w:t>
      </w:r>
      <w:r w:rsidRPr="00EC31AA">
        <w:rPr>
          <w:szCs w:val="22"/>
        </w:rPr>
        <w:t>(exclusive of areas already served by an unsubsidized competitor).</w:t>
      </w:r>
      <w:r>
        <w:rPr>
          <w:rStyle w:val="FootnoteReference"/>
          <w:sz w:val="22"/>
          <w:szCs w:val="22"/>
        </w:rPr>
        <w:footnoteReference w:id="4"/>
      </w:r>
      <w:r>
        <w:rPr>
          <w:szCs w:val="22"/>
        </w:rPr>
        <w:t xml:space="preserve"> </w:t>
      </w:r>
      <w:r w:rsidRPr="00EC31AA">
        <w:rPr>
          <w:szCs w:val="22"/>
        </w:rPr>
        <w:t xml:space="preserve"> </w:t>
      </w:r>
      <w:r>
        <w:rPr>
          <w:szCs w:val="22"/>
        </w:rPr>
        <w:t>For the RBEs, the Commission defined bids at the census block level and required service to every CAM-determined qualifying location within winning bid areas (including locations for which no support would be allocated).</w:t>
      </w:r>
      <w:r>
        <w:rPr>
          <w:rStyle w:val="FootnoteReference"/>
          <w:sz w:val="22"/>
          <w:szCs w:val="22"/>
        </w:rPr>
        <w:footnoteReference w:id="5"/>
      </w:r>
      <w:r>
        <w:rPr>
          <w:szCs w:val="22"/>
        </w:rPr>
        <w:t xml:space="preserve">  RBE support recipients would report annually on their progress in deploying their networks and </w:t>
      </w:r>
      <w:r w:rsidRPr="00EC31AA">
        <w:rPr>
          <w:szCs w:val="22"/>
        </w:rPr>
        <w:t xml:space="preserve">certify, by certain deadlines, </w:t>
      </w:r>
      <w:r>
        <w:rPr>
          <w:szCs w:val="22"/>
        </w:rPr>
        <w:t xml:space="preserve">their </w:t>
      </w:r>
      <w:r w:rsidRPr="00EC31AA">
        <w:rPr>
          <w:szCs w:val="22"/>
        </w:rPr>
        <w:t>incremental progress, measured as a percentage of their full obligation (build-out milestones).</w:t>
      </w:r>
      <w:r>
        <w:rPr>
          <w:rStyle w:val="FootnoteReference"/>
          <w:sz w:val="22"/>
          <w:szCs w:val="22"/>
        </w:rPr>
        <w:footnoteReference w:id="6"/>
      </w:r>
      <w:r>
        <w:rPr>
          <w:szCs w:val="22"/>
        </w:rPr>
        <w:t xml:space="preserve">  </w:t>
      </w:r>
      <w:r w:rsidRPr="00B137D8">
        <w:rPr>
          <w:szCs w:val="22"/>
        </w:rPr>
        <w:t>The Commission indicated that an RBE support recipient’s failure to meet a build-out milestone was a performance default, triggering default measures that included a 12-month withholding period (with an increase in withholding after the first six months) and a subsequent draw on a letter of credit securing the full award amount.</w:t>
      </w:r>
      <w:r>
        <w:rPr>
          <w:rStyle w:val="FootnoteReference"/>
          <w:sz w:val="22"/>
          <w:szCs w:val="22"/>
        </w:rPr>
        <w:footnoteReference w:id="7"/>
      </w:r>
      <w:r w:rsidRPr="00B137D8">
        <w:rPr>
          <w:szCs w:val="22"/>
        </w:rPr>
        <w:t xml:space="preserve">  The Commission invited RBE support recipients to submit petitions for waiver of their build-out obligations when circumstances outside of their control prevented them from meeting their obligations.</w:t>
      </w:r>
      <w:r>
        <w:rPr>
          <w:rStyle w:val="FootnoteReference"/>
          <w:sz w:val="22"/>
        </w:rPr>
        <w:footnoteReference w:id="8"/>
      </w:r>
      <w:r w:rsidRPr="00BC14D7">
        <w:t xml:space="preserve">  </w:t>
      </w:r>
    </w:p>
    <w:p w:rsidR="00CE4E97" w:rsidP="00CE4E97" w14:paraId="5A56D897" w14:textId="77777777">
      <w:pPr>
        <w:pStyle w:val="ParaNum"/>
        <w:widowControl/>
      </w:pPr>
      <w:r>
        <w:t xml:space="preserve">In two subsequent high-cost programs—first, the offer of CAF Phase II model-based support to price cap carriers and second, the CAF Phase II auction—the Commission recognized and adopted strategies for addressing potential discrepancies between the number of CAM-estimated funded locations and the number of actual qualifying locations within eligible areas.  In its </w:t>
      </w:r>
      <w:r w:rsidRPr="009B2B80">
        <w:rPr>
          <w:i/>
        </w:rPr>
        <w:t xml:space="preserve">December 2014 Connect America Order, </w:t>
      </w:r>
      <w:r>
        <w:t xml:space="preserve">as it was finalizing requirements and conditions for the Phase II model-based offer, the </w:t>
      </w:r>
      <w:r w:rsidRPr="009B2B80">
        <w:rPr>
          <w:szCs w:val="22"/>
        </w:rPr>
        <w:t>Commission</w:t>
      </w:r>
      <w:r>
        <w:t xml:space="preserve"> first </w:t>
      </w:r>
      <w:r w:rsidRPr="00BC14D7">
        <w:t>acknowledged that</w:t>
      </w:r>
      <w:r>
        <w:t xml:space="preserve"> location discrepancies could arise</w:t>
      </w:r>
      <w:r w:rsidRPr="00BC14D7">
        <w:t xml:space="preserve"> due to certain limitations in the CAM’s underlying data inputs (i.e., 2010 Census population statistics, FCC study area boundary maps, commercial proprietary data) and demographic changes over time.</w:t>
      </w:r>
      <w:r>
        <w:rPr>
          <w:rStyle w:val="FootnoteReference"/>
          <w:sz w:val="22"/>
        </w:rPr>
        <w:footnoteReference w:id="9"/>
      </w:r>
      <w:r w:rsidRPr="00BC14D7">
        <w:t xml:space="preserve">  </w:t>
      </w:r>
      <w:r w:rsidRPr="00055C09">
        <w:t xml:space="preserve">In most instances, the </w:t>
      </w:r>
      <w:r w:rsidRPr="00055C09">
        <w:t>Commission e</w:t>
      </w:r>
      <w:r>
        <w:t>stimated</w:t>
      </w:r>
      <w:r w:rsidRPr="00055C09">
        <w:t xml:space="preserve">, these inaccuracies </w:t>
      </w:r>
      <w:r>
        <w:t>would</w:t>
      </w:r>
      <w:r w:rsidRPr="00055C09">
        <w:t xml:space="preserve"> be minor and cancel each other out across the multiple census blocks in </w:t>
      </w:r>
      <w:r>
        <w:t xml:space="preserve">eligible areas in </w:t>
      </w:r>
      <w:r w:rsidRPr="00055C09">
        <w:t>a state.</w:t>
      </w:r>
      <w:r>
        <w:rPr>
          <w:rStyle w:val="FootnoteReference"/>
          <w:color w:val="000000"/>
          <w:szCs w:val="22"/>
        </w:rPr>
        <w:footnoteReference w:id="10"/>
      </w:r>
      <w:r w:rsidRPr="00055C09">
        <w:t xml:space="preserve">  </w:t>
      </w:r>
      <w:r>
        <w:t xml:space="preserve">In all other circumstances, the </w:t>
      </w:r>
      <w:r w:rsidRPr="00BC14D7">
        <w:t>Commission encouraged price</w:t>
      </w:r>
      <w:r>
        <w:t xml:space="preserve"> </w:t>
      </w:r>
      <w:r w:rsidRPr="00BC14D7">
        <w:t>cap carriers electing to receive the offer to “promptly bring any situations involving a known disparity between the number of model-determined locations and the actual number of locations in a state to the Commission’s attention while developing their network plans in that first year.”</w:t>
      </w:r>
      <w:r>
        <w:rPr>
          <w:rStyle w:val="FootnoteReference"/>
          <w:sz w:val="22"/>
        </w:rPr>
        <w:footnoteReference w:id="11"/>
      </w:r>
      <w:r w:rsidRPr="00BC14D7">
        <w:t xml:space="preserve">  The Commission delegated authority to the Bureau to address such situations by appropriately adjusting the number of funded locations in the relevant state and reducing support on a pro</w:t>
      </w:r>
      <w:r>
        <w:t>-</w:t>
      </w:r>
      <w:r w:rsidRPr="00BC14D7">
        <w:t>rata basis.</w:t>
      </w:r>
      <w:r>
        <w:rPr>
          <w:rStyle w:val="FootnoteReference"/>
          <w:sz w:val="22"/>
        </w:rPr>
        <w:footnoteReference w:id="12"/>
      </w:r>
      <w:r>
        <w:t xml:space="preserve">  Subsequently, for the CAF Phase II auction, the Commission created an adjudicatory process designed to facilitate defined deployment obligation adjustments (and associated support) post-bid based on the winning bidders’ assessments of locations on the ground.</w:t>
      </w:r>
      <w:r>
        <w:rPr>
          <w:rStyle w:val="FootnoteReference"/>
          <w:sz w:val="22"/>
        </w:rPr>
        <w:footnoteReference w:id="13"/>
      </w:r>
      <w:r w:rsidRPr="00BC14D7">
        <w:t xml:space="preserve">  </w:t>
      </w:r>
    </w:p>
    <w:p w:rsidR="00CE4E97" w:rsidRPr="009203CD" w:rsidP="00CE4E97" w14:paraId="50BFF338" w14:textId="77777777">
      <w:pPr>
        <w:pStyle w:val="ParaNum"/>
      </w:pPr>
      <w:r>
        <w:t>In November 2019, the Bureau found good cause to waive RBE default rules and modify the defined deployment obligations of two RBE support recipients that had submitted persuasive evidence of location discrepancies as part of their waiver petitions.</w:t>
      </w:r>
      <w:r>
        <w:rPr>
          <w:rStyle w:val="FootnoteReference"/>
        </w:rPr>
        <w:footnoteReference w:id="14"/>
      </w:r>
      <w:r w:rsidRPr="000A6CDC">
        <w:rPr>
          <w:szCs w:val="22"/>
        </w:rPr>
        <w:t xml:space="preserve"> </w:t>
      </w:r>
      <w:r>
        <w:t xml:space="preserve"> The Bureau recognized that when these recipients had placed their bids, the Commission had not yet acknowledged that the newly adopted CAM could overestimate the number of qualifying locations and had not yet explicitly warned bidders to conduct a thorough review of locations in their bid areas as part of their due diligence.</w:t>
      </w:r>
      <w:r>
        <w:rPr>
          <w:rStyle w:val="FootnoteReference"/>
        </w:rPr>
        <w:footnoteReference w:id="15"/>
      </w:r>
      <w:r>
        <w:t xml:space="preserve">  The Commission also recognized that without waiver, the default consequences—the full recovery of support—would deprive these carriers of any support, despite evidence demonstrating that they had made good faith efforts to deploy their networks throughout the entirety of their supported areas on a timely basis and despite only small to moderate location discrepancies.</w:t>
      </w:r>
      <w:r>
        <w:rPr>
          <w:rStyle w:val="FootnoteReference"/>
          <w:sz w:val="22"/>
          <w:szCs w:val="22"/>
        </w:rPr>
        <w:footnoteReference w:id="16"/>
      </w:r>
      <w:r w:rsidRPr="0005695E">
        <w:t xml:space="preserve"> </w:t>
      </w:r>
      <w:r>
        <w:t xml:space="preserve"> In granting these waiver requests, the Bureau rebased each carrier’s support to reflect their adjusted defined deployment obligations.</w:t>
      </w:r>
      <w:r>
        <w:rPr>
          <w:rStyle w:val="FootnoteReference"/>
          <w:sz w:val="22"/>
          <w:szCs w:val="22"/>
        </w:rPr>
        <w:footnoteReference w:id="17"/>
      </w:r>
      <w:r w:rsidRPr="000A6CDC">
        <w:rPr>
          <w:rStyle w:val="FootnoteReference"/>
          <w:sz w:val="22"/>
          <w:szCs w:val="22"/>
        </w:rPr>
        <w:t xml:space="preserve"> </w:t>
      </w:r>
      <w:r w:rsidRPr="000A6CDC">
        <w:rPr>
          <w:szCs w:val="22"/>
        </w:rPr>
        <w:t xml:space="preserve"> </w:t>
      </w:r>
    </w:p>
    <w:p w:rsidR="00CE4E97" w:rsidP="00CE4E97" w14:paraId="6EE2876E" w14:textId="77777777">
      <w:pPr>
        <w:pStyle w:val="ParaNum"/>
        <w:rPr>
          <w:szCs w:val="22"/>
        </w:rPr>
      </w:pPr>
      <w:r w:rsidRPr="00976F3B">
        <w:rPr>
          <w:i/>
          <w:iCs/>
        </w:rPr>
        <w:t>Skybeam</w:t>
      </w:r>
      <w:r w:rsidRPr="00976F3B">
        <w:rPr>
          <w:i/>
          <w:iCs/>
        </w:rPr>
        <w:t xml:space="preserve"> Petition for Waiver</w:t>
      </w:r>
      <w:r>
        <w:t xml:space="preserve">.  On April 2, 2020, </w:t>
      </w:r>
      <w:r>
        <w:t>Skybeam</w:t>
      </w:r>
      <w:r>
        <w:t xml:space="preserve"> submitted a petition seeking waiver of its defined deployment obligations for ten study areas in a total of five states (Illinois, Iowa, Kansas, Nebraska, and Texas), which it subsequently amended.</w:t>
      </w:r>
      <w:r>
        <w:rPr>
          <w:rStyle w:val="FootnoteReference"/>
          <w:sz w:val="22"/>
        </w:rPr>
        <w:footnoteReference w:id="18"/>
      </w:r>
      <w:r>
        <w:t xml:space="preserve">  </w:t>
      </w:r>
      <w:r>
        <w:t>Skybeam</w:t>
      </w:r>
      <w:r>
        <w:t xml:space="preserve"> states that as of its final deployment milestones for each of these study areas, it deployed fixed wireless voice and broadband </w:t>
      </w:r>
      <w:r>
        <w:t>services meeting the requisite public interest obligations to its entire service area (on a geographic basis), submitted location information for, and certified service to, all qualifying locations it could find after completing a comprehensive assessment of locations using commercial geolocation data sets and imaging projects, and nonetheless, fell short of its deployment obligations for each of its RBE areas.</w:t>
      </w:r>
      <w:r>
        <w:rPr>
          <w:rStyle w:val="FootnoteReference"/>
        </w:rPr>
        <w:footnoteReference w:id="19"/>
      </w:r>
      <w:r>
        <w:t xml:space="preserve">  </w:t>
      </w:r>
    </w:p>
    <w:p w:rsidR="00CE4E97" w:rsidRPr="00976F3B" w:rsidP="00CE4E97" w14:paraId="037269DF" w14:textId="77777777">
      <w:pPr>
        <w:pStyle w:val="ParaNum"/>
      </w:pPr>
      <w:r>
        <w:t>Skybeam</w:t>
      </w:r>
      <w:r>
        <w:t xml:space="preserve"> also </w:t>
      </w:r>
      <w:r w:rsidRPr="00976F3B">
        <w:t xml:space="preserve">requests that the Commission permit it to retain all support awarded to serve </w:t>
      </w:r>
      <w:r w:rsidRPr="008E253A">
        <w:t>these areas, asserting that this approach would bring RBE support recipients into parity with recipients of</w:t>
      </w:r>
      <w:r w:rsidRPr="00976F3B">
        <w:t xml:space="preserve"> support awarded through the Rural Digital Opportunity Fund (RDOF).</w:t>
      </w:r>
      <w:r>
        <w:rPr>
          <w:rStyle w:val="FootnoteReference"/>
          <w:szCs w:val="22"/>
        </w:rPr>
        <w:footnoteReference w:id="20"/>
      </w:r>
      <w:r w:rsidRPr="00976F3B">
        <w:t xml:space="preserve">  In doing so, </w:t>
      </w:r>
      <w:r w:rsidRPr="00976F3B">
        <w:t>Skybeam</w:t>
      </w:r>
      <w:r w:rsidRPr="00976F3B">
        <w:t xml:space="preserve"> incorporates into its petition </w:t>
      </w:r>
      <w:r>
        <w:t xml:space="preserve">all relevant </w:t>
      </w:r>
      <w:r w:rsidRPr="00976F3B">
        <w:t>arguments made by the CAF Phase II Auction Coalition for similar relief from support adjustments</w:t>
      </w:r>
      <w:r>
        <w:t xml:space="preserve"> for location discrepancies</w:t>
      </w:r>
      <w:r w:rsidRPr="00976F3B">
        <w:t>.</w:t>
      </w:r>
      <w:r>
        <w:rPr>
          <w:rStyle w:val="FootnoteReference"/>
          <w:szCs w:val="22"/>
        </w:rPr>
        <w:footnoteReference w:id="21"/>
      </w:r>
      <w:r w:rsidRPr="00976F3B">
        <w:t xml:space="preserve">  </w:t>
      </w:r>
      <w:r>
        <w:t xml:space="preserve">In sum, </w:t>
      </w:r>
      <w:r w:rsidRPr="00976F3B">
        <w:t>Skybeam</w:t>
      </w:r>
      <w:r w:rsidRPr="00976F3B">
        <w:t xml:space="preserve"> argues that </w:t>
      </w:r>
      <w:r>
        <w:t>applying</w:t>
      </w:r>
      <w:r w:rsidRPr="00976F3B">
        <w:t xml:space="preserve"> </w:t>
      </w:r>
      <w:r>
        <w:t xml:space="preserve">the </w:t>
      </w:r>
      <w:r w:rsidRPr="00976F3B">
        <w:t>RDOF process for resolving</w:t>
      </w:r>
      <w:r>
        <w:t xml:space="preserve"> location </w:t>
      </w:r>
      <w:r w:rsidRPr="00976F3B">
        <w:t>discrepancies</w:t>
      </w:r>
      <w:r>
        <w:t xml:space="preserve"> to RBE </w:t>
      </w:r>
      <w:r w:rsidRPr="00976F3B">
        <w:t xml:space="preserve">would have no effect on </w:t>
      </w:r>
      <w:r w:rsidRPr="00976F3B">
        <w:t>Skybeam’s</w:t>
      </w:r>
      <w:r w:rsidRPr="00976F3B">
        <w:t xml:space="preserve"> obligations to</w:t>
      </w:r>
      <w:r>
        <w:t xml:space="preserve"> meet its defined deployment obligation and would further ensure regulatory parity among the programs</w:t>
      </w:r>
      <w:r w:rsidRPr="00976F3B">
        <w:t>; that pro rat</w:t>
      </w:r>
      <w:r>
        <w:t>a</w:t>
      </w:r>
      <w:r w:rsidRPr="00976F3B">
        <w:t xml:space="preserve"> reductions constitute a penalty; that </w:t>
      </w:r>
      <w:r w:rsidRPr="00976F3B">
        <w:t>Skybeam’s</w:t>
      </w:r>
      <w:r w:rsidRPr="00976F3B">
        <w:t xml:space="preserve"> capital costs remain unchanged despite location discrepancies</w:t>
      </w:r>
      <w:r>
        <w:t xml:space="preserve"> even if there would be a marginal reduction in operating costs not proportionate to the reduction in support</w:t>
      </w:r>
      <w:r w:rsidRPr="00976F3B">
        <w:t>; and that pro rat</w:t>
      </w:r>
      <w:r>
        <w:t>a</w:t>
      </w:r>
      <w:r w:rsidRPr="00976F3B">
        <w:t xml:space="preserve"> reductions would limit funding available for </w:t>
      </w:r>
      <w:r>
        <w:t xml:space="preserve">the </w:t>
      </w:r>
      <w:r w:rsidRPr="00976F3B">
        <w:t>“provision, maintenance and upgrade of supporting facilities and services.”</w:t>
      </w:r>
      <w:r>
        <w:rPr>
          <w:rStyle w:val="FootnoteReference"/>
          <w:szCs w:val="22"/>
        </w:rPr>
        <w:footnoteReference w:id="22"/>
      </w:r>
      <w:r w:rsidRPr="00976F3B">
        <w:t xml:space="preserve">  </w:t>
      </w:r>
      <w:r w:rsidRPr="00245E4F">
        <w:t>Skybeam</w:t>
      </w:r>
      <w:r w:rsidRPr="00245E4F">
        <w:t xml:space="preserve"> argues that applying RDOF location discrepancy processes to RBE support recipients would “simplify” the process for FCC staff, USAC</w:t>
      </w:r>
      <w:r>
        <w:t>,</w:t>
      </w:r>
      <w:r w:rsidRPr="00245E4F">
        <w:t xml:space="preserve"> and recipients by dispensing with the need for calculating support and obtaining a new letter of credit in circumstances where the recipient is not deemed to have satisfied its final milestone at the time of the location discrepancy.</w:t>
      </w:r>
      <w:r>
        <w:rPr>
          <w:rStyle w:val="FootnoteReference"/>
          <w:szCs w:val="22"/>
        </w:rPr>
        <w:footnoteReference w:id="23"/>
      </w:r>
      <w:r w:rsidRPr="00245E4F">
        <w:t xml:space="preserve">  </w:t>
      </w:r>
      <w:r w:rsidRPr="00245E4F">
        <w:t>Skybeam</w:t>
      </w:r>
      <w:r w:rsidRPr="00245E4F">
        <w:t xml:space="preserve"> then argues that the failure of the Commission to acknowledge CAM-based location discrepancies before RBE bidding commenced resulted in forcing RBE support recipients to wait until the end of their build-out period to identify discrepancies and seek relief, creating “uncertainty” in planning and budgeting during the deployment term.</w:t>
      </w:r>
      <w:r>
        <w:rPr>
          <w:rStyle w:val="FootnoteReference"/>
          <w:szCs w:val="22"/>
        </w:rPr>
        <w:footnoteReference w:id="24"/>
      </w:r>
      <w:r w:rsidRPr="00976F3B">
        <w:t xml:space="preserve"> </w:t>
      </w:r>
    </w:p>
    <w:p w:rsidR="00CE4E97" w:rsidRPr="00DA236C" w:rsidP="00CE4E97" w14:paraId="57543A7F" w14:textId="77777777">
      <w:pPr>
        <w:pStyle w:val="ParaNum"/>
      </w:pPr>
      <w:r w:rsidRPr="000D1AE0">
        <w:rPr>
          <w:i/>
          <w:iCs/>
        </w:rPr>
        <w:t>Midwest Petition for Waiver</w:t>
      </w:r>
      <w:r>
        <w:t>.  On April 21, 2019, Midwest submitted a petition for waiver of its defined deployment obligation to serve 421 locations in one study area in Michigan, which it amended on February 10, 2021.</w:t>
      </w:r>
      <w:r>
        <w:rPr>
          <w:rStyle w:val="FootnoteReference"/>
          <w:sz w:val="22"/>
        </w:rPr>
        <w:footnoteReference w:id="25"/>
      </w:r>
      <w:r>
        <w:t xml:space="preserve">  In its initial waiver request, Midwest states that it has only been able to identify 364 qualifying locations in this study area, all of which it has deployed qualifying broadband service.</w:t>
      </w:r>
      <w:r>
        <w:rPr>
          <w:rStyle w:val="FootnoteReference"/>
        </w:rPr>
        <w:footnoteReference w:id="26"/>
      </w:r>
      <w:r>
        <w:t xml:space="preserve">  In its supplement, Midwest updates this number of qualifying locations from 364 to 382, explaining that initially, it had incorrectly treated multiple dwelling units on a single parcel as a single </w:t>
      </w:r>
      <w:r>
        <w:t>location.</w:t>
      </w:r>
      <w:r>
        <w:rPr>
          <w:rStyle w:val="FootnoteReference"/>
        </w:rPr>
        <w:footnoteReference w:id="27"/>
      </w:r>
      <w:r>
        <w:t xml:space="preserve">  We note that USAC, after completing its verification of each location, concurs with this number save one, finding that individual parcels with business and residential structures qualified under the Commission’s standards minus one location, which Midwest did not contest.  Midwest provides detailed evidence of its efforts to identify every location in its supported areas by submitting detailed aerial imagery of representative census blocks.</w:t>
      </w:r>
      <w:r>
        <w:rPr>
          <w:rStyle w:val="FootnoteReference"/>
          <w:sz w:val="22"/>
          <w:szCs w:val="22"/>
        </w:rPr>
        <w:footnoteReference w:id="28"/>
      </w:r>
      <w:r w:rsidRPr="0005420D">
        <w:rPr>
          <w:szCs w:val="22"/>
        </w:rPr>
        <w:t xml:space="preserve"> </w:t>
      </w:r>
    </w:p>
    <w:p w:rsidR="00CE4E97" w:rsidRPr="00EC31AA" w:rsidP="00CE4E97" w14:paraId="5554F39A" w14:textId="77777777">
      <w:pPr>
        <w:pStyle w:val="ParaNum"/>
      </w:pPr>
      <w:r>
        <w:rPr>
          <w:i/>
        </w:rPr>
        <w:t xml:space="preserve">Waiver Standard.  </w:t>
      </w:r>
      <w:r w:rsidRPr="00EC31AA">
        <w:t>The Commission may waive its rules and requirements for “good cause shown.”</w:t>
      </w:r>
      <w:r>
        <w:rPr>
          <w:rStyle w:val="FootnoteReference"/>
          <w:sz w:val="22"/>
          <w:szCs w:val="22"/>
        </w:rPr>
        <w:footnoteReference w:id="29"/>
      </w:r>
      <w:r w:rsidRPr="00EC31AA">
        <w:t xml:space="preserve">  Good cause, in turn, may be found “where particular facts would make strict compliance inconsistent with the public interest.”</w:t>
      </w:r>
      <w:r>
        <w:rPr>
          <w:rStyle w:val="FootnoteReference"/>
          <w:sz w:val="22"/>
          <w:szCs w:val="22"/>
        </w:rPr>
        <w:footnoteReference w:id="30"/>
      </w:r>
      <w:r w:rsidRPr="00EC31AA">
        <w:t xml:space="preserve">  In making this determination, the Commission may “take into account considerations of hardship, equity, or more effective implementation of overall policy.”</w:t>
      </w:r>
      <w:r>
        <w:rPr>
          <w:rStyle w:val="FootnoteReference"/>
          <w:sz w:val="22"/>
          <w:szCs w:val="22"/>
        </w:rPr>
        <w:footnoteReference w:id="31"/>
      </w:r>
      <w:r w:rsidRPr="00EC31AA">
        <w:t xml:space="preserve">  Waiver of the Commission’s rules is “appropriate only if special circumstances warrant a deviation from the general rule and such deviation will serve the public interest.”</w:t>
      </w:r>
      <w:r>
        <w:rPr>
          <w:rStyle w:val="FootnoteReference"/>
          <w:sz w:val="22"/>
          <w:szCs w:val="22"/>
        </w:rPr>
        <w:footnoteReference w:id="32"/>
      </w:r>
      <w:r w:rsidRPr="00EC31AA">
        <w:t xml:space="preserve">  To make such a public interest determination, the waiver cannot undermine the purposes of the rule, and there must be a stronger public interest benefit in granting the waiver than in applying the rule.</w:t>
      </w:r>
      <w:r>
        <w:rPr>
          <w:rStyle w:val="FootnoteReference"/>
          <w:sz w:val="22"/>
          <w:szCs w:val="22"/>
        </w:rPr>
        <w:footnoteReference w:id="33"/>
      </w:r>
    </w:p>
    <w:p w:rsidR="00CE4E97" w:rsidP="00CE4E97" w14:paraId="4130BF7C" w14:textId="5E62B826">
      <w:pPr>
        <w:pStyle w:val="Heading1"/>
      </w:pPr>
      <w:r>
        <w:t>Discussion</w:t>
      </w:r>
    </w:p>
    <w:p w:rsidR="00CE4E97" w:rsidRPr="00EC31AA" w:rsidP="00CE4E97" w14:paraId="49C37659" w14:textId="77777777">
      <w:pPr>
        <w:pStyle w:val="ParaNum"/>
      </w:pPr>
      <w:r>
        <w:t>Consistent with recent precedent, the Bureau</w:t>
      </w:r>
      <w:r w:rsidRPr="00EC31AA">
        <w:t xml:space="preserve"> find</w:t>
      </w:r>
      <w:r>
        <w:t>s</w:t>
      </w:r>
      <w:r w:rsidRPr="00EC31AA">
        <w:t xml:space="preserve"> that petitioners have demonstrated that special circumstances warrant waiver of their defined deployment obligations </w:t>
      </w:r>
      <w:r>
        <w:t>based on reasonably persuasive evidence of the number of qualifying locations within their supported study areas.</w:t>
      </w:r>
      <w:r>
        <w:rPr>
          <w:rStyle w:val="FootnoteReference"/>
          <w:szCs w:val="22"/>
        </w:rPr>
        <w:footnoteReference w:id="34"/>
      </w:r>
      <w:r>
        <w:t xml:space="preserve">  R</w:t>
      </w:r>
      <w:r w:rsidRPr="00EC31AA">
        <w:t xml:space="preserve">ather than </w:t>
      </w:r>
      <w:r>
        <w:t>finding these petitioners</w:t>
      </w:r>
      <w:r w:rsidRPr="00EC31AA">
        <w:t xml:space="preserve"> </w:t>
      </w:r>
      <w:r>
        <w:t xml:space="preserve">in </w:t>
      </w:r>
      <w:r w:rsidRPr="00EC31AA">
        <w:t xml:space="preserve">default and recovering all support awarded, we will rebase their obligations and </w:t>
      </w:r>
      <w:r>
        <w:t xml:space="preserve">support </w:t>
      </w:r>
      <w:r w:rsidRPr="00EC31AA">
        <w:t>(on a per</w:t>
      </w:r>
      <w:r>
        <w:t>-</w:t>
      </w:r>
      <w:r w:rsidRPr="00EC31AA">
        <w:t xml:space="preserve">location basis) to reflect the number of actual locations that they have </w:t>
      </w:r>
      <w:r>
        <w:t>found</w:t>
      </w:r>
      <w:r w:rsidRPr="00EC31AA">
        <w:t>.</w:t>
      </w:r>
      <w:r>
        <w:rPr>
          <w:rStyle w:val="FootnoteReference"/>
          <w:szCs w:val="22"/>
        </w:rPr>
        <w:footnoteReference w:id="35"/>
      </w:r>
      <w:r w:rsidRPr="00EC31AA">
        <w:t xml:space="preserve">  Doing so serves the public interest by helping to ensure the </w:t>
      </w:r>
      <w:r>
        <w:t>continuing</w:t>
      </w:r>
      <w:r w:rsidRPr="00EC31AA">
        <w:t xml:space="preserve"> viability of the petitioners’ networks in serving residential and small business locations while protecting the integrity of the bidding process in producing efficient deployment to consumers.</w:t>
      </w:r>
      <w:r>
        <w:rPr>
          <w:rStyle w:val="FootnoteReference"/>
          <w:szCs w:val="22"/>
        </w:rPr>
        <w:footnoteReference w:id="36"/>
      </w:r>
    </w:p>
    <w:p w:rsidR="00CE4E97" w:rsidP="00CE4E97" w14:paraId="234FD20F" w14:textId="77777777">
      <w:pPr>
        <w:pStyle w:val="ParaNum"/>
      </w:pPr>
      <w:r>
        <w:t>We find that b</w:t>
      </w:r>
      <w:r w:rsidRPr="00E7762D">
        <w:t xml:space="preserve">oth </w:t>
      </w:r>
      <w:r w:rsidRPr="00E7762D">
        <w:t>Skybeam</w:t>
      </w:r>
      <w:r w:rsidRPr="00E7762D">
        <w:t xml:space="preserve"> and Midwest </w:t>
      </w:r>
      <w:r>
        <w:t xml:space="preserve">have </w:t>
      </w:r>
      <w:r w:rsidRPr="00E7762D">
        <w:t>demonstrate</w:t>
      </w:r>
      <w:r>
        <w:t>d</w:t>
      </w:r>
      <w:r w:rsidRPr="00E7762D">
        <w:t xml:space="preserve"> that they timely implemented reasonable network deployment plans to serve their entire </w:t>
      </w:r>
      <w:r>
        <w:t>RBE areas</w:t>
      </w:r>
      <w:r w:rsidRPr="00E7762D">
        <w:t xml:space="preserve"> and to identify every location </w:t>
      </w:r>
      <w:r>
        <w:t>therein</w:t>
      </w:r>
      <w:r w:rsidRPr="00E7762D">
        <w:t>.  There is no indication that either petitioner systematically or even unintentionally excluded qualifying locations based on cost or difficulty in providing service.</w:t>
      </w:r>
      <w:r>
        <w:rPr>
          <w:rStyle w:val="FootnoteReference"/>
          <w:sz w:val="22"/>
          <w:szCs w:val="22"/>
        </w:rPr>
        <w:footnoteReference w:id="37"/>
      </w:r>
      <w:r w:rsidRPr="00E7762D">
        <w:t xml:space="preserve">  Both petitioners </w:t>
      </w:r>
      <w:r>
        <w:t xml:space="preserve">explain, </w:t>
      </w:r>
      <w:r>
        <w:t xml:space="preserve">and provide illustrative supporting documentation, </w:t>
      </w:r>
      <w:r w:rsidRPr="00E7762D">
        <w:t xml:space="preserve">that they </w:t>
      </w:r>
      <w:r>
        <w:t>have made efforts to identity all qualifying locations within their supported areas, controlling for inaccuracies</w:t>
      </w:r>
      <w:r w:rsidRPr="00E7762D">
        <w:t>.</w:t>
      </w:r>
      <w:r>
        <w:rPr>
          <w:rStyle w:val="FootnoteReference"/>
          <w:bCs/>
          <w:color w:val="000000"/>
          <w:sz w:val="22"/>
          <w:szCs w:val="22"/>
        </w:rPr>
        <w:footnoteReference w:id="38"/>
      </w:r>
      <w:r w:rsidRPr="00E7762D">
        <w:t xml:space="preserve">  Based on the representations made in the petitions, as well as the supporting evidence, the Bureau  conclude</w:t>
      </w:r>
      <w:r>
        <w:t>s</w:t>
      </w:r>
      <w:r w:rsidRPr="00E7762D">
        <w:t xml:space="preserve"> that both petitioners made good faith efforts to identify every actual location within their respective study areas and that such efforts have resulted in a reasonably reliable and accurate count of all qualifying locations</w:t>
      </w:r>
      <w:r>
        <w:t>, as summarized in the Attachment.</w:t>
      </w:r>
      <w:r w:rsidRPr="00E7762D">
        <w:t xml:space="preserve">  </w:t>
      </w:r>
    </w:p>
    <w:p w:rsidR="00CE4E97" w:rsidRPr="00516017" w:rsidP="00CE4E97" w14:paraId="5EA0D2BA" w14:textId="77777777">
      <w:pPr>
        <w:pStyle w:val="ParaNum"/>
        <w:widowControl/>
        <w:tabs>
          <w:tab w:val="num" w:pos="990"/>
        </w:tabs>
        <w:rPr>
          <w:szCs w:val="22"/>
        </w:rPr>
      </w:pPr>
      <w:r>
        <w:rPr>
          <w:szCs w:val="22"/>
        </w:rPr>
        <w:t xml:space="preserve">The Bureau finds good cause to modify the petitioners’ deployment obligations.  </w:t>
      </w:r>
      <w:r w:rsidRPr="008150E9">
        <w:rPr>
          <w:szCs w:val="22"/>
        </w:rPr>
        <w:t>For the reasons explained in</w:t>
      </w:r>
      <w:r>
        <w:rPr>
          <w:szCs w:val="22"/>
        </w:rPr>
        <w:t xml:space="preserve"> the </w:t>
      </w:r>
      <w:r w:rsidRPr="00516017">
        <w:rPr>
          <w:i/>
          <w:iCs/>
          <w:szCs w:val="22"/>
        </w:rPr>
        <w:t>ACEC-Consolidated Waiver Order</w:t>
      </w:r>
      <w:r w:rsidRPr="00516017">
        <w:rPr>
          <w:szCs w:val="22"/>
        </w:rPr>
        <w:t xml:space="preserve">, we find that the petitioners </w:t>
      </w:r>
      <w:r>
        <w:rPr>
          <w:szCs w:val="22"/>
        </w:rPr>
        <w:t>have established special circumstances by demonstrating adequate due diligence in assessing locations and bringing discrepancies to the attention of the Commission</w:t>
      </w:r>
      <w:r w:rsidRPr="00516017">
        <w:rPr>
          <w:szCs w:val="22"/>
        </w:rPr>
        <w:t>.</w:t>
      </w:r>
      <w:r>
        <w:rPr>
          <w:rStyle w:val="FootnoteReference"/>
          <w:szCs w:val="22"/>
        </w:rPr>
        <w:footnoteReference w:id="39"/>
      </w:r>
      <w:r w:rsidRPr="00516017">
        <w:rPr>
          <w:szCs w:val="22"/>
        </w:rPr>
        <w:t xml:space="preserve">  To sum, R</w:t>
      </w:r>
      <w:r>
        <w:rPr>
          <w:szCs w:val="22"/>
        </w:rPr>
        <w:t>B</w:t>
      </w:r>
      <w:r w:rsidRPr="00516017">
        <w:rPr>
          <w:szCs w:val="22"/>
        </w:rPr>
        <w:t>E recipients received support pursuant to a nascent program designed to identify limitations of the CAM, did not receive specific notice of the CAM limitations</w:t>
      </w:r>
      <w:r>
        <w:rPr>
          <w:szCs w:val="22"/>
        </w:rPr>
        <w:t xml:space="preserve"> at the time of bid placement</w:t>
      </w:r>
      <w:r w:rsidRPr="00516017">
        <w:rPr>
          <w:szCs w:val="22"/>
        </w:rPr>
        <w:t>, and in general, did not have the flexibility afforded other recipients of CAM-based support</w:t>
      </w:r>
      <w:r>
        <w:rPr>
          <w:szCs w:val="22"/>
        </w:rPr>
        <w:t xml:space="preserve"> </w:t>
      </w:r>
      <w:r w:rsidRPr="00516017">
        <w:rPr>
          <w:szCs w:val="22"/>
        </w:rPr>
        <w:t>because their deployment obligations were not defined at the state level</w:t>
      </w:r>
      <w:r>
        <w:rPr>
          <w:szCs w:val="22"/>
        </w:rPr>
        <w:t xml:space="preserve"> (as were the obligations of CAF Phase II support recipients and electing price cap carriers)</w:t>
      </w:r>
      <w:r w:rsidRPr="00516017">
        <w:rPr>
          <w:szCs w:val="22"/>
        </w:rPr>
        <w:t>.</w:t>
      </w:r>
      <w:r>
        <w:rPr>
          <w:rStyle w:val="FootnoteReference"/>
          <w:szCs w:val="22"/>
        </w:rPr>
        <w:footnoteReference w:id="40"/>
      </w:r>
      <w:r w:rsidRPr="00516017">
        <w:rPr>
          <w:szCs w:val="22"/>
        </w:rPr>
        <w:t xml:space="preserve">  </w:t>
      </w:r>
      <w:r>
        <w:rPr>
          <w:szCs w:val="22"/>
        </w:rPr>
        <w:t>We likewise find that this waiver serves the public interest because it is consistent with the underlying policy goals of the RBE while simultaneously helping to ensure that petitioners can maintain robust networks where they are offering supported services.</w:t>
      </w:r>
      <w:r>
        <w:rPr>
          <w:rStyle w:val="FootnoteReference"/>
          <w:szCs w:val="22"/>
        </w:rPr>
        <w:footnoteReference w:id="41"/>
      </w:r>
      <w:r>
        <w:rPr>
          <w:szCs w:val="22"/>
        </w:rPr>
        <w:t xml:space="preserve">  In contrast, denying the relief would result in a draw on the letters of credit securing all support payments, threatening their ability to continue serving already deployed areas without reinforcing the seriousness of not meeting Universal Service Fund obligations in full</w:t>
      </w:r>
      <w:r>
        <w:rPr>
          <w:rFonts w:ascii="Arial" w:hAnsi="Arial" w:cs="Arial"/>
          <w:sz w:val="27"/>
          <w:szCs w:val="27"/>
        </w:rPr>
        <w:t>.</w:t>
      </w:r>
      <w:r>
        <w:rPr>
          <w:rStyle w:val="FootnoteReference"/>
          <w:rFonts w:cs="Arial"/>
          <w:szCs w:val="27"/>
        </w:rPr>
        <w:footnoteReference w:id="42"/>
      </w:r>
    </w:p>
    <w:p w:rsidR="00CE4E97" w:rsidP="00CE4E97" w14:paraId="5B7341F2" w14:textId="77777777">
      <w:pPr>
        <w:pStyle w:val="ParaNum"/>
        <w:widowControl/>
        <w:tabs>
          <w:tab w:val="num" w:pos="990"/>
        </w:tabs>
        <w:rPr>
          <w:szCs w:val="22"/>
        </w:rPr>
      </w:pPr>
      <w:r>
        <w:rPr>
          <w:szCs w:val="22"/>
        </w:rPr>
        <w:t xml:space="preserve">We </w:t>
      </w:r>
      <w:r w:rsidRPr="00102AE0">
        <w:rPr>
          <w:szCs w:val="22"/>
        </w:rPr>
        <w:t>reject</w:t>
      </w:r>
      <w:r>
        <w:rPr>
          <w:szCs w:val="22"/>
        </w:rPr>
        <w:t>, however,</w:t>
      </w:r>
      <w:r w:rsidRPr="00102AE0">
        <w:rPr>
          <w:szCs w:val="22"/>
        </w:rPr>
        <w:t xml:space="preserve"> </w:t>
      </w:r>
      <w:r w:rsidRPr="00102AE0">
        <w:rPr>
          <w:szCs w:val="22"/>
        </w:rPr>
        <w:t>Skybeam’s</w:t>
      </w:r>
      <w:r>
        <w:rPr>
          <w:szCs w:val="22"/>
        </w:rPr>
        <w:t xml:space="preserve"> arguments in favor of retaining all support awarded.</w:t>
      </w:r>
      <w:r>
        <w:rPr>
          <w:rStyle w:val="FootnoteReference"/>
          <w:szCs w:val="22"/>
        </w:rPr>
        <w:footnoteReference w:id="43"/>
      </w:r>
      <w:r>
        <w:rPr>
          <w:szCs w:val="22"/>
        </w:rPr>
        <w:t xml:space="preserve">  </w:t>
      </w:r>
      <w:r>
        <w:rPr>
          <w:szCs w:val="22"/>
        </w:rPr>
        <w:t>Skybeam</w:t>
      </w:r>
      <w:r>
        <w:rPr>
          <w:szCs w:val="22"/>
        </w:rPr>
        <w:t xml:space="preserve"> asserts that because we impute no expectation of location assessment at the time of bid placement, RBE support recipients lacked information necessary to make informed financial and technological decisions relating to network build throughout the deployment period.</w:t>
      </w:r>
      <w:r>
        <w:rPr>
          <w:rStyle w:val="FootnoteReference"/>
          <w:szCs w:val="22"/>
        </w:rPr>
        <w:footnoteReference w:id="44"/>
      </w:r>
      <w:r>
        <w:rPr>
          <w:szCs w:val="22"/>
        </w:rPr>
        <w:t xml:space="preserve">  The Commission, however, explained the potential for CAM-related location discrepancies and encouraged affected parties to bring such discrepancies to the Commission’s attentions early in the deployment period in its </w:t>
      </w:r>
      <w:r w:rsidRPr="00C80500">
        <w:rPr>
          <w:i/>
          <w:iCs/>
          <w:szCs w:val="22"/>
        </w:rPr>
        <w:t>December</w:t>
      </w:r>
      <w:r w:rsidRPr="00C80500">
        <w:rPr>
          <w:szCs w:val="22"/>
        </w:rPr>
        <w:t xml:space="preserve"> </w:t>
      </w:r>
      <w:r w:rsidRPr="00C80500">
        <w:rPr>
          <w:i/>
        </w:rPr>
        <w:t>2014 Connect America Order</w:t>
      </w:r>
      <w:r>
        <w:rPr>
          <w:iCs/>
        </w:rPr>
        <w:t>,</w:t>
      </w:r>
      <w:r>
        <w:rPr>
          <w:i/>
        </w:rPr>
        <w:t xml:space="preserve"> </w:t>
      </w:r>
      <w:r w:rsidRPr="003C586B">
        <w:rPr>
          <w:iCs/>
        </w:rPr>
        <w:t>w</w:t>
      </w:r>
      <w:r w:rsidRPr="00C80500">
        <w:rPr>
          <w:iCs/>
        </w:rPr>
        <w:t>ell in advance of the</w:t>
      </w:r>
      <w:r>
        <w:rPr>
          <w:iCs/>
        </w:rPr>
        <w:t xml:space="preserve">se </w:t>
      </w:r>
      <w:r w:rsidRPr="00C80500">
        <w:rPr>
          <w:iCs/>
        </w:rPr>
        <w:t xml:space="preserve">petitioners’ </w:t>
      </w:r>
      <w:r>
        <w:rPr>
          <w:iCs/>
        </w:rPr>
        <w:t>authorization to receive support and the beginning of the deployment term</w:t>
      </w:r>
      <w:r w:rsidRPr="00C80500">
        <w:rPr>
          <w:iCs/>
        </w:rPr>
        <w:t>.</w:t>
      </w:r>
      <w:r>
        <w:rPr>
          <w:rStyle w:val="FootnoteReference"/>
          <w:iCs/>
        </w:rPr>
        <w:footnoteReference w:id="45"/>
      </w:r>
      <w:r w:rsidRPr="00C80500">
        <w:rPr>
          <w:iCs/>
        </w:rPr>
        <w:t xml:space="preserve"> </w:t>
      </w:r>
      <w:r>
        <w:rPr>
          <w:iCs/>
        </w:rPr>
        <w:t xml:space="preserve"> Moreover, RBE support recipients placed bids and accepted a set amount of support in exchange for a commitment to serve a set number of locations, subject to a default finding that would require recovery of all support awarded.</w:t>
      </w:r>
      <w:r>
        <w:rPr>
          <w:rStyle w:val="FootnoteReference"/>
          <w:iCs/>
        </w:rPr>
        <w:footnoteReference w:id="46"/>
      </w:r>
      <w:r>
        <w:rPr>
          <w:iCs/>
        </w:rPr>
        <w:t xml:space="preserve">  Our decision here to modify those consequence on an equitable basis does not compel us to extend a windfall to these recipients by permitting them to keep support allocated for deployment to locations that do not exist.  Consistent with our reasoning in the </w:t>
      </w:r>
      <w:r w:rsidRPr="00FF6D3D">
        <w:rPr>
          <w:i/>
          <w:iCs/>
          <w:szCs w:val="22"/>
        </w:rPr>
        <w:t>CAF Phase II Coalition Waiver Order</w:t>
      </w:r>
      <w:r>
        <w:rPr>
          <w:szCs w:val="22"/>
        </w:rPr>
        <w:t xml:space="preserve">, we do not thereby penalize funding recipients, even if the adjustment is disproportionate to the reduction in costs associated with </w:t>
      </w:r>
      <w:r>
        <w:rPr>
          <w:szCs w:val="22"/>
        </w:rPr>
        <w:t>serving less locations.</w:t>
      </w:r>
      <w:r>
        <w:rPr>
          <w:rStyle w:val="FootnoteReference"/>
          <w:szCs w:val="22"/>
        </w:rPr>
        <w:footnoteReference w:id="47"/>
      </w:r>
      <w:r>
        <w:rPr>
          <w:szCs w:val="22"/>
        </w:rPr>
        <w:t xml:space="preserve">  We also reject any analogy between this requested relief and the approach adopted for resolving location discrepancies arising in the RDOF since that program involved different financial and technological commitments at the time of bid placement.</w:t>
      </w:r>
      <w:r>
        <w:rPr>
          <w:rStyle w:val="FootnoteReference"/>
          <w:szCs w:val="22"/>
        </w:rPr>
        <w:footnoteReference w:id="48"/>
      </w:r>
      <w:r>
        <w:rPr>
          <w:szCs w:val="22"/>
        </w:rPr>
        <w:t xml:space="preserve"> </w:t>
      </w:r>
    </w:p>
    <w:p w:rsidR="00CE4E97" w:rsidRPr="00772B3C" w:rsidP="00CE4E97" w14:paraId="2075170C" w14:textId="77777777">
      <w:pPr>
        <w:pStyle w:val="ParaNum"/>
        <w:keepNext/>
        <w:widowControl/>
        <w:tabs>
          <w:tab w:val="num" w:pos="990"/>
        </w:tabs>
        <w:rPr>
          <w:szCs w:val="22"/>
        </w:rPr>
      </w:pPr>
      <w:r w:rsidRPr="00EC31AA">
        <w:rPr>
          <w:szCs w:val="22"/>
        </w:rPr>
        <w:t xml:space="preserve">In conclusion, we find that based on the totality of the circumstances, grant of the </w:t>
      </w:r>
      <w:r w:rsidRPr="00772B3C">
        <w:rPr>
          <w:szCs w:val="22"/>
        </w:rPr>
        <w:t xml:space="preserve">petitions is warranted.  In granting these waiver requests, we make pro rata adjustments to reflect the difference between the CAM-determined location count and the actual location count, based on the average support per location, consistent with Commission guidance for adjustments to defined deployment obligations of price cap carriers accepting </w:t>
      </w:r>
      <w:r>
        <w:rPr>
          <w:szCs w:val="22"/>
        </w:rPr>
        <w:t>CAM</w:t>
      </w:r>
      <w:r w:rsidRPr="00772B3C">
        <w:rPr>
          <w:szCs w:val="22"/>
        </w:rPr>
        <w:t>-based support.</w:t>
      </w:r>
      <w:r>
        <w:rPr>
          <w:rStyle w:val="FootnoteReference"/>
          <w:sz w:val="22"/>
          <w:szCs w:val="22"/>
        </w:rPr>
        <w:footnoteReference w:id="49"/>
      </w:r>
      <w:r w:rsidRPr="00772B3C">
        <w:rPr>
          <w:szCs w:val="22"/>
        </w:rPr>
        <w:t xml:space="preserve"> </w:t>
      </w:r>
      <w:r>
        <w:rPr>
          <w:szCs w:val="22"/>
        </w:rPr>
        <w:t xml:space="preserve"> </w:t>
      </w:r>
      <w:r w:rsidRPr="00772B3C">
        <w:rPr>
          <w:szCs w:val="22"/>
        </w:rPr>
        <w:t xml:space="preserve">We direct USAC to prorate remaining support payments due to these carriers based on such adjustments. </w:t>
      </w:r>
    </w:p>
    <w:p w:rsidR="00CE4E97" w:rsidP="00CE4E97" w14:paraId="0C3F7E52" w14:textId="44449032">
      <w:pPr>
        <w:pStyle w:val="Heading1"/>
      </w:pPr>
      <w:r>
        <w:t>Ordering Clauses</w:t>
      </w:r>
    </w:p>
    <w:p w:rsidR="00CE4E97" w:rsidRPr="00BC14D7" w:rsidP="00CE4E97" w14:paraId="20EA244E" w14:textId="77777777">
      <w:pPr>
        <w:pStyle w:val="ParaNum"/>
        <w:widowControl/>
        <w:tabs>
          <w:tab w:val="num" w:pos="990"/>
        </w:tabs>
      </w:pPr>
      <w:r w:rsidRPr="00BC14D7">
        <w:t>Accordingly, IT IS ORDERED, pursuant to sections 1, 4(i), 5(c), and 254 of the Communications Act of 1934, as amended, 47 U.S.C. §§ 151, 154(i), 155(c), 254, and sections 0.91, 0.291, and 1.3 of the Commission’s rules, 47 CFR §§ 0.91, 0.291, 1.3, that this Order IS ADOPTED.</w:t>
      </w:r>
    </w:p>
    <w:p w:rsidR="00CE4E97" w:rsidP="00CE4E97" w14:paraId="517F87FF" w14:textId="77777777">
      <w:pPr>
        <w:pStyle w:val="ParaNum"/>
        <w:tabs>
          <w:tab w:val="num" w:pos="990"/>
        </w:tabs>
      </w:pPr>
      <w:r w:rsidRPr="00BC14D7">
        <w:t xml:space="preserve">IT IS FURTHER ORDERED that the Petition for Waiver filed </w:t>
      </w:r>
      <w:r>
        <w:rPr>
          <w:szCs w:val="22"/>
        </w:rPr>
        <w:t>Midwest Energy Cooperative d/b/a Midwest Energy &amp; Communication</w:t>
      </w:r>
      <w:r>
        <w:t xml:space="preserve"> IS </w:t>
      </w:r>
      <w:r w:rsidRPr="00BC14D7">
        <w:t>GRANTED as described herein</w:t>
      </w:r>
      <w:r>
        <w:t xml:space="preserve">, and that the Petition for Waiver filed by </w:t>
      </w:r>
      <w:r>
        <w:t>Skybeam</w:t>
      </w:r>
      <w:r>
        <w:t>, LLC IS GRANTED IN PART and DENIED IN PART as described herein.  We direct</w:t>
      </w:r>
      <w:r w:rsidRPr="00BC14D7">
        <w:t xml:space="preserve"> the Universal Service Administrative Company </w:t>
      </w:r>
      <w:r>
        <w:t xml:space="preserve">to take </w:t>
      </w:r>
      <w:r w:rsidRPr="00BC14D7">
        <w:t>further action in accordance with the terms of this Order.</w:t>
      </w:r>
    </w:p>
    <w:p w:rsidR="00CE4E97" w:rsidP="00CE4E97" w14:paraId="24911C4D" w14:textId="724C8A34">
      <w:pPr>
        <w:pStyle w:val="ParaNum"/>
      </w:pPr>
      <w:r w:rsidRPr="00BC14D7">
        <w:t>IT IS FURTHER ORDERED that, pursuant to section 1.102(b)(1) of the Commission’s rules, 47 CFR § 1.102(b)(1), this Order SHALL BE EFFECTIVE upon release.</w:t>
      </w:r>
    </w:p>
    <w:p w:rsidR="00CE4E97" w:rsidP="00CE4E97" w14:paraId="7D5ED57D" w14:textId="3A310C21">
      <w:pPr>
        <w:pStyle w:val="ParaNum"/>
        <w:numPr>
          <w:ilvl w:val="0"/>
          <w:numId w:val="0"/>
        </w:numPr>
      </w:pPr>
    </w:p>
    <w:p w:rsidR="00CE4E97" w:rsidP="00CE4E97" w14:paraId="06AB213D" w14:textId="6E26CD11">
      <w:pPr>
        <w:pStyle w:val="ParaNum"/>
        <w:numPr>
          <w:ilvl w:val="0"/>
          <w:numId w:val="0"/>
        </w:numPr>
      </w:pPr>
    </w:p>
    <w:p w:rsidR="00CE4E97" w:rsidRPr="00BC14D7" w:rsidP="00CE4E97" w14:paraId="6195EFF2" w14:textId="77777777">
      <w:pPr>
        <w:pStyle w:val="ParaNum"/>
        <w:numPr>
          <w:ilvl w:val="0"/>
          <w:numId w:val="0"/>
        </w:numPr>
      </w:pPr>
    </w:p>
    <w:p w:rsidR="00CE4E97" w:rsidP="0017296B" w14:paraId="78F4F7F3" w14:textId="77777777">
      <w:r>
        <w:tab/>
      </w:r>
      <w:r>
        <w:tab/>
      </w:r>
      <w:r>
        <w:tab/>
      </w:r>
      <w:r>
        <w:tab/>
      </w:r>
      <w:r>
        <w:tab/>
      </w:r>
      <w:r>
        <w:tab/>
        <w:t>FEDERAL COMMUNICATIONS COMMISSION</w:t>
      </w:r>
    </w:p>
    <w:p w:rsidR="00CE4E97" w:rsidP="0017296B" w14:paraId="68D9282D" w14:textId="77777777"/>
    <w:p w:rsidR="00CE4E97" w:rsidP="0017296B" w14:paraId="6DE72CC6" w14:textId="77777777"/>
    <w:p w:rsidR="00CE4E97" w:rsidP="0017296B" w14:paraId="58AD8D62" w14:textId="77777777"/>
    <w:p w:rsidR="00CE4E97" w:rsidP="0017296B" w14:paraId="1515C058" w14:textId="77777777"/>
    <w:p w:rsidR="00CE4E97" w:rsidP="0017296B" w14:paraId="7E80BE57" w14:textId="00663604">
      <w:r>
        <w:tab/>
      </w:r>
      <w:r>
        <w:tab/>
      </w:r>
      <w:r>
        <w:tab/>
      </w:r>
      <w:r>
        <w:tab/>
      </w:r>
      <w:r>
        <w:tab/>
      </w:r>
      <w:r>
        <w:tab/>
        <w:t>Kris Anne Monteith</w:t>
      </w:r>
    </w:p>
    <w:p w:rsidR="00CE4E97" w:rsidP="0017296B" w14:paraId="2C130FA9" w14:textId="16542320">
      <w:r>
        <w:tab/>
      </w:r>
      <w:r>
        <w:tab/>
      </w:r>
      <w:r>
        <w:tab/>
      </w:r>
      <w:r>
        <w:tab/>
      </w:r>
      <w:r>
        <w:tab/>
      </w:r>
      <w:r>
        <w:tab/>
        <w:t>Chief</w:t>
      </w:r>
    </w:p>
    <w:p w:rsidR="00CE4E97" w:rsidP="0017296B" w14:paraId="34D43BA5" w14:textId="7F8D2C70">
      <w:r>
        <w:tab/>
      </w:r>
      <w:r>
        <w:tab/>
      </w:r>
      <w:r>
        <w:tab/>
      </w:r>
      <w:r>
        <w:tab/>
      </w:r>
      <w:r>
        <w:tab/>
      </w:r>
      <w:r>
        <w:tab/>
        <w:t>Wireline Competition Bureau</w:t>
      </w:r>
    </w:p>
    <w:p w:rsidR="00CE4E97" w:rsidP="0017296B" w14:paraId="65EEB9E0" w14:textId="125DA384"/>
    <w:p w:rsidR="00CE4E97" w:rsidP="0017296B" w14:paraId="099F1D9A" w14:textId="77777777">
      <w:pPr>
        <w:sectPr w:rsidSect="0055614C">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pPr>
    </w:p>
    <w:p w:rsidR="00CE4E97" w:rsidP="00CE4E97" w14:paraId="2D56A9F7" w14:textId="2BF872A7">
      <w:pPr>
        <w:jc w:val="center"/>
        <w:rPr>
          <w:b/>
          <w:bCs/>
        </w:rPr>
      </w:pPr>
      <w:r w:rsidRPr="00CE4E97">
        <w:rPr>
          <w:b/>
          <w:bCs/>
        </w:rPr>
        <w:t>ATTACHMENT</w:t>
      </w:r>
    </w:p>
    <w:p w:rsidR="00CE4E97" w:rsidP="00CE4E97" w14:paraId="755337FF" w14:textId="14982ED8">
      <w:pPr>
        <w:jc w:val="center"/>
        <w:rPr>
          <w:b/>
          <w:bCs/>
        </w:rPr>
      </w:pPr>
    </w:p>
    <w:p w:rsidR="00CE4E97" w:rsidP="00CE4E97" w14:paraId="2D49DC07" w14:textId="633ACBE6">
      <w:pPr>
        <w:jc w:val="center"/>
        <w:rPr>
          <w:b/>
          <w:bCs/>
        </w:rPr>
      </w:pPr>
      <w:r>
        <w:rPr>
          <w:b/>
          <w:bCs/>
        </w:rPr>
        <w:t>Skybeam</w:t>
      </w:r>
      <w:r>
        <w:rPr>
          <w:b/>
          <w:bCs/>
        </w:rPr>
        <w:t>, LLC</w:t>
      </w:r>
    </w:p>
    <w:p w:rsidR="00CE4E97" w:rsidP="00CE4E97" w14:paraId="61AD2FDD" w14:textId="04705A0B">
      <w:pPr>
        <w:rPr>
          <w:b/>
          <w:bCs/>
        </w:rPr>
      </w:pPr>
    </w:p>
    <w:p w:rsidR="00CE4E97" w:rsidP="00CE4E97" w14:paraId="653AFD75" w14:textId="77777777">
      <w:pPr>
        <w:rPr>
          <w:b/>
          <w:bCs/>
        </w:rPr>
      </w:pPr>
    </w:p>
    <w:tbl>
      <w:tblPr>
        <w:tblpPr w:leftFromText="180" w:rightFromText="180" w:vertAnchor="page" w:horzAnchor="margin" w:tblpY="2386"/>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0"/>
        <w:gridCol w:w="2205"/>
        <w:gridCol w:w="1800"/>
        <w:gridCol w:w="2250"/>
        <w:gridCol w:w="1800"/>
      </w:tblGrid>
      <w:tr w14:paraId="40E84FE6" w14:textId="77777777" w:rsidTr="00CE4E97">
        <w:tblPrEx>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76"/>
        </w:trPr>
        <w:tc>
          <w:tcPr>
            <w:tcW w:w="9355" w:type="dxa"/>
            <w:gridSpan w:val="5"/>
            <w:shd w:val="clear" w:color="auto" w:fill="auto"/>
            <w:vAlign w:val="center"/>
          </w:tcPr>
          <w:p w:rsidR="00CE4E97" w:rsidRPr="00CE4E97" w:rsidP="00CE4E97" w14:paraId="63D6C249" w14:textId="77777777">
            <w:pPr>
              <w:autoSpaceDE w:val="0"/>
              <w:autoSpaceDN w:val="0"/>
              <w:adjustRightInd w:val="0"/>
              <w:jc w:val="center"/>
              <w:rPr>
                <w:rFonts w:eastAsia="Calibri"/>
                <w:b/>
                <w:szCs w:val="22"/>
              </w:rPr>
            </w:pPr>
            <w:r w:rsidRPr="00CE4E97">
              <w:rPr>
                <w:rFonts w:eastAsia="Calibri"/>
                <w:b/>
                <w:szCs w:val="22"/>
              </w:rPr>
              <w:t>Summary of Location Information</w:t>
            </w:r>
          </w:p>
        </w:tc>
      </w:tr>
      <w:tr w14:paraId="6B84331C" w14:textId="77777777" w:rsidTr="00CE4E97">
        <w:tblPrEx>
          <w:tblW w:w="9355" w:type="dxa"/>
          <w:tblLayout w:type="fixed"/>
          <w:tblLook w:val="04A0"/>
        </w:tblPrEx>
        <w:trPr>
          <w:trHeight w:val="496"/>
        </w:trPr>
        <w:tc>
          <w:tcPr>
            <w:tcW w:w="1300" w:type="dxa"/>
            <w:shd w:val="clear" w:color="auto" w:fill="auto"/>
          </w:tcPr>
          <w:p w:rsidR="00CE4E97" w:rsidRPr="00CE4E97" w:rsidP="00CE4E97" w14:paraId="2B4DFB2E" w14:textId="77777777">
            <w:pPr>
              <w:autoSpaceDE w:val="0"/>
              <w:autoSpaceDN w:val="0"/>
              <w:adjustRightInd w:val="0"/>
              <w:rPr>
                <w:rFonts w:eastAsia="Calibri"/>
                <w:color w:val="000000"/>
                <w:szCs w:val="22"/>
              </w:rPr>
            </w:pPr>
            <w:r w:rsidRPr="00CE4E97">
              <w:rPr>
                <w:rFonts w:eastAsia="Calibri"/>
                <w:color w:val="000000"/>
                <w:szCs w:val="22"/>
              </w:rPr>
              <w:t>Study Area Code</w:t>
            </w:r>
          </w:p>
        </w:tc>
        <w:tc>
          <w:tcPr>
            <w:tcW w:w="2205" w:type="dxa"/>
            <w:shd w:val="clear" w:color="auto" w:fill="auto"/>
          </w:tcPr>
          <w:p w:rsidR="00CE4E97" w:rsidRPr="00CE4E97" w:rsidP="00CE4E97" w14:paraId="69A9D845" w14:textId="77777777">
            <w:pPr>
              <w:autoSpaceDE w:val="0"/>
              <w:autoSpaceDN w:val="0"/>
              <w:adjustRightInd w:val="0"/>
              <w:rPr>
                <w:rFonts w:eastAsia="Calibri"/>
                <w:color w:val="000000"/>
                <w:szCs w:val="22"/>
              </w:rPr>
            </w:pPr>
            <w:r w:rsidRPr="00CE4E97">
              <w:rPr>
                <w:rFonts w:eastAsia="Calibri"/>
                <w:color w:val="000000"/>
                <w:szCs w:val="22"/>
              </w:rPr>
              <w:t xml:space="preserve">Defined Deployment Obligation </w:t>
            </w:r>
          </w:p>
        </w:tc>
        <w:tc>
          <w:tcPr>
            <w:tcW w:w="1800" w:type="dxa"/>
            <w:shd w:val="clear" w:color="auto" w:fill="auto"/>
          </w:tcPr>
          <w:p w:rsidR="00CE4E97" w:rsidRPr="00CE4E97" w:rsidP="00CE4E97" w14:paraId="33DAB0A0" w14:textId="77777777">
            <w:pPr>
              <w:autoSpaceDE w:val="0"/>
              <w:autoSpaceDN w:val="0"/>
              <w:adjustRightInd w:val="0"/>
              <w:rPr>
                <w:rFonts w:eastAsia="Calibri"/>
                <w:color w:val="000000"/>
                <w:szCs w:val="22"/>
              </w:rPr>
            </w:pPr>
            <w:r w:rsidRPr="00CE4E97">
              <w:rPr>
                <w:rFonts w:eastAsia="Calibri"/>
                <w:color w:val="000000"/>
                <w:szCs w:val="22"/>
              </w:rPr>
              <w:t>Served</w:t>
            </w:r>
          </w:p>
          <w:p w:rsidR="00CE4E97" w:rsidRPr="00CE4E97" w:rsidP="00CE4E97" w14:paraId="67B6B0A1" w14:textId="77777777">
            <w:pPr>
              <w:autoSpaceDE w:val="0"/>
              <w:autoSpaceDN w:val="0"/>
              <w:adjustRightInd w:val="0"/>
              <w:rPr>
                <w:rFonts w:eastAsia="Calibri"/>
                <w:color w:val="000000"/>
                <w:szCs w:val="22"/>
              </w:rPr>
            </w:pPr>
            <w:r w:rsidRPr="00CE4E97">
              <w:rPr>
                <w:rFonts w:eastAsia="Calibri"/>
                <w:color w:val="000000"/>
                <w:szCs w:val="22"/>
              </w:rPr>
              <w:t>Locations</w:t>
            </w:r>
          </w:p>
        </w:tc>
        <w:tc>
          <w:tcPr>
            <w:tcW w:w="2250" w:type="dxa"/>
            <w:shd w:val="clear" w:color="auto" w:fill="auto"/>
          </w:tcPr>
          <w:p w:rsidR="00CE4E97" w:rsidRPr="00CE4E97" w:rsidP="00CE4E97" w14:paraId="66A30DC4" w14:textId="77777777">
            <w:pPr>
              <w:spacing w:after="120"/>
              <w:rPr>
                <w:rFonts w:eastAsia="Calibri"/>
                <w:color w:val="000000"/>
                <w:szCs w:val="22"/>
              </w:rPr>
            </w:pPr>
            <w:r w:rsidRPr="00CE4E97">
              <w:rPr>
                <w:rFonts w:eastAsia="Calibri"/>
                <w:color w:val="000000"/>
                <w:szCs w:val="22"/>
              </w:rPr>
              <w:t>Compliance Gap</w:t>
            </w:r>
          </w:p>
        </w:tc>
        <w:tc>
          <w:tcPr>
            <w:tcW w:w="1800" w:type="dxa"/>
            <w:shd w:val="clear" w:color="auto" w:fill="auto"/>
          </w:tcPr>
          <w:p w:rsidR="00CE4E97" w:rsidRPr="00CE4E97" w:rsidP="00CE4E97" w14:paraId="18540D05" w14:textId="77777777">
            <w:pPr>
              <w:spacing w:after="120"/>
              <w:rPr>
                <w:rFonts w:eastAsia="Calibri"/>
                <w:color w:val="000000"/>
                <w:szCs w:val="22"/>
              </w:rPr>
            </w:pPr>
            <w:r w:rsidRPr="00CE4E97">
              <w:rPr>
                <w:rFonts w:eastAsia="Calibri"/>
                <w:color w:val="000000"/>
                <w:szCs w:val="22"/>
              </w:rPr>
              <w:t>Percentage of Defined Deployment Obligation Served</w:t>
            </w:r>
          </w:p>
        </w:tc>
      </w:tr>
      <w:tr w14:paraId="1DB070FF" w14:textId="77777777" w:rsidTr="00CE4E97">
        <w:tblPrEx>
          <w:tblW w:w="9355" w:type="dxa"/>
          <w:tblLayout w:type="fixed"/>
          <w:tblLook w:val="04A0"/>
        </w:tblPrEx>
        <w:trPr>
          <w:trHeight w:val="276"/>
        </w:trPr>
        <w:tc>
          <w:tcPr>
            <w:tcW w:w="1300" w:type="dxa"/>
            <w:shd w:val="clear" w:color="auto" w:fill="auto"/>
          </w:tcPr>
          <w:p w:rsidR="00CE4E97" w:rsidRPr="00CE4E97" w:rsidP="00CE4E97" w14:paraId="49A99F26" w14:textId="77777777">
            <w:pPr>
              <w:autoSpaceDE w:val="0"/>
              <w:autoSpaceDN w:val="0"/>
              <w:adjustRightInd w:val="0"/>
              <w:jc w:val="right"/>
              <w:rPr>
                <w:rFonts w:eastAsia="Calibri"/>
                <w:color w:val="000000"/>
                <w:szCs w:val="22"/>
              </w:rPr>
            </w:pPr>
            <w:r w:rsidRPr="00CE4E97">
              <w:rPr>
                <w:rFonts w:eastAsia="Calibri"/>
                <w:color w:val="000000"/>
                <w:szCs w:val="22"/>
              </w:rPr>
              <w:t>446139</w:t>
            </w:r>
          </w:p>
        </w:tc>
        <w:tc>
          <w:tcPr>
            <w:tcW w:w="2205" w:type="dxa"/>
            <w:shd w:val="clear" w:color="auto" w:fill="auto"/>
          </w:tcPr>
          <w:p w:rsidR="00CE4E97" w:rsidRPr="00CE4E97" w:rsidP="00CE4E97" w14:paraId="0B4B56E4" w14:textId="77777777">
            <w:pPr>
              <w:autoSpaceDE w:val="0"/>
              <w:autoSpaceDN w:val="0"/>
              <w:adjustRightInd w:val="0"/>
              <w:jc w:val="right"/>
              <w:rPr>
                <w:rFonts w:eastAsia="Calibri"/>
                <w:color w:val="000000"/>
                <w:szCs w:val="22"/>
              </w:rPr>
            </w:pPr>
            <w:r w:rsidRPr="00CE4E97">
              <w:rPr>
                <w:rFonts w:eastAsia="Calibri"/>
                <w:color w:val="000000"/>
                <w:szCs w:val="22"/>
              </w:rPr>
              <w:t>1,907</w:t>
            </w:r>
          </w:p>
        </w:tc>
        <w:tc>
          <w:tcPr>
            <w:tcW w:w="1800" w:type="dxa"/>
            <w:shd w:val="clear" w:color="auto" w:fill="auto"/>
            <w:vAlign w:val="center"/>
          </w:tcPr>
          <w:p w:rsidR="00CE4E97" w:rsidRPr="00CE4E97" w:rsidP="00CE4E97" w14:paraId="64511363" w14:textId="77777777">
            <w:pPr>
              <w:autoSpaceDE w:val="0"/>
              <w:autoSpaceDN w:val="0"/>
              <w:adjustRightInd w:val="0"/>
              <w:jc w:val="right"/>
              <w:rPr>
                <w:rFonts w:eastAsia="Calibri"/>
                <w:color w:val="000000"/>
                <w:szCs w:val="22"/>
              </w:rPr>
            </w:pPr>
            <w:r w:rsidRPr="00CE4E97">
              <w:rPr>
                <w:rFonts w:eastAsia="Calibri"/>
                <w:color w:val="000000"/>
                <w:szCs w:val="22"/>
              </w:rPr>
              <w:t>1,677</w:t>
            </w:r>
          </w:p>
        </w:tc>
        <w:tc>
          <w:tcPr>
            <w:tcW w:w="2250" w:type="dxa"/>
            <w:shd w:val="clear" w:color="auto" w:fill="auto"/>
            <w:vAlign w:val="bottom"/>
          </w:tcPr>
          <w:p w:rsidR="00CE4E97" w:rsidRPr="00CE4E97" w:rsidP="00CE4E97" w14:paraId="15619D67" w14:textId="77777777">
            <w:pPr>
              <w:autoSpaceDE w:val="0"/>
              <w:autoSpaceDN w:val="0"/>
              <w:adjustRightInd w:val="0"/>
              <w:jc w:val="right"/>
              <w:rPr>
                <w:rFonts w:eastAsia="Calibri"/>
                <w:color w:val="000000"/>
                <w:szCs w:val="22"/>
              </w:rPr>
            </w:pPr>
            <w:r w:rsidRPr="00CE4E97">
              <w:rPr>
                <w:rFonts w:eastAsia="Calibri"/>
                <w:color w:val="000000"/>
                <w:szCs w:val="22"/>
              </w:rPr>
              <w:t>230</w:t>
            </w:r>
          </w:p>
        </w:tc>
        <w:tc>
          <w:tcPr>
            <w:tcW w:w="1800" w:type="dxa"/>
            <w:shd w:val="clear" w:color="auto" w:fill="auto"/>
            <w:vAlign w:val="bottom"/>
          </w:tcPr>
          <w:p w:rsidR="00CE4E97" w:rsidRPr="00CE4E97" w:rsidP="00CE4E97" w14:paraId="5CE02320" w14:textId="77777777">
            <w:pPr>
              <w:autoSpaceDE w:val="0"/>
              <w:autoSpaceDN w:val="0"/>
              <w:adjustRightInd w:val="0"/>
              <w:jc w:val="right"/>
              <w:rPr>
                <w:rFonts w:eastAsia="Calibri"/>
                <w:color w:val="000000"/>
                <w:szCs w:val="22"/>
              </w:rPr>
            </w:pPr>
            <w:r w:rsidRPr="00CE4E97">
              <w:rPr>
                <w:rFonts w:eastAsia="Calibri"/>
                <w:color w:val="000000"/>
                <w:szCs w:val="22"/>
              </w:rPr>
              <w:t>87.92%</w:t>
            </w:r>
          </w:p>
        </w:tc>
      </w:tr>
      <w:tr w14:paraId="77356A2F" w14:textId="77777777" w:rsidTr="00CE4E97">
        <w:tblPrEx>
          <w:tblW w:w="9355" w:type="dxa"/>
          <w:tblLayout w:type="fixed"/>
          <w:tblLook w:val="04A0"/>
        </w:tblPrEx>
        <w:trPr>
          <w:trHeight w:val="261"/>
        </w:trPr>
        <w:tc>
          <w:tcPr>
            <w:tcW w:w="1300" w:type="dxa"/>
            <w:shd w:val="clear" w:color="auto" w:fill="auto"/>
          </w:tcPr>
          <w:p w:rsidR="00CE4E97" w:rsidRPr="00CE4E97" w:rsidP="00CE4E97" w14:paraId="14EBAF78" w14:textId="77777777">
            <w:pPr>
              <w:autoSpaceDE w:val="0"/>
              <w:autoSpaceDN w:val="0"/>
              <w:adjustRightInd w:val="0"/>
              <w:jc w:val="right"/>
              <w:rPr>
                <w:rFonts w:eastAsia="Calibri"/>
                <w:color w:val="000000"/>
                <w:szCs w:val="22"/>
              </w:rPr>
            </w:pPr>
            <w:r w:rsidRPr="00CE4E97">
              <w:rPr>
                <w:rFonts w:eastAsia="Calibri"/>
                <w:color w:val="000000"/>
                <w:szCs w:val="22"/>
              </w:rPr>
              <w:t>446119</w:t>
            </w:r>
          </w:p>
        </w:tc>
        <w:tc>
          <w:tcPr>
            <w:tcW w:w="2205" w:type="dxa"/>
            <w:shd w:val="clear" w:color="auto" w:fill="auto"/>
          </w:tcPr>
          <w:p w:rsidR="00CE4E97" w:rsidRPr="00CE4E97" w:rsidP="00CE4E97" w14:paraId="30B7575A" w14:textId="77777777">
            <w:pPr>
              <w:autoSpaceDE w:val="0"/>
              <w:autoSpaceDN w:val="0"/>
              <w:adjustRightInd w:val="0"/>
              <w:jc w:val="right"/>
              <w:rPr>
                <w:rFonts w:eastAsia="Calibri"/>
                <w:color w:val="000000"/>
                <w:szCs w:val="22"/>
              </w:rPr>
            </w:pPr>
            <w:r w:rsidRPr="00CE4E97">
              <w:rPr>
                <w:rFonts w:eastAsia="Calibri"/>
                <w:color w:val="000000"/>
                <w:szCs w:val="22"/>
              </w:rPr>
              <w:t>2,454</w:t>
            </w:r>
          </w:p>
        </w:tc>
        <w:tc>
          <w:tcPr>
            <w:tcW w:w="1800" w:type="dxa"/>
            <w:shd w:val="clear" w:color="auto" w:fill="auto"/>
            <w:vAlign w:val="center"/>
          </w:tcPr>
          <w:p w:rsidR="00CE4E97" w:rsidRPr="00CE4E97" w:rsidP="00CE4E97" w14:paraId="049ED97C" w14:textId="77777777">
            <w:pPr>
              <w:autoSpaceDE w:val="0"/>
              <w:autoSpaceDN w:val="0"/>
              <w:adjustRightInd w:val="0"/>
              <w:jc w:val="right"/>
              <w:rPr>
                <w:rFonts w:eastAsia="Calibri"/>
                <w:color w:val="000000"/>
                <w:szCs w:val="22"/>
              </w:rPr>
            </w:pPr>
            <w:r w:rsidRPr="00CE4E97">
              <w:rPr>
                <w:rFonts w:eastAsia="Calibri"/>
                <w:color w:val="000000"/>
                <w:szCs w:val="22"/>
              </w:rPr>
              <w:t>2,103</w:t>
            </w:r>
          </w:p>
        </w:tc>
        <w:tc>
          <w:tcPr>
            <w:tcW w:w="2250" w:type="dxa"/>
            <w:shd w:val="clear" w:color="auto" w:fill="auto"/>
            <w:vAlign w:val="bottom"/>
          </w:tcPr>
          <w:p w:rsidR="00CE4E97" w:rsidRPr="00CE4E97" w:rsidP="00CE4E97" w14:paraId="5D0A2FF4" w14:textId="146E94B9">
            <w:pPr>
              <w:autoSpaceDE w:val="0"/>
              <w:autoSpaceDN w:val="0"/>
              <w:adjustRightInd w:val="0"/>
              <w:jc w:val="right"/>
              <w:rPr>
                <w:rFonts w:eastAsia="Calibri"/>
                <w:color w:val="000000"/>
                <w:szCs w:val="22"/>
              </w:rPr>
            </w:pPr>
            <w:r w:rsidRPr="00CE4E97">
              <w:rPr>
                <w:rFonts w:eastAsia="Calibri"/>
                <w:color w:val="000000"/>
                <w:szCs w:val="22"/>
              </w:rPr>
              <w:t>351</w:t>
            </w:r>
          </w:p>
        </w:tc>
        <w:tc>
          <w:tcPr>
            <w:tcW w:w="1800" w:type="dxa"/>
            <w:shd w:val="clear" w:color="auto" w:fill="auto"/>
            <w:vAlign w:val="bottom"/>
          </w:tcPr>
          <w:p w:rsidR="00CE4E97" w:rsidRPr="00CE4E97" w:rsidP="00CE4E97" w14:paraId="6ADE8F89" w14:textId="714C2AFC">
            <w:pPr>
              <w:autoSpaceDE w:val="0"/>
              <w:autoSpaceDN w:val="0"/>
              <w:adjustRightInd w:val="0"/>
              <w:jc w:val="right"/>
              <w:rPr>
                <w:rFonts w:eastAsia="Calibri"/>
                <w:color w:val="000000"/>
                <w:szCs w:val="22"/>
              </w:rPr>
            </w:pPr>
            <w:r>
              <w:rPr>
                <w:rFonts w:eastAsia="Calibri"/>
                <w:color w:val="000000"/>
                <w:szCs w:val="22"/>
              </w:rPr>
              <w:t>85.70</w:t>
            </w:r>
            <w:r w:rsidRPr="00CE4E97">
              <w:rPr>
                <w:rFonts w:eastAsia="Calibri"/>
                <w:color w:val="000000"/>
                <w:szCs w:val="22"/>
              </w:rPr>
              <w:t>%</w:t>
            </w:r>
          </w:p>
        </w:tc>
      </w:tr>
      <w:tr w14:paraId="3032523E" w14:textId="77777777" w:rsidTr="00CE4E97">
        <w:tblPrEx>
          <w:tblW w:w="9355" w:type="dxa"/>
          <w:tblLayout w:type="fixed"/>
          <w:tblLook w:val="04A0"/>
        </w:tblPrEx>
        <w:trPr>
          <w:trHeight w:val="276"/>
        </w:trPr>
        <w:tc>
          <w:tcPr>
            <w:tcW w:w="1300" w:type="dxa"/>
            <w:shd w:val="clear" w:color="auto" w:fill="auto"/>
          </w:tcPr>
          <w:p w:rsidR="00CE4E97" w:rsidRPr="00CE4E97" w:rsidP="00CE4E97" w14:paraId="5737912C" w14:textId="77777777">
            <w:pPr>
              <w:autoSpaceDE w:val="0"/>
              <w:autoSpaceDN w:val="0"/>
              <w:adjustRightInd w:val="0"/>
              <w:jc w:val="right"/>
              <w:rPr>
                <w:rFonts w:eastAsia="Calibri"/>
                <w:color w:val="000000"/>
                <w:szCs w:val="22"/>
              </w:rPr>
            </w:pPr>
            <w:r w:rsidRPr="00CE4E97">
              <w:rPr>
                <w:rFonts w:eastAsia="Calibri"/>
                <w:color w:val="000000"/>
                <w:szCs w:val="22"/>
              </w:rPr>
              <w:t>416118</w:t>
            </w:r>
          </w:p>
        </w:tc>
        <w:tc>
          <w:tcPr>
            <w:tcW w:w="2205" w:type="dxa"/>
            <w:shd w:val="clear" w:color="auto" w:fill="auto"/>
          </w:tcPr>
          <w:p w:rsidR="00CE4E97" w:rsidRPr="00CE4E97" w:rsidP="00CE4E97" w14:paraId="09C927D2" w14:textId="77777777">
            <w:pPr>
              <w:autoSpaceDE w:val="0"/>
              <w:autoSpaceDN w:val="0"/>
              <w:adjustRightInd w:val="0"/>
              <w:jc w:val="right"/>
              <w:rPr>
                <w:rFonts w:eastAsia="Calibri"/>
                <w:color w:val="000000"/>
                <w:szCs w:val="22"/>
              </w:rPr>
            </w:pPr>
            <w:r w:rsidRPr="00CE4E97">
              <w:rPr>
                <w:rFonts w:eastAsia="Calibri"/>
                <w:color w:val="000000"/>
                <w:szCs w:val="22"/>
              </w:rPr>
              <w:t>914</w:t>
            </w:r>
          </w:p>
        </w:tc>
        <w:tc>
          <w:tcPr>
            <w:tcW w:w="1800" w:type="dxa"/>
            <w:shd w:val="clear" w:color="auto" w:fill="auto"/>
            <w:vAlign w:val="center"/>
          </w:tcPr>
          <w:p w:rsidR="00CE4E97" w:rsidRPr="00CE4E97" w:rsidP="00CE4E97" w14:paraId="050946CF" w14:textId="77777777">
            <w:pPr>
              <w:autoSpaceDE w:val="0"/>
              <w:autoSpaceDN w:val="0"/>
              <w:adjustRightInd w:val="0"/>
              <w:jc w:val="right"/>
              <w:rPr>
                <w:rFonts w:eastAsia="Calibri"/>
                <w:color w:val="000000"/>
                <w:szCs w:val="22"/>
              </w:rPr>
            </w:pPr>
            <w:r w:rsidRPr="00CE4E97">
              <w:rPr>
                <w:rFonts w:eastAsia="Calibri"/>
                <w:color w:val="000000"/>
                <w:szCs w:val="22"/>
              </w:rPr>
              <w:t>698</w:t>
            </w:r>
          </w:p>
        </w:tc>
        <w:tc>
          <w:tcPr>
            <w:tcW w:w="2250" w:type="dxa"/>
            <w:shd w:val="clear" w:color="auto" w:fill="auto"/>
            <w:vAlign w:val="bottom"/>
          </w:tcPr>
          <w:p w:rsidR="00CE4E97" w:rsidRPr="00CE4E97" w:rsidP="00CE4E97" w14:paraId="4FEE2A6C" w14:textId="77777777">
            <w:pPr>
              <w:autoSpaceDE w:val="0"/>
              <w:autoSpaceDN w:val="0"/>
              <w:adjustRightInd w:val="0"/>
              <w:jc w:val="right"/>
              <w:rPr>
                <w:rFonts w:eastAsia="Calibri"/>
                <w:color w:val="000000"/>
                <w:szCs w:val="22"/>
              </w:rPr>
            </w:pPr>
            <w:r w:rsidRPr="00CE4E97">
              <w:rPr>
                <w:rFonts w:eastAsia="Calibri"/>
                <w:color w:val="000000"/>
                <w:szCs w:val="22"/>
              </w:rPr>
              <w:t>216</w:t>
            </w:r>
          </w:p>
        </w:tc>
        <w:tc>
          <w:tcPr>
            <w:tcW w:w="1800" w:type="dxa"/>
            <w:shd w:val="clear" w:color="auto" w:fill="auto"/>
            <w:vAlign w:val="bottom"/>
          </w:tcPr>
          <w:p w:rsidR="00CE4E97" w:rsidRPr="00CE4E97" w:rsidP="00CE4E97" w14:paraId="7EDE460D" w14:textId="77777777">
            <w:pPr>
              <w:autoSpaceDE w:val="0"/>
              <w:autoSpaceDN w:val="0"/>
              <w:adjustRightInd w:val="0"/>
              <w:jc w:val="right"/>
              <w:rPr>
                <w:rFonts w:eastAsia="Calibri"/>
                <w:color w:val="000000"/>
                <w:szCs w:val="22"/>
              </w:rPr>
            </w:pPr>
            <w:r w:rsidRPr="00CE4E97">
              <w:rPr>
                <w:rFonts w:eastAsia="Calibri"/>
                <w:color w:val="000000"/>
                <w:szCs w:val="22"/>
              </w:rPr>
              <w:t>76.39%</w:t>
            </w:r>
          </w:p>
        </w:tc>
      </w:tr>
      <w:tr w14:paraId="1323341A" w14:textId="77777777" w:rsidTr="00CE4E97">
        <w:tblPrEx>
          <w:tblW w:w="9355" w:type="dxa"/>
          <w:tblLayout w:type="fixed"/>
          <w:tblLook w:val="04A0"/>
        </w:tblPrEx>
        <w:trPr>
          <w:trHeight w:val="276"/>
        </w:trPr>
        <w:tc>
          <w:tcPr>
            <w:tcW w:w="1300" w:type="dxa"/>
            <w:shd w:val="clear" w:color="auto" w:fill="auto"/>
          </w:tcPr>
          <w:p w:rsidR="00CE4E97" w:rsidRPr="00CE4E97" w:rsidP="00CE4E97" w14:paraId="1589CF32" w14:textId="77777777">
            <w:pPr>
              <w:autoSpaceDE w:val="0"/>
              <w:autoSpaceDN w:val="0"/>
              <w:adjustRightInd w:val="0"/>
              <w:jc w:val="right"/>
              <w:rPr>
                <w:rFonts w:eastAsia="Calibri"/>
                <w:color w:val="000000"/>
                <w:szCs w:val="22"/>
              </w:rPr>
            </w:pPr>
            <w:r w:rsidRPr="00CE4E97">
              <w:rPr>
                <w:rFonts w:eastAsia="Calibri"/>
                <w:color w:val="000000"/>
                <w:szCs w:val="22"/>
              </w:rPr>
              <w:t>376138</w:t>
            </w:r>
          </w:p>
        </w:tc>
        <w:tc>
          <w:tcPr>
            <w:tcW w:w="2205" w:type="dxa"/>
            <w:shd w:val="clear" w:color="auto" w:fill="auto"/>
          </w:tcPr>
          <w:p w:rsidR="00CE4E97" w:rsidRPr="00CE4E97" w:rsidP="00CE4E97" w14:paraId="62DE6D41" w14:textId="77777777">
            <w:pPr>
              <w:autoSpaceDE w:val="0"/>
              <w:autoSpaceDN w:val="0"/>
              <w:adjustRightInd w:val="0"/>
              <w:jc w:val="right"/>
              <w:rPr>
                <w:rFonts w:eastAsia="Calibri"/>
                <w:color w:val="000000"/>
                <w:szCs w:val="22"/>
              </w:rPr>
            </w:pPr>
            <w:r w:rsidRPr="00CE4E97">
              <w:rPr>
                <w:rFonts w:eastAsia="Calibri"/>
                <w:color w:val="000000"/>
                <w:szCs w:val="22"/>
              </w:rPr>
              <w:t>1,188</w:t>
            </w:r>
          </w:p>
        </w:tc>
        <w:tc>
          <w:tcPr>
            <w:tcW w:w="1800" w:type="dxa"/>
            <w:shd w:val="clear" w:color="auto" w:fill="auto"/>
            <w:vAlign w:val="center"/>
          </w:tcPr>
          <w:p w:rsidR="00CE4E97" w:rsidRPr="00CE4E97" w:rsidP="00CE4E97" w14:paraId="0A124A62" w14:textId="77777777">
            <w:pPr>
              <w:autoSpaceDE w:val="0"/>
              <w:autoSpaceDN w:val="0"/>
              <w:adjustRightInd w:val="0"/>
              <w:jc w:val="right"/>
              <w:rPr>
                <w:rFonts w:eastAsia="Calibri"/>
                <w:color w:val="000000"/>
                <w:szCs w:val="22"/>
              </w:rPr>
            </w:pPr>
            <w:r w:rsidRPr="00CE4E97">
              <w:rPr>
                <w:rFonts w:eastAsia="Calibri"/>
                <w:color w:val="000000"/>
                <w:szCs w:val="22"/>
              </w:rPr>
              <w:t>890</w:t>
            </w:r>
          </w:p>
        </w:tc>
        <w:tc>
          <w:tcPr>
            <w:tcW w:w="2250" w:type="dxa"/>
            <w:shd w:val="clear" w:color="auto" w:fill="auto"/>
            <w:vAlign w:val="bottom"/>
          </w:tcPr>
          <w:p w:rsidR="00CE4E97" w:rsidRPr="00CE4E97" w:rsidP="00CE4E97" w14:paraId="7ABC3710" w14:textId="77777777">
            <w:pPr>
              <w:autoSpaceDE w:val="0"/>
              <w:autoSpaceDN w:val="0"/>
              <w:adjustRightInd w:val="0"/>
              <w:jc w:val="right"/>
              <w:rPr>
                <w:rFonts w:eastAsia="Calibri"/>
                <w:color w:val="000000"/>
                <w:szCs w:val="22"/>
              </w:rPr>
            </w:pPr>
            <w:r w:rsidRPr="00CE4E97">
              <w:rPr>
                <w:rFonts w:eastAsia="Calibri"/>
                <w:color w:val="000000"/>
                <w:szCs w:val="22"/>
              </w:rPr>
              <w:t>298</w:t>
            </w:r>
          </w:p>
        </w:tc>
        <w:tc>
          <w:tcPr>
            <w:tcW w:w="1800" w:type="dxa"/>
            <w:shd w:val="clear" w:color="auto" w:fill="auto"/>
            <w:vAlign w:val="bottom"/>
          </w:tcPr>
          <w:p w:rsidR="00CE4E97" w:rsidRPr="00CE4E97" w:rsidP="00CE4E97" w14:paraId="21995A20" w14:textId="77777777">
            <w:pPr>
              <w:autoSpaceDE w:val="0"/>
              <w:autoSpaceDN w:val="0"/>
              <w:adjustRightInd w:val="0"/>
              <w:jc w:val="right"/>
              <w:rPr>
                <w:rFonts w:eastAsia="Calibri"/>
                <w:color w:val="000000"/>
                <w:szCs w:val="22"/>
              </w:rPr>
            </w:pPr>
            <w:r w:rsidRPr="00CE4E97">
              <w:rPr>
                <w:rFonts w:eastAsia="Calibri"/>
                <w:color w:val="000000"/>
                <w:szCs w:val="22"/>
              </w:rPr>
              <w:t>74.88%</w:t>
            </w:r>
          </w:p>
        </w:tc>
      </w:tr>
      <w:tr w14:paraId="17E7F9F7" w14:textId="77777777" w:rsidTr="00CE4E97">
        <w:tblPrEx>
          <w:tblW w:w="9355" w:type="dxa"/>
          <w:tblLayout w:type="fixed"/>
          <w:tblLook w:val="04A0"/>
        </w:tblPrEx>
        <w:trPr>
          <w:trHeight w:val="261"/>
        </w:trPr>
        <w:tc>
          <w:tcPr>
            <w:tcW w:w="1300" w:type="dxa"/>
            <w:shd w:val="clear" w:color="auto" w:fill="auto"/>
          </w:tcPr>
          <w:p w:rsidR="00CE4E97" w:rsidRPr="00CE4E97" w:rsidP="00CE4E97" w14:paraId="48927EF2" w14:textId="77777777">
            <w:pPr>
              <w:autoSpaceDE w:val="0"/>
              <w:autoSpaceDN w:val="0"/>
              <w:adjustRightInd w:val="0"/>
              <w:jc w:val="right"/>
              <w:rPr>
                <w:rFonts w:eastAsia="Calibri"/>
                <w:color w:val="000000"/>
                <w:szCs w:val="22"/>
              </w:rPr>
            </w:pPr>
            <w:r w:rsidRPr="00CE4E97">
              <w:rPr>
                <w:rFonts w:eastAsia="Calibri"/>
                <w:color w:val="000000"/>
                <w:szCs w:val="22"/>
              </w:rPr>
              <w:t>376137</w:t>
            </w:r>
          </w:p>
        </w:tc>
        <w:tc>
          <w:tcPr>
            <w:tcW w:w="2205" w:type="dxa"/>
            <w:shd w:val="clear" w:color="auto" w:fill="auto"/>
          </w:tcPr>
          <w:p w:rsidR="00CE4E97" w:rsidRPr="00CE4E97" w:rsidP="00CE4E97" w14:paraId="371CD7EA" w14:textId="77777777">
            <w:pPr>
              <w:autoSpaceDE w:val="0"/>
              <w:autoSpaceDN w:val="0"/>
              <w:adjustRightInd w:val="0"/>
              <w:jc w:val="right"/>
              <w:rPr>
                <w:rFonts w:eastAsia="Calibri"/>
                <w:color w:val="000000"/>
                <w:szCs w:val="22"/>
              </w:rPr>
            </w:pPr>
            <w:r w:rsidRPr="00CE4E97">
              <w:rPr>
                <w:rFonts w:eastAsia="Calibri"/>
                <w:color w:val="000000"/>
                <w:szCs w:val="22"/>
              </w:rPr>
              <w:t>2,761</w:t>
            </w:r>
          </w:p>
        </w:tc>
        <w:tc>
          <w:tcPr>
            <w:tcW w:w="1800" w:type="dxa"/>
            <w:shd w:val="clear" w:color="auto" w:fill="auto"/>
            <w:vAlign w:val="center"/>
          </w:tcPr>
          <w:p w:rsidR="00CE4E97" w:rsidRPr="00CE4E97" w:rsidP="00CE4E97" w14:paraId="68940937" w14:textId="77777777">
            <w:pPr>
              <w:autoSpaceDE w:val="0"/>
              <w:autoSpaceDN w:val="0"/>
              <w:adjustRightInd w:val="0"/>
              <w:jc w:val="right"/>
              <w:rPr>
                <w:rFonts w:eastAsia="Calibri"/>
                <w:color w:val="000000"/>
                <w:szCs w:val="22"/>
              </w:rPr>
            </w:pPr>
            <w:r w:rsidRPr="00CE4E97">
              <w:rPr>
                <w:rFonts w:eastAsia="Calibri"/>
                <w:color w:val="000000"/>
                <w:szCs w:val="22"/>
              </w:rPr>
              <w:t>2,393</w:t>
            </w:r>
          </w:p>
        </w:tc>
        <w:tc>
          <w:tcPr>
            <w:tcW w:w="2250" w:type="dxa"/>
            <w:shd w:val="clear" w:color="auto" w:fill="auto"/>
            <w:vAlign w:val="bottom"/>
          </w:tcPr>
          <w:p w:rsidR="00CE4E97" w:rsidRPr="00CE4E97" w:rsidP="00CE4E97" w14:paraId="123281B0" w14:textId="77777777">
            <w:pPr>
              <w:autoSpaceDE w:val="0"/>
              <w:autoSpaceDN w:val="0"/>
              <w:adjustRightInd w:val="0"/>
              <w:jc w:val="right"/>
              <w:rPr>
                <w:rFonts w:eastAsia="Calibri"/>
                <w:color w:val="000000"/>
                <w:szCs w:val="22"/>
              </w:rPr>
            </w:pPr>
            <w:r w:rsidRPr="00CE4E97">
              <w:rPr>
                <w:rFonts w:eastAsia="Calibri"/>
                <w:color w:val="000000"/>
                <w:szCs w:val="22"/>
              </w:rPr>
              <w:t>368</w:t>
            </w:r>
          </w:p>
        </w:tc>
        <w:tc>
          <w:tcPr>
            <w:tcW w:w="1800" w:type="dxa"/>
            <w:shd w:val="clear" w:color="auto" w:fill="auto"/>
            <w:vAlign w:val="bottom"/>
          </w:tcPr>
          <w:p w:rsidR="00CE4E97" w:rsidRPr="00CE4E97" w:rsidP="00CE4E97" w14:paraId="36A5F655" w14:textId="77777777">
            <w:pPr>
              <w:autoSpaceDE w:val="0"/>
              <w:autoSpaceDN w:val="0"/>
              <w:adjustRightInd w:val="0"/>
              <w:jc w:val="right"/>
              <w:rPr>
                <w:rFonts w:eastAsia="Calibri"/>
                <w:color w:val="000000"/>
                <w:szCs w:val="22"/>
              </w:rPr>
            </w:pPr>
            <w:r w:rsidRPr="00CE4E97">
              <w:rPr>
                <w:rFonts w:eastAsia="Calibri"/>
                <w:color w:val="000000"/>
                <w:szCs w:val="22"/>
              </w:rPr>
              <w:t>86.66%</w:t>
            </w:r>
          </w:p>
        </w:tc>
      </w:tr>
      <w:tr w14:paraId="6393F906" w14:textId="77777777" w:rsidTr="00CE4E97">
        <w:tblPrEx>
          <w:tblW w:w="9355" w:type="dxa"/>
          <w:tblLayout w:type="fixed"/>
          <w:tblLook w:val="04A0"/>
        </w:tblPrEx>
        <w:trPr>
          <w:trHeight w:val="276"/>
        </w:trPr>
        <w:tc>
          <w:tcPr>
            <w:tcW w:w="1300" w:type="dxa"/>
            <w:shd w:val="clear" w:color="auto" w:fill="auto"/>
          </w:tcPr>
          <w:p w:rsidR="00CE4E97" w:rsidRPr="00CE4E97" w:rsidP="00CE4E97" w14:paraId="396D3F77" w14:textId="77777777">
            <w:pPr>
              <w:autoSpaceDE w:val="0"/>
              <w:autoSpaceDN w:val="0"/>
              <w:adjustRightInd w:val="0"/>
              <w:jc w:val="right"/>
              <w:rPr>
                <w:rFonts w:eastAsia="Calibri"/>
                <w:color w:val="000000"/>
                <w:szCs w:val="22"/>
              </w:rPr>
            </w:pPr>
            <w:r w:rsidRPr="00CE4E97">
              <w:rPr>
                <w:rFonts w:eastAsia="Calibri"/>
                <w:color w:val="000000"/>
                <w:szCs w:val="22"/>
              </w:rPr>
              <w:t>356136</w:t>
            </w:r>
          </w:p>
        </w:tc>
        <w:tc>
          <w:tcPr>
            <w:tcW w:w="2205" w:type="dxa"/>
            <w:shd w:val="clear" w:color="auto" w:fill="auto"/>
          </w:tcPr>
          <w:p w:rsidR="00CE4E97" w:rsidRPr="00CE4E97" w:rsidP="00CE4E97" w14:paraId="2F287DB1" w14:textId="77777777">
            <w:pPr>
              <w:autoSpaceDE w:val="0"/>
              <w:autoSpaceDN w:val="0"/>
              <w:adjustRightInd w:val="0"/>
              <w:jc w:val="right"/>
              <w:rPr>
                <w:rFonts w:eastAsia="Calibri"/>
                <w:color w:val="000000"/>
                <w:szCs w:val="22"/>
              </w:rPr>
            </w:pPr>
            <w:r w:rsidRPr="00CE4E97">
              <w:rPr>
                <w:rFonts w:eastAsia="Calibri"/>
                <w:color w:val="000000"/>
                <w:szCs w:val="22"/>
              </w:rPr>
              <w:t>794</w:t>
            </w:r>
          </w:p>
        </w:tc>
        <w:tc>
          <w:tcPr>
            <w:tcW w:w="1800" w:type="dxa"/>
            <w:shd w:val="clear" w:color="auto" w:fill="auto"/>
            <w:vAlign w:val="center"/>
          </w:tcPr>
          <w:p w:rsidR="00CE4E97" w:rsidRPr="00CE4E97" w:rsidP="00CE4E97" w14:paraId="3F6AB163" w14:textId="77777777">
            <w:pPr>
              <w:autoSpaceDE w:val="0"/>
              <w:autoSpaceDN w:val="0"/>
              <w:adjustRightInd w:val="0"/>
              <w:jc w:val="right"/>
              <w:rPr>
                <w:rFonts w:eastAsia="Calibri"/>
                <w:color w:val="000000"/>
                <w:szCs w:val="22"/>
              </w:rPr>
            </w:pPr>
            <w:r w:rsidRPr="00CE4E97">
              <w:rPr>
                <w:rFonts w:eastAsia="Calibri"/>
                <w:color w:val="000000"/>
                <w:szCs w:val="22"/>
              </w:rPr>
              <w:t>531</w:t>
            </w:r>
          </w:p>
        </w:tc>
        <w:tc>
          <w:tcPr>
            <w:tcW w:w="2250" w:type="dxa"/>
            <w:shd w:val="clear" w:color="auto" w:fill="auto"/>
            <w:vAlign w:val="bottom"/>
          </w:tcPr>
          <w:p w:rsidR="00CE4E97" w:rsidRPr="00CE4E97" w:rsidP="00CE4E97" w14:paraId="7B2404BE" w14:textId="77777777">
            <w:pPr>
              <w:autoSpaceDE w:val="0"/>
              <w:autoSpaceDN w:val="0"/>
              <w:adjustRightInd w:val="0"/>
              <w:jc w:val="right"/>
              <w:rPr>
                <w:rFonts w:eastAsia="Calibri"/>
                <w:color w:val="000000"/>
                <w:szCs w:val="22"/>
              </w:rPr>
            </w:pPr>
            <w:r w:rsidRPr="00CE4E97">
              <w:rPr>
                <w:rFonts w:eastAsia="Calibri"/>
                <w:color w:val="000000"/>
                <w:szCs w:val="22"/>
              </w:rPr>
              <w:t>263</w:t>
            </w:r>
          </w:p>
        </w:tc>
        <w:tc>
          <w:tcPr>
            <w:tcW w:w="1800" w:type="dxa"/>
            <w:shd w:val="clear" w:color="auto" w:fill="auto"/>
            <w:vAlign w:val="bottom"/>
          </w:tcPr>
          <w:p w:rsidR="00CE4E97" w:rsidRPr="00CE4E97" w:rsidP="00CE4E97" w14:paraId="2FD6EECD" w14:textId="77777777">
            <w:pPr>
              <w:autoSpaceDE w:val="0"/>
              <w:autoSpaceDN w:val="0"/>
              <w:adjustRightInd w:val="0"/>
              <w:jc w:val="right"/>
              <w:rPr>
                <w:rFonts w:eastAsia="Calibri"/>
                <w:color w:val="000000"/>
                <w:szCs w:val="22"/>
              </w:rPr>
            </w:pPr>
            <w:r w:rsidRPr="00CE4E97">
              <w:rPr>
                <w:rFonts w:eastAsia="Calibri"/>
                <w:color w:val="000000"/>
                <w:szCs w:val="22"/>
              </w:rPr>
              <w:t>66.90%</w:t>
            </w:r>
          </w:p>
        </w:tc>
      </w:tr>
      <w:tr w14:paraId="290FB88D" w14:textId="77777777" w:rsidTr="00CE4E97">
        <w:tblPrEx>
          <w:tblW w:w="9355" w:type="dxa"/>
          <w:tblLayout w:type="fixed"/>
          <w:tblLook w:val="04A0"/>
        </w:tblPrEx>
        <w:trPr>
          <w:trHeight w:val="261"/>
        </w:trPr>
        <w:tc>
          <w:tcPr>
            <w:tcW w:w="1300" w:type="dxa"/>
            <w:shd w:val="clear" w:color="auto" w:fill="auto"/>
          </w:tcPr>
          <w:p w:rsidR="00CE4E97" w:rsidRPr="00CE4E97" w:rsidP="00CE4E97" w14:paraId="3EC5511E" w14:textId="77777777">
            <w:pPr>
              <w:autoSpaceDE w:val="0"/>
              <w:autoSpaceDN w:val="0"/>
              <w:adjustRightInd w:val="0"/>
              <w:jc w:val="right"/>
              <w:rPr>
                <w:rFonts w:eastAsia="Calibri"/>
                <w:color w:val="000000"/>
                <w:szCs w:val="22"/>
              </w:rPr>
            </w:pPr>
            <w:r w:rsidRPr="00CE4E97">
              <w:rPr>
                <w:rFonts w:eastAsia="Calibri"/>
                <w:color w:val="000000"/>
                <w:szCs w:val="22"/>
              </w:rPr>
              <w:t>356135</w:t>
            </w:r>
          </w:p>
        </w:tc>
        <w:tc>
          <w:tcPr>
            <w:tcW w:w="2205" w:type="dxa"/>
            <w:shd w:val="clear" w:color="auto" w:fill="auto"/>
          </w:tcPr>
          <w:p w:rsidR="00CE4E97" w:rsidRPr="00CE4E97" w:rsidP="00CE4E97" w14:paraId="32C5C1FE" w14:textId="77777777">
            <w:pPr>
              <w:autoSpaceDE w:val="0"/>
              <w:autoSpaceDN w:val="0"/>
              <w:adjustRightInd w:val="0"/>
              <w:jc w:val="right"/>
              <w:rPr>
                <w:rFonts w:eastAsia="Calibri"/>
                <w:color w:val="000000"/>
                <w:szCs w:val="22"/>
              </w:rPr>
            </w:pPr>
            <w:r w:rsidRPr="00CE4E97">
              <w:rPr>
                <w:rFonts w:eastAsia="Calibri"/>
                <w:color w:val="000000"/>
                <w:szCs w:val="22"/>
              </w:rPr>
              <w:t>1,528</w:t>
            </w:r>
          </w:p>
        </w:tc>
        <w:tc>
          <w:tcPr>
            <w:tcW w:w="1800" w:type="dxa"/>
            <w:shd w:val="clear" w:color="auto" w:fill="auto"/>
            <w:vAlign w:val="center"/>
          </w:tcPr>
          <w:p w:rsidR="00CE4E97" w:rsidRPr="00CE4E97" w:rsidP="00CE4E97" w14:paraId="67AFFBCC" w14:textId="77777777">
            <w:pPr>
              <w:autoSpaceDE w:val="0"/>
              <w:autoSpaceDN w:val="0"/>
              <w:adjustRightInd w:val="0"/>
              <w:jc w:val="right"/>
              <w:rPr>
                <w:rFonts w:eastAsia="Calibri"/>
                <w:color w:val="000000"/>
                <w:szCs w:val="22"/>
              </w:rPr>
            </w:pPr>
            <w:r w:rsidRPr="00CE4E97">
              <w:rPr>
                <w:rFonts w:eastAsia="Calibri"/>
                <w:color w:val="000000"/>
                <w:szCs w:val="22"/>
              </w:rPr>
              <w:t>1,304</w:t>
            </w:r>
          </w:p>
        </w:tc>
        <w:tc>
          <w:tcPr>
            <w:tcW w:w="2250" w:type="dxa"/>
            <w:shd w:val="clear" w:color="auto" w:fill="auto"/>
            <w:vAlign w:val="bottom"/>
          </w:tcPr>
          <w:p w:rsidR="00CE4E97" w:rsidRPr="00CE4E97" w:rsidP="00CE4E97" w14:paraId="655BA8BC" w14:textId="77777777">
            <w:pPr>
              <w:autoSpaceDE w:val="0"/>
              <w:autoSpaceDN w:val="0"/>
              <w:adjustRightInd w:val="0"/>
              <w:jc w:val="right"/>
              <w:rPr>
                <w:rFonts w:eastAsia="Calibri"/>
                <w:color w:val="000000"/>
                <w:szCs w:val="22"/>
              </w:rPr>
            </w:pPr>
            <w:r w:rsidRPr="00CE4E97">
              <w:rPr>
                <w:rFonts w:eastAsia="Calibri"/>
                <w:color w:val="000000"/>
                <w:szCs w:val="22"/>
              </w:rPr>
              <w:t>224</w:t>
            </w:r>
          </w:p>
        </w:tc>
        <w:tc>
          <w:tcPr>
            <w:tcW w:w="1800" w:type="dxa"/>
            <w:shd w:val="clear" w:color="auto" w:fill="auto"/>
            <w:vAlign w:val="bottom"/>
          </w:tcPr>
          <w:p w:rsidR="00CE4E97" w:rsidRPr="00CE4E97" w:rsidP="00CE4E97" w14:paraId="08651628" w14:textId="77777777">
            <w:pPr>
              <w:autoSpaceDE w:val="0"/>
              <w:autoSpaceDN w:val="0"/>
              <w:adjustRightInd w:val="0"/>
              <w:jc w:val="right"/>
              <w:rPr>
                <w:rFonts w:eastAsia="Calibri"/>
                <w:color w:val="000000"/>
                <w:szCs w:val="22"/>
              </w:rPr>
            </w:pPr>
            <w:r w:rsidRPr="00CE4E97">
              <w:rPr>
                <w:rFonts w:eastAsia="Calibri"/>
                <w:color w:val="000000"/>
                <w:szCs w:val="22"/>
              </w:rPr>
              <w:t>85.33%</w:t>
            </w:r>
          </w:p>
        </w:tc>
      </w:tr>
      <w:tr w14:paraId="45A46A0D" w14:textId="77777777" w:rsidTr="00CE4E97">
        <w:tblPrEx>
          <w:tblW w:w="9355" w:type="dxa"/>
          <w:tblLayout w:type="fixed"/>
          <w:tblLook w:val="04A0"/>
        </w:tblPrEx>
        <w:trPr>
          <w:trHeight w:val="276"/>
        </w:trPr>
        <w:tc>
          <w:tcPr>
            <w:tcW w:w="1300" w:type="dxa"/>
            <w:shd w:val="clear" w:color="auto" w:fill="auto"/>
          </w:tcPr>
          <w:p w:rsidR="00CE4E97" w:rsidRPr="00CE4E97" w:rsidP="00CE4E97" w14:paraId="5B27BFA7" w14:textId="77777777">
            <w:pPr>
              <w:autoSpaceDE w:val="0"/>
              <w:autoSpaceDN w:val="0"/>
              <w:adjustRightInd w:val="0"/>
              <w:jc w:val="right"/>
              <w:rPr>
                <w:rFonts w:eastAsia="Calibri"/>
                <w:color w:val="000000"/>
                <w:szCs w:val="22"/>
              </w:rPr>
            </w:pPr>
            <w:r w:rsidRPr="00CE4E97">
              <w:rPr>
                <w:rFonts w:eastAsia="Calibri"/>
                <w:color w:val="000000"/>
                <w:szCs w:val="22"/>
              </w:rPr>
              <w:t>356134</w:t>
            </w:r>
          </w:p>
        </w:tc>
        <w:tc>
          <w:tcPr>
            <w:tcW w:w="2205" w:type="dxa"/>
            <w:shd w:val="clear" w:color="auto" w:fill="auto"/>
          </w:tcPr>
          <w:p w:rsidR="00CE4E97" w:rsidRPr="00CE4E97" w:rsidP="00CE4E97" w14:paraId="1EF05FFB" w14:textId="77777777">
            <w:pPr>
              <w:autoSpaceDE w:val="0"/>
              <w:autoSpaceDN w:val="0"/>
              <w:adjustRightInd w:val="0"/>
              <w:jc w:val="right"/>
              <w:rPr>
                <w:rFonts w:eastAsia="Calibri"/>
                <w:color w:val="000000"/>
                <w:szCs w:val="22"/>
              </w:rPr>
            </w:pPr>
            <w:r w:rsidRPr="00CE4E97">
              <w:rPr>
                <w:rFonts w:eastAsia="Calibri"/>
                <w:color w:val="000000"/>
                <w:szCs w:val="22"/>
              </w:rPr>
              <w:t>1,926</w:t>
            </w:r>
          </w:p>
        </w:tc>
        <w:tc>
          <w:tcPr>
            <w:tcW w:w="1800" w:type="dxa"/>
            <w:shd w:val="clear" w:color="auto" w:fill="auto"/>
            <w:vAlign w:val="center"/>
          </w:tcPr>
          <w:p w:rsidR="00CE4E97" w:rsidRPr="00CE4E97" w:rsidP="00CE4E97" w14:paraId="069EF2C2" w14:textId="77777777">
            <w:pPr>
              <w:autoSpaceDE w:val="0"/>
              <w:autoSpaceDN w:val="0"/>
              <w:adjustRightInd w:val="0"/>
              <w:jc w:val="right"/>
              <w:rPr>
                <w:rFonts w:eastAsia="Calibri"/>
                <w:color w:val="000000"/>
                <w:szCs w:val="22"/>
              </w:rPr>
            </w:pPr>
            <w:r w:rsidRPr="00CE4E97">
              <w:rPr>
                <w:rFonts w:eastAsia="Calibri"/>
                <w:color w:val="000000"/>
                <w:szCs w:val="22"/>
              </w:rPr>
              <w:t>1,472</w:t>
            </w:r>
          </w:p>
        </w:tc>
        <w:tc>
          <w:tcPr>
            <w:tcW w:w="2250" w:type="dxa"/>
            <w:shd w:val="clear" w:color="auto" w:fill="auto"/>
            <w:vAlign w:val="bottom"/>
          </w:tcPr>
          <w:p w:rsidR="00CE4E97" w:rsidRPr="00CE4E97" w:rsidP="00CE4E97" w14:paraId="1AD3B666" w14:textId="77777777">
            <w:pPr>
              <w:autoSpaceDE w:val="0"/>
              <w:autoSpaceDN w:val="0"/>
              <w:adjustRightInd w:val="0"/>
              <w:jc w:val="right"/>
              <w:rPr>
                <w:rFonts w:eastAsia="Calibri"/>
                <w:color w:val="000000"/>
                <w:szCs w:val="22"/>
              </w:rPr>
            </w:pPr>
            <w:r w:rsidRPr="00CE4E97">
              <w:rPr>
                <w:rFonts w:eastAsia="Calibri"/>
                <w:color w:val="000000"/>
                <w:szCs w:val="22"/>
              </w:rPr>
              <w:t>454</w:t>
            </w:r>
          </w:p>
        </w:tc>
        <w:tc>
          <w:tcPr>
            <w:tcW w:w="1800" w:type="dxa"/>
            <w:shd w:val="clear" w:color="auto" w:fill="auto"/>
            <w:vAlign w:val="bottom"/>
          </w:tcPr>
          <w:p w:rsidR="00CE4E97" w:rsidRPr="00CE4E97" w:rsidP="00CE4E97" w14:paraId="47092A31" w14:textId="77777777">
            <w:pPr>
              <w:autoSpaceDE w:val="0"/>
              <w:autoSpaceDN w:val="0"/>
              <w:adjustRightInd w:val="0"/>
              <w:jc w:val="right"/>
              <w:rPr>
                <w:rFonts w:eastAsia="Calibri"/>
                <w:color w:val="000000"/>
                <w:szCs w:val="22"/>
              </w:rPr>
            </w:pPr>
            <w:r w:rsidRPr="00CE4E97">
              <w:rPr>
                <w:rFonts w:eastAsia="Calibri"/>
                <w:color w:val="000000"/>
                <w:szCs w:val="22"/>
              </w:rPr>
              <w:t>76.40%</w:t>
            </w:r>
          </w:p>
        </w:tc>
      </w:tr>
      <w:tr w14:paraId="50AB7FA4" w14:textId="77777777" w:rsidTr="00CE4E97">
        <w:tblPrEx>
          <w:tblW w:w="9355" w:type="dxa"/>
          <w:tblLayout w:type="fixed"/>
          <w:tblLook w:val="04A0"/>
        </w:tblPrEx>
        <w:trPr>
          <w:trHeight w:val="261"/>
        </w:trPr>
        <w:tc>
          <w:tcPr>
            <w:tcW w:w="1300" w:type="dxa"/>
            <w:shd w:val="clear" w:color="auto" w:fill="auto"/>
          </w:tcPr>
          <w:p w:rsidR="00CE4E97" w:rsidRPr="00CE4E97" w:rsidP="00CE4E97" w14:paraId="4F853CCE" w14:textId="77777777">
            <w:pPr>
              <w:autoSpaceDE w:val="0"/>
              <w:autoSpaceDN w:val="0"/>
              <w:adjustRightInd w:val="0"/>
              <w:jc w:val="right"/>
              <w:rPr>
                <w:rFonts w:eastAsia="Calibri"/>
                <w:color w:val="000000"/>
                <w:szCs w:val="22"/>
              </w:rPr>
            </w:pPr>
            <w:r w:rsidRPr="00CE4E97">
              <w:rPr>
                <w:rFonts w:eastAsia="Calibri"/>
                <w:color w:val="000000"/>
                <w:szCs w:val="22"/>
              </w:rPr>
              <w:t>346117</w:t>
            </w:r>
          </w:p>
        </w:tc>
        <w:tc>
          <w:tcPr>
            <w:tcW w:w="2205" w:type="dxa"/>
            <w:shd w:val="clear" w:color="auto" w:fill="auto"/>
          </w:tcPr>
          <w:p w:rsidR="00CE4E97" w:rsidRPr="00CE4E97" w:rsidP="00CE4E97" w14:paraId="457A7AA2" w14:textId="77777777">
            <w:pPr>
              <w:autoSpaceDE w:val="0"/>
              <w:autoSpaceDN w:val="0"/>
              <w:adjustRightInd w:val="0"/>
              <w:jc w:val="right"/>
              <w:rPr>
                <w:rFonts w:eastAsia="Calibri"/>
                <w:color w:val="000000"/>
                <w:szCs w:val="22"/>
              </w:rPr>
            </w:pPr>
            <w:r w:rsidRPr="00CE4E97">
              <w:rPr>
                <w:rFonts w:eastAsia="Calibri"/>
                <w:color w:val="000000"/>
                <w:szCs w:val="22"/>
              </w:rPr>
              <w:t>1,988</w:t>
            </w:r>
          </w:p>
        </w:tc>
        <w:tc>
          <w:tcPr>
            <w:tcW w:w="1800" w:type="dxa"/>
            <w:shd w:val="clear" w:color="auto" w:fill="auto"/>
            <w:vAlign w:val="center"/>
          </w:tcPr>
          <w:p w:rsidR="00CE4E97" w:rsidRPr="00CE4E97" w:rsidP="00CE4E97" w14:paraId="06BF83DA" w14:textId="77777777">
            <w:pPr>
              <w:autoSpaceDE w:val="0"/>
              <w:autoSpaceDN w:val="0"/>
              <w:adjustRightInd w:val="0"/>
              <w:jc w:val="right"/>
              <w:rPr>
                <w:rFonts w:eastAsia="Calibri"/>
                <w:color w:val="000000"/>
                <w:szCs w:val="22"/>
              </w:rPr>
            </w:pPr>
            <w:r w:rsidRPr="00CE4E97">
              <w:rPr>
                <w:rFonts w:eastAsia="Calibri"/>
                <w:color w:val="000000"/>
                <w:szCs w:val="22"/>
              </w:rPr>
              <w:t>1,790</w:t>
            </w:r>
          </w:p>
        </w:tc>
        <w:tc>
          <w:tcPr>
            <w:tcW w:w="2250" w:type="dxa"/>
            <w:shd w:val="clear" w:color="auto" w:fill="auto"/>
            <w:vAlign w:val="bottom"/>
          </w:tcPr>
          <w:p w:rsidR="00CE4E97" w:rsidRPr="00CE4E97" w:rsidP="00CE4E97" w14:paraId="7C32045B" w14:textId="77777777">
            <w:pPr>
              <w:autoSpaceDE w:val="0"/>
              <w:autoSpaceDN w:val="0"/>
              <w:adjustRightInd w:val="0"/>
              <w:jc w:val="right"/>
              <w:rPr>
                <w:rFonts w:eastAsia="Calibri"/>
                <w:color w:val="000000"/>
                <w:szCs w:val="22"/>
              </w:rPr>
            </w:pPr>
            <w:r w:rsidRPr="00CE4E97">
              <w:rPr>
                <w:rFonts w:eastAsia="Calibri"/>
                <w:color w:val="000000"/>
                <w:szCs w:val="22"/>
              </w:rPr>
              <w:t>198</w:t>
            </w:r>
          </w:p>
        </w:tc>
        <w:tc>
          <w:tcPr>
            <w:tcW w:w="1800" w:type="dxa"/>
            <w:shd w:val="clear" w:color="auto" w:fill="auto"/>
            <w:vAlign w:val="bottom"/>
          </w:tcPr>
          <w:p w:rsidR="00CE4E97" w:rsidRPr="00CE4E97" w:rsidP="00CE4E97" w14:paraId="25DDFFCF" w14:textId="77777777">
            <w:pPr>
              <w:autoSpaceDE w:val="0"/>
              <w:autoSpaceDN w:val="0"/>
              <w:adjustRightInd w:val="0"/>
              <w:jc w:val="right"/>
              <w:rPr>
                <w:rFonts w:eastAsia="Calibri"/>
                <w:color w:val="000000"/>
                <w:szCs w:val="22"/>
              </w:rPr>
            </w:pPr>
            <w:r w:rsidRPr="00CE4E97">
              <w:rPr>
                <w:rFonts w:eastAsia="Calibri"/>
                <w:color w:val="000000"/>
                <w:szCs w:val="22"/>
              </w:rPr>
              <w:t>90.02%</w:t>
            </w:r>
          </w:p>
        </w:tc>
      </w:tr>
      <w:tr w14:paraId="0AD4D648" w14:textId="77777777" w:rsidTr="00CE4E97">
        <w:tblPrEx>
          <w:tblW w:w="9355" w:type="dxa"/>
          <w:tblLayout w:type="fixed"/>
          <w:tblLook w:val="04A0"/>
        </w:tblPrEx>
        <w:trPr>
          <w:trHeight w:val="261"/>
        </w:trPr>
        <w:tc>
          <w:tcPr>
            <w:tcW w:w="1300" w:type="dxa"/>
            <w:shd w:val="clear" w:color="auto" w:fill="auto"/>
          </w:tcPr>
          <w:p w:rsidR="00CE4E97" w:rsidRPr="00CE4E97" w:rsidP="00CE4E97" w14:paraId="5E4C8F71" w14:textId="77777777">
            <w:pPr>
              <w:autoSpaceDE w:val="0"/>
              <w:autoSpaceDN w:val="0"/>
              <w:adjustRightInd w:val="0"/>
              <w:jc w:val="right"/>
              <w:rPr>
                <w:rFonts w:eastAsia="Calibri"/>
                <w:color w:val="000000"/>
                <w:szCs w:val="22"/>
              </w:rPr>
            </w:pPr>
            <w:r w:rsidRPr="00CE4E97">
              <w:rPr>
                <w:rFonts w:eastAsia="Calibri"/>
                <w:color w:val="000000"/>
                <w:szCs w:val="22"/>
              </w:rPr>
              <w:t>346116</w:t>
            </w:r>
          </w:p>
        </w:tc>
        <w:tc>
          <w:tcPr>
            <w:tcW w:w="2205" w:type="dxa"/>
            <w:shd w:val="clear" w:color="auto" w:fill="auto"/>
          </w:tcPr>
          <w:p w:rsidR="00CE4E97" w:rsidRPr="00CE4E97" w:rsidP="00CE4E97" w14:paraId="3A27CC3A" w14:textId="77777777">
            <w:pPr>
              <w:autoSpaceDE w:val="0"/>
              <w:autoSpaceDN w:val="0"/>
              <w:adjustRightInd w:val="0"/>
              <w:jc w:val="right"/>
              <w:rPr>
                <w:rFonts w:eastAsia="Calibri"/>
                <w:color w:val="000000"/>
                <w:szCs w:val="22"/>
              </w:rPr>
            </w:pPr>
            <w:r w:rsidRPr="00CE4E97">
              <w:rPr>
                <w:rFonts w:eastAsia="Calibri"/>
                <w:color w:val="000000"/>
                <w:szCs w:val="22"/>
              </w:rPr>
              <w:t>1,291</w:t>
            </w:r>
          </w:p>
        </w:tc>
        <w:tc>
          <w:tcPr>
            <w:tcW w:w="1800" w:type="dxa"/>
            <w:shd w:val="clear" w:color="auto" w:fill="auto"/>
            <w:vAlign w:val="center"/>
          </w:tcPr>
          <w:p w:rsidR="00CE4E97" w:rsidRPr="00CE4E97" w:rsidP="00CE4E97" w14:paraId="23D28F4F" w14:textId="77777777">
            <w:pPr>
              <w:autoSpaceDE w:val="0"/>
              <w:autoSpaceDN w:val="0"/>
              <w:adjustRightInd w:val="0"/>
              <w:jc w:val="right"/>
              <w:rPr>
                <w:rFonts w:eastAsia="Calibri"/>
                <w:color w:val="000000"/>
                <w:szCs w:val="22"/>
              </w:rPr>
            </w:pPr>
            <w:r w:rsidRPr="00CE4E97">
              <w:rPr>
                <w:rFonts w:eastAsia="Calibri"/>
                <w:color w:val="000000"/>
                <w:szCs w:val="22"/>
              </w:rPr>
              <w:t>1,118</w:t>
            </w:r>
          </w:p>
        </w:tc>
        <w:tc>
          <w:tcPr>
            <w:tcW w:w="2250" w:type="dxa"/>
            <w:shd w:val="clear" w:color="auto" w:fill="auto"/>
            <w:vAlign w:val="bottom"/>
          </w:tcPr>
          <w:p w:rsidR="00CE4E97" w:rsidRPr="00CE4E97" w:rsidP="00CE4E97" w14:paraId="5FD0930D" w14:textId="77777777">
            <w:pPr>
              <w:autoSpaceDE w:val="0"/>
              <w:autoSpaceDN w:val="0"/>
              <w:adjustRightInd w:val="0"/>
              <w:jc w:val="right"/>
              <w:rPr>
                <w:rFonts w:eastAsia="Calibri"/>
                <w:color w:val="000000"/>
                <w:szCs w:val="22"/>
              </w:rPr>
            </w:pPr>
            <w:r w:rsidRPr="00CE4E97">
              <w:rPr>
                <w:rFonts w:eastAsia="Calibri"/>
                <w:color w:val="000000"/>
                <w:szCs w:val="22"/>
              </w:rPr>
              <w:t>173</w:t>
            </w:r>
          </w:p>
        </w:tc>
        <w:tc>
          <w:tcPr>
            <w:tcW w:w="1800" w:type="dxa"/>
            <w:shd w:val="clear" w:color="auto" w:fill="auto"/>
            <w:vAlign w:val="bottom"/>
          </w:tcPr>
          <w:p w:rsidR="00CE4E97" w:rsidRPr="00CE4E97" w:rsidP="00CE4E97" w14:paraId="5FA65341" w14:textId="77777777">
            <w:pPr>
              <w:autoSpaceDE w:val="0"/>
              <w:autoSpaceDN w:val="0"/>
              <w:adjustRightInd w:val="0"/>
              <w:jc w:val="right"/>
              <w:rPr>
                <w:rFonts w:eastAsia="Calibri"/>
                <w:color w:val="000000"/>
                <w:szCs w:val="22"/>
              </w:rPr>
            </w:pPr>
            <w:r w:rsidRPr="00CE4E97">
              <w:rPr>
                <w:rFonts w:eastAsia="Calibri"/>
                <w:color w:val="000000"/>
                <w:szCs w:val="22"/>
              </w:rPr>
              <w:t>86.57%</w:t>
            </w:r>
          </w:p>
        </w:tc>
      </w:tr>
    </w:tbl>
    <w:p w:rsidR="00CE4E97" w:rsidRPr="00707ADE" w:rsidP="00CE4E97" w14:paraId="1A0EA1C2" w14:textId="77777777">
      <w:pPr>
        <w:widowControl/>
        <w:jc w:val="center"/>
        <w:rPr>
          <w:b/>
          <w:snapToGrid/>
          <w:color w:val="010101"/>
          <w:kern w:val="0"/>
          <w:szCs w:val="22"/>
        </w:rPr>
      </w:pPr>
      <w:r>
        <w:rPr>
          <w:b/>
          <w:snapToGrid/>
          <w:color w:val="010101"/>
          <w:kern w:val="0"/>
          <w:szCs w:val="22"/>
        </w:rPr>
        <w:t>Midwest Energy Cooperative d/b/a/Midwest Energy &amp; Communications</w:t>
      </w:r>
    </w:p>
    <w:p w:rsidR="00CE4E97" w:rsidRPr="00707ADE" w:rsidP="00CE4E97" w14:paraId="3E604E58" w14:textId="77777777">
      <w:pPr>
        <w:autoSpaceDE w:val="0"/>
        <w:autoSpaceDN w:val="0"/>
        <w:adjustRightInd w:val="0"/>
        <w:rPr>
          <w:color w:val="010101"/>
          <w:kern w:val="0"/>
          <w:szCs w:val="22"/>
        </w:rPr>
      </w:pPr>
    </w:p>
    <w:tbl>
      <w:tblPr>
        <w:tblpPr w:leftFromText="180" w:rightFromText="180" w:vertAnchor="text" w:horzAnchor="margin" w:tblpY="-36"/>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5"/>
        <w:gridCol w:w="2070"/>
        <w:gridCol w:w="1773"/>
        <w:gridCol w:w="2277"/>
        <w:gridCol w:w="1800"/>
      </w:tblGrid>
      <w:tr w14:paraId="16249A22" w14:textId="77777777" w:rsidTr="00CE4E97">
        <w:tblPrEx>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355" w:type="dxa"/>
            <w:gridSpan w:val="5"/>
            <w:shd w:val="clear" w:color="auto" w:fill="auto"/>
          </w:tcPr>
          <w:p w:rsidR="00CE4E97" w:rsidRPr="00CE4E97" w:rsidP="00CE4E97" w14:paraId="0FAA5FA9" w14:textId="77777777">
            <w:pPr>
              <w:jc w:val="center"/>
              <w:rPr>
                <w:rFonts w:eastAsia="Calibri"/>
                <w:color w:val="010101"/>
                <w:kern w:val="0"/>
                <w:szCs w:val="22"/>
              </w:rPr>
            </w:pPr>
            <w:r w:rsidRPr="00CE4E97">
              <w:rPr>
                <w:rFonts w:eastAsia="Calibri"/>
                <w:b/>
                <w:szCs w:val="22"/>
              </w:rPr>
              <w:t>Summary of Location Information</w:t>
            </w:r>
          </w:p>
        </w:tc>
      </w:tr>
      <w:tr w14:paraId="3844E203" w14:textId="77777777" w:rsidTr="00CE4E97">
        <w:tblPrEx>
          <w:tblW w:w="9355" w:type="dxa"/>
          <w:tblLook w:val="04A0"/>
        </w:tblPrEx>
        <w:tc>
          <w:tcPr>
            <w:tcW w:w="1435" w:type="dxa"/>
            <w:shd w:val="clear" w:color="auto" w:fill="auto"/>
          </w:tcPr>
          <w:p w:rsidR="00CE4E97" w:rsidRPr="00CE4E97" w:rsidP="00CE4E97" w14:paraId="1539C59F" w14:textId="77777777">
            <w:pPr>
              <w:autoSpaceDE w:val="0"/>
              <w:autoSpaceDN w:val="0"/>
              <w:adjustRightInd w:val="0"/>
              <w:rPr>
                <w:rFonts w:eastAsia="Calibri"/>
                <w:color w:val="010101"/>
                <w:kern w:val="0"/>
                <w:szCs w:val="22"/>
              </w:rPr>
            </w:pPr>
            <w:r w:rsidRPr="00CE4E97">
              <w:rPr>
                <w:rFonts w:eastAsia="Calibri"/>
                <w:color w:val="000000"/>
                <w:szCs w:val="22"/>
              </w:rPr>
              <w:t>Study Area Code</w:t>
            </w:r>
          </w:p>
        </w:tc>
        <w:tc>
          <w:tcPr>
            <w:tcW w:w="2070" w:type="dxa"/>
            <w:shd w:val="clear" w:color="auto" w:fill="auto"/>
          </w:tcPr>
          <w:p w:rsidR="00CE4E97" w:rsidRPr="00CE4E97" w:rsidP="00CE4E97" w14:paraId="645F323C" w14:textId="77777777">
            <w:pPr>
              <w:autoSpaceDE w:val="0"/>
              <w:autoSpaceDN w:val="0"/>
              <w:adjustRightInd w:val="0"/>
              <w:rPr>
                <w:rFonts w:eastAsia="Calibri"/>
                <w:color w:val="010101"/>
                <w:kern w:val="0"/>
                <w:szCs w:val="22"/>
              </w:rPr>
            </w:pPr>
            <w:r w:rsidRPr="00CE4E97">
              <w:rPr>
                <w:rFonts w:eastAsia="Calibri"/>
                <w:color w:val="000000"/>
                <w:szCs w:val="22"/>
              </w:rPr>
              <w:t xml:space="preserve">Defined Deployment Obligation </w:t>
            </w:r>
          </w:p>
        </w:tc>
        <w:tc>
          <w:tcPr>
            <w:tcW w:w="1773" w:type="dxa"/>
            <w:shd w:val="clear" w:color="auto" w:fill="auto"/>
          </w:tcPr>
          <w:p w:rsidR="00CE4E97" w:rsidRPr="00CE4E97" w:rsidP="00CE4E97" w14:paraId="331720F5" w14:textId="77777777">
            <w:pPr>
              <w:autoSpaceDE w:val="0"/>
              <w:autoSpaceDN w:val="0"/>
              <w:adjustRightInd w:val="0"/>
              <w:rPr>
                <w:rFonts w:eastAsia="Calibri"/>
                <w:color w:val="000000"/>
                <w:szCs w:val="22"/>
              </w:rPr>
            </w:pPr>
            <w:r w:rsidRPr="00CE4E97">
              <w:rPr>
                <w:rFonts w:eastAsia="Calibri"/>
                <w:color w:val="000000"/>
                <w:szCs w:val="22"/>
              </w:rPr>
              <w:t>Served</w:t>
            </w:r>
          </w:p>
          <w:p w:rsidR="00CE4E97" w:rsidRPr="00CE4E97" w:rsidP="00CE4E97" w14:paraId="195825D5" w14:textId="77777777">
            <w:pPr>
              <w:rPr>
                <w:rFonts w:eastAsia="Calibri"/>
                <w:color w:val="010101"/>
                <w:kern w:val="0"/>
                <w:szCs w:val="22"/>
              </w:rPr>
            </w:pPr>
            <w:r w:rsidRPr="00CE4E97">
              <w:rPr>
                <w:rFonts w:eastAsia="Calibri"/>
                <w:color w:val="000000"/>
                <w:szCs w:val="22"/>
              </w:rPr>
              <w:t>Locations</w:t>
            </w:r>
          </w:p>
        </w:tc>
        <w:tc>
          <w:tcPr>
            <w:tcW w:w="2277" w:type="dxa"/>
            <w:shd w:val="clear" w:color="auto" w:fill="auto"/>
          </w:tcPr>
          <w:p w:rsidR="00CE4E97" w:rsidRPr="00CE4E97" w:rsidP="00CE4E97" w14:paraId="65B01326" w14:textId="77777777">
            <w:pPr>
              <w:rPr>
                <w:rFonts w:eastAsia="Calibri"/>
                <w:color w:val="010101"/>
                <w:kern w:val="0"/>
                <w:szCs w:val="22"/>
              </w:rPr>
            </w:pPr>
            <w:r w:rsidRPr="00CE4E97">
              <w:rPr>
                <w:rFonts w:eastAsia="Calibri"/>
                <w:color w:val="000000"/>
                <w:szCs w:val="22"/>
              </w:rPr>
              <w:t>Compliance Gap</w:t>
            </w:r>
          </w:p>
        </w:tc>
        <w:tc>
          <w:tcPr>
            <w:tcW w:w="1800" w:type="dxa"/>
            <w:shd w:val="clear" w:color="auto" w:fill="auto"/>
          </w:tcPr>
          <w:p w:rsidR="00CE4E97" w:rsidRPr="00CE4E97" w:rsidP="00CE4E97" w14:paraId="2EDB908B" w14:textId="77777777">
            <w:pPr>
              <w:rPr>
                <w:rFonts w:eastAsia="Calibri"/>
                <w:color w:val="010101"/>
                <w:kern w:val="0"/>
                <w:szCs w:val="22"/>
              </w:rPr>
            </w:pPr>
            <w:r w:rsidRPr="00CE4E97">
              <w:rPr>
                <w:rFonts w:eastAsia="Calibri"/>
                <w:color w:val="000000"/>
                <w:szCs w:val="22"/>
              </w:rPr>
              <w:t>Percentage of Defined Deployment Obligation Served</w:t>
            </w:r>
          </w:p>
        </w:tc>
      </w:tr>
      <w:tr w14:paraId="27400443" w14:textId="77777777" w:rsidTr="00CE4E97">
        <w:tblPrEx>
          <w:tblW w:w="9355" w:type="dxa"/>
          <w:tblLook w:val="04A0"/>
        </w:tblPrEx>
        <w:tc>
          <w:tcPr>
            <w:tcW w:w="1435" w:type="dxa"/>
            <w:shd w:val="clear" w:color="auto" w:fill="auto"/>
          </w:tcPr>
          <w:p w:rsidR="00CE4E97" w:rsidRPr="00CE4E97" w:rsidP="00CE4E97" w14:paraId="459F6BCD" w14:textId="77777777">
            <w:pPr>
              <w:autoSpaceDE w:val="0"/>
              <w:autoSpaceDN w:val="0"/>
              <w:adjustRightInd w:val="0"/>
              <w:jc w:val="right"/>
              <w:rPr>
                <w:rFonts w:eastAsia="Calibri"/>
                <w:color w:val="010101"/>
                <w:kern w:val="0"/>
                <w:szCs w:val="22"/>
              </w:rPr>
            </w:pPr>
            <w:r w:rsidRPr="00CE4E97">
              <w:rPr>
                <w:rFonts w:eastAsia="Calibri"/>
                <w:color w:val="000000"/>
                <w:szCs w:val="22"/>
              </w:rPr>
              <w:t>316131</w:t>
            </w:r>
          </w:p>
        </w:tc>
        <w:tc>
          <w:tcPr>
            <w:tcW w:w="2070" w:type="dxa"/>
            <w:shd w:val="clear" w:color="auto" w:fill="auto"/>
          </w:tcPr>
          <w:p w:rsidR="00CE4E97" w:rsidRPr="00CE4E97" w:rsidP="00CE4E97" w14:paraId="0FF761BB" w14:textId="77777777">
            <w:pPr>
              <w:autoSpaceDE w:val="0"/>
              <w:autoSpaceDN w:val="0"/>
              <w:adjustRightInd w:val="0"/>
              <w:jc w:val="right"/>
              <w:rPr>
                <w:rFonts w:eastAsia="Calibri"/>
                <w:color w:val="010101"/>
                <w:kern w:val="0"/>
                <w:szCs w:val="22"/>
              </w:rPr>
            </w:pPr>
            <w:r w:rsidRPr="00CE4E97">
              <w:rPr>
                <w:rFonts w:eastAsia="Calibri"/>
                <w:color w:val="010101"/>
                <w:kern w:val="0"/>
                <w:szCs w:val="22"/>
              </w:rPr>
              <w:t>421</w:t>
            </w:r>
          </w:p>
        </w:tc>
        <w:tc>
          <w:tcPr>
            <w:tcW w:w="1773" w:type="dxa"/>
            <w:shd w:val="clear" w:color="auto" w:fill="auto"/>
          </w:tcPr>
          <w:p w:rsidR="00CE4E97" w:rsidRPr="00CE4E97" w:rsidP="00CE4E97" w14:paraId="206CF6A3" w14:textId="77777777">
            <w:pPr>
              <w:autoSpaceDE w:val="0"/>
              <w:autoSpaceDN w:val="0"/>
              <w:adjustRightInd w:val="0"/>
              <w:jc w:val="right"/>
              <w:rPr>
                <w:rFonts w:eastAsia="Calibri"/>
                <w:color w:val="010101"/>
                <w:kern w:val="0"/>
                <w:szCs w:val="22"/>
              </w:rPr>
            </w:pPr>
            <w:r w:rsidRPr="00CE4E97">
              <w:rPr>
                <w:rFonts w:eastAsia="Calibri"/>
                <w:color w:val="010101"/>
                <w:kern w:val="0"/>
                <w:szCs w:val="22"/>
              </w:rPr>
              <w:t>381</w:t>
            </w:r>
          </w:p>
        </w:tc>
        <w:tc>
          <w:tcPr>
            <w:tcW w:w="2277" w:type="dxa"/>
            <w:shd w:val="clear" w:color="auto" w:fill="auto"/>
          </w:tcPr>
          <w:p w:rsidR="00CE4E97" w:rsidRPr="00CE4E97" w:rsidP="00CE4E97" w14:paraId="0F3E8B6F" w14:textId="77777777">
            <w:pPr>
              <w:autoSpaceDE w:val="0"/>
              <w:autoSpaceDN w:val="0"/>
              <w:adjustRightInd w:val="0"/>
              <w:jc w:val="right"/>
              <w:rPr>
                <w:rFonts w:eastAsia="Calibri"/>
                <w:color w:val="010101"/>
                <w:kern w:val="0"/>
                <w:szCs w:val="22"/>
              </w:rPr>
            </w:pPr>
            <w:r w:rsidRPr="00CE4E97">
              <w:rPr>
                <w:rFonts w:eastAsia="Calibri"/>
                <w:color w:val="010101"/>
                <w:kern w:val="0"/>
                <w:szCs w:val="22"/>
              </w:rPr>
              <w:t>40</w:t>
            </w:r>
          </w:p>
        </w:tc>
        <w:tc>
          <w:tcPr>
            <w:tcW w:w="1800" w:type="dxa"/>
            <w:shd w:val="clear" w:color="auto" w:fill="auto"/>
          </w:tcPr>
          <w:p w:rsidR="00CE4E97" w:rsidRPr="00CE4E97" w:rsidP="00CE4E97" w14:paraId="6D77C7FC" w14:textId="77777777">
            <w:pPr>
              <w:autoSpaceDE w:val="0"/>
              <w:autoSpaceDN w:val="0"/>
              <w:adjustRightInd w:val="0"/>
              <w:jc w:val="right"/>
              <w:rPr>
                <w:rFonts w:eastAsia="Calibri"/>
                <w:color w:val="010101"/>
                <w:kern w:val="0"/>
                <w:szCs w:val="22"/>
              </w:rPr>
            </w:pPr>
            <w:r w:rsidRPr="00CE4E97">
              <w:rPr>
                <w:rFonts w:eastAsia="Calibri"/>
                <w:color w:val="000000"/>
                <w:szCs w:val="22"/>
              </w:rPr>
              <w:t>91%</w:t>
            </w:r>
          </w:p>
        </w:tc>
      </w:tr>
    </w:tbl>
    <w:p w:rsidR="00CE4E97" w:rsidRPr="00CE4E97" w:rsidP="00CE4E97" w14:paraId="6BB1B740" w14:textId="77777777">
      <w:pPr>
        <w:rPr>
          <w:b/>
          <w:bCs/>
        </w:rPr>
      </w:pPr>
    </w:p>
    <w:p w:rsidR="00CE4E97" w:rsidRPr="00CE4E97" w:rsidP="00CE4E97" w14:paraId="155CB591" w14:textId="77777777">
      <w:pPr>
        <w:pStyle w:val="ParaNum"/>
        <w:numPr>
          <w:ilvl w:val="0"/>
          <w:numId w:val="0"/>
        </w:numPr>
      </w:pPr>
    </w:p>
    <w:sectPr w:rsidSect="00CE4E97">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AE0896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303409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EC30AD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E4E97" w14:paraId="24CD13AF" w14:textId="77777777">
      <w:r>
        <w:separator/>
      </w:r>
    </w:p>
  </w:footnote>
  <w:footnote w:type="continuationSeparator" w:id="1">
    <w:p w:rsidR="00CE4E97" w:rsidP="00C721AC" w14:paraId="3C347CD0" w14:textId="77777777">
      <w:pPr>
        <w:spacing w:before="120"/>
        <w:rPr>
          <w:sz w:val="20"/>
        </w:rPr>
      </w:pPr>
      <w:r>
        <w:rPr>
          <w:sz w:val="20"/>
        </w:rPr>
        <w:t xml:space="preserve">(Continued from previous page)  </w:t>
      </w:r>
      <w:r>
        <w:rPr>
          <w:sz w:val="20"/>
        </w:rPr>
        <w:separator/>
      </w:r>
    </w:p>
  </w:footnote>
  <w:footnote w:type="continuationNotice" w:id="2">
    <w:p w:rsidR="00CE4E97" w:rsidP="00C721AC" w14:paraId="0A601C31" w14:textId="77777777">
      <w:pPr>
        <w:jc w:val="right"/>
        <w:rPr>
          <w:sz w:val="20"/>
        </w:rPr>
      </w:pPr>
      <w:r>
        <w:rPr>
          <w:sz w:val="20"/>
        </w:rPr>
        <w:t>(continued….)</w:t>
      </w:r>
    </w:p>
  </w:footnote>
  <w:footnote w:id="3">
    <w:p w:rsidR="00CE4E97" w:rsidP="00CE4E97" w14:paraId="19147A44" w14:textId="77777777">
      <w:pPr>
        <w:pStyle w:val="FootnoteText"/>
      </w:pPr>
      <w:r w:rsidRPr="00A544F4">
        <w:rPr>
          <w:rStyle w:val="FootnoteReference"/>
        </w:rPr>
        <w:footnoteRef/>
      </w:r>
      <w:r w:rsidRPr="00A544F4">
        <w:t xml:space="preserve"> </w:t>
      </w:r>
      <w:r>
        <w:t>Skybeam</w:t>
      </w:r>
      <w:r>
        <w:t xml:space="preserve"> LLC</w:t>
      </w:r>
      <w:r w:rsidRPr="00A544F4">
        <w:t xml:space="preserve"> </w:t>
      </w:r>
      <w:r>
        <w:t xml:space="preserve">Request </w:t>
      </w:r>
      <w:r w:rsidRPr="00A544F4">
        <w:t>for Waiver, WC Docket Nos. 10-90, 14-58 (</w:t>
      </w:r>
      <w:r>
        <w:t>Apr</w:t>
      </w:r>
      <w:r w:rsidRPr="00A544F4">
        <w:t xml:space="preserve">. </w:t>
      </w:r>
      <w:r>
        <w:t>2</w:t>
      </w:r>
      <w:r w:rsidRPr="00A544F4">
        <w:t>, 20</w:t>
      </w:r>
      <w:r>
        <w:t>20</w:t>
      </w:r>
      <w:r w:rsidRPr="00A544F4">
        <w:t>) (</w:t>
      </w:r>
      <w:r>
        <w:t>Skybeam</w:t>
      </w:r>
      <w:r w:rsidRPr="00A544F4">
        <w:t xml:space="preserve"> Petition), as </w:t>
      </w:r>
      <w:r w:rsidRPr="00A544F4">
        <w:t>supplemented</w:t>
      </w:r>
      <w:r>
        <w:t>,Apr</w:t>
      </w:r>
      <w:r w:rsidRPr="00AE30BD">
        <w:t xml:space="preserve">. </w:t>
      </w:r>
      <w:r>
        <w:t>17</w:t>
      </w:r>
      <w:r w:rsidRPr="00A544F4">
        <w:t>, 20</w:t>
      </w:r>
      <w:r>
        <w:t>20</w:t>
      </w:r>
      <w:r w:rsidRPr="00A544F4">
        <w:t xml:space="preserve"> (</w:t>
      </w:r>
      <w:r>
        <w:t>Skybeam</w:t>
      </w:r>
      <w:r>
        <w:t xml:space="preserve"> First </w:t>
      </w:r>
      <w:r w:rsidRPr="00A544F4">
        <w:t>Supplement)</w:t>
      </w:r>
      <w:r>
        <w:t>,  June 29, 2020 (</w:t>
      </w:r>
      <w:r>
        <w:t>Skybeam</w:t>
      </w:r>
      <w:r>
        <w:t xml:space="preserve"> Second Supplement), and July 13, 2021 (</w:t>
      </w:r>
      <w:r>
        <w:t>Skybeam</w:t>
      </w:r>
      <w:r>
        <w:t xml:space="preserve"> Third Supplement)</w:t>
      </w:r>
      <w:r w:rsidRPr="00A544F4">
        <w:t xml:space="preserve">; </w:t>
      </w:r>
      <w:r w:rsidRPr="000D620B">
        <w:t>Midwest Energy Cooperative D/B/A Midwest Energy &amp; Communications</w:t>
      </w:r>
      <w:r>
        <w:t xml:space="preserve"> Petition </w:t>
      </w:r>
      <w:r w:rsidRPr="000D620B">
        <w:t>for Waive</w:t>
      </w:r>
      <w:r>
        <w:t>r</w:t>
      </w:r>
      <w:r w:rsidRPr="00A544F4">
        <w:t xml:space="preserve">, WC Docket No. </w:t>
      </w:r>
      <w:r w:rsidRPr="00F052B7">
        <w:t xml:space="preserve">14-259 </w:t>
      </w:r>
      <w:r w:rsidRPr="00A544F4">
        <w:t>(filed A</w:t>
      </w:r>
      <w:r>
        <w:t>ug</w:t>
      </w:r>
      <w:r w:rsidRPr="00A544F4">
        <w:t xml:space="preserve">. </w:t>
      </w:r>
      <w:r>
        <w:t>2</w:t>
      </w:r>
      <w:r w:rsidRPr="00A544F4">
        <w:t>1, 2019) (</w:t>
      </w:r>
      <w:r>
        <w:t xml:space="preserve">Midwest </w:t>
      </w:r>
      <w:r w:rsidRPr="00A544F4">
        <w:t xml:space="preserve">Petition), </w:t>
      </w:r>
      <w:r w:rsidRPr="009B2B80">
        <w:rPr>
          <w:i/>
          <w:iCs/>
        </w:rPr>
        <w:t>as supplemented</w:t>
      </w:r>
      <w:r w:rsidRPr="00A544F4">
        <w:t>, WC Docket 10-90</w:t>
      </w:r>
      <w:r>
        <w:t xml:space="preserve">, 14-259 </w:t>
      </w:r>
      <w:r w:rsidRPr="00A544F4">
        <w:t>(</w:t>
      </w:r>
      <w:r>
        <w:t>Feb. 10</w:t>
      </w:r>
      <w:r w:rsidRPr="00A544F4">
        <w:t>, 20</w:t>
      </w:r>
      <w:r>
        <w:t>2</w:t>
      </w:r>
      <w:r w:rsidRPr="00A544F4">
        <w:t>1) (</w:t>
      </w:r>
      <w:r>
        <w:t>Midwest</w:t>
      </w:r>
      <w:r w:rsidRPr="00A544F4">
        <w:t xml:space="preserve"> Supplement).</w:t>
      </w:r>
    </w:p>
    <w:p w:rsidR="00CE4E97" w:rsidRPr="00A544F4" w:rsidP="00CE4E97" w14:paraId="41A34983" w14:textId="77777777">
      <w:pPr>
        <w:pStyle w:val="FootnoteText"/>
      </w:pPr>
    </w:p>
  </w:footnote>
  <w:footnote w:id="4">
    <w:p w:rsidR="00CE4E97" w:rsidRPr="00A544F4" w:rsidP="00CE4E97" w14:paraId="37123024" w14:textId="77777777">
      <w:pPr>
        <w:pStyle w:val="FootnoteText"/>
      </w:pPr>
      <w:r w:rsidRPr="00A544F4">
        <w:rPr>
          <w:rStyle w:val="FootnoteReference"/>
        </w:rPr>
        <w:footnoteRef/>
      </w:r>
      <w:r w:rsidRPr="00A544F4">
        <w:t xml:space="preserve"> </w:t>
      </w:r>
      <w:r w:rsidRPr="00A544F4">
        <w:rPr>
          <w:i/>
        </w:rPr>
        <w:t>Connect America Fund, ETC Annual Reports and Certifications</w:t>
      </w:r>
      <w:r w:rsidRPr="00A544F4">
        <w:t xml:space="preserve">, WC Docket Nos. 10-90, 14-58, Report and Order and Further Notice of Proposed Rulemaking, 29 FCC </w:t>
      </w:r>
      <w:r w:rsidRPr="00A544F4">
        <w:t>Rcd</w:t>
      </w:r>
      <w:r w:rsidRPr="00A544F4">
        <w:t xml:space="preserve"> 8769</w:t>
      </w:r>
      <w:r>
        <w:t xml:space="preserve">, </w:t>
      </w:r>
      <w:r w:rsidRPr="00A544F4">
        <w:t>8775, 8786, paras. 13, 51 (2014) (</w:t>
      </w:r>
      <w:r w:rsidRPr="00A544F4">
        <w:rPr>
          <w:i/>
        </w:rPr>
        <w:t>Rural Broadband Experiments Order</w:t>
      </w:r>
      <w:r w:rsidRPr="00A544F4">
        <w:t>)</w:t>
      </w:r>
      <w:r>
        <w:t xml:space="preserve">; </w:t>
      </w:r>
      <w:r w:rsidRPr="00A544F4">
        <w:rPr>
          <w:i/>
        </w:rPr>
        <w:t>see also Connect America Fund; High-Cost Universal Service Support</w:t>
      </w:r>
      <w:r w:rsidRPr="00A544F4">
        <w:t xml:space="preserve">, WC Docket Nos. 10-90 and 14-93, Order, 30 FCC </w:t>
      </w:r>
      <w:r w:rsidRPr="00A544F4">
        <w:t>Rcd</w:t>
      </w:r>
      <w:r w:rsidRPr="00A544F4">
        <w:t xml:space="preserve"> 2718, 2718-19, para. 3 (WCB 2015).  </w:t>
      </w:r>
    </w:p>
  </w:footnote>
  <w:footnote w:id="5">
    <w:p w:rsidR="00CE4E97" w:rsidRPr="00A544F4" w:rsidP="00CE4E97" w14:paraId="4FCD9CB5" w14:textId="77777777">
      <w:pPr>
        <w:widowControl/>
        <w:spacing w:after="120"/>
        <w:rPr>
          <w:snapToGrid/>
          <w:kern w:val="0"/>
          <w:sz w:val="20"/>
        </w:rPr>
      </w:pPr>
      <w:r w:rsidRPr="00A544F4">
        <w:rPr>
          <w:rStyle w:val="FootnoteReference"/>
        </w:rPr>
        <w:footnoteRef/>
      </w:r>
      <w:r w:rsidRPr="00A544F4">
        <w:rPr>
          <w:sz w:val="20"/>
        </w:rPr>
        <w:t xml:space="preserve"> </w:t>
      </w:r>
      <w:r w:rsidRPr="00A544F4">
        <w:rPr>
          <w:i/>
          <w:sz w:val="20"/>
        </w:rPr>
        <w:t>Rural Broadband Experiments Order</w:t>
      </w:r>
      <w:r w:rsidRPr="00A544F4">
        <w:rPr>
          <w:sz w:val="20"/>
        </w:rPr>
        <w:t xml:space="preserve">, 29 FCC </w:t>
      </w:r>
      <w:r w:rsidRPr="00A544F4">
        <w:rPr>
          <w:sz w:val="20"/>
        </w:rPr>
        <w:t>Rcd</w:t>
      </w:r>
      <w:r w:rsidRPr="00A544F4">
        <w:rPr>
          <w:sz w:val="20"/>
        </w:rPr>
        <w:t xml:space="preserve"> at 8775-76, paras. 13-1</w:t>
      </w:r>
      <w:r>
        <w:rPr>
          <w:sz w:val="20"/>
        </w:rPr>
        <w:t>5</w:t>
      </w:r>
      <w:r w:rsidRPr="00A544F4">
        <w:rPr>
          <w:sz w:val="20"/>
        </w:rPr>
        <w:t xml:space="preserve">; </w:t>
      </w:r>
      <w:r w:rsidRPr="00A544F4">
        <w:rPr>
          <w:i/>
          <w:snapToGrid/>
          <w:kern w:val="0"/>
          <w:sz w:val="20"/>
        </w:rPr>
        <w:t>Technology Transitions et al</w:t>
      </w:r>
      <w:r w:rsidRPr="00A544F4">
        <w:rPr>
          <w:snapToGrid/>
          <w:kern w:val="0"/>
          <w:sz w:val="20"/>
        </w:rPr>
        <w:t xml:space="preserve">., WC Docket No. 10-90 et al., Order et al., 29 FCC </w:t>
      </w:r>
      <w:r w:rsidRPr="00A544F4">
        <w:rPr>
          <w:snapToGrid/>
          <w:kern w:val="0"/>
          <w:sz w:val="20"/>
        </w:rPr>
        <w:t>Rcd</w:t>
      </w:r>
      <w:r w:rsidRPr="00A544F4">
        <w:rPr>
          <w:snapToGrid/>
          <w:kern w:val="0"/>
          <w:sz w:val="20"/>
        </w:rPr>
        <w:t xml:space="preserve"> 1433, 1472, para. 111 (2014).</w:t>
      </w:r>
      <w:r>
        <w:rPr>
          <w:snapToGrid/>
          <w:kern w:val="0"/>
          <w:sz w:val="20"/>
        </w:rPr>
        <w:t xml:space="preserve">  </w:t>
      </w:r>
      <w:r w:rsidRPr="00A544F4">
        <w:rPr>
          <w:snapToGrid/>
          <w:kern w:val="0"/>
          <w:sz w:val="20"/>
        </w:rPr>
        <w:t>If a census block is served by multiple carriers, wire centers, or splitters (Node2), the</w:t>
      </w:r>
      <w:r>
        <w:rPr>
          <w:snapToGrid/>
          <w:kern w:val="0"/>
          <w:sz w:val="20"/>
        </w:rPr>
        <w:t>n</w:t>
      </w:r>
      <w:r w:rsidRPr="00A544F4">
        <w:rPr>
          <w:snapToGrid/>
          <w:kern w:val="0"/>
          <w:sz w:val="20"/>
        </w:rPr>
        <w:t xml:space="preserve"> CAM v4.2, the version which calculated reserve prices for the RBEs, calculates the costs associated with each carrier, wire center, or splitter separately, on a sub-census block basis.  </w:t>
      </w:r>
      <w:bookmarkStart w:id="0" w:name="_Hlk20387295"/>
      <w:r w:rsidRPr="00A544F4">
        <w:rPr>
          <w:snapToGrid/>
          <w:kern w:val="0"/>
          <w:sz w:val="20"/>
        </w:rPr>
        <w:t>CostQuest</w:t>
      </w:r>
      <w:r w:rsidRPr="00A544F4">
        <w:rPr>
          <w:snapToGrid/>
          <w:kern w:val="0"/>
          <w:sz w:val="20"/>
        </w:rPr>
        <w:t xml:space="preserve"> Associates, Inc., Connect America Cost Model: Model Methodology at 16 n.16 (Dec. 22, 2014), </w:t>
      </w:r>
      <w:hyperlink r:id="rId1" w:history="1">
        <w:r w:rsidRPr="00A544F4">
          <w:rPr>
            <w:rStyle w:val="Hyperlink"/>
            <w:snapToGrid/>
            <w:kern w:val="0"/>
            <w:sz w:val="20"/>
          </w:rPr>
          <w:t>https://transition.fcc.gov/wcb/CAMv.4.2Methodology.pdf</w:t>
        </w:r>
      </w:hyperlink>
      <w:r w:rsidRPr="00A544F4">
        <w:rPr>
          <w:snapToGrid/>
          <w:kern w:val="0"/>
          <w:sz w:val="20"/>
        </w:rPr>
        <w:t>.  This results in some census blocks having a combination of low-cost, high-cost, and/or extremely high-cost locations located within one census block.  As a result, the number of funded locations in a census block was not necessarily the same as the number of locations in the block according to the U.S. Census</w:t>
      </w:r>
      <w:r w:rsidRPr="00A544F4">
        <w:rPr>
          <w:sz w:val="20"/>
        </w:rPr>
        <w:t xml:space="preserve">.  </w:t>
      </w:r>
      <w:r w:rsidRPr="00245E4F">
        <w:rPr>
          <w:rStyle w:val="Emphasis"/>
          <w:sz w:val="20"/>
        </w:rPr>
        <w:t>See</w:t>
      </w:r>
      <w:r w:rsidRPr="00A544F4">
        <w:rPr>
          <w:rStyle w:val="Emphasis"/>
          <w:sz w:val="20"/>
        </w:rPr>
        <w:t xml:space="preserve"> </w:t>
      </w:r>
      <w:r w:rsidRPr="00245E4F">
        <w:rPr>
          <w:rStyle w:val="Emphasis"/>
          <w:sz w:val="20"/>
        </w:rPr>
        <w:t>id</w:t>
      </w:r>
      <w:r w:rsidRPr="00A544F4">
        <w:rPr>
          <w:rStyle w:val="Emphasis"/>
          <w:sz w:val="20"/>
        </w:rPr>
        <w:t>.</w:t>
      </w:r>
      <w:r w:rsidRPr="00A544F4">
        <w:rPr>
          <w:sz w:val="20"/>
        </w:rPr>
        <w:t xml:space="preserve"> at 12-13.</w:t>
      </w:r>
      <w:bookmarkEnd w:id="0"/>
    </w:p>
  </w:footnote>
  <w:footnote w:id="6">
    <w:p w:rsidR="00CE4E97" w:rsidRPr="00A544F4" w:rsidP="00CE4E97" w14:paraId="1E01BE79" w14:textId="77777777">
      <w:pPr>
        <w:pStyle w:val="FootnoteText"/>
      </w:pPr>
      <w:r w:rsidRPr="00A544F4">
        <w:rPr>
          <w:rStyle w:val="FootnoteReference"/>
        </w:rPr>
        <w:footnoteRef/>
      </w:r>
      <w:r w:rsidRPr="00A544F4">
        <w:t xml:space="preserve"> </w:t>
      </w:r>
      <w:r w:rsidRPr="00A544F4">
        <w:rPr>
          <w:i/>
        </w:rPr>
        <w:t>Rural Broadband Experiments Order</w:t>
      </w:r>
      <w:r w:rsidRPr="00A544F4">
        <w:t xml:space="preserve">, 29 FCC </w:t>
      </w:r>
      <w:r w:rsidRPr="00A544F4">
        <w:t>Rcd</w:t>
      </w:r>
      <w:r w:rsidRPr="00A544F4">
        <w:t xml:space="preserve"> at 8794, para. 74 (specifying that by the end of their third year, RBE support recipients must offer the requisite level of service to at least 85% of the number of required locations and by the end of the fifth year, 100% of all such locations); </w:t>
      </w:r>
      <w:r w:rsidRPr="00A544F4">
        <w:rPr>
          <w:i/>
        </w:rPr>
        <w:t xml:space="preserve">see also </w:t>
      </w:r>
      <w:r w:rsidRPr="00245E4F">
        <w:rPr>
          <w:i/>
        </w:rPr>
        <w:t>id</w:t>
      </w:r>
      <w:r w:rsidRPr="00A544F4">
        <w:t>. at 8794, para. 75 (specifying that RBE support recipients electing to receive accelerated payments were required to meet an additional 25% milestone falling 15 months after their first support disbursement).</w:t>
      </w:r>
    </w:p>
  </w:footnote>
  <w:footnote w:id="7">
    <w:p w:rsidR="00CE4E97" w:rsidRPr="00A544F4" w:rsidP="00CE4E97" w14:paraId="43F4DEF4" w14:textId="77777777">
      <w:pPr>
        <w:pStyle w:val="FootnoteText"/>
      </w:pPr>
      <w:r w:rsidRPr="00A544F4">
        <w:rPr>
          <w:rStyle w:val="FootnoteReference"/>
        </w:rPr>
        <w:footnoteRef/>
      </w:r>
      <w:r w:rsidRPr="00A544F4">
        <w:t xml:space="preserve"> </w:t>
      </w:r>
      <w:r w:rsidRPr="00E759CE">
        <w:rPr>
          <w:i/>
        </w:rPr>
        <w:t>Id</w:t>
      </w:r>
      <w:r w:rsidRPr="00A544F4">
        <w:t xml:space="preserve">. at 8799-800, paras. 90-94; </w:t>
      </w:r>
      <w:r w:rsidRPr="00A544F4">
        <w:rPr>
          <w:i/>
        </w:rPr>
        <w:t>see also</w:t>
      </w:r>
      <w:r w:rsidRPr="00A544F4">
        <w:t xml:space="preserve"> </w:t>
      </w:r>
      <w:r w:rsidRPr="00245E4F">
        <w:rPr>
          <w:i/>
        </w:rPr>
        <w:t>id</w:t>
      </w:r>
      <w:r w:rsidRPr="00A544F4">
        <w:t xml:space="preserve">. at 8800-801, para. 96 (stating that a performance default could lead to other consequences, including, among other things, potential revocation of ETC designation and disqualification from future competitive bidding for universal service support).  During the 12-month withholding period, RBE funding recipients can cure their default by coming into compliance.  </w:t>
      </w:r>
      <w:r w:rsidRPr="00E759CE">
        <w:rPr>
          <w:i/>
        </w:rPr>
        <w:t>Id</w:t>
      </w:r>
      <w:r w:rsidRPr="00A544F4">
        <w:t xml:space="preserve">. at 8799, para. 92.  Moreover, once the Commission draws on the letter of credit, the RBE funding recipient has a one-time opportunity to cure the default at any time during the support term.  </w:t>
      </w:r>
      <w:r w:rsidRPr="00E759CE">
        <w:rPr>
          <w:i/>
        </w:rPr>
        <w:t>Id</w:t>
      </w:r>
      <w:r w:rsidRPr="00A544F4">
        <w:t>. at 8800, para. 93.  Once a default is cured, the RBE funding recipient is entitled to have any withheld or recovered support restored and become</w:t>
      </w:r>
      <w:r>
        <w:t>s</w:t>
      </w:r>
      <w:r w:rsidRPr="00A544F4">
        <w:t xml:space="preserve"> eligible to receive full support payments in accordance with the terms of its award.  </w:t>
      </w:r>
      <w:r w:rsidRPr="00E759CE">
        <w:rPr>
          <w:i/>
        </w:rPr>
        <w:t>Id</w:t>
      </w:r>
      <w:r w:rsidRPr="00A544F4">
        <w:t xml:space="preserve">.  </w:t>
      </w:r>
    </w:p>
  </w:footnote>
  <w:footnote w:id="8">
    <w:p w:rsidR="00CE4E97" w:rsidRPr="00A544F4" w:rsidP="00CE4E97" w14:paraId="241A1CEB" w14:textId="77777777">
      <w:pPr>
        <w:pStyle w:val="FootnoteText"/>
      </w:pPr>
      <w:r w:rsidRPr="00A544F4">
        <w:rPr>
          <w:rStyle w:val="FootnoteReference"/>
        </w:rPr>
        <w:footnoteRef/>
      </w:r>
      <w:r w:rsidRPr="00A544F4">
        <w:t xml:space="preserve"> </w:t>
      </w:r>
      <w:r w:rsidRPr="00A544F4">
        <w:rPr>
          <w:i/>
        </w:rPr>
        <w:t>Rural Broadband Experiments Order</w:t>
      </w:r>
      <w:r w:rsidRPr="00A544F4">
        <w:t xml:space="preserve">, 29 FCC </w:t>
      </w:r>
      <w:r w:rsidRPr="00A544F4">
        <w:t>Rcd</w:t>
      </w:r>
      <w:r w:rsidRPr="00A544F4">
        <w:t xml:space="preserve"> at 8800, para. 95.  The Commission stated that if the petitioner defaulted on its performance obligations while its waiver petition was pending, the Bureau should move forward with default measures, subject to full restoration of support and support payments should the petition be subsequently granted. </w:t>
      </w:r>
      <w:r w:rsidRPr="00A544F4">
        <w:rPr>
          <w:i/>
        </w:rPr>
        <w:t xml:space="preserve"> </w:t>
      </w:r>
      <w:r w:rsidRPr="00E759CE">
        <w:rPr>
          <w:i/>
        </w:rPr>
        <w:t>Id</w:t>
      </w:r>
      <w:r w:rsidRPr="00A544F4">
        <w:t xml:space="preserve">.  </w:t>
      </w:r>
    </w:p>
  </w:footnote>
  <w:footnote w:id="9">
    <w:p w:rsidR="00CE4E97" w:rsidRPr="00A544F4" w:rsidP="00CE4E97" w14:paraId="18D43AE4" w14:textId="77777777">
      <w:pPr>
        <w:pStyle w:val="FootnoteText"/>
        <w:rPr>
          <w:color w:val="FF0000"/>
        </w:rPr>
      </w:pPr>
      <w:r w:rsidRPr="00A544F4">
        <w:rPr>
          <w:rStyle w:val="FootnoteReference"/>
        </w:rPr>
        <w:footnoteRef/>
      </w:r>
      <w:r w:rsidRPr="00A544F4">
        <w:t xml:space="preserve"> </w:t>
      </w:r>
      <w:r w:rsidRPr="00A544F4">
        <w:rPr>
          <w:i/>
        </w:rPr>
        <w:t>December 2014 Connect America Order</w:t>
      </w:r>
      <w:r w:rsidRPr="00A544F4">
        <w:t xml:space="preserve">, 29 FCC </w:t>
      </w:r>
      <w:r w:rsidRPr="00A544F4">
        <w:t>Rcd</w:t>
      </w:r>
      <w:r w:rsidRPr="00A544F4">
        <w:t xml:space="preserve"> at 15659, para. 38, n.88.</w:t>
      </w:r>
      <w:r w:rsidRPr="00A544F4">
        <w:rPr>
          <w:color w:val="FF0000"/>
        </w:rPr>
        <w:t xml:space="preserve">  </w:t>
      </w:r>
    </w:p>
  </w:footnote>
  <w:footnote w:id="10">
    <w:p w:rsidR="00CE4E97" w:rsidRPr="00A544F4" w:rsidP="00CE4E97" w14:paraId="20E3F64D" w14:textId="77777777">
      <w:pPr>
        <w:pStyle w:val="FootnoteText"/>
      </w:pPr>
      <w:r w:rsidRPr="00A544F4">
        <w:rPr>
          <w:rStyle w:val="FootnoteReference"/>
        </w:rPr>
        <w:footnoteRef/>
      </w:r>
      <w:r w:rsidRPr="00A544F4">
        <w:t xml:space="preserve"> </w:t>
      </w:r>
      <w:r w:rsidRPr="00E759CE">
        <w:rPr>
          <w:i/>
        </w:rPr>
        <w:t>Id</w:t>
      </w:r>
      <w:r w:rsidRPr="00A544F4">
        <w:t>. at 15659, para. 38.</w:t>
      </w:r>
      <w:r w:rsidRPr="004633BA">
        <w:t xml:space="preserve"> </w:t>
      </w:r>
      <w:r>
        <w:t xml:space="preserve"> </w:t>
      </w:r>
      <w:r w:rsidRPr="004633BA">
        <w:t xml:space="preserve">In both </w:t>
      </w:r>
      <w:r>
        <w:t>the CAF Phase II model-based offer proceeding and the CAF Phase II auction proceeding</w:t>
      </w:r>
      <w:r w:rsidRPr="004633BA">
        <w:t>, the Commission set compliance reviews at the state</w:t>
      </w:r>
      <w:r>
        <w:t xml:space="preserve"> </w:t>
      </w:r>
      <w:r w:rsidRPr="004633BA">
        <w:t>level rather than at the study area level, which provided these funding recipients with greater flexibility in meeting their defined deployment obligations</w:t>
      </w:r>
      <w:r>
        <w:t xml:space="preserve">.  </w:t>
      </w:r>
      <w:r w:rsidRPr="00245E4F">
        <w:rPr>
          <w:i/>
        </w:rPr>
        <w:t>See</w:t>
      </w:r>
      <w:r w:rsidRPr="00A544F4">
        <w:rPr>
          <w:i/>
        </w:rPr>
        <w:t xml:space="preserve"> Connect America Fund et al., </w:t>
      </w:r>
      <w:r w:rsidRPr="00A544F4">
        <w:t xml:space="preserve">WC Docket No. 10-90 et al., Report and Order, 29 FCC </w:t>
      </w:r>
      <w:r w:rsidRPr="00A544F4">
        <w:t>Rcd</w:t>
      </w:r>
      <w:r w:rsidRPr="00A544F4">
        <w:t xml:space="preserve"> 15644, 15689, pars. 43 n.87, 128 (2014) (</w:t>
      </w:r>
      <w:r w:rsidRPr="00A544F4">
        <w:rPr>
          <w:i/>
        </w:rPr>
        <w:t>December 2014 Connect America Order</w:t>
      </w:r>
      <w:r w:rsidRPr="00A544F4">
        <w:t xml:space="preserve">); </w:t>
      </w:r>
      <w:r w:rsidRPr="00A544F4">
        <w:rPr>
          <w:i/>
        </w:rPr>
        <w:t>Connect America Fund et al</w:t>
      </w:r>
      <w:r w:rsidRPr="00A544F4">
        <w:t xml:space="preserve">., Report and Order and Further Notice of Proposed Rulemaking, 31 FCC </w:t>
      </w:r>
      <w:r w:rsidRPr="00A544F4">
        <w:t>Rcd</w:t>
      </w:r>
      <w:r w:rsidRPr="00A544F4">
        <w:t xml:space="preserve"> 5949, 6014-15, para. 181 (2016) (</w:t>
      </w:r>
      <w:r w:rsidRPr="00A544F4">
        <w:rPr>
          <w:i/>
        </w:rPr>
        <w:t>Phase II Auction Order</w:t>
      </w:r>
      <w:r w:rsidRPr="00A544F4">
        <w:t>).</w:t>
      </w:r>
    </w:p>
  </w:footnote>
  <w:footnote w:id="11">
    <w:p w:rsidR="00CE4E97" w:rsidRPr="00A544F4" w:rsidP="00CE4E97" w14:paraId="646CA7A9" w14:textId="77777777">
      <w:pPr>
        <w:pStyle w:val="FootnoteText"/>
      </w:pPr>
      <w:r w:rsidRPr="00A544F4">
        <w:rPr>
          <w:rStyle w:val="FootnoteReference"/>
        </w:rPr>
        <w:footnoteRef/>
      </w:r>
      <w:r w:rsidRPr="00A544F4">
        <w:t xml:space="preserve"> </w:t>
      </w:r>
      <w:r w:rsidRPr="00A544F4">
        <w:rPr>
          <w:i/>
        </w:rPr>
        <w:t>December 2014 Connect America Order</w:t>
      </w:r>
      <w:r w:rsidRPr="00A544F4">
        <w:t xml:space="preserve">, 29 FCC </w:t>
      </w:r>
      <w:r w:rsidRPr="00A544F4">
        <w:t>Rcd</w:t>
      </w:r>
      <w:r w:rsidRPr="00A544F4">
        <w:t xml:space="preserve"> at 15659</w:t>
      </w:r>
      <w:r>
        <w:t>, para. 38.</w:t>
      </w:r>
    </w:p>
  </w:footnote>
  <w:footnote w:id="12">
    <w:p w:rsidR="00CE4E97" w:rsidRPr="00A544F4" w:rsidP="00CE4E97" w14:paraId="3768E75F" w14:textId="77777777">
      <w:pPr>
        <w:pStyle w:val="FootnoteText"/>
      </w:pPr>
      <w:r w:rsidRPr="00A544F4">
        <w:rPr>
          <w:rStyle w:val="FootnoteReference"/>
        </w:rPr>
        <w:footnoteRef/>
      </w:r>
      <w:r w:rsidRPr="00A544F4">
        <w:t xml:space="preserve"> </w:t>
      </w:r>
      <w:r w:rsidRPr="00E759CE">
        <w:rPr>
          <w:i/>
        </w:rPr>
        <w:t>Id</w:t>
      </w:r>
      <w:r w:rsidRPr="00A544F4">
        <w:t>.</w:t>
      </w:r>
    </w:p>
  </w:footnote>
  <w:footnote w:id="13">
    <w:p w:rsidR="00CE4E97" w:rsidRPr="00A544F4" w:rsidP="00CE4E97" w14:paraId="4E80ED58" w14:textId="77777777">
      <w:pPr>
        <w:pStyle w:val="FootnoteText"/>
      </w:pPr>
      <w:r w:rsidRPr="00A544F4">
        <w:rPr>
          <w:rStyle w:val="FootnoteReference"/>
        </w:rPr>
        <w:footnoteRef/>
      </w:r>
      <w:r w:rsidRPr="00A544F4">
        <w:t xml:space="preserve"> </w:t>
      </w:r>
      <w:r w:rsidRPr="00A544F4">
        <w:rPr>
          <w:bCs/>
          <w:i/>
          <w:color w:val="000000"/>
        </w:rPr>
        <w:t>Phase II Auction Reconsideration Order</w:t>
      </w:r>
      <w:r w:rsidRPr="00A544F4">
        <w:t xml:space="preserve">, 33 FCC </w:t>
      </w:r>
      <w:r w:rsidRPr="00A544F4">
        <w:t>Rcd</w:t>
      </w:r>
      <w:r w:rsidRPr="00A544F4">
        <w:t xml:space="preserve"> at </w:t>
      </w:r>
      <w:r w:rsidRPr="00A544F4">
        <w:rPr>
          <w:bCs/>
          <w:color w:val="000000"/>
        </w:rPr>
        <w:t>1389-92, paras. 23-28.</w:t>
      </w:r>
    </w:p>
  </w:footnote>
  <w:footnote w:id="14">
    <w:p w:rsidR="00CE4E97" w:rsidP="00CE4E97" w14:paraId="431E2DE6" w14:textId="77777777">
      <w:pPr>
        <w:pStyle w:val="FootnoteText"/>
      </w:pPr>
      <w:r>
        <w:rPr>
          <w:rStyle w:val="FootnoteReference"/>
        </w:rPr>
        <w:footnoteRef/>
      </w:r>
      <w:r>
        <w:t xml:space="preserve"> </w:t>
      </w:r>
      <w:r w:rsidRPr="00157FEA">
        <w:rPr>
          <w:i/>
          <w:iCs/>
        </w:rPr>
        <w:t>ACEC-Consolidated Waiver</w:t>
      </w:r>
      <w:r>
        <w:t xml:space="preserve"> </w:t>
      </w:r>
      <w:r w:rsidRPr="000C0F31">
        <w:rPr>
          <w:i/>
          <w:iCs/>
        </w:rPr>
        <w:t>Order</w:t>
      </w:r>
      <w:r>
        <w:t xml:space="preserve">, 35 FCC </w:t>
      </w:r>
      <w:r>
        <w:t>Rcd</w:t>
      </w:r>
      <w:r>
        <w:t xml:space="preserve"> 10318, 10314-10316, paras. 13-18  (WCB 2019) (</w:t>
      </w:r>
      <w:r w:rsidRPr="000C0F31">
        <w:rPr>
          <w:i/>
          <w:iCs/>
        </w:rPr>
        <w:t>ACEC-Consolidated Waiver Order</w:t>
      </w:r>
      <w:r>
        <w:t>).</w:t>
      </w:r>
    </w:p>
  </w:footnote>
  <w:footnote w:id="15">
    <w:p w:rsidR="00CE4E97" w:rsidP="00CE4E97" w14:paraId="77D39DBA" w14:textId="77777777">
      <w:pPr>
        <w:pStyle w:val="FootnoteText"/>
      </w:pPr>
      <w:r>
        <w:rPr>
          <w:rStyle w:val="FootnoteReference"/>
        </w:rPr>
        <w:footnoteRef/>
      </w:r>
      <w:r>
        <w:t xml:space="preserve"> </w:t>
      </w:r>
      <w:r w:rsidRPr="00245E4F">
        <w:rPr>
          <w:i/>
        </w:rPr>
        <w:t>See</w:t>
      </w:r>
      <w:r>
        <w:t xml:space="preserve"> </w:t>
      </w:r>
      <w:r w:rsidRPr="00245E4F">
        <w:rPr>
          <w:i/>
        </w:rPr>
        <w:t>id</w:t>
      </w:r>
      <w:r>
        <w:t>. at 10315-16, paras. 16-17.</w:t>
      </w:r>
    </w:p>
  </w:footnote>
  <w:footnote w:id="16">
    <w:p w:rsidR="00CE4E97" w:rsidRPr="00A544F4" w:rsidP="00CE4E97" w14:paraId="0C56EC39" w14:textId="77777777">
      <w:pPr>
        <w:pStyle w:val="FootnoteText"/>
      </w:pPr>
      <w:r w:rsidRPr="00A544F4">
        <w:rPr>
          <w:rStyle w:val="FootnoteReference"/>
        </w:rPr>
        <w:footnoteRef/>
      </w:r>
      <w:r w:rsidRPr="00A544F4">
        <w:t xml:space="preserve"> </w:t>
      </w:r>
      <w:r w:rsidRPr="00245E4F">
        <w:rPr>
          <w:i/>
          <w:iCs/>
        </w:rPr>
        <w:t>See</w:t>
      </w:r>
      <w:r>
        <w:rPr>
          <w:i/>
          <w:iCs/>
        </w:rPr>
        <w:t xml:space="preserve"> </w:t>
      </w:r>
      <w:r w:rsidRPr="00245E4F">
        <w:rPr>
          <w:i/>
          <w:iCs/>
        </w:rPr>
        <w:t>id</w:t>
      </w:r>
      <w:r>
        <w:rPr>
          <w:i/>
          <w:iCs/>
        </w:rPr>
        <w:t xml:space="preserve">. </w:t>
      </w:r>
      <w:r>
        <w:t xml:space="preserve">at 10314-15, 10316, paras. 13, 17. </w:t>
      </w:r>
    </w:p>
  </w:footnote>
  <w:footnote w:id="17">
    <w:p w:rsidR="00CE4E97" w:rsidRPr="00A544F4" w:rsidP="00CE4E97" w14:paraId="7DB0FFB9" w14:textId="77777777">
      <w:pPr>
        <w:pStyle w:val="FootnoteText"/>
      </w:pPr>
      <w:r w:rsidRPr="00A544F4">
        <w:rPr>
          <w:rStyle w:val="FootnoteReference"/>
        </w:rPr>
        <w:footnoteRef/>
      </w:r>
      <w:r w:rsidRPr="00A544F4">
        <w:t xml:space="preserve"> </w:t>
      </w:r>
      <w:r w:rsidRPr="00157FEA">
        <w:rPr>
          <w:i/>
          <w:iCs/>
        </w:rPr>
        <w:t>Connect America Fund ETC Annual Reports and Certifications, Petition of Allamakee-Clayton Electric Cooperative for Waiver of Rural Broadband Experiments Defined Deployment Obligations, Petition of Consolidated Communications Networks, Inc. for Waiver of Rural Broadband Experiments Defined Deployment Obligation</w:t>
      </w:r>
      <w:r>
        <w:t xml:space="preserve">, Order, </w:t>
      </w:r>
      <w:r w:rsidRPr="00753CAB">
        <w:t xml:space="preserve">34 FCC </w:t>
      </w:r>
      <w:r w:rsidRPr="00753CAB">
        <w:t>Rcd</w:t>
      </w:r>
      <w:r w:rsidRPr="00753CAB">
        <w:t xml:space="preserve">. 10308 </w:t>
      </w:r>
      <w:r>
        <w:t>(WCB 2019) (</w:t>
      </w:r>
      <w:r w:rsidRPr="0027383B">
        <w:rPr>
          <w:i/>
          <w:iCs/>
        </w:rPr>
        <w:t>ACEC-Consolidated Waiver</w:t>
      </w:r>
      <w:r>
        <w:t>).</w:t>
      </w:r>
    </w:p>
  </w:footnote>
  <w:footnote w:id="18">
    <w:p w:rsidR="00CE4E97" w:rsidRPr="00A544F4" w:rsidP="00CE4E97" w14:paraId="0A4F652E" w14:textId="77777777">
      <w:pPr>
        <w:pStyle w:val="FootnoteText"/>
      </w:pPr>
      <w:r w:rsidRPr="00A544F4">
        <w:rPr>
          <w:rStyle w:val="FootnoteReference"/>
        </w:rPr>
        <w:footnoteRef/>
      </w:r>
      <w:r w:rsidRPr="00A544F4">
        <w:t xml:space="preserve"> </w:t>
      </w:r>
      <w:r>
        <w:t>Skybeam</w:t>
      </w:r>
      <w:r w:rsidRPr="00A544F4">
        <w:t xml:space="preserve"> Petition</w:t>
      </w:r>
      <w:r>
        <w:t xml:space="preserve">; </w:t>
      </w:r>
      <w:r>
        <w:t>Skybeam</w:t>
      </w:r>
      <w:r>
        <w:t xml:space="preserve"> First Supplement; </w:t>
      </w:r>
      <w:r>
        <w:t>Skybeam</w:t>
      </w:r>
      <w:r>
        <w:t xml:space="preserve"> Second Supplement; </w:t>
      </w:r>
      <w:r>
        <w:t>Skybeam</w:t>
      </w:r>
      <w:r>
        <w:t xml:space="preserve"> Third Supplement; </w:t>
      </w:r>
      <w:bookmarkStart w:id="1" w:name="_Hlk92792091"/>
      <w:r w:rsidRPr="00325DE2">
        <w:rPr>
          <w:i/>
          <w:iCs/>
        </w:rPr>
        <w:t xml:space="preserve">Rural Broadband Experiment Support Authorized for Winning Bids Submitted by </w:t>
      </w:r>
      <w:r w:rsidRPr="00325DE2">
        <w:rPr>
          <w:i/>
          <w:iCs/>
        </w:rPr>
        <w:t>Skybeam</w:t>
      </w:r>
      <w:r w:rsidRPr="00325DE2">
        <w:rPr>
          <w:i/>
          <w:iCs/>
        </w:rPr>
        <w:t xml:space="preserve">, LLC, </w:t>
      </w:r>
      <w:r w:rsidRPr="00325DE2">
        <w:rPr>
          <w:i/>
          <w:iCs/>
        </w:rPr>
        <w:t>Daktel</w:t>
      </w:r>
      <w:r w:rsidRPr="00325DE2">
        <w:rPr>
          <w:i/>
          <w:iCs/>
        </w:rPr>
        <w:t xml:space="preserve"> Communications, LLC, Federated Telephone Cooperative, and Paul Bunyan Rural Telephone Cooperative</w:t>
      </w:r>
      <w:r w:rsidRPr="00325DE2">
        <w:t xml:space="preserve">, Public Notice, 30 FCC </w:t>
      </w:r>
      <w:r w:rsidRPr="00325DE2">
        <w:t>Rcd</w:t>
      </w:r>
      <w:r w:rsidRPr="00325DE2">
        <w:t xml:space="preserve"> 12725 (WCB</w:t>
      </w:r>
      <w:r>
        <w:t xml:space="preserve"> 2015</w:t>
      </w:r>
      <w:r w:rsidRPr="00325DE2">
        <w:t>);</w:t>
      </w:r>
      <w:r>
        <w:t xml:space="preserve"> </w:t>
      </w:r>
      <w:r w:rsidRPr="00325DE2">
        <w:rPr>
          <w:i/>
          <w:iCs/>
        </w:rPr>
        <w:t xml:space="preserve">Rural Broadband Experiment Support Authorized for Winning Bid Submitted by </w:t>
      </w:r>
      <w:r w:rsidRPr="00325DE2">
        <w:rPr>
          <w:i/>
          <w:iCs/>
        </w:rPr>
        <w:t>Skybeam</w:t>
      </w:r>
      <w:r w:rsidRPr="00325DE2">
        <w:rPr>
          <w:i/>
          <w:iCs/>
        </w:rPr>
        <w:t>, LLC</w:t>
      </w:r>
      <w:r w:rsidRPr="00325DE2">
        <w:t xml:space="preserve">, Public Notice, 31 FCC </w:t>
      </w:r>
      <w:r w:rsidRPr="00325DE2">
        <w:t>Rcd</w:t>
      </w:r>
      <w:r w:rsidRPr="00325DE2">
        <w:t xml:space="preserve"> 100</w:t>
      </w:r>
      <w:r>
        <w:t xml:space="preserve"> </w:t>
      </w:r>
      <w:r w:rsidRPr="00325DE2">
        <w:t>(WCB</w:t>
      </w:r>
      <w:r>
        <w:t xml:space="preserve"> 2016</w:t>
      </w:r>
      <w:r w:rsidRPr="00325DE2">
        <w:t>)</w:t>
      </w:r>
      <w:bookmarkEnd w:id="1"/>
      <w:r>
        <w:t>.</w:t>
      </w:r>
    </w:p>
  </w:footnote>
  <w:footnote w:id="19">
    <w:p w:rsidR="00CE4E97" w:rsidP="00CE4E97" w14:paraId="22E94AB0" w14:textId="77777777">
      <w:pPr>
        <w:pStyle w:val="FootnoteText"/>
      </w:pPr>
      <w:r>
        <w:rPr>
          <w:rStyle w:val="FootnoteReference"/>
        </w:rPr>
        <w:footnoteRef/>
      </w:r>
      <w:r>
        <w:t xml:space="preserve"> </w:t>
      </w:r>
      <w:r>
        <w:t>Skybeam</w:t>
      </w:r>
      <w:r>
        <w:t xml:space="preserve"> Petition at 3-4 (</w:t>
      </w:r>
      <w:r>
        <w:t>Skybeam</w:t>
      </w:r>
      <w:r>
        <w:t xml:space="preserve"> explains that this process involved “(a) the purchase and use of mapping services from </w:t>
      </w:r>
      <w:r>
        <w:t>CostQuest</w:t>
      </w:r>
      <w:r>
        <w:t xml:space="preserve"> Associates, (b) initial verification of the CQA dataset by </w:t>
      </w:r>
      <w:r>
        <w:t>Skybeam</w:t>
      </w:r>
      <w:r>
        <w:t xml:space="preserve"> network planners applying definitions prescribed by the Locations Guidance and visual imagery review, (c) collaboration between </w:t>
      </w:r>
      <w:r>
        <w:t>Skybeam</w:t>
      </w:r>
      <w:r>
        <w:t xml:space="preserve"> and CQA to reconcile differences.”); </w:t>
      </w:r>
      <w:r>
        <w:t>Skybeam</w:t>
      </w:r>
      <w:r>
        <w:t xml:space="preserve"> Second Supplement (revising methodology based on new data); </w:t>
      </w:r>
      <w:r>
        <w:t>Skybeam</w:t>
      </w:r>
      <w:r>
        <w:t xml:space="preserve"> Third Supplement at 2 (disclosing findings of USAC verification).  </w:t>
      </w:r>
      <w:r>
        <w:t>Skybeam</w:t>
      </w:r>
      <w:r>
        <w:t xml:space="preserve"> concedes to USAC verification results in its Third Supplement, making its earlier argument premised on service to more locations than required in one SAC moot.  </w:t>
      </w:r>
      <w:r>
        <w:t>Skybeam</w:t>
      </w:r>
      <w:r>
        <w:t xml:space="preserve"> Petition at 9.</w:t>
      </w:r>
    </w:p>
  </w:footnote>
  <w:footnote w:id="20">
    <w:p w:rsidR="00CE4E97" w:rsidP="00CE4E97" w14:paraId="6AE30585" w14:textId="77777777">
      <w:pPr>
        <w:pStyle w:val="FootnoteText"/>
      </w:pPr>
      <w:r>
        <w:rPr>
          <w:rStyle w:val="FootnoteReference"/>
        </w:rPr>
        <w:footnoteRef/>
      </w:r>
      <w:r>
        <w:t xml:space="preserve"> </w:t>
      </w:r>
      <w:r>
        <w:t>Skybeam</w:t>
      </w:r>
      <w:r>
        <w:t xml:space="preserve"> Second Supplement at 1.  </w:t>
      </w:r>
    </w:p>
  </w:footnote>
  <w:footnote w:id="21">
    <w:p w:rsidR="00CE4E97" w:rsidP="00CE4E97" w14:paraId="2257B960" w14:textId="77777777">
      <w:pPr>
        <w:pStyle w:val="FootnoteText"/>
      </w:pPr>
      <w:r>
        <w:rPr>
          <w:rStyle w:val="FootnoteReference"/>
        </w:rPr>
        <w:footnoteRef/>
      </w:r>
      <w:r>
        <w:t xml:space="preserve"> </w:t>
      </w:r>
      <w:r w:rsidRPr="0019158B">
        <w:rPr>
          <w:i/>
          <w:iCs/>
        </w:rPr>
        <w:t>Id</w:t>
      </w:r>
      <w:r>
        <w:t xml:space="preserve">. at 3 (citing Request for Limited Waiver of the Connect America Fund Phase Coalition, WC Docket No. 10-90 (filed June 10, 2020)).  </w:t>
      </w:r>
    </w:p>
  </w:footnote>
  <w:footnote w:id="22">
    <w:p w:rsidR="00CE4E97" w:rsidP="00CE4E97" w14:paraId="1A6F6DAC" w14:textId="77777777">
      <w:pPr>
        <w:pStyle w:val="FootnoteText"/>
      </w:pPr>
      <w:r>
        <w:rPr>
          <w:rStyle w:val="FootnoteReference"/>
        </w:rPr>
        <w:footnoteRef/>
      </w:r>
      <w:r>
        <w:t xml:space="preserve"> </w:t>
      </w:r>
      <w:r w:rsidRPr="00E759CE">
        <w:rPr>
          <w:i/>
        </w:rPr>
        <w:t>Id</w:t>
      </w:r>
      <w:r>
        <w:t xml:space="preserve">. at 4. </w:t>
      </w:r>
    </w:p>
  </w:footnote>
  <w:footnote w:id="23">
    <w:p w:rsidR="00CE4E97" w:rsidP="00CE4E97" w14:paraId="3FCF1223" w14:textId="77777777">
      <w:pPr>
        <w:pStyle w:val="FootnoteText"/>
      </w:pPr>
      <w:r>
        <w:rPr>
          <w:rStyle w:val="FootnoteReference"/>
        </w:rPr>
        <w:footnoteRef/>
      </w:r>
      <w:r>
        <w:t xml:space="preserve"> </w:t>
      </w:r>
      <w:r w:rsidRPr="00E759CE">
        <w:rPr>
          <w:i/>
        </w:rPr>
        <w:t>Id</w:t>
      </w:r>
      <w:r>
        <w:t>. at 6.</w:t>
      </w:r>
    </w:p>
  </w:footnote>
  <w:footnote w:id="24">
    <w:p w:rsidR="00CE4E97" w:rsidP="00CE4E97" w14:paraId="05F79A77" w14:textId="77777777">
      <w:pPr>
        <w:pStyle w:val="FootnoteText"/>
      </w:pPr>
      <w:r>
        <w:rPr>
          <w:rStyle w:val="FootnoteReference"/>
        </w:rPr>
        <w:footnoteRef/>
      </w:r>
      <w:r>
        <w:t xml:space="preserve"> </w:t>
      </w:r>
      <w:r w:rsidRPr="00E759CE">
        <w:rPr>
          <w:i/>
        </w:rPr>
        <w:t>Id</w:t>
      </w:r>
      <w:r>
        <w:t>. at 7.</w:t>
      </w:r>
    </w:p>
  </w:footnote>
  <w:footnote w:id="25">
    <w:p w:rsidR="00CE4E97" w:rsidRPr="00A544F4" w:rsidP="00CE4E97" w14:paraId="06ED813B" w14:textId="77777777">
      <w:pPr>
        <w:pStyle w:val="FootnoteText"/>
      </w:pPr>
      <w:r w:rsidRPr="00A544F4">
        <w:rPr>
          <w:rStyle w:val="FootnoteReference"/>
        </w:rPr>
        <w:footnoteRef/>
      </w:r>
      <w:r w:rsidRPr="00A544F4">
        <w:t xml:space="preserve"> </w:t>
      </w:r>
      <w:r>
        <w:t xml:space="preserve">Midwest Petition; Midwest Supplement; </w:t>
      </w:r>
      <w:r w:rsidRPr="003846EA">
        <w:rPr>
          <w:i/>
          <w:iCs/>
        </w:rPr>
        <w:t>Rural Broadband Experiment Support Authorized for Winning Bids Submitted by Midwest Energy Cooperative d/b/a Midwest Connections and Northern Valley Communications, LLC</w:t>
      </w:r>
      <w:r>
        <w:t xml:space="preserve">, Public Notice, 31 FCC </w:t>
      </w:r>
      <w:r>
        <w:t>Rcd</w:t>
      </w:r>
      <w:r>
        <w:t xml:space="preserve"> 1106 (WCB 2016).</w:t>
      </w:r>
    </w:p>
  </w:footnote>
  <w:footnote w:id="26">
    <w:p w:rsidR="00CE4E97" w:rsidP="00CE4E97" w14:paraId="6083582C" w14:textId="77777777">
      <w:pPr>
        <w:pStyle w:val="FootnoteText"/>
      </w:pPr>
      <w:r>
        <w:rPr>
          <w:rStyle w:val="FootnoteReference"/>
        </w:rPr>
        <w:footnoteRef/>
      </w:r>
      <w:r>
        <w:t xml:space="preserve"> </w:t>
      </w:r>
      <w:r>
        <w:t>Midwest Petition at 1.</w:t>
      </w:r>
    </w:p>
  </w:footnote>
  <w:footnote w:id="27">
    <w:p w:rsidR="00CE4E97" w:rsidP="00CE4E97" w14:paraId="29DA827A" w14:textId="77777777">
      <w:pPr>
        <w:pStyle w:val="FootnoteText"/>
      </w:pPr>
      <w:r>
        <w:rPr>
          <w:rStyle w:val="FootnoteReference"/>
        </w:rPr>
        <w:footnoteRef/>
      </w:r>
      <w:r>
        <w:t xml:space="preserve"> </w:t>
      </w:r>
      <w:r w:rsidRPr="00245E4F">
        <w:rPr>
          <w:i/>
        </w:rPr>
        <w:t>See</w:t>
      </w:r>
      <w:r>
        <w:t xml:space="preserve"> Midwest Supplement at 1.  </w:t>
      </w:r>
      <w:r w:rsidRPr="00C77CC3">
        <w:rPr>
          <w:i/>
          <w:iCs/>
        </w:rPr>
        <w:t>See also</w:t>
      </w:r>
      <w:r>
        <w:t xml:space="preserve"> HUBB Frequently Asked Questions at 4, </w:t>
      </w:r>
      <w:r w:rsidRPr="00B523C5">
        <w:t>https://www.usac.org/wp-content/uploads/high-cost/documents/Tools/HC-HUBB-FAQ.pdf</w:t>
      </w:r>
      <w:r>
        <w:t xml:space="preserve">. </w:t>
      </w:r>
    </w:p>
  </w:footnote>
  <w:footnote w:id="28">
    <w:p w:rsidR="00CE4E97" w:rsidRPr="00A544F4" w:rsidP="00CE4E97" w14:paraId="3ECC4AC7" w14:textId="77777777">
      <w:pPr>
        <w:pStyle w:val="FootnoteText"/>
      </w:pPr>
      <w:r w:rsidRPr="00A544F4">
        <w:rPr>
          <w:rStyle w:val="FootnoteReference"/>
        </w:rPr>
        <w:footnoteRef/>
      </w:r>
      <w:r w:rsidRPr="00A544F4">
        <w:t xml:space="preserve"> </w:t>
      </w:r>
      <w:r>
        <w:t>Midwest Supplement at 2-6 and Exhibit A.</w:t>
      </w:r>
    </w:p>
  </w:footnote>
  <w:footnote w:id="29">
    <w:p w:rsidR="00CE4E97" w:rsidRPr="00A544F4" w:rsidP="00CE4E97" w14:paraId="3E5D8092" w14:textId="77777777">
      <w:pPr>
        <w:pStyle w:val="FootnoteText"/>
      </w:pPr>
      <w:r w:rsidRPr="00A544F4">
        <w:rPr>
          <w:rStyle w:val="FootnoteReference"/>
        </w:rPr>
        <w:footnoteRef/>
      </w:r>
      <w:r w:rsidRPr="00A544F4">
        <w:t xml:space="preserve"> </w:t>
      </w:r>
      <w:r w:rsidRPr="00A544F4">
        <w:t>47 CFR § 1.3 (“</w:t>
      </w:r>
      <w:r w:rsidRPr="00A544F4">
        <w:rPr>
          <w:snapToGrid w:val="0"/>
          <w:kern w:val="28"/>
        </w:rPr>
        <w:t xml:space="preserve">Any provision of the rules may be waived by the </w:t>
      </w:r>
      <w:hyperlink r:id="rId2" w:tooltip="Commission" w:history="1">
        <w:r w:rsidRPr="00A544F4">
          <w:rPr>
            <w:snapToGrid w:val="0"/>
            <w:kern w:val="28"/>
          </w:rPr>
          <w:t>Commission</w:t>
        </w:r>
      </w:hyperlink>
      <w:r w:rsidRPr="00A544F4">
        <w:rPr>
          <w:snapToGrid w:val="0"/>
          <w:kern w:val="28"/>
        </w:rPr>
        <w:t xml:space="preserve"> on its own motion or on petition if good cause therefor is shown.”).</w:t>
      </w:r>
    </w:p>
  </w:footnote>
  <w:footnote w:id="30">
    <w:p w:rsidR="00CE4E97" w:rsidRPr="00A544F4" w:rsidP="00CE4E97" w14:paraId="241A376F" w14:textId="77777777">
      <w:pPr>
        <w:pStyle w:val="FootnoteText"/>
      </w:pPr>
      <w:r w:rsidRPr="00A544F4">
        <w:rPr>
          <w:rStyle w:val="FootnoteReference"/>
        </w:rPr>
        <w:footnoteRef/>
      </w:r>
      <w:r w:rsidRPr="00A544F4">
        <w:t xml:space="preserve"> </w:t>
      </w:r>
      <w:r w:rsidRPr="00A544F4">
        <w:rPr>
          <w:i/>
        </w:rPr>
        <w:t>Ne. Cellular Tel. Co. v. FCC</w:t>
      </w:r>
      <w:r w:rsidRPr="00A544F4">
        <w:t>, 897 F.2d 1164, 1166 (D.C. Cir. 1990).</w:t>
      </w:r>
    </w:p>
  </w:footnote>
  <w:footnote w:id="31">
    <w:p w:rsidR="00CE4E97" w:rsidRPr="00A544F4" w:rsidP="00CE4E97" w14:paraId="1CCD615D" w14:textId="77777777">
      <w:pPr>
        <w:pStyle w:val="FootnoteText"/>
      </w:pPr>
      <w:r w:rsidRPr="00A544F4">
        <w:rPr>
          <w:rStyle w:val="FootnoteReference"/>
        </w:rPr>
        <w:footnoteRef/>
      </w:r>
      <w:r w:rsidRPr="00A544F4">
        <w:t xml:space="preserve"> </w:t>
      </w:r>
      <w:r w:rsidRPr="00A544F4">
        <w:rPr>
          <w:i/>
        </w:rPr>
        <w:t>WAIT Radio v. FCC</w:t>
      </w:r>
      <w:r w:rsidRPr="00A544F4">
        <w:t>, 418 F.2d 1153, 1159 (D.C. Cir. 1969).</w:t>
      </w:r>
    </w:p>
  </w:footnote>
  <w:footnote w:id="32">
    <w:p w:rsidR="00CE4E97" w:rsidRPr="00A544F4" w:rsidP="00CE4E97" w14:paraId="0E1CDD91" w14:textId="77777777">
      <w:pPr>
        <w:pStyle w:val="FootnoteText"/>
      </w:pPr>
      <w:r w:rsidRPr="00A544F4">
        <w:rPr>
          <w:rStyle w:val="FootnoteReference"/>
        </w:rPr>
        <w:footnoteRef/>
      </w:r>
      <w:r w:rsidRPr="00A544F4">
        <w:t xml:space="preserve"> </w:t>
      </w:r>
      <w:r w:rsidRPr="00A544F4">
        <w:rPr>
          <w:i/>
        </w:rPr>
        <w:t>Ne. Cellular Tel. Co.</w:t>
      </w:r>
      <w:r w:rsidRPr="00A544F4">
        <w:t>, 897 F.2d at 1166.</w:t>
      </w:r>
    </w:p>
  </w:footnote>
  <w:footnote w:id="33">
    <w:p w:rsidR="00CE4E97" w:rsidRPr="00A544F4" w:rsidP="00CE4E97" w14:paraId="046CC0AC" w14:textId="77777777">
      <w:pPr>
        <w:pStyle w:val="FootnoteText"/>
      </w:pPr>
      <w:r w:rsidRPr="00A544F4">
        <w:rPr>
          <w:rStyle w:val="FootnoteReference"/>
        </w:rPr>
        <w:footnoteRef/>
      </w:r>
      <w:r w:rsidRPr="00A544F4">
        <w:t xml:space="preserve"> </w:t>
      </w:r>
      <w:r w:rsidRPr="00245E4F">
        <w:rPr>
          <w:i/>
        </w:rPr>
        <w:t>See</w:t>
      </w:r>
      <w:r w:rsidRPr="00A544F4">
        <w:rPr>
          <w:i/>
        </w:rPr>
        <w:t xml:space="preserve">, e.g., </w:t>
      </w:r>
      <w:r w:rsidRPr="00A544F4">
        <w:rPr>
          <w:i/>
          <w:color w:val="000000"/>
        </w:rPr>
        <w:t xml:space="preserve">Request for Permanent Renewal of, and Changes to Conditions on, Waiver Granted to </w:t>
      </w:r>
      <w:r w:rsidRPr="00A544F4">
        <w:rPr>
          <w:i/>
          <w:color w:val="000000"/>
        </w:rPr>
        <w:t>SafeView</w:t>
      </w:r>
      <w:r w:rsidRPr="00A544F4">
        <w:rPr>
          <w:i/>
          <w:color w:val="000000"/>
        </w:rPr>
        <w:t>, Inc.</w:t>
      </w:r>
      <w:r w:rsidRPr="00A544F4">
        <w:rPr>
          <w:color w:val="000000"/>
        </w:rPr>
        <w:t xml:space="preserve">, Order, 26 FCC </w:t>
      </w:r>
      <w:r w:rsidRPr="00A544F4">
        <w:rPr>
          <w:color w:val="000000"/>
        </w:rPr>
        <w:t>Rcd</w:t>
      </w:r>
      <w:r w:rsidRPr="00A544F4">
        <w:rPr>
          <w:color w:val="000000"/>
        </w:rPr>
        <w:t xml:space="preserve"> 10250, 10252 (OET 2011) (citing </w:t>
      </w:r>
      <w:r w:rsidRPr="00A544F4">
        <w:rPr>
          <w:i/>
          <w:color w:val="000000"/>
        </w:rPr>
        <w:t>Ne. Cellular Tel. Co.</w:t>
      </w:r>
      <w:r w:rsidRPr="00A544F4">
        <w:rPr>
          <w:color w:val="000000"/>
        </w:rPr>
        <w:t xml:space="preserve">, 897 F.2d at 1166); </w:t>
      </w:r>
      <w:r w:rsidRPr="00A544F4">
        <w:rPr>
          <w:i/>
          <w:color w:val="000000"/>
        </w:rPr>
        <w:t>see also</w:t>
      </w:r>
      <w:r w:rsidRPr="00A544F4">
        <w:rPr>
          <w:i/>
        </w:rPr>
        <w:t xml:space="preserve"> WAIT Radio</w:t>
      </w:r>
      <w:r w:rsidRPr="00A544F4">
        <w:t xml:space="preserve">, 418 F.2d at 1155, 1157.  </w:t>
      </w:r>
    </w:p>
  </w:footnote>
  <w:footnote w:id="34">
    <w:p w:rsidR="00CE4E97" w:rsidP="00CE4E97" w14:paraId="6AA017C2" w14:textId="77777777">
      <w:pPr>
        <w:pStyle w:val="FootnoteText"/>
      </w:pPr>
      <w:r>
        <w:rPr>
          <w:rStyle w:val="FootnoteReference"/>
        </w:rPr>
        <w:footnoteRef/>
      </w:r>
      <w:r>
        <w:t xml:space="preserve"> </w:t>
      </w:r>
      <w:r w:rsidRPr="00612A2E">
        <w:rPr>
          <w:i/>
          <w:iCs/>
        </w:rPr>
        <w:t>ACEC-Consolidated Waiver Order</w:t>
      </w:r>
      <w:r>
        <w:t xml:space="preserve">, 34 FCC </w:t>
      </w:r>
      <w:r>
        <w:t>Rcd</w:t>
      </w:r>
      <w:r>
        <w:t xml:space="preserve"> at 10314, para. 13.</w:t>
      </w:r>
    </w:p>
  </w:footnote>
  <w:footnote w:id="35">
    <w:p w:rsidR="00CE4E97" w:rsidP="00CE4E97" w14:paraId="1ABC6F1B" w14:textId="77777777">
      <w:pPr>
        <w:pStyle w:val="FootnoteText"/>
      </w:pPr>
      <w:r>
        <w:rPr>
          <w:rStyle w:val="FootnoteReference"/>
        </w:rPr>
        <w:footnoteRef/>
      </w:r>
      <w:r>
        <w:t xml:space="preserve"> </w:t>
      </w:r>
      <w:r w:rsidRPr="00612A2E">
        <w:rPr>
          <w:i/>
          <w:iCs/>
        </w:rPr>
        <w:t>Id</w:t>
      </w:r>
      <w:r>
        <w:t>.</w:t>
      </w:r>
    </w:p>
  </w:footnote>
  <w:footnote w:id="36">
    <w:p w:rsidR="00CE4E97" w:rsidRPr="00A544F4" w:rsidP="00CE4E97" w14:paraId="49FF1B6D" w14:textId="77777777">
      <w:pPr>
        <w:pStyle w:val="CommentText"/>
        <w:spacing w:after="120"/>
      </w:pPr>
      <w:r w:rsidRPr="00A544F4">
        <w:rPr>
          <w:rStyle w:val="FootnoteReference"/>
        </w:rPr>
        <w:footnoteRef/>
      </w:r>
      <w:r w:rsidRPr="00A544F4">
        <w:t xml:space="preserve"> </w:t>
      </w:r>
      <w:r>
        <w:rPr>
          <w:i/>
        </w:rPr>
        <w:t>Id.</w:t>
      </w:r>
    </w:p>
  </w:footnote>
  <w:footnote w:id="37">
    <w:p w:rsidR="00CE4E97" w:rsidRPr="00A544F4" w:rsidP="00CE4E97" w14:paraId="483A5C18" w14:textId="77777777">
      <w:pPr>
        <w:pStyle w:val="FootnoteText"/>
      </w:pPr>
      <w:r w:rsidRPr="00A544F4">
        <w:rPr>
          <w:rStyle w:val="FootnoteReference"/>
        </w:rPr>
        <w:footnoteRef/>
      </w:r>
      <w:r w:rsidRPr="00A544F4">
        <w:t xml:space="preserve"> </w:t>
      </w:r>
      <w:r w:rsidRPr="00A544F4">
        <w:t xml:space="preserve">Geolocation information for locations reported into the HUBB toward satisfaction of defined deployment obligations is available on the CAF Broadband Map, https://data.usac.org/publicreports/caf-map/.  Such locations are displayed on a publicly accessible map that allows for optional overlays, including eligible areas.  </w:t>
      </w:r>
      <w:r>
        <w:t>As per such visual representation, neither petitioner has omitted significant contiguous areas suggesting that they have declined to serve particularly high cost areas within their SACs.</w:t>
      </w:r>
    </w:p>
  </w:footnote>
  <w:footnote w:id="38">
    <w:p w:rsidR="00CE4E97" w:rsidRPr="00A544F4" w:rsidP="00CE4E97" w14:paraId="01EBEBF9" w14:textId="77777777">
      <w:pPr>
        <w:pStyle w:val="FootnoteText"/>
      </w:pPr>
      <w:r w:rsidRPr="00A544F4">
        <w:rPr>
          <w:rStyle w:val="FootnoteReference"/>
        </w:rPr>
        <w:footnoteRef/>
      </w:r>
      <w:r w:rsidRPr="00A544F4">
        <w:t xml:space="preserve"> </w:t>
      </w:r>
      <w:r>
        <w:t>Skybeam</w:t>
      </w:r>
      <w:r>
        <w:t xml:space="preserve"> Petition at 3-4; </w:t>
      </w:r>
      <w:r>
        <w:t>Skybeam</w:t>
      </w:r>
      <w:r>
        <w:t xml:space="preserve"> Second Supplement; </w:t>
      </w:r>
      <w:r>
        <w:t>Skybeam</w:t>
      </w:r>
      <w:r>
        <w:t xml:space="preserve"> Third Supplement at 2 (disclosing findings of USAC verification); Midwest Supplement at 2-8 and Exhibit A.</w:t>
      </w:r>
    </w:p>
  </w:footnote>
  <w:footnote w:id="39">
    <w:p w:rsidR="00CE4E97" w:rsidP="00CE4E97" w14:paraId="5AC123ED" w14:textId="77777777">
      <w:pPr>
        <w:pStyle w:val="FootnoteText"/>
      </w:pPr>
      <w:r>
        <w:rPr>
          <w:rStyle w:val="FootnoteReference"/>
        </w:rPr>
        <w:footnoteRef/>
      </w:r>
      <w:r>
        <w:t xml:space="preserve"> </w:t>
      </w:r>
      <w:r w:rsidRPr="00245E4F">
        <w:rPr>
          <w:i/>
        </w:rPr>
        <w:t>See</w:t>
      </w:r>
      <w:r>
        <w:t xml:space="preserve"> </w:t>
      </w:r>
      <w:r w:rsidRPr="00812D51">
        <w:rPr>
          <w:i/>
          <w:iCs/>
        </w:rPr>
        <w:t>ACEC-Consolidated Waiver Order</w:t>
      </w:r>
      <w:r>
        <w:t xml:space="preserve">, 34 FCC </w:t>
      </w:r>
      <w:r>
        <w:t>Rcd</w:t>
      </w:r>
      <w:r>
        <w:t xml:space="preserve"> at 10315-16, paras. 15-16.</w:t>
      </w:r>
    </w:p>
  </w:footnote>
  <w:footnote w:id="40">
    <w:p w:rsidR="00CE4E97" w:rsidP="00CE4E97" w14:paraId="3E8C2CB0" w14:textId="77777777">
      <w:pPr>
        <w:pStyle w:val="FootnoteText"/>
      </w:pPr>
      <w:r>
        <w:rPr>
          <w:rStyle w:val="FootnoteReference"/>
        </w:rPr>
        <w:footnoteRef/>
      </w:r>
      <w:r>
        <w:t xml:space="preserve"> </w:t>
      </w:r>
      <w:r w:rsidRPr="00245E4F">
        <w:rPr>
          <w:i/>
        </w:rPr>
        <w:t>See</w:t>
      </w:r>
      <w:r>
        <w:t xml:space="preserve"> </w:t>
      </w:r>
      <w:r w:rsidRPr="00245E4F">
        <w:rPr>
          <w:i/>
        </w:rPr>
        <w:t>id</w:t>
      </w:r>
      <w:r>
        <w:t xml:space="preserve">. </w:t>
      </w:r>
    </w:p>
  </w:footnote>
  <w:footnote w:id="41">
    <w:p w:rsidR="00CE4E97" w:rsidP="00CE4E97" w14:paraId="229B43DD" w14:textId="77777777">
      <w:pPr>
        <w:pStyle w:val="FootnoteText"/>
      </w:pPr>
      <w:r>
        <w:rPr>
          <w:rStyle w:val="FootnoteReference"/>
        </w:rPr>
        <w:footnoteRef/>
      </w:r>
      <w:r>
        <w:t xml:space="preserve"> </w:t>
      </w:r>
      <w:r w:rsidRPr="00426817">
        <w:rPr>
          <w:i/>
          <w:iCs/>
        </w:rPr>
        <w:t>See id</w:t>
      </w:r>
      <w:r>
        <w:t xml:space="preserve">. at 10316, para. 17; </w:t>
      </w:r>
      <w:r w:rsidRPr="00236DF4">
        <w:rPr>
          <w:i/>
          <w:iCs/>
        </w:rPr>
        <w:t>Rural Broadband Experiments Order</w:t>
      </w:r>
      <w:r>
        <w:t xml:space="preserve">, 29 FCC </w:t>
      </w:r>
      <w:r>
        <w:t>Rcd</w:t>
      </w:r>
      <w:r>
        <w:t xml:space="preserve"> at 8799-800, paras. 92-93.</w:t>
      </w:r>
    </w:p>
  </w:footnote>
  <w:footnote w:id="42">
    <w:p w:rsidR="00CE4E97" w:rsidP="00CE4E97" w14:paraId="39874CA7" w14:textId="77777777">
      <w:pPr>
        <w:pStyle w:val="FootnoteText"/>
      </w:pPr>
      <w:r>
        <w:rPr>
          <w:rStyle w:val="FootnoteReference"/>
        </w:rPr>
        <w:footnoteRef/>
      </w:r>
      <w:r>
        <w:t xml:space="preserve"> </w:t>
      </w:r>
      <w:r w:rsidRPr="00EA2749">
        <w:rPr>
          <w:i/>
          <w:iCs/>
        </w:rPr>
        <w:t>See ACEC-Consolidated Waiver Order</w:t>
      </w:r>
      <w:r>
        <w:t xml:space="preserve">, 34 FCC </w:t>
      </w:r>
      <w:r>
        <w:t>Rcd</w:t>
      </w:r>
      <w:r>
        <w:t xml:space="preserve"> at 10315-16, paras. 15-16; </w:t>
      </w:r>
      <w:r w:rsidRPr="00EA2749">
        <w:rPr>
          <w:i/>
          <w:iCs/>
        </w:rPr>
        <w:t>Rural Broadband Experiments Order</w:t>
      </w:r>
      <w:r>
        <w:t xml:space="preserve">, 29 FCC </w:t>
      </w:r>
      <w:r>
        <w:t>Rcd</w:t>
      </w:r>
      <w:r>
        <w:t xml:space="preserve"> at 8799-800, paras. 92-93.</w:t>
      </w:r>
    </w:p>
  </w:footnote>
  <w:footnote w:id="43">
    <w:p w:rsidR="00CE4E97" w:rsidP="00CE4E97" w14:paraId="6FB5BF19" w14:textId="77777777">
      <w:pPr>
        <w:pStyle w:val="FootnoteText"/>
      </w:pPr>
      <w:r>
        <w:rPr>
          <w:rStyle w:val="FootnoteReference"/>
        </w:rPr>
        <w:footnoteRef/>
      </w:r>
      <w:r>
        <w:t xml:space="preserve"> </w:t>
      </w:r>
      <w:r w:rsidRPr="00245E4F">
        <w:rPr>
          <w:i/>
        </w:rPr>
        <w:t>See</w:t>
      </w:r>
      <w:r>
        <w:t xml:space="preserve"> </w:t>
      </w:r>
      <w:r>
        <w:t>Skybeam</w:t>
      </w:r>
      <w:r>
        <w:t xml:space="preserve"> Second Supplement.</w:t>
      </w:r>
    </w:p>
  </w:footnote>
  <w:footnote w:id="44">
    <w:p w:rsidR="00CE4E97" w:rsidP="00CE4E97" w14:paraId="2A710849" w14:textId="77777777">
      <w:pPr>
        <w:pStyle w:val="FootnoteText"/>
      </w:pPr>
      <w:r>
        <w:rPr>
          <w:rStyle w:val="FootnoteReference"/>
        </w:rPr>
        <w:footnoteRef/>
      </w:r>
      <w:r>
        <w:t xml:space="preserve"> </w:t>
      </w:r>
      <w:r>
        <w:rPr>
          <w:i/>
          <w:iCs/>
        </w:rPr>
        <w:t>See i</w:t>
      </w:r>
      <w:r w:rsidRPr="001B62E4">
        <w:rPr>
          <w:i/>
          <w:iCs/>
        </w:rPr>
        <w:t>d</w:t>
      </w:r>
      <w:r>
        <w:t>. at 7.</w:t>
      </w:r>
    </w:p>
  </w:footnote>
  <w:footnote w:id="45">
    <w:p w:rsidR="00CE4E97" w:rsidP="00CE4E97" w14:paraId="4D57A911" w14:textId="77777777">
      <w:pPr>
        <w:pStyle w:val="FootnoteText"/>
      </w:pPr>
      <w:r>
        <w:rPr>
          <w:rStyle w:val="FootnoteReference"/>
        </w:rPr>
        <w:footnoteRef/>
      </w:r>
      <w:r>
        <w:t xml:space="preserve"> </w:t>
      </w:r>
      <w:r w:rsidRPr="00245E4F">
        <w:rPr>
          <w:i/>
        </w:rPr>
        <w:t>See</w:t>
      </w:r>
      <w:r>
        <w:t xml:space="preserve"> </w:t>
      </w:r>
      <w:r w:rsidRPr="00A544F4">
        <w:rPr>
          <w:i/>
        </w:rPr>
        <w:t>December 2014 Connect America Order</w:t>
      </w:r>
      <w:r w:rsidRPr="00A544F4">
        <w:t xml:space="preserve">, 29 FCC </w:t>
      </w:r>
      <w:r w:rsidRPr="00A544F4">
        <w:t>Rcd</w:t>
      </w:r>
      <w:r w:rsidRPr="00A544F4">
        <w:t xml:space="preserve"> at 15659, para. 38, n.88.</w:t>
      </w:r>
      <w:r w:rsidRPr="00A544F4">
        <w:rPr>
          <w:color w:val="FF0000"/>
        </w:rPr>
        <w:t xml:space="preserve">  </w:t>
      </w:r>
    </w:p>
  </w:footnote>
  <w:footnote w:id="46">
    <w:p w:rsidR="00CE4E97" w:rsidP="00CE4E97" w14:paraId="36FDD522" w14:textId="77777777">
      <w:pPr>
        <w:pStyle w:val="FootnoteText"/>
      </w:pPr>
      <w:r>
        <w:rPr>
          <w:rStyle w:val="FootnoteReference"/>
        </w:rPr>
        <w:footnoteRef/>
      </w:r>
      <w:r>
        <w:t xml:space="preserve"> </w:t>
      </w:r>
      <w:r w:rsidRPr="00A544F4">
        <w:rPr>
          <w:i/>
        </w:rPr>
        <w:t>Rural Broadband Experiments Order</w:t>
      </w:r>
      <w:r w:rsidRPr="00A544F4">
        <w:t xml:space="preserve">, 29 FCC </w:t>
      </w:r>
      <w:r w:rsidRPr="00A544F4">
        <w:t>Rcd</w:t>
      </w:r>
      <w:r w:rsidRPr="00A544F4">
        <w:t xml:space="preserve"> at 8775-76, paras. 13-1</w:t>
      </w:r>
      <w:r>
        <w:t>5.</w:t>
      </w:r>
    </w:p>
  </w:footnote>
  <w:footnote w:id="47">
    <w:p w:rsidR="00CE4E97" w:rsidP="00CE4E97" w14:paraId="42E638AB" w14:textId="77777777">
      <w:pPr>
        <w:pStyle w:val="FootnoteText"/>
      </w:pPr>
      <w:r>
        <w:rPr>
          <w:rStyle w:val="FootnoteReference"/>
        </w:rPr>
        <w:footnoteRef/>
      </w:r>
      <w:r>
        <w:t xml:space="preserve"> </w:t>
      </w:r>
      <w:r w:rsidRPr="000B04F5">
        <w:rPr>
          <w:i/>
          <w:iCs/>
        </w:rPr>
        <w:t>See CAF Phase II Coalition Waiver Order</w:t>
      </w:r>
      <w:r>
        <w:t>, DA 21-1369, para. 19.</w:t>
      </w:r>
    </w:p>
  </w:footnote>
  <w:footnote w:id="48">
    <w:p w:rsidR="00CE4E97" w:rsidP="00CE4E97" w14:paraId="1518BE42" w14:textId="77777777">
      <w:pPr>
        <w:pStyle w:val="FootnoteText"/>
      </w:pPr>
      <w:r>
        <w:rPr>
          <w:rStyle w:val="FootnoteReference"/>
        </w:rPr>
        <w:footnoteRef/>
      </w:r>
      <w:r>
        <w:t xml:space="preserve"> </w:t>
      </w:r>
      <w:r w:rsidRPr="00507615">
        <w:rPr>
          <w:i/>
          <w:iCs/>
        </w:rPr>
        <w:t>See id</w:t>
      </w:r>
      <w:r>
        <w:t>. at 17-19.</w:t>
      </w:r>
    </w:p>
  </w:footnote>
  <w:footnote w:id="49">
    <w:p w:rsidR="00CE4E97" w:rsidRPr="00A544F4" w:rsidP="00CE4E97" w14:paraId="4701E94C" w14:textId="77777777">
      <w:pPr>
        <w:pStyle w:val="FootnoteText"/>
      </w:pPr>
      <w:r w:rsidRPr="00A544F4">
        <w:rPr>
          <w:rStyle w:val="FootnoteReference"/>
        </w:rPr>
        <w:footnoteRef/>
      </w:r>
      <w:r w:rsidRPr="00A544F4">
        <w:t xml:space="preserve"> </w:t>
      </w:r>
      <w:r w:rsidRPr="00A544F4">
        <w:rPr>
          <w:i/>
          <w:iCs/>
          <w:color w:val="000000"/>
        </w:rPr>
        <w:t>December 2014 Connect America Order</w:t>
      </w:r>
      <w:r w:rsidRPr="00A544F4">
        <w:rPr>
          <w:color w:val="000000"/>
        </w:rPr>
        <w:t xml:space="preserve">, 29 FCC </w:t>
      </w:r>
      <w:r w:rsidRPr="00A544F4">
        <w:rPr>
          <w:color w:val="000000"/>
        </w:rPr>
        <w:t>Rcd</w:t>
      </w:r>
      <w:r w:rsidRPr="00A544F4">
        <w:rPr>
          <w:color w:val="000000"/>
        </w:rPr>
        <w:t xml:space="preserve"> at 15659, para. 38, n.88; </w:t>
      </w:r>
      <w:r w:rsidRPr="00A544F4">
        <w:rPr>
          <w:i/>
          <w:color w:val="000000"/>
        </w:rPr>
        <w:t>Phase II Auction Reconsideration Order</w:t>
      </w:r>
      <w:r w:rsidRPr="00A544F4">
        <w:rPr>
          <w:color w:val="000000"/>
        </w:rPr>
        <w:t xml:space="preserve">, 33 FCC </w:t>
      </w:r>
      <w:r w:rsidRPr="00A544F4">
        <w:rPr>
          <w:color w:val="000000"/>
        </w:rPr>
        <w:t>Rcd</w:t>
      </w:r>
      <w:r w:rsidRPr="00A544F4">
        <w:rPr>
          <w:color w:val="000000"/>
        </w:rPr>
        <w:t xml:space="preserve"> at </w:t>
      </w:r>
      <w:r w:rsidRPr="00A544F4">
        <w:t>1389, para. 24, n.62.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C23EC27" w14:textId="1436F875">
    <w:pPr>
      <w:pStyle w:val="Header"/>
      <w:rPr>
        <w:b w:val="0"/>
      </w:rPr>
    </w:pPr>
    <w:r>
      <w:tab/>
    </w:r>
    <w:r>
      <w:t>Federal Communications Commission</w:t>
    </w:r>
    <w:r>
      <w:tab/>
    </w:r>
    <w:r w:rsidR="00CE4E97">
      <w:t>DA 22-27</w:t>
    </w:r>
  </w:p>
  <w:p w:rsidR="00D25FB5" w14:paraId="79274D6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3D1ACA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35F325D" w14:textId="66AB968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sidR="00CE4E97">
      <w:rPr>
        <w:spacing w:val="-2"/>
      </w:rPr>
      <w:t>DA 22-27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E97"/>
    <w:rsid w:val="00036039"/>
    <w:rsid w:val="00037F90"/>
    <w:rsid w:val="0005420D"/>
    <w:rsid w:val="00055C09"/>
    <w:rsid w:val="0005695E"/>
    <w:rsid w:val="000875BF"/>
    <w:rsid w:val="00096D8C"/>
    <w:rsid w:val="000A6CDC"/>
    <w:rsid w:val="000B04F5"/>
    <w:rsid w:val="000C0B65"/>
    <w:rsid w:val="000C0F31"/>
    <w:rsid w:val="000D1AE0"/>
    <w:rsid w:val="000D620B"/>
    <w:rsid w:val="000E05FE"/>
    <w:rsid w:val="000E3D42"/>
    <w:rsid w:val="00102AE0"/>
    <w:rsid w:val="00122BD5"/>
    <w:rsid w:val="00133F79"/>
    <w:rsid w:val="00157FEA"/>
    <w:rsid w:val="0017296B"/>
    <w:rsid w:val="0019158B"/>
    <w:rsid w:val="00194A66"/>
    <w:rsid w:val="001B62E4"/>
    <w:rsid w:val="001D6BCF"/>
    <w:rsid w:val="001E01CA"/>
    <w:rsid w:val="001F5F91"/>
    <w:rsid w:val="00236DF4"/>
    <w:rsid w:val="00245E4F"/>
    <w:rsid w:val="0027383B"/>
    <w:rsid w:val="00275CF5"/>
    <w:rsid w:val="0028301F"/>
    <w:rsid w:val="00285017"/>
    <w:rsid w:val="002A2D2E"/>
    <w:rsid w:val="002C00E8"/>
    <w:rsid w:val="00325DE2"/>
    <w:rsid w:val="00343749"/>
    <w:rsid w:val="003660ED"/>
    <w:rsid w:val="003846EA"/>
    <w:rsid w:val="003B0550"/>
    <w:rsid w:val="003B694F"/>
    <w:rsid w:val="003C586B"/>
    <w:rsid w:val="003F171C"/>
    <w:rsid w:val="00412FC5"/>
    <w:rsid w:val="00422276"/>
    <w:rsid w:val="004242F1"/>
    <w:rsid w:val="00426817"/>
    <w:rsid w:val="00445A00"/>
    <w:rsid w:val="00451B0F"/>
    <w:rsid w:val="004633BA"/>
    <w:rsid w:val="004C2EE3"/>
    <w:rsid w:val="004E4A22"/>
    <w:rsid w:val="00507615"/>
    <w:rsid w:val="00511968"/>
    <w:rsid w:val="00516017"/>
    <w:rsid w:val="005261CE"/>
    <w:rsid w:val="00542621"/>
    <w:rsid w:val="0055614C"/>
    <w:rsid w:val="00566D06"/>
    <w:rsid w:val="005E14C2"/>
    <w:rsid w:val="00607BA5"/>
    <w:rsid w:val="0061180A"/>
    <w:rsid w:val="00612A2E"/>
    <w:rsid w:val="00626EB6"/>
    <w:rsid w:val="00655D03"/>
    <w:rsid w:val="00683388"/>
    <w:rsid w:val="00683F84"/>
    <w:rsid w:val="006A6A81"/>
    <w:rsid w:val="006F7393"/>
    <w:rsid w:val="0070224F"/>
    <w:rsid w:val="00707ADE"/>
    <w:rsid w:val="007115F7"/>
    <w:rsid w:val="00753CAB"/>
    <w:rsid w:val="00772B3C"/>
    <w:rsid w:val="00785689"/>
    <w:rsid w:val="0079754B"/>
    <w:rsid w:val="007A1E6D"/>
    <w:rsid w:val="007B0EB2"/>
    <w:rsid w:val="00810B6F"/>
    <w:rsid w:val="00812D51"/>
    <w:rsid w:val="008150E9"/>
    <w:rsid w:val="00822CE0"/>
    <w:rsid w:val="00841AB1"/>
    <w:rsid w:val="008C68F1"/>
    <w:rsid w:val="008E253A"/>
    <w:rsid w:val="009203CD"/>
    <w:rsid w:val="00921803"/>
    <w:rsid w:val="00926503"/>
    <w:rsid w:val="00964C58"/>
    <w:rsid w:val="009726D8"/>
    <w:rsid w:val="00976F3B"/>
    <w:rsid w:val="009B2B80"/>
    <w:rsid w:val="009D7308"/>
    <w:rsid w:val="009F76DB"/>
    <w:rsid w:val="00A32C3B"/>
    <w:rsid w:val="00A45F4F"/>
    <w:rsid w:val="00A544F4"/>
    <w:rsid w:val="00A600A9"/>
    <w:rsid w:val="00AA55B7"/>
    <w:rsid w:val="00AA5B9E"/>
    <w:rsid w:val="00AB2407"/>
    <w:rsid w:val="00AB53DF"/>
    <w:rsid w:val="00AE30BD"/>
    <w:rsid w:val="00B04404"/>
    <w:rsid w:val="00B07E5C"/>
    <w:rsid w:val="00B137D8"/>
    <w:rsid w:val="00B523C5"/>
    <w:rsid w:val="00B811F7"/>
    <w:rsid w:val="00BA5DC6"/>
    <w:rsid w:val="00BA6196"/>
    <w:rsid w:val="00BC14D7"/>
    <w:rsid w:val="00BC6D8C"/>
    <w:rsid w:val="00C34006"/>
    <w:rsid w:val="00C36B4C"/>
    <w:rsid w:val="00C426B1"/>
    <w:rsid w:val="00C66160"/>
    <w:rsid w:val="00C721AC"/>
    <w:rsid w:val="00C77CC3"/>
    <w:rsid w:val="00C80500"/>
    <w:rsid w:val="00C90D6A"/>
    <w:rsid w:val="00CA247E"/>
    <w:rsid w:val="00CA6D21"/>
    <w:rsid w:val="00CC72B6"/>
    <w:rsid w:val="00CD6DC7"/>
    <w:rsid w:val="00CE4E97"/>
    <w:rsid w:val="00D0218D"/>
    <w:rsid w:val="00D25FB5"/>
    <w:rsid w:val="00D44223"/>
    <w:rsid w:val="00DA236C"/>
    <w:rsid w:val="00DA2529"/>
    <w:rsid w:val="00DB130A"/>
    <w:rsid w:val="00DB2EBB"/>
    <w:rsid w:val="00DC10A1"/>
    <w:rsid w:val="00DC655F"/>
    <w:rsid w:val="00DD0B59"/>
    <w:rsid w:val="00DD7EBD"/>
    <w:rsid w:val="00DF62B6"/>
    <w:rsid w:val="00E07225"/>
    <w:rsid w:val="00E5409F"/>
    <w:rsid w:val="00E759CE"/>
    <w:rsid w:val="00E7762D"/>
    <w:rsid w:val="00EA2749"/>
    <w:rsid w:val="00EC31AA"/>
    <w:rsid w:val="00EE6488"/>
    <w:rsid w:val="00F021FA"/>
    <w:rsid w:val="00F052B7"/>
    <w:rsid w:val="00F62E97"/>
    <w:rsid w:val="00F64209"/>
    <w:rsid w:val="00F74266"/>
    <w:rsid w:val="00F93BF5"/>
    <w:rsid w:val="00FF6D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4838CDF"/>
  <w15:chartTrackingRefBased/>
  <w15:docId w15:val="{BB702E16-CE1E-4C10-B156-4134BC7BF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3 Char Char Char Char,Footnote Text Char1,Footnote Text Char1 Char1 Char,Footnote Text Char2,Footnote Text Char3 Char1 Char Char Char,Footnote Text Char4 Char Char Char,f,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3">
    <w:name w:val="Footnote Text Char3"/>
    <w:aliases w:val="Footnote Text Char Char Char,Footnote Text Char Char1,Footnote Text Char Char3 Char Char Char Char Char,Footnote Text Char1 Char,Footnote Text Char1 Char1 Char Char,Footnote Text Char2 Char,Footnote Text Char4 Char Char Char Char"/>
    <w:link w:val="FootnoteText"/>
    <w:rsid w:val="00CE4E97"/>
  </w:style>
  <w:style w:type="character" w:customStyle="1" w:styleId="ParaNumCharChar1">
    <w:name w:val="ParaNum Char Char1"/>
    <w:link w:val="ParaNum"/>
    <w:locked/>
    <w:rsid w:val="00CE4E97"/>
    <w:rPr>
      <w:snapToGrid w:val="0"/>
      <w:kern w:val="28"/>
      <w:sz w:val="22"/>
    </w:rPr>
  </w:style>
  <w:style w:type="character" w:styleId="Emphasis">
    <w:name w:val="Emphasis"/>
    <w:uiPriority w:val="20"/>
    <w:qFormat/>
    <w:rsid w:val="00CE4E97"/>
    <w:rPr>
      <w:i/>
      <w:iCs/>
    </w:rPr>
  </w:style>
  <w:style w:type="paragraph" w:styleId="CommentText">
    <w:name w:val="annotation text"/>
    <w:basedOn w:val="Normal"/>
    <w:link w:val="CommentTextChar"/>
    <w:rsid w:val="00CE4E97"/>
    <w:rPr>
      <w:sz w:val="20"/>
    </w:rPr>
  </w:style>
  <w:style w:type="character" w:customStyle="1" w:styleId="CommentTextChar">
    <w:name w:val="Comment Text Char"/>
    <w:link w:val="CommentText"/>
    <w:rsid w:val="00CE4E97"/>
    <w:rPr>
      <w:snapToGrid w:val="0"/>
      <w:kern w:val="28"/>
    </w:rPr>
  </w:style>
  <w:style w:type="table" w:styleId="TableGrid">
    <w:name w:val="Table Grid"/>
    <w:basedOn w:val="TableNormal"/>
    <w:uiPriority w:val="59"/>
    <w:rsid w:val="00CE4E9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transition.fcc.gov/wcb/CAMv.4.2Methodology.pdf" TargetMode="External" /><Relationship Id="rId2" Type="http://schemas.openxmlformats.org/officeDocument/2006/relationships/hyperlink" Target="https://www.law.cornell.edu/definitions/index.php?width=840&amp;height=800&amp;iframe=true&amp;def_id=a6297a35c9ac3fd0044718728be4adbe&amp;term_occur=1&amp;term_src=Title:47:Chapter:I:Subchapter:A:Part:1:Subpart:A:Subjgrp:147:1.3"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