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21461E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2FBEF9E" w14:textId="77777777">
      <w:pPr>
        <w:pStyle w:val="StyleBoldCentered"/>
      </w:pPr>
      <w:r>
        <w:t>F</w:t>
      </w:r>
      <w:r>
        <w:rPr>
          <w:caps w:val="0"/>
        </w:rPr>
        <w:t>ederal Communications Commission</w:t>
      </w:r>
    </w:p>
    <w:p w:rsidR="004C2EE3" w:rsidP="00096D8C" w14:paraId="46247C68" w14:textId="77777777">
      <w:pPr>
        <w:pStyle w:val="StyleBoldCentered"/>
      </w:pPr>
      <w:r>
        <w:rPr>
          <w:caps w:val="0"/>
        </w:rPr>
        <w:t>Washington, D.C. 20554</w:t>
      </w:r>
    </w:p>
    <w:p w:rsidR="004C2EE3" w:rsidP="0070224F" w14:paraId="00C56CF0" w14:textId="77777777"/>
    <w:p w:rsidR="004C2EE3" w:rsidP="0070224F" w14:paraId="30F0EDC8" w14:textId="77777777"/>
    <w:tbl>
      <w:tblPr>
        <w:tblW w:w="0" w:type="auto"/>
        <w:tblLayout w:type="fixed"/>
        <w:tblLook w:val="0000"/>
      </w:tblPr>
      <w:tblGrid>
        <w:gridCol w:w="4698"/>
        <w:gridCol w:w="630"/>
        <w:gridCol w:w="4248"/>
      </w:tblGrid>
      <w:tr w14:paraId="493484E1" w14:textId="77777777">
        <w:tblPrEx>
          <w:tblW w:w="0" w:type="auto"/>
          <w:tblLayout w:type="fixed"/>
          <w:tblLook w:val="0000"/>
        </w:tblPrEx>
        <w:tc>
          <w:tcPr>
            <w:tcW w:w="4698" w:type="dxa"/>
          </w:tcPr>
          <w:p w:rsidR="004C2EE3" w14:paraId="25DEED26" w14:textId="77777777">
            <w:pPr>
              <w:tabs>
                <w:tab w:val="center" w:pos="4680"/>
              </w:tabs>
              <w:suppressAutoHyphens/>
              <w:rPr>
                <w:spacing w:val="-2"/>
              </w:rPr>
            </w:pPr>
            <w:r>
              <w:rPr>
                <w:spacing w:val="-2"/>
              </w:rPr>
              <w:t>In the Matter of</w:t>
            </w:r>
          </w:p>
          <w:p w:rsidR="004C2EE3" w14:paraId="743C8176" w14:textId="77777777">
            <w:pPr>
              <w:tabs>
                <w:tab w:val="center" w:pos="4680"/>
              </w:tabs>
              <w:suppressAutoHyphens/>
              <w:rPr>
                <w:spacing w:val="-2"/>
              </w:rPr>
            </w:pPr>
          </w:p>
          <w:p w:rsidR="00035CB4" w:rsidRPr="00035CB4" w:rsidP="00035CB4" w14:paraId="37CB02FF" w14:textId="77777777">
            <w:pPr>
              <w:tabs>
                <w:tab w:val="center" w:pos="4680"/>
              </w:tabs>
              <w:suppressAutoHyphens/>
              <w:rPr>
                <w:spacing w:val="-2"/>
              </w:rPr>
            </w:pPr>
            <w:r w:rsidRPr="00035CB4">
              <w:rPr>
                <w:spacing w:val="-2"/>
              </w:rPr>
              <w:t>COMMONWEALTH OF VIRGINIA</w:t>
            </w:r>
          </w:p>
          <w:p w:rsidR="004C2EE3" w:rsidP="00035CB4" w14:paraId="0B4DD0AE" w14:textId="77777777">
            <w:pPr>
              <w:tabs>
                <w:tab w:val="center" w:pos="4680"/>
              </w:tabs>
              <w:suppressAutoHyphens/>
              <w:rPr>
                <w:spacing w:val="-2"/>
              </w:rPr>
            </w:pPr>
            <w:r w:rsidRPr="00035CB4">
              <w:rPr>
                <w:spacing w:val="-2"/>
              </w:rPr>
              <w:t>DEPARTMENT OF STATE POLICE</w:t>
            </w:r>
          </w:p>
          <w:p w:rsidR="00035CB4" w:rsidP="00035CB4" w14:paraId="3B385BE5" w14:textId="77777777">
            <w:pPr>
              <w:tabs>
                <w:tab w:val="center" w:pos="4680"/>
              </w:tabs>
              <w:suppressAutoHyphens/>
              <w:rPr>
                <w:spacing w:val="-2"/>
              </w:rPr>
            </w:pPr>
          </w:p>
          <w:p w:rsidR="00035CB4" w:rsidRPr="007115F7" w:rsidP="00035CB4" w14:paraId="503F8C55" w14:textId="3B7481C7">
            <w:pPr>
              <w:tabs>
                <w:tab w:val="center" w:pos="4680"/>
              </w:tabs>
              <w:suppressAutoHyphens/>
              <w:rPr>
                <w:spacing w:val="-2"/>
              </w:rPr>
            </w:pPr>
            <w:r w:rsidRPr="00035CB4">
              <w:rPr>
                <w:spacing w:val="-2"/>
              </w:rPr>
              <w:t>Request for Waiver of Section 22.565(f) of the Commission’s Rules to Increase Mobile Transmitter Power Output from 60 Watts to 100 Watts</w:t>
            </w:r>
          </w:p>
        </w:tc>
        <w:tc>
          <w:tcPr>
            <w:tcW w:w="630" w:type="dxa"/>
          </w:tcPr>
          <w:p w:rsidR="004C2EE3" w14:paraId="30F76FDF" w14:textId="77777777">
            <w:pPr>
              <w:tabs>
                <w:tab w:val="center" w:pos="4680"/>
              </w:tabs>
              <w:suppressAutoHyphens/>
              <w:rPr>
                <w:b/>
                <w:spacing w:val="-2"/>
              </w:rPr>
            </w:pPr>
            <w:r>
              <w:rPr>
                <w:b/>
                <w:spacing w:val="-2"/>
              </w:rPr>
              <w:t>)</w:t>
            </w:r>
          </w:p>
          <w:p w:rsidR="004C2EE3" w14:paraId="1F8B936F" w14:textId="77777777">
            <w:pPr>
              <w:tabs>
                <w:tab w:val="center" w:pos="4680"/>
              </w:tabs>
              <w:suppressAutoHyphens/>
              <w:rPr>
                <w:b/>
                <w:spacing w:val="-2"/>
              </w:rPr>
            </w:pPr>
            <w:r>
              <w:rPr>
                <w:b/>
                <w:spacing w:val="-2"/>
              </w:rPr>
              <w:t>)</w:t>
            </w:r>
          </w:p>
          <w:p w:rsidR="004C2EE3" w14:paraId="48A3BF7F" w14:textId="77777777">
            <w:pPr>
              <w:tabs>
                <w:tab w:val="center" w:pos="4680"/>
              </w:tabs>
              <w:suppressAutoHyphens/>
              <w:rPr>
                <w:b/>
                <w:spacing w:val="-2"/>
              </w:rPr>
            </w:pPr>
            <w:r>
              <w:rPr>
                <w:b/>
                <w:spacing w:val="-2"/>
              </w:rPr>
              <w:t>)</w:t>
            </w:r>
          </w:p>
          <w:p w:rsidR="004C2EE3" w14:paraId="4CF6517D" w14:textId="77777777">
            <w:pPr>
              <w:tabs>
                <w:tab w:val="center" w:pos="4680"/>
              </w:tabs>
              <w:suppressAutoHyphens/>
              <w:rPr>
                <w:b/>
                <w:spacing w:val="-2"/>
              </w:rPr>
            </w:pPr>
            <w:r>
              <w:rPr>
                <w:b/>
                <w:spacing w:val="-2"/>
              </w:rPr>
              <w:t>)</w:t>
            </w:r>
          </w:p>
          <w:p w:rsidR="004C2EE3" w14:paraId="20A106E6" w14:textId="77777777">
            <w:pPr>
              <w:tabs>
                <w:tab w:val="center" w:pos="4680"/>
              </w:tabs>
              <w:suppressAutoHyphens/>
              <w:rPr>
                <w:b/>
                <w:spacing w:val="-2"/>
              </w:rPr>
            </w:pPr>
            <w:r>
              <w:rPr>
                <w:b/>
                <w:spacing w:val="-2"/>
              </w:rPr>
              <w:t>)</w:t>
            </w:r>
          </w:p>
          <w:p w:rsidR="004C2EE3" w14:paraId="5C925AE7" w14:textId="77777777">
            <w:pPr>
              <w:tabs>
                <w:tab w:val="center" w:pos="4680"/>
              </w:tabs>
              <w:suppressAutoHyphens/>
              <w:rPr>
                <w:b/>
                <w:spacing w:val="-2"/>
              </w:rPr>
            </w:pPr>
            <w:r>
              <w:rPr>
                <w:b/>
                <w:spacing w:val="-2"/>
              </w:rPr>
              <w:t>)</w:t>
            </w:r>
          </w:p>
          <w:p w:rsidR="004C2EE3" w14:paraId="75B63658" w14:textId="77777777">
            <w:pPr>
              <w:tabs>
                <w:tab w:val="center" w:pos="4680"/>
              </w:tabs>
              <w:suppressAutoHyphens/>
              <w:rPr>
                <w:b/>
                <w:spacing w:val="-2"/>
              </w:rPr>
            </w:pPr>
            <w:r>
              <w:rPr>
                <w:b/>
                <w:spacing w:val="-2"/>
              </w:rPr>
              <w:t>)</w:t>
            </w:r>
          </w:p>
          <w:p w:rsidR="004C2EE3" w14:paraId="6A4FB36B" w14:textId="77777777">
            <w:pPr>
              <w:tabs>
                <w:tab w:val="center" w:pos="4680"/>
              </w:tabs>
              <w:suppressAutoHyphens/>
              <w:rPr>
                <w:b/>
                <w:spacing w:val="-2"/>
              </w:rPr>
            </w:pPr>
            <w:r>
              <w:rPr>
                <w:b/>
                <w:spacing w:val="-2"/>
              </w:rPr>
              <w:t>)</w:t>
            </w:r>
          </w:p>
          <w:p w:rsidR="004C2EE3" w14:paraId="0EA30DFB" w14:textId="77777777">
            <w:pPr>
              <w:tabs>
                <w:tab w:val="center" w:pos="4680"/>
              </w:tabs>
              <w:suppressAutoHyphens/>
              <w:rPr>
                <w:spacing w:val="-2"/>
              </w:rPr>
            </w:pPr>
            <w:r>
              <w:rPr>
                <w:b/>
                <w:spacing w:val="-2"/>
              </w:rPr>
              <w:t>)</w:t>
            </w:r>
          </w:p>
        </w:tc>
        <w:tc>
          <w:tcPr>
            <w:tcW w:w="4248" w:type="dxa"/>
          </w:tcPr>
          <w:p w:rsidR="004C2EE3" w14:paraId="205BFE33" w14:textId="77777777">
            <w:pPr>
              <w:tabs>
                <w:tab w:val="center" w:pos="4680"/>
              </w:tabs>
              <w:suppressAutoHyphens/>
              <w:rPr>
                <w:spacing w:val="-2"/>
              </w:rPr>
            </w:pPr>
          </w:p>
          <w:p w:rsidR="004C2EE3" w14:paraId="04339DDB" w14:textId="77777777">
            <w:pPr>
              <w:pStyle w:val="TOAHeading"/>
              <w:tabs>
                <w:tab w:val="center" w:pos="4680"/>
                <w:tab w:val="clear" w:pos="9360"/>
              </w:tabs>
              <w:rPr>
                <w:spacing w:val="-2"/>
              </w:rPr>
            </w:pPr>
          </w:p>
          <w:p w:rsidR="004C2EE3" w14:paraId="4B3B9E4B" w14:textId="66C9212F">
            <w:pPr>
              <w:tabs>
                <w:tab w:val="center" w:pos="4680"/>
              </w:tabs>
              <w:suppressAutoHyphens/>
              <w:rPr>
                <w:spacing w:val="-2"/>
              </w:rPr>
            </w:pPr>
            <w:r w:rsidRPr="00035CB4">
              <w:rPr>
                <w:spacing w:val="-2"/>
              </w:rPr>
              <w:t>WT Docket No. 20-241</w:t>
            </w:r>
          </w:p>
        </w:tc>
      </w:tr>
    </w:tbl>
    <w:p w:rsidR="004C2EE3" w:rsidP="0070224F" w14:paraId="7EDA7936" w14:textId="77777777"/>
    <w:p w:rsidR="00841AB1" w:rsidP="00F021FA" w14:paraId="1E6905C7" w14:textId="3C625893">
      <w:pPr>
        <w:pStyle w:val="StyleBoldCentered"/>
      </w:pPr>
      <w:r>
        <w:t>ORDER</w:t>
      </w:r>
    </w:p>
    <w:p w:rsidR="004C2EE3" w14:paraId="3E0F7231" w14:textId="77777777">
      <w:pPr>
        <w:tabs>
          <w:tab w:val="left" w:pos="-720"/>
        </w:tabs>
        <w:suppressAutoHyphens/>
        <w:spacing w:line="227" w:lineRule="auto"/>
        <w:rPr>
          <w:spacing w:val="-2"/>
        </w:rPr>
      </w:pPr>
    </w:p>
    <w:p w:rsidR="004C2EE3" w:rsidP="00133F79" w14:paraId="719CA5E7" w14:textId="5E1DF701">
      <w:pPr>
        <w:tabs>
          <w:tab w:val="left" w:pos="720"/>
          <w:tab w:val="right" w:pos="9360"/>
        </w:tabs>
        <w:suppressAutoHyphens/>
        <w:spacing w:line="227" w:lineRule="auto"/>
        <w:rPr>
          <w:spacing w:val="-2"/>
        </w:rPr>
      </w:pPr>
      <w:r>
        <w:rPr>
          <w:b/>
          <w:spacing w:val="-2"/>
        </w:rPr>
        <w:t xml:space="preserve">Adopted:  </w:t>
      </w:r>
      <w:r w:rsidR="00546F37">
        <w:rPr>
          <w:b/>
          <w:spacing w:val="-2"/>
        </w:rPr>
        <w:t>March 31,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46F37">
        <w:rPr>
          <w:b/>
          <w:spacing w:val="-2"/>
        </w:rPr>
        <w:t>March 31, 2022</w:t>
      </w:r>
    </w:p>
    <w:p w:rsidR="00822CE0" w14:paraId="21958289" w14:textId="77777777"/>
    <w:p w:rsidR="004C2EE3" w14:paraId="7FBD7FBB" w14:textId="78D92BE3">
      <w:pPr>
        <w:rPr>
          <w:spacing w:val="-2"/>
        </w:rPr>
      </w:pPr>
      <w:r>
        <w:t xml:space="preserve">By </w:t>
      </w:r>
      <w:r w:rsidR="004E4A22">
        <w:t>the</w:t>
      </w:r>
      <w:r w:rsidR="002A2D2E">
        <w:t xml:space="preserve"> </w:t>
      </w:r>
      <w:r w:rsidRPr="00035CB4" w:rsidR="00035CB4">
        <w:rPr>
          <w:spacing w:val="-2"/>
        </w:rPr>
        <w:t>Chief, Mobility Division, Wireless Telecommunications Bureau</w:t>
      </w:r>
      <w:r>
        <w:rPr>
          <w:spacing w:val="-2"/>
        </w:rPr>
        <w:t>:</w:t>
      </w:r>
    </w:p>
    <w:p w:rsidR="00822CE0" w14:paraId="23DA3174" w14:textId="77777777">
      <w:pPr>
        <w:rPr>
          <w:spacing w:val="-2"/>
        </w:rPr>
      </w:pPr>
    </w:p>
    <w:p w:rsidR="00412FC5" w:rsidP="00C36B4C" w14:paraId="04A8072F" w14:textId="0008A272">
      <w:pPr>
        <w:pStyle w:val="Heading1"/>
      </w:pPr>
      <w:r>
        <w:t>INTRODUCTION</w:t>
      </w:r>
    </w:p>
    <w:p w:rsidR="00035CB4" w:rsidRPr="00035CB4" w:rsidP="00035CB4" w14:paraId="664CA7FC" w14:textId="676F7A2F">
      <w:pPr>
        <w:pStyle w:val="ParaNum"/>
        <w:tabs>
          <w:tab w:val="clear" w:pos="1080"/>
          <w:tab w:val="num" w:pos="1440"/>
        </w:tabs>
      </w:pPr>
      <w:r>
        <w:t>The Commonwealth of Virginia</w:t>
      </w:r>
      <w:r w:rsidR="00F3799F">
        <w:t xml:space="preserve"> (Commonwealth)</w:t>
      </w:r>
      <w:r w:rsidR="00684F52">
        <w:t>,</w:t>
      </w:r>
      <w:r>
        <w:t xml:space="preserve"> Department of State Police (VA State Police) request waiver </w:t>
      </w:r>
      <w:r w:rsidRPr="00E26DB9">
        <w:t xml:space="preserve">of </w:t>
      </w:r>
      <w:r w:rsidR="00E609A7">
        <w:t>s</w:t>
      </w:r>
      <w:r w:rsidRPr="0042664C">
        <w:t xml:space="preserve">ection </w:t>
      </w:r>
      <w:r>
        <w:t>22</w:t>
      </w:r>
      <w:r w:rsidRPr="0042664C">
        <w:t>.5</w:t>
      </w:r>
      <w:r>
        <w:t>65(f)</w:t>
      </w:r>
      <w:r w:rsidRPr="0042664C">
        <w:t xml:space="preserve"> </w:t>
      </w:r>
      <w:r>
        <w:t>of the Commission’s rules</w:t>
      </w:r>
      <w:r>
        <w:rPr>
          <w:vertAlign w:val="superscript"/>
        </w:rPr>
        <w:footnoteReference w:id="3"/>
      </w:r>
      <w:r>
        <w:t xml:space="preserve"> </w:t>
      </w:r>
      <w:r w:rsidRPr="00C1370C">
        <w:t xml:space="preserve">to increase the limit on its </w:t>
      </w:r>
      <w:r w:rsidR="00E609A7">
        <w:t>p</w:t>
      </w:r>
      <w:r w:rsidRPr="00C1370C">
        <w:t>art 22 transmitter power output for its mobile transmitters from 60 watts to 100 watts, using a maximum effective radiated power (ERP) of 150 watts.</w:t>
      </w:r>
      <w:r>
        <w:rPr>
          <w:vertAlign w:val="superscript"/>
        </w:rPr>
        <w:footnoteReference w:id="4"/>
      </w:r>
      <w:r>
        <w:t xml:space="preserve">  </w:t>
      </w:r>
      <w:r w:rsidRPr="00C1370C">
        <w:t>VA State Police</w:t>
      </w:r>
      <w:r w:rsidR="00FF0226">
        <w:t>’s</w:t>
      </w:r>
      <w:r w:rsidRPr="00C1370C">
        <w:t xml:space="preserve"> </w:t>
      </w:r>
      <w:r w:rsidR="00E609A7">
        <w:t>request is to support its effort</w:t>
      </w:r>
      <w:r w:rsidRPr="00C1370C" w:rsidR="00E609A7">
        <w:t xml:space="preserve"> </w:t>
      </w:r>
      <w:r w:rsidRPr="00C1370C">
        <w:t>to increase the capacity of its existing land mobile radio network (LMR), referred to as the Statewide Agencies Radio System (STARS), by upgrading to Time-Division Multiple Access (TDMA) technology, while maintaining the existing geographic coverage on which the STARS public safety communication system depends.</w:t>
      </w:r>
      <w:r>
        <w:t xml:space="preserve">  For the reasons stated below, we grant</w:t>
      </w:r>
      <w:r w:rsidR="001E3E88">
        <w:t xml:space="preserve"> the</w:t>
      </w:r>
      <w:r>
        <w:t xml:space="preserve"> VA State Police </w:t>
      </w:r>
      <w:r w:rsidR="00684F52">
        <w:t>W</w:t>
      </w:r>
      <w:r>
        <w:t xml:space="preserve">aiver </w:t>
      </w:r>
      <w:r w:rsidR="00FA1876">
        <w:t>R</w:t>
      </w:r>
      <w:r>
        <w:t>equest</w:t>
      </w:r>
      <w:r w:rsidR="00BF5FAF">
        <w:t>, subject to the conditions herein</w:t>
      </w:r>
      <w:r>
        <w:t>.</w:t>
      </w:r>
    </w:p>
    <w:p w:rsidR="00035CB4" w:rsidRPr="00035CB4" w:rsidP="00035CB4" w14:paraId="49EF0372" w14:textId="0C15D1A6">
      <w:pPr>
        <w:pStyle w:val="Heading1"/>
      </w:pPr>
      <w:r>
        <w:t>BACKGROUND</w:t>
      </w:r>
    </w:p>
    <w:p w:rsidR="00473BE2" w:rsidP="00B5493D" w14:paraId="719624AE" w14:textId="5A26C06B">
      <w:pPr>
        <w:pStyle w:val="ParaNum"/>
        <w:tabs>
          <w:tab w:val="clear" w:pos="1080"/>
        </w:tabs>
      </w:pPr>
      <w:r w:rsidRPr="00035CB4">
        <w:t xml:space="preserve">STARS is a statewide shared LMR system utilizing </w:t>
      </w:r>
      <w:r w:rsidR="006C50FC">
        <w:t>p</w:t>
      </w:r>
      <w:r w:rsidRPr="00035CB4">
        <w:t>art 90 public safety channels,</w:t>
      </w:r>
      <w:r>
        <w:rPr>
          <w:vertAlign w:val="superscript"/>
        </w:rPr>
        <w:footnoteReference w:id="5"/>
      </w:r>
      <w:r w:rsidRPr="00035CB4">
        <w:t xml:space="preserve"> </w:t>
      </w:r>
      <w:r w:rsidR="006C50FC">
        <w:t>p</w:t>
      </w:r>
      <w:r w:rsidRPr="00035CB4">
        <w:t>art 80 VHF Public Coast channels,</w:t>
      </w:r>
      <w:r>
        <w:rPr>
          <w:vertAlign w:val="superscript"/>
        </w:rPr>
        <w:footnoteReference w:id="6"/>
      </w:r>
      <w:r w:rsidRPr="00035CB4">
        <w:t xml:space="preserve"> and </w:t>
      </w:r>
      <w:r w:rsidR="006C50FC">
        <w:t>p</w:t>
      </w:r>
      <w:r w:rsidRPr="00035CB4">
        <w:t>art 22 VHF paging channels</w:t>
      </w:r>
      <w:r w:rsidR="00FF0226">
        <w:t>,</w:t>
      </w:r>
      <w:r w:rsidRPr="00035CB4">
        <w:t xml:space="preserve"> licensed </w:t>
      </w:r>
      <w:r w:rsidR="000D1E02">
        <w:t>according to</w:t>
      </w:r>
      <w:r w:rsidRPr="00035CB4">
        <w:t xml:space="preserve"> Basic Economic Area markets.</w:t>
      </w:r>
      <w:r>
        <w:rPr>
          <w:vertAlign w:val="superscript"/>
        </w:rPr>
        <w:footnoteReference w:id="7"/>
      </w:r>
      <w:r w:rsidRPr="00035CB4">
        <w:t xml:space="preserve">  </w:t>
      </w:r>
      <w:r w:rsidR="00F05E16">
        <w:t>S</w:t>
      </w:r>
      <w:r w:rsidRPr="003A1030">
        <w:t>TARS provides digital voice and data wireless communications for 2</w:t>
      </w:r>
      <w:r w:rsidR="00F05E16">
        <w:t>2</w:t>
      </w:r>
      <w:r w:rsidRPr="003A1030">
        <w:t xml:space="preserve"> Virginia state </w:t>
      </w:r>
      <w:r w:rsidRPr="003A1030">
        <w:t>agencies.</w:t>
      </w:r>
      <w:r>
        <w:rPr>
          <w:rStyle w:val="FootnoteReference"/>
        </w:rPr>
        <w:footnoteReference w:id="8"/>
      </w:r>
      <w:r w:rsidRPr="003A1030">
        <w:t xml:space="preserve">  </w:t>
      </w:r>
      <w:r w:rsidR="00F05E16">
        <w:t>STAR</w:t>
      </w:r>
      <w:r w:rsidR="007D0507">
        <w:t>S</w:t>
      </w:r>
      <w:r w:rsidR="00F05E16">
        <w:t xml:space="preserve"> has been in operation since 2006,</w:t>
      </w:r>
      <w:r w:rsidR="00353BD8">
        <w:t xml:space="preserve"> facilitating interoperability with local government and federal agencies</w:t>
      </w:r>
      <w:r w:rsidR="00F05E16">
        <w:t>.</w:t>
      </w:r>
      <w:r>
        <w:rPr>
          <w:rStyle w:val="FootnoteReference"/>
        </w:rPr>
        <w:footnoteReference w:id="9"/>
      </w:r>
      <w:r w:rsidR="00F05E16">
        <w:t xml:space="preserve">  </w:t>
      </w:r>
      <w:r w:rsidR="00353BD8">
        <w:t>Its</w:t>
      </w:r>
      <w:r w:rsidRPr="003A1030">
        <w:t xml:space="preserve"> infrastructure </w:t>
      </w:r>
      <w:r w:rsidR="00353BD8">
        <w:t xml:space="preserve">allows </w:t>
      </w:r>
      <w:r w:rsidR="00EA5A99">
        <w:t xml:space="preserve">“talk groups” </w:t>
      </w:r>
      <w:r w:rsidRPr="003A1030">
        <w:t>to communicate privately, even while located in different parts of the state.</w:t>
      </w:r>
      <w:r>
        <w:rPr>
          <w:rStyle w:val="FootnoteReference"/>
        </w:rPr>
        <w:footnoteReference w:id="10"/>
      </w:r>
      <w:r w:rsidR="00353BD8">
        <w:t xml:space="preserve">  According to the VA State Police, it takes many conventional VH</w:t>
      </w:r>
      <w:r w:rsidR="00100AA7">
        <w:t>F</w:t>
      </w:r>
      <w:r w:rsidR="00353BD8">
        <w:t xml:space="preserve"> channels to support public safety-grade radio communications for approximately 336 talk groups.</w:t>
      </w:r>
      <w:r>
        <w:rPr>
          <w:rStyle w:val="FootnoteReference"/>
        </w:rPr>
        <w:footnoteReference w:id="11"/>
      </w:r>
    </w:p>
    <w:p w:rsidR="008E7DCD" w:rsidP="00B5493D" w14:paraId="043995A5" w14:textId="49D4538D">
      <w:pPr>
        <w:pStyle w:val="ParaNum"/>
        <w:tabs>
          <w:tab w:val="clear" w:pos="1080"/>
        </w:tabs>
      </w:pPr>
      <w:r w:rsidRPr="00035CB4">
        <w:t xml:space="preserve">VA State Police </w:t>
      </w:r>
      <w:r w:rsidR="00A87915">
        <w:t>argue</w:t>
      </w:r>
      <w:r w:rsidRPr="00035CB4">
        <w:t xml:space="preserve"> </w:t>
      </w:r>
      <w:r w:rsidR="00A87915">
        <w:t>that the best</w:t>
      </w:r>
      <w:r w:rsidRPr="00035CB4">
        <w:t xml:space="preserve"> </w:t>
      </w:r>
      <w:r w:rsidR="00A87915">
        <w:t xml:space="preserve">way </w:t>
      </w:r>
      <w:r w:rsidRPr="00035CB4">
        <w:t xml:space="preserve">to meet </w:t>
      </w:r>
      <w:r w:rsidR="00A87915">
        <w:t xml:space="preserve">STARS’s </w:t>
      </w:r>
      <w:r w:rsidRPr="00035CB4">
        <w:t xml:space="preserve">increasing capacity needs is to upgrade its </w:t>
      </w:r>
      <w:r w:rsidR="00674788">
        <w:t xml:space="preserve">network from </w:t>
      </w:r>
      <w:r w:rsidRPr="00035CB4">
        <w:t>Frequency-Division Multiple Access technology</w:t>
      </w:r>
      <w:r w:rsidR="00F3799F">
        <w:t xml:space="preserve"> (FDMA)</w:t>
      </w:r>
      <w:r w:rsidRPr="00035CB4">
        <w:t xml:space="preserve"> to </w:t>
      </w:r>
      <w:r>
        <w:t xml:space="preserve">the more spectrally efficient </w:t>
      </w:r>
      <w:r w:rsidRPr="00035CB4">
        <w:t>TDMA technology.</w:t>
      </w:r>
      <w:r>
        <w:rPr>
          <w:rStyle w:val="FootnoteReference"/>
        </w:rPr>
        <w:footnoteReference w:id="12"/>
      </w:r>
      <w:r w:rsidRPr="00035CB4">
        <w:t xml:space="preserve">  </w:t>
      </w:r>
      <w:r w:rsidRPr="00214B7A" w:rsidR="00214B7A">
        <w:t>TDMA technology allows two talk-paths to be used on the same channel at the same time, significantly increasing system capacity, thereby increasing spectral efficiency</w:t>
      </w:r>
      <w:r w:rsidR="00DB4F2F">
        <w:t>.</w:t>
      </w:r>
      <w:r>
        <w:rPr>
          <w:rStyle w:val="FootnoteReference"/>
        </w:rPr>
        <w:footnoteReference w:id="13"/>
      </w:r>
      <w:r w:rsidR="00DB4F2F">
        <w:t xml:space="preserve">  </w:t>
      </w:r>
      <w:r w:rsidR="00C23D30">
        <w:t>According to VA State Police, t</w:t>
      </w:r>
      <w:r w:rsidRPr="00214B7A" w:rsidR="00C23D30">
        <w:t xml:space="preserve">he Commonwealth concluded that </w:t>
      </w:r>
      <w:r w:rsidR="00C23D30">
        <w:t xml:space="preserve">this technology transition will </w:t>
      </w:r>
      <w:r w:rsidRPr="00214B7A" w:rsidR="00C23D30">
        <w:t>meet the increased capacity requirements of its public safety users while still maintaining public safety grade, high quality service.</w:t>
      </w:r>
      <w:r>
        <w:rPr>
          <w:rStyle w:val="FootnoteReference"/>
        </w:rPr>
        <w:footnoteReference w:id="14"/>
      </w:r>
    </w:p>
    <w:p w:rsidR="00214B7A" w:rsidP="00B5493D" w14:paraId="08D7A882" w14:textId="276DF21F">
      <w:pPr>
        <w:pStyle w:val="ParaNum"/>
        <w:tabs>
          <w:tab w:val="clear" w:pos="1080"/>
        </w:tabs>
      </w:pPr>
      <w:r w:rsidRPr="00035CB4">
        <w:t>VA State Police assert</w:t>
      </w:r>
      <w:r w:rsidR="00AC540F">
        <w:t xml:space="preserve"> </w:t>
      </w:r>
      <w:r w:rsidRPr="00035CB4">
        <w:t xml:space="preserve">that the </w:t>
      </w:r>
      <w:r w:rsidR="00C23D30">
        <w:t xml:space="preserve">technology </w:t>
      </w:r>
      <w:r w:rsidRPr="00035CB4">
        <w:t>upgrade</w:t>
      </w:r>
      <w:r w:rsidR="00AC540F">
        <w:t xml:space="preserve"> from FDMA to TDMA</w:t>
      </w:r>
      <w:r w:rsidRPr="00035CB4">
        <w:t xml:space="preserve"> will </w:t>
      </w:r>
      <w:r>
        <w:t>reduce uplink coverage and thus overall system coverage</w:t>
      </w:r>
      <w:r w:rsidR="00AC540F">
        <w:t>,</w:t>
      </w:r>
      <w:r w:rsidRPr="00035CB4">
        <w:t xml:space="preserve"> resulting in a loss of geographical coverage that can best be </w:t>
      </w:r>
      <w:r>
        <w:t>regained</w:t>
      </w:r>
      <w:r w:rsidRPr="00035CB4">
        <w:t xml:space="preserve"> by increasing the </w:t>
      </w:r>
      <w:r>
        <w:t>p</w:t>
      </w:r>
      <w:r w:rsidRPr="00035CB4">
        <w:t>art 22 mobile transmitter power from 60 watts to 100 watts.</w:t>
      </w:r>
      <w:r>
        <w:rPr>
          <w:vertAlign w:val="superscript"/>
        </w:rPr>
        <w:footnoteReference w:id="15"/>
      </w:r>
      <w:r w:rsidRPr="00035CB4">
        <w:t xml:space="preserve">  </w:t>
      </w:r>
      <w:r w:rsidR="0043241F">
        <w:t>VA State Polic</w:t>
      </w:r>
      <w:r w:rsidR="00212831">
        <w:t xml:space="preserve">e’s </w:t>
      </w:r>
      <w:r w:rsidR="0043241F">
        <w:t xml:space="preserve">maximum mobile transmitter power output (TPO) </w:t>
      </w:r>
      <w:r>
        <w:t xml:space="preserve">under part 22 </w:t>
      </w:r>
      <w:r w:rsidR="0043241F">
        <w:t xml:space="preserve">is limited to 60 watts, </w:t>
      </w:r>
      <w:r w:rsidR="00212831">
        <w:t xml:space="preserve">and it asserts that </w:t>
      </w:r>
      <w:r w:rsidRPr="00E51A1B" w:rsidR="0043241F">
        <w:t xml:space="preserve">most other STARS frequency authorizations </w:t>
      </w:r>
      <w:r w:rsidR="00212831">
        <w:t xml:space="preserve">in </w:t>
      </w:r>
      <w:r w:rsidR="0043241F">
        <w:t>p</w:t>
      </w:r>
      <w:r w:rsidRPr="00E51A1B" w:rsidR="0043241F">
        <w:t>art</w:t>
      </w:r>
      <w:r w:rsidR="00212831">
        <w:t>s</w:t>
      </w:r>
      <w:r w:rsidRPr="00E51A1B" w:rsidR="0043241F">
        <w:t xml:space="preserve"> 80 </w:t>
      </w:r>
      <w:r w:rsidR="0043241F">
        <w:t xml:space="preserve">and </w:t>
      </w:r>
      <w:r w:rsidRPr="00E51A1B" w:rsidR="0043241F">
        <w:t>90 have a maximum TPO between 11</w:t>
      </w:r>
      <w:r w:rsidR="00212831">
        <w:t>0-1</w:t>
      </w:r>
      <w:r w:rsidRPr="00E51A1B" w:rsidR="0043241F">
        <w:t xml:space="preserve">25 watts, </w:t>
      </w:r>
      <w:r w:rsidR="00212831">
        <w:t xml:space="preserve">with a </w:t>
      </w:r>
      <w:r w:rsidRPr="00E51A1B" w:rsidR="0043241F">
        <w:t xml:space="preserve">maximum ERP </w:t>
      </w:r>
      <w:r w:rsidR="00212831">
        <w:t xml:space="preserve">of </w:t>
      </w:r>
      <w:r w:rsidRPr="00E51A1B" w:rsidR="0043241F">
        <w:t>250 watts.</w:t>
      </w:r>
      <w:r>
        <w:rPr>
          <w:rStyle w:val="FootnoteReference"/>
        </w:rPr>
        <w:footnoteReference w:id="16"/>
      </w:r>
      <w:r w:rsidR="0043241F">
        <w:t xml:space="preserve"> </w:t>
      </w:r>
      <w:r w:rsidRPr="00E51A1B" w:rsidR="0043241F">
        <w:t xml:space="preserve"> </w:t>
      </w:r>
      <w:r w:rsidR="0043241F">
        <w:t>VA State Police argue that t</w:t>
      </w:r>
      <w:r w:rsidRPr="00E51A1B" w:rsidR="0043241F">
        <w:t>his disparity causes an imbalance between talk-out and talk-in coverage for the STARS P25 radio network.</w:t>
      </w:r>
      <w:r>
        <w:rPr>
          <w:rStyle w:val="FootnoteReference"/>
        </w:rPr>
        <w:footnoteReference w:id="17"/>
      </w:r>
      <w:r w:rsidR="0043241F">
        <w:t xml:space="preserve">  </w:t>
      </w:r>
      <w:r w:rsidRPr="00035CB4" w:rsidR="00F60E42">
        <w:t>VA State Police further claim</w:t>
      </w:r>
      <w:r w:rsidR="007D0507">
        <w:t>s</w:t>
      </w:r>
      <w:r w:rsidRPr="00035CB4" w:rsidR="00F60E42">
        <w:t xml:space="preserve"> that its operation at this increased power level will not cause any interference to </w:t>
      </w:r>
      <w:r w:rsidRPr="00035CB4" w:rsidR="00F60E42">
        <w:t>others operating on adjacent channels.</w:t>
      </w:r>
      <w:r>
        <w:rPr>
          <w:vertAlign w:val="superscript"/>
        </w:rPr>
        <w:footnoteReference w:id="18"/>
      </w:r>
    </w:p>
    <w:p w:rsidR="00035CB4" w:rsidP="00B20A1E" w14:paraId="5DF69C43" w14:textId="6DAFBB37">
      <w:pPr>
        <w:pStyle w:val="ParaNum"/>
        <w:tabs>
          <w:tab w:val="clear" w:pos="1080"/>
          <w:tab w:val="num" w:pos="1440"/>
        </w:tabs>
      </w:pPr>
      <w:r>
        <w:t xml:space="preserve">On February </w:t>
      </w:r>
      <w:r w:rsidR="00496E4B">
        <w:t>12, 2021, t</w:t>
      </w:r>
      <w:r w:rsidRPr="001F1BC0" w:rsidR="001F1BC0">
        <w:t xml:space="preserve">he </w:t>
      </w:r>
      <w:r w:rsidR="003D6F5D">
        <w:t xml:space="preserve">Wireless Telecommunications </w:t>
      </w:r>
      <w:r w:rsidRPr="001F1BC0" w:rsidR="001F1BC0">
        <w:t xml:space="preserve">Bureau </w:t>
      </w:r>
      <w:r w:rsidR="003D6F5D">
        <w:t xml:space="preserve">(Bureau) released a Public Notice seeking comment on </w:t>
      </w:r>
      <w:r w:rsidR="001E3E88">
        <w:t xml:space="preserve">the </w:t>
      </w:r>
      <w:r w:rsidR="003D6F5D">
        <w:t xml:space="preserve">VA State Police request for waiver of </w:t>
      </w:r>
      <w:r w:rsidR="00177615">
        <w:t>s</w:t>
      </w:r>
      <w:r w:rsidR="003D6F5D">
        <w:t>ection 22.565(f) to increase mobile transmitter output power from 60 to 100 watts.</w:t>
      </w:r>
      <w:r>
        <w:rPr>
          <w:rStyle w:val="FootnoteReference"/>
        </w:rPr>
        <w:footnoteReference w:id="19"/>
      </w:r>
      <w:r w:rsidR="003D6F5D">
        <w:t xml:space="preserve">  </w:t>
      </w:r>
      <w:r w:rsidR="00496E4B">
        <w:t xml:space="preserve">The two commenting parties responding to the </w:t>
      </w:r>
      <w:r w:rsidRPr="001F1BC0" w:rsidR="001F1BC0">
        <w:t>pu</w:t>
      </w:r>
      <w:r w:rsidR="00496E4B">
        <w:t xml:space="preserve">blic notice both supported </w:t>
      </w:r>
      <w:r w:rsidR="001E3E88">
        <w:t xml:space="preserve">the </w:t>
      </w:r>
      <w:r w:rsidR="00496E4B">
        <w:t>VA State Police Waiver Reques</w:t>
      </w:r>
      <w:r w:rsidRPr="001F1BC0" w:rsidR="001F1BC0">
        <w:t>t</w:t>
      </w:r>
      <w:r w:rsidR="00496E4B">
        <w:t>.</w:t>
      </w:r>
      <w:r>
        <w:rPr>
          <w:rStyle w:val="FootnoteReference"/>
        </w:rPr>
        <w:footnoteReference w:id="20"/>
      </w:r>
    </w:p>
    <w:p w:rsidR="001F1BC0" w:rsidP="001F1BC0" w14:paraId="092FCD1F" w14:textId="4C7874A1">
      <w:pPr>
        <w:pStyle w:val="Heading1"/>
      </w:pPr>
      <w:r>
        <w:t>DISCUSSION</w:t>
      </w:r>
    </w:p>
    <w:p w:rsidR="001F1BC0" w:rsidP="00E609A7" w14:paraId="441F2991" w14:textId="1CE16F9C">
      <w:pPr>
        <w:pStyle w:val="ParaNum"/>
        <w:tabs>
          <w:tab w:val="clear" w:pos="1080"/>
        </w:tabs>
      </w:pPr>
      <w:r w:rsidRPr="001F1BC0">
        <w:t>To obtain a waiver of the Commission’s rules, a petitioner must demonstrate either that: (</w:t>
      </w:r>
      <w:r w:rsidRPr="001F1BC0">
        <w:t>i</w:t>
      </w:r>
      <w:r w:rsidRPr="001F1BC0">
        <w:t>) the underlying purpose of the rule(s) would not be served or would be frustrated by application to the present case, and that a grant of the waiver would be in the public interest;</w:t>
      </w:r>
      <w:r>
        <w:rPr>
          <w:vertAlign w:val="superscript"/>
        </w:rPr>
        <w:footnoteReference w:id="21"/>
      </w:r>
      <w:r w:rsidRPr="001F1BC0">
        <w:t xml:space="preserve"> or (ii) in view of unique or unusual factual circumstances of the instant case, application of the rule(s) would be inequitable, unduly burdensome, or contrary to the public interest, or the applicant has no reasonable alternative.</w:t>
      </w:r>
      <w:r>
        <w:rPr>
          <w:vertAlign w:val="superscript"/>
        </w:rPr>
        <w:footnoteReference w:id="22"/>
      </w:r>
      <w:r w:rsidRPr="001F1BC0">
        <w:t xml:space="preserve">  An applicant seeking a waiver faces a high hurdle and must plead with particularity the facts and circumstances that warrant a waiver.</w:t>
      </w:r>
      <w:bookmarkStart w:id="3" w:name="_Ref63477514"/>
      <w:r>
        <w:rPr>
          <w:vertAlign w:val="superscript"/>
        </w:rPr>
        <w:footnoteReference w:id="23"/>
      </w:r>
      <w:bookmarkEnd w:id="3"/>
    </w:p>
    <w:p w:rsidR="00494832" w:rsidP="004D7E68" w14:paraId="2F97131D" w14:textId="4372BE8D">
      <w:pPr>
        <w:pStyle w:val="ParaNum"/>
        <w:tabs>
          <w:tab w:val="clear" w:pos="1080"/>
        </w:tabs>
      </w:pPr>
      <w:r w:rsidRPr="00494832">
        <w:t xml:space="preserve">We find that </w:t>
      </w:r>
      <w:r>
        <w:t xml:space="preserve">the underlying purpose of section 22.565(f) would </w:t>
      </w:r>
      <w:r w:rsidR="00551D13">
        <w:t xml:space="preserve">not </w:t>
      </w:r>
      <w:r>
        <w:t xml:space="preserve">be </w:t>
      </w:r>
      <w:r w:rsidR="00551D13">
        <w:t>served</w:t>
      </w:r>
      <w:r w:rsidR="00074FD5">
        <w:t xml:space="preserve"> </w:t>
      </w:r>
      <w:r>
        <w:t xml:space="preserve">by strict application in the present case and further find that grant of the waiver is in the public interest.  </w:t>
      </w:r>
      <w:r w:rsidR="00F5643C">
        <w:t xml:space="preserve">Additionally, the waiver request is unopposed and grant is consistent with Commission precedent. </w:t>
      </w:r>
      <w:r>
        <w:t xml:space="preserve">Further, we ensure that </w:t>
      </w:r>
      <w:bookmarkStart w:id="4" w:name="_Hlk86921049"/>
      <w:r>
        <w:t xml:space="preserve">the risk of </w:t>
      </w:r>
      <w:r w:rsidR="00C1669C">
        <w:t xml:space="preserve">harmful </w:t>
      </w:r>
      <w:r>
        <w:t xml:space="preserve">interference to adjacent </w:t>
      </w:r>
      <w:r w:rsidR="00E609A7">
        <w:t>p</w:t>
      </w:r>
      <w:r>
        <w:t xml:space="preserve">art 22 </w:t>
      </w:r>
      <w:r w:rsidR="0005768A">
        <w:t>licensees</w:t>
      </w:r>
      <w:r>
        <w:t xml:space="preserve"> is </w:t>
      </w:r>
      <w:bookmarkEnd w:id="4"/>
      <w:r w:rsidR="00C23D30">
        <w:t>mitigated</w:t>
      </w:r>
      <w:r>
        <w:t xml:space="preserve"> by conditioning this waiver grant as described below.</w:t>
      </w:r>
    </w:p>
    <w:p w:rsidR="00325B8E" w:rsidP="004D7E68" w14:paraId="01B32AE3" w14:textId="1BB0A5B6">
      <w:pPr>
        <w:pStyle w:val="ParaNum"/>
        <w:tabs>
          <w:tab w:val="clear" w:pos="1080"/>
        </w:tabs>
      </w:pPr>
      <w:r>
        <w:rPr>
          <w:i/>
          <w:iCs/>
        </w:rPr>
        <w:t>Underlying Purpose Would Not Be Served.</w:t>
      </w:r>
      <w:r w:rsidRPr="00740B93">
        <w:t xml:space="preserve">  </w:t>
      </w:r>
      <w:r w:rsidRPr="00807E2B" w:rsidR="00807E2B">
        <w:t>Section 22.565(f) limits the transmitting power of mobile transmitters in order to eliminate or severely limit occurrences of harmful interference between one-way or two-way mobile communications systems.</w:t>
      </w:r>
      <w:r w:rsidR="00074FD5">
        <w:t xml:space="preserve">  The intent and underlying purpose of this and other related part 22 rule sections is to afford part 22 licensees flexibility in providing service to the public and expand access to mobile radio networks and services</w:t>
      </w:r>
      <w:r w:rsidR="00BD4AB6">
        <w:t xml:space="preserve"> while preventing harmful interference</w:t>
      </w:r>
      <w:r w:rsidR="00074FD5">
        <w:t>.</w:t>
      </w:r>
      <w:r>
        <w:rPr>
          <w:rStyle w:val="FootnoteReference"/>
        </w:rPr>
        <w:footnoteReference w:id="24"/>
      </w:r>
      <w:r w:rsidR="00074FD5">
        <w:t xml:space="preserve">  We </w:t>
      </w:r>
      <w:r w:rsidR="00C23D30">
        <w:t>find</w:t>
      </w:r>
      <w:r w:rsidR="00074FD5">
        <w:t xml:space="preserve">, in this specific case, </w:t>
      </w:r>
      <w:r w:rsidR="005A43F2">
        <w:t xml:space="preserve">that </w:t>
      </w:r>
      <w:r w:rsidR="00074FD5">
        <w:t xml:space="preserve">the purpose of </w:t>
      </w:r>
      <w:r w:rsidR="00344C87">
        <w:t xml:space="preserve">section 22.565(f) </w:t>
      </w:r>
      <w:r w:rsidR="00074FD5">
        <w:t>and</w:t>
      </w:r>
      <w:r w:rsidR="001D4D62">
        <w:t xml:space="preserve"> </w:t>
      </w:r>
      <w:r w:rsidR="00074FD5">
        <w:t xml:space="preserve">other related rule sections would </w:t>
      </w:r>
      <w:r w:rsidR="00344C87">
        <w:t>be better served by a waiver</w:t>
      </w:r>
      <w:r w:rsidR="000952CF">
        <w:t>, with the conditions imposed below,</w:t>
      </w:r>
      <w:r w:rsidR="00344C87">
        <w:t xml:space="preserve"> </w:t>
      </w:r>
      <w:r w:rsidR="00A77A77">
        <w:t xml:space="preserve">than </w:t>
      </w:r>
      <w:r w:rsidR="007D0507">
        <w:t xml:space="preserve">by </w:t>
      </w:r>
      <w:r w:rsidR="00A77A77">
        <w:t xml:space="preserve">strict adherence to </w:t>
      </w:r>
      <w:r w:rsidR="005C3D59">
        <w:t>the terms of the rule</w:t>
      </w:r>
      <w:r w:rsidR="000952CF">
        <w:t>.</w:t>
      </w:r>
      <w:r>
        <w:rPr>
          <w:rStyle w:val="FootnoteReference"/>
        </w:rPr>
        <w:footnoteReference w:id="25"/>
      </w:r>
      <w:r w:rsidR="000952CF">
        <w:t xml:space="preserve">  </w:t>
      </w:r>
      <w:r w:rsidR="0011676A">
        <w:t xml:space="preserve">Strictly applied, </w:t>
      </w:r>
      <w:r w:rsidR="00074FD5">
        <w:t>section 22.565(f)</w:t>
      </w:r>
      <w:r w:rsidR="00C23D30">
        <w:t xml:space="preserve"> </w:t>
      </w:r>
      <w:r w:rsidR="003437FD">
        <w:t>limit</w:t>
      </w:r>
      <w:r w:rsidR="00FE34DA">
        <w:t>s</w:t>
      </w:r>
      <w:r w:rsidR="003437FD">
        <w:t xml:space="preserve"> the services VA State Police is able to provide on its </w:t>
      </w:r>
      <w:r w:rsidR="003437FD">
        <w:t>public safety network, rather than enabling flexibility</w:t>
      </w:r>
      <w:r w:rsidR="00074FD5">
        <w:t>.</w:t>
      </w:r>
      <w:r w:rsidR="00AC2484">
        <w:t xml:space="preserve"> </w:t>
      </w:r>
      <w:r w:rsidR="00FE34DA">
        <w:t xml:space="preserve"> </w:t>
      </w:r>
      <w:r w:rsidR="003437FD">
        <w:t xml:space="preserve">Waiver of the rule </w:t>
      </w:r>
      <w:r>
        <w:t xml:space="preserve">will </w:t>
      </w:r>
      <w:r w:rsidR="007A6489">
        <w:t xml:space="preserve">allow </w:t>
      </w:r>
      <w:r>
        <w:t xml:space="preserve">the </w:t>
      </w:r>
      <w:r w:rsidR="007A6489">
        <w:t>STARS network to continue to</w:t>
      </w:r>
      <w:r w:rsidR="008206E0">
        <w:t xml:space="preserve"> provide</w:t>
      </w:r>
      <w:r w:rsidRPr="00325B8E">
        <w:t xml:space="preserve"> </w:t>
      </w:r>
      <w:r w:rsidR="003058A9">
        <w:t>high</w:t>
      </w:r>
      <w:r w:rsidRPr="00325B8E" w:rsidR="003058A9">
        <w:t xml:space="preserve"> </w:t>
      </w:r>
      <w:r w:rsidRPr="00325B8E">
        <w:t>quality and cost-effective portable radio coverage covering 97% of Virginia’s population (with over 90% geographical coverage)</w:t>
      </w:r>
      <w:r w:rsidR="00C1126B">
        <w:t xml:space="preserve"> without </w:t>
      </w:r>
      <w:r w:rsidR="00304318">
        <w:t>unduly impacting adjacent licensees</w:t>
      </w:r>
      <w:r w:rsidRPr="00325B8E">
        <w:t>.</w:t>
      </w:r>
    </w:p>
    <w:p w:rsidR="00AA1D8F" w:rsidRPr="0085564F" w:rsidP="00FE34DA" w14:paraId="1FB48CEA" w14:textId="07AD2145">
      <w:pPr>
        <w:pStyle w:val="ParaNum"/>
        <w:tabs>
          <w:tab w:val="clear" w:pos="1080"/>
        </w:tabs>
      </w:pPr>
      <w:r w:rsidRPr="00325B8E">
        <w:rPr>
          <w:i/>
          <w:iCs/>
        </w:rPr>
        <w:t>Waiver is in the public interest</w:t>
      </w:r>
      <w:r w:rsidRPr="008A7568">
        <w:t xml:space="preserve">.  </w:t>
      </w:r>
      <w:r>
        <w:t xml:space="preserve">We also find that grant of the </w:t>
      </w:r>
      <w:r w:rsidR="006E4D4A">
        <w:t>w</w:t>
      </w:r>
      <w:r>
        <w:t xml:space="preserve">aiver </w:t>
      </w:r>
      <w:r w:rsidR="006E4D4A">
        <w:t>r</w:t>
      </w:r>
      <w:r>
        <w:t xml:space="preserve">equest is in the public interest.  Grant of this waiver will allow </w:t>
      </w:r>
      <w:r w:rsidRPr="00325B8E">
        <w:t>VA State Police to upgrade its system to a more spectrally efficient technology</w:t>
      </w:r>
      <w:r w:rsidR="007F435B">
        <w:t xml:space="preserve">, allowing </w:t>
      </w:r>
      <w:r w:rsidR="007D0507">
        <w:t xml:space="preserve">it </w:t>
      </w:r>
      <w:r w:rsidR="007F435B">
        <w:t>to continue unique public safety missions</w:t>
      </w:r>
      <w:r w:rsidRPr="00325B8E">
        <w:t xml:space="preserve">.  </w:t>
      </w:r>
      <w:r w:rsidR="007F435B">
        <w:t>Specifically, t</w:t>
      </w:r>
      <w:r>
        <w:t xml:space="preserve">his upgrade will enable </w:t>
      </w:r>
      <w:r w:rsidR="007D0507">
        <w:t xml:space="preserve">it </w:t>
      </w:r>
      <w:r w:rsidRPr="00325B8E">
        <w:t xml:space="preserve">to continue to </w:t>
      </w:r>
      <w:r>
        <w:t>operate</w:t>
      </w:r>
      <w:r w:rsidRPr="00325B8E">
        <w:t xml:space="preserve"> </w:t>
      </w:r>
      <w:r w:rsidR="007D0507">
        <w:t>its</w:t>
      </w:r>
      <w:r w:rsidRPr="00325B8E" w:rsidR="007D0507">
        <w:t xml:space="preserve"> </w:t>
      </w:r>
      <w:r>
        <w:t xml:space="preserve">STARS public safety network, which </w:t>
      </w:r>
      <w:r w:rsidR="007F435B">
        <w:t xml:space="preserve">as mentioned above, </w:t>
      </w:r>
      <w:r>
        <w:t xml:space="preserve">supports </w:t>
      </w:r>
      <w:r w:rsidR="007F435B">
        <w:t>22</w:t>
      </w:r>
      <w:r>
        <w:t xml:space="preserve"> state agencies</w:t>
      </w:r>
      <w:r w:rsidR="007F435B">
        <w:t>,</w:t>
      </w:r>
      <w:r>
        <w:t xml:space="preserve"> facilitates interoperability with local governments and federal agencies</w:t>
      </w:r>
      <w:r w:rsidR="007F435B">
        <w:t>,</w:t>
      </w:r>
      <w:r>
        <w:t xml:space="preserve"> and is routinely called upon to meet new communications and interoperability needs such as multi-agency response to public safety emergencies, requiring the addition of many new users.</w:t>
      </w:r>
      <w:r>
        <w:rPr>
          <w:rStyle w:val="FootnoteReference"/>
        </w:rPr>
        <w:footnoteReference w:id="26"/>
      </w:r>
      <w:r>
        <w:t xml:space="preserve">  Further, the network is used in more</w:t>
      </w:r>
      <w:r w:rsidRPr="00325B8E">
        <w:t xml:space="preserve"> </w:t>
      </w:r>
      <w:r>
        <w:t xml:space="preserve">than </w:t>
      </w:r>
      <w:r w:rsidRPr="00325B8E">
        <w:t>3,600 first responder and some public service vehicles</w:t>
      </w:r>
      <w:r>
        <w:t>.</w:t>
      </w:r>
      <w:r>
        <w:rPr>
          <w:rStyle w:val="FootnoteReference"/>
        </w:rPr>
        <w:footnoteReference w:id="27"/>
      </w:r>
      <w:r>
        <w:t xml:space="preserve">  Without the requested waiver, the Commonwealth would likely be faced with the options of either not upgrading to a more spectrum-efficient technology which would yield more capacity, or upgrading with the knowledge that it may lose coverage and quality in some cases due to signal imbalance.</w:t>
      </w:r>
      <w:r>
        <w:rPr>
          <w:rStyle w:val="FootnoteReference"/>
        </w:rPr>
        <w:footnoteReference w:id="28"/>
      </w:r>
    </w:p>
    <w:p w:rsidR="00325B8E" w:rsidP="003437FD" w14:paraId="5D06F874" w14:textId="17E2060C">
      <w:pPr>
        <w:pStyle w:val="ParaNum"/>
        <w:tabs>
          <w:tab w:val="clear" w:pos="1080"/>
        </w:tabs>
      </w:pPr>
      <w:r>
        <w:rPr>
          <w:i/>
          <w:iCs/>
        </w:rPr>
        <w:t>W</w:t>
      </w:r>
      <w:r w:rsidRPr="00325B8E">
        <w:rPr>
          <w:i/>
          <w:iCs/>
        </w:rPr>
        <w:t>aiver is consistent with Commission precedent</w:t>
      </w:r>
      <w:r w:rsidRPr="008A7568">
        <w:t xml:space="preserve">.  </w:t>
      </w:r>
      <w:r w:rsidRPr="00325B8E">
        <w:t xml:space="preserve">The </w:t>
      </w:r>
      <w:r w:rsidR="003437FD">
        <w:t>Bureau</w:t>
      </w:r>
      <w:r w:rsidRPr="00325B8E" w:rsidR="003437FD">
        <w:t xml:space="preserve"> </w:t>
      </w:r>
      <w:r w:rsidRPr="00325B8E">
        <w:t xml:space="preserve">has granted </w:t>
      </w:r>
      <w:r w:rsidR="007F435B">
        <w:t xml:space="preserve">multiple </w:t>
      </w:r>
      <w:r w:rsidRPr="00325B8E">
        <w:t xml:space="preserve">waivers of </w:t>
      </w:r>
      <w:r w:rsidR="009F575E">
        <w:t xml:space="preserve">its </w:t>
      </w:r>
      <w:r w:rsidR="00F5643C">
        <w:t>p</w:t>
      </w:r>
      <w:r w:rsidR="009F575E">
        <w:t>art 22 paging</w:t>
      </w:r>
      <w:r w:rsidR="0005768A">
        <w:t xml:space="preserve"> </w:t>
      </w:r>
      <w:r w:rsidR="004C435D">
        <w:t>(</w:t>
      </w:r>
      <w:r w:rsidR="009F575E">
        <w:t>one-way or two-way</w:t>
      </w:r>
      <w:r w:rsidR="004C435D">
        <w:t>)</w:t>
      </w:r>
      <w:r w:rsidR="009F575E">
        <w:t xml:space="preserve"> mobile operation rules in general</w:t>
      </w:r>
      <w:r w:rsidR="00304318">
        <w:t>,</w:t>
      </w:r>
      <w:r>
        <w:rPr>
          <w:rStyle w:val="FootnoteReference"/>
        </w:rPr>
        <w:footnoteReference w:id="29"/>
      </w:r>
      <w:r w:rsidR="00304318">
        <w:t xml:space="preserve"> a</w:t>
      </w:r>
      <w:r w:rsidR="00592C2B">
        <w:t xml:space="preserve">nd of </w:t>
      </w:r>
      <w:r w:rsidR="00AA1D8F">
        <w:t>s</w:t>
      </w:r>
      <w:r w:rsidRPr="00325B8E">
        <w:t>ection 22.565(f)</w:t>
      </w:r>
      <w:r w:rsidR="009F575E">
        <w:t xml:space="preserve"> in particular</w:t>
      </w:r>
      <w:r w:rsidR="00B35232">
        <w:t>,</w:t>
      </w:r>
      <w:r w:rsidRPr="00325B8E">
        <w:t xml:space="preserve"> to increase the mobile transmitter power </w:t>
      </w:r>
      <w:r>
        <w:t xml:space="preserve">output </w:t>
      </w:r>
      <w:r w:rsidRPr="00325B8E">
        <w:t>limit</w:t>
      </w:r>
      <w:r w:rsidR="00B719B0">
        <w:t>s</w:t>
      </w:r>
      <w:r w:rsidR="008A7568">
        <w:t xml:space="preserve"> </w:t>
      </w:r>
      <w:r w:rsidR="00B719B0">
        <w:t>involving public safety networks</w:t>
      </w:r>
      <w:r w:rsidRPr="00B35232" w:rsidR="00B35232">
        <w:t>.</w:t>
      </w:r>
      <w:r>
        <w:rPr>
          <w:rStyle w:val="FootnoteReference"/>
        </w:rPr>
        <w:footnoteReference w:id="30"/>
      </w:r>
      <w:r w:rsidR="00B35232">
        <w:t xml:space="preserve">  </w:t>
      </w:r>
      <w:r w:rsidR="001C540A">
        <w:t xml:space="preserve">In both the </w:t>
      </w:r>
      <w:r w:rsidR="0085564F">
        <w:rPr>
          <w:i/>
          <w:iCs/>
        </w:rPr>
        <w:t>Wyoming</w:t>
      </w:r>
      <w:r w:rsidR="001C540A">
        <w:rPr>
          <w:i/>
          <w:iCs/>
        </w:rPr>
        <w:t xml:space="preserve"> Waiver Order </w:t>
      </w:r>
      <w:r w:rsidR="001C540A">
        <w:t xml:space="preserve">and the </w:t>
      </w:r>
      <w:r w:rsidR="0085564F">
        <w:rPr>
          <w:i/>
          <w:iCs/>
        </w:rPr>
        <w:t>Maine</w:t>
      </w:r>
      <w:r w:rsidR="001C540A">
        <w:rPr>
          <w:i/>
          <w:iCs/>
        </w:rPr>
        <w:t xml:space="preserve"> Waiver Order</w:t>
      </w:r>
      <w:r w:rsidR="001C540A">
        <w:t>, th</w:t>
      </w:r>
      <w:r w:rsidR="0043241F">
        <w:t xml:space="preserve">e Bureau </w:t>
      </w:r>
      <w:r w:rsidR="001C540A">
        <w:t>likewise increased the mobile transmitter power output limits from 60 to 100 watts</w:t>
      </w:r>
      <w:r w:rsidR="0043241F">
        <w:t xml:space="preserve"> for </w:t>
      </w:r>
      <w:r w:rsidR="007F435B">
        <w:t xml:space="preserve">similar </w:t>
      </w:r>
      <w:r w:rsidR="0043241F">
        <w:t>state public safety systems</w:t>
      </w:r>
      <w:r w:rsidR="001C540A">
        <w:t>.</w:t>
      </w:r>
      <w:r>
        <w:rPr>
          <w:rStyle w:val="FootnoteReference"/>
        </w:rPr>
        <w:footnoteReference w:id="31"/>
      </w:r>
      <w:r w:rsidR="001C540A">
        <w:rPr>
          <w:i/>
          <w:iCs/>
        </w:rPr>
        <w:t xml:space="preserve"> </w:t>
      </w:r>
      <w:r w:rsidR="00B719B0">
        <w:t xml:space="preserve"> In the </w:t>
      </w:r>
      <w:r w:rsidR="00B719B0">
        <w:rPr>
          <w:i/>
          <w:iCs/>
        </w:rPr>
        <w:t>Maine Waive</w:t>
      </w:r>
      <w:r w:rsidRPr="006E4D4A" w:rsidR="00B719B0">
        <w:rPr>
          <w:i/>
          <w:iCs/>
        </w:rPr>
        <w:t xml:space="preserve">r </w:t>
      </w:r>
      <w:r w:rsidRPr="00494030" w:rsidR="00B719B0">
        <w:rPr>
          <w:i/>
          <w:iCs/>
        </w:rPr>
        <w:t>Order</w:t>
      </w:r>
      <w:r w:rsidR="00B719B0">
        <w:t xml:space="preserve">, the Bureau specifically noted that forcing the state to maintain a 60-watt limit for its </w:t>
      </w:r>
      <w:r w:rsidR="00177615">
        <w:t>p</w:t>
      </w:r>
      <w:r w:rsidR="00B719B0">
        <w:t>art 22 mobile units when the rest of its system was operating at 110 watts would be spectrally inefficient, unnecessarily costly, and thus unduly burdensome.</w:t>
      </w:r>
      <w:r>
        <w:rPr>
          <w:rStyle w:val="FootnoteReference"/>
        </w:rPr>
        <w:footnoteReference w:id="32"/>
      </w:r>
      <w:r w:rsidR="00B719B0">
        <w:t xml:space="preserve">  In each instance, the waiver grant supported </w:t>
      </w:r>
      <w:r w:rsidRPr="00325B8E" w:rsidR="00B719B0">
        <w:t>state public safety/service entities when grant of such conditional waivers was not likely to cause harmful interference to adjacent users.</w:t>
      </w:r>
      <w:r w:rsidR="00B719B0">
        <w:t xml:space="preserve">  We find </w:t>
      </w:r>
      <w:r w:rsidR="007D0507">
        <w:t xml:space="preserve">a </w:t>
      </w:r>
      <w:r w:rsidR="00B719B0">
        <w:t xml:space="preserve">very similar fact pattern present here and thus find grant of the VA State Police’s request for waiver consistent with </w:t>
      </w:r>
      <w:r w:rsidR="0043241F">
        <w:t>the Commission’s precedent.</w:t>
      </w:r>
      <w:r w:rsidR="003437FD">
        <w:t xml:space="preserve"> </w:t>
      </w:r>
    </w:p>
    <w:p w:rsidR="003437FD" w:rsidRPr="00445F60" w:rsidP="003437FD" w14:paraId="3C7DBC67" w14:textId="489C0505">
      <w:pPr>
        <w:pStyle w:val="ParaNum"/>
        <w:tabs>
          <w:tab w:val="clear" w:pos="1080"/>
        </w:tabs>
      </w:pPr>
      <w:r w:rsidRPr="00494030">
        <w:rPr>
          <w:i/>
          <w:iCs/>
        </w:rPr>
        <w:t>Waiver is unopposed</w:t>
      </w:r>
      <w:r>
        <w:t xml:space="preserve">.  </w:t>
      </w:r>
      <w:r>
        <w:t>We also note that t</w:t>
      </w:r>
      <w:r w:rsidRPr="00325B8E">
        <w:t xml:space="preserve">he Bureau sought comment on the waiver request, </w:t>
      </w:r>
      <w:r>
        <w:t>including</w:t>
      </w:r>
      <w:r w:rsidRPr="00325B8E">
        <w:t xml:space="preserve"> from any parties whose operations could be impacted by grant of the waiver request.</w:t>
      </w:r>
      <w:r>
        <w:rPr>
          <w:rStyle w:val="FootnoteReference"/>
        </w:rPr>
        <w:footnoteReference w:id="33"/>
      </w:r>
      <w:r w:rsidRPr="00325B8E">
        <w:t xml:space="preserve">  </w:t>
      </w:r>
      <w:r>
        <w:t>Yet t</w:t>
      </w:r>
      <w:r w:rsidRPr="00325B8E">
        <w:t>he waiver request was unopposed</w:t>
      </w:r>
      <w:r w:rsidR="006E4D4A">
        <w:t>,</w:t>
      </w:r>
      <w:r w:rsidRPr="00325B8E">
        <w:t xml:space="preserve"> with one supporting comment and one supporting reply comment.</w:t>
      </w:r>
      <w:r>
        <w:rPr>
          <w:rStyle w:val="FootnoteReference"/>
        </w:rPr>
        <w:footnoteReference w:id="34"/>
      </w:r>
    </w:p>
    <w:p w:rsidR="00325B8E" w:rsidP="004D7E68" w14:paraId="4D020B98" w14:textId="1089891E">
      <w:pPr>
        <w:pStyle w:val="ParaNum"/>
        <w:tabs>
          <w:tab w:val="clear" w:pos="1080"/>
        </w:tabs>
      </w:pPr>
      <w:r>
        <w:rPr>
          <w:i/>
          <w:iCs/>
        </w:rPr>
        <w:t>Conditions to Mitigate Risk of Harmful Interference</w:t>
      </w:r>
      <w:r w:rsidRPr="008A7568">
        <w:t>.</w:t>
      </w:r>
      <w:r>
        <w:t xml:space="preserve"> </w:t>
      </w:r>
      <w:r w:rsidRPr="008A7568">
        <w:t xml:space="preserve"> </w:t>
      </w:r>
      <w:r>
        <w:t xml:space="preserve">In light of the lack of </w:t>
      </w:r>
      <w:r w:rsidRPr="00367F73">
        <w:t xml:space="preserve">opposition from </w:t>
      </w:r>
      <w:r>
        <w:t>adjacent, co-channel part 22 licensees</w:t>
      </w:r>
      <w:r w:rsidRPr="00367F73">
        <w:t xml:space="preserve">, </w:t>
      </w:r>
      <w:r>
        <w:t>and for the reasons discussed above, we will allow VA State Police to increase the power output of its mobile transmitters to 100 watts, subject to conditions to minimize the risk of harmful interference caused by this power increase.  These conditions are consistent with the approach we have</w:t>
      </w:r>
      <w:r w:rsidRPr="00367F73">
        <w:t xml:space="preserve"> used with success in similar past instances</w:t>
      </w:r>
      <w:r>
        <w:t>.</w:t>
      </w:r>
      <w:r>
        <w:rPr>
          <w:rStyle w:val="FootnoteReference"/>
        </w:rPr>
        <w:footnoteReference w:id="35"/>
      </w:r>
      <w:r w:rsidRPr="00367F73">
        <w:t xml:space="preserve">  </w:t>
      </w:r>
      <w:r w:rsidRPr="007F435B">
        <w:t>With the goal</w:t>
      </w:r>
      <w:r w:rsidRPr="00051DB5" w:rsidR="00051DB5">
        <w:t xml:space="preserve"> </w:t>
      </w:r>
      <w:r w:rsidRPr="007F435B" w:rsidR="00051DB5">
        <w:t xml:space="preserve">of </w:t>
      </w:r>
      <w:r w:rsidRPr="00051DB5" w:rsidR="00051DB5">
        <w:t>not changing the potential for interference to neighboring licensees at their license boundaries</w:t>
      </w:r>
      <w:r w:rsidRPr="007F435B">
        <w:t>,</w:t>
      </w:r>
      <w:r>
        <w:rPr>
          <w:rStyle w:val="FootnoteReference"/>
        </w:rPr>
        <w:footnoteReference w:id="36"/>
      </w:r>
      <w:r w:rsidRPr="007F435B">
        <w:t xml:space="preserve"> we approximated the potential effect that the increased mobile transmitter power could have on an interfering contour.</w:t>
      </w:r>
      <w:r>
        <w:t xml:space="preserve">  As such, we condition our grant on VA State Police providing notice to their adjacent, co-channel paging </w:t>
      </w:r>
      <w:r w:rsidR="00620FD5">
        <w:t xml:space="preserve">geographic </w:t>
      </w:r>
      <w:r>
        <w:t xml:space="preserve">neighbors and resolving any concerns that arise over harmful interference, or if any such concerns cannot be resolved, </w:t>
      </w:r>
      <w:r w:rsidR="008C2394">
        <w:t>then</w:t>
      </w:r>
      <w:r>
        <w:t xml:space="preserve"> the VA State Police </w:t>
      </w:r>
      <w:r w:rsidR="008C2394">
        <w:t xml:space="preserve">must </w:t>
      </w:r>
      <w:r>
        <w:t>maintain a five-kilometer set back of its mobile transmitters from the objecting licensee’s geographic license area.  Specially, we require that</w:t>
      </w:r>
      <w:r w:rsidRPr="00325B8E">
        <w:t>:</w:t>
      </w:r>
    </w:p>
    <w:p w:rsidR="00325B8E" w:rsidP="00A86F74" w14:paraId="6283A90C" w14:textId="6B759342">
      <w:pPr>
        <w:pStyle w:val="ParaNum"/>
        <w:numPr>
          <w:ilvl w:val="0"/>
          <w:numId w:val="16"/>
        </w:numPr>
      </w:pPr>
      <w:bookmarkStart w:id="6" w:name="_Hlk98487892"/>
      <w:r w:rsidRPr="00736742">
        <w:t xml:space="preserve">At least 30 days prior to operating under the waiver in a market, </w:t>
      </w:r>
      <w:r w:rsidR="005E2D97">
        <w:t xml:space="preserve">VA State Police must </w:t>
      </w:r>
      <w:r w:rsidRPr="00736742">
        <w:t xml:space="preserve">notify all adjacent market, co-channel </w:t>
      </w:r>
      <w:r w:rsidR="00DB2C68">
        <w:t xml:space="preserve">part 22 </w:t>
      </w:r>
      <w:r w:rsidRPr="00736742">
        <w:t>licensees of the grant of the waiver</w:t>
      </w:r>
      <w:r w:rsidR="00DB2C68">
        <w:t xml:space="preserve"> and</w:t>
      </w:r>
      <w:r w:rsidRPr="00736742">
        <w:t xml:space="preserve"> </w:t>
      </w:r>
      <w:r w:rsidR="00DB2C68">
        <w:t>the</w:t>
      </w:r>
      <w:r w:rsidRPr="00736742">
        <w:t xml:space="preserve"> intended date to begin operating</w:t>
      </w:r>
      <w:r>
        <w:t xml:space="preserve"> at the higher transmitter power</w:t>
      </w:r>
      <w:r w:rsidRPr="00736742">
        <w:t>, and provid</w:t>
      </w:r>
      <w:r w:rsidR="00DB2C68">
        <w:t>e</w:t>
      </w:r>
      <w:r w:rsidRPr="00736742">
        <w:t xml:space="preserve"> </w:t>
      </w:r>
      <w:r w:rsidR="00DB2C68">
        <w:t xml:space="preserve">a </w:t>
      </w:r>
      <w:r w:rsidRPr="00736742">
        <w:t>point of contact for the licensees to express technical concerns.</w:t>
      </w:r>
    </w:p>
    <w:p w:rsidR="00736742" w:rsidP="00A86F74" w14:paraId="446A4935" w14:textId="654DDDD6">
      <w:pPr>
        <w:pStyle w:val="ParaNum"/>
        <w:numPr>
          <w:ilvl w:val="0"/>
          <w:numId w:val="16"/>
        </w:numPr>
      </w:pPr>
      <w:r>
        <w:t>If an objection is received from an adjacent</w:t>
      </w:r>
      <w:r w:rsidR="00620FD5">
        <w:t xml:space="preserve"> market</w:t>
      </w:r>
      <w:r>
        <w:t xml:space="preserve">, co-channel </w:t>
      </w:r>
      <w:r w:rsidR="00DB2C68">
        <w:t xml:space="preserve">part 22 </w:t>
      </w:r>
      <w:r>
        <w:t xml:space="preserve">licensee within the 30-day period, </w:t>
      </w:r>
      <w:r w:rsidR="005E2D97">
        <w:t xml:space="preserve">VA State Police must </w:t>
      </w:r>
      <w:r>
        <w:t>address the objection to the satisfaction of the adjacent licensee prior to operation</w:t>
      </w:r>
      <w:r w:rsidR="005E2D97">
        <w:t>,</w:t>
      </w:r>
      <w:r>
        <w:t xml:space="preserve"> or else refrain from operations</w:t>
      </w:r>
      <w:r w:rsidR="003D2F8B">
        <w:t xml:space="preserve"> at the higher transmitter power</w:t>
      </w:r>
      <w:r>
        <w:t xml:space="preserve"> within </w:t>
      </w:r>
      <w:r w:rsidR="003D2F8B">
        <w:t>five (</w:t>
      </w:r>
      <w:r>
        <w:t>5</w:t>
      </w:r>
      <w:r w:rsidR="003D2F8B">
        <w:t>)</w:t>
      </w:r>
      <w:r>
        <w:t xml:space="preserve"> km</w:t>
      </w:r>
      <w:r>
        <w:rPr>
          <w:rStyle w:val="FootnoteReference"/>
        </w:rPr>
        <w:footnoteReference w:id="37"/>
      </w:r>
      <w:r>
        <w:t xml:space="preserve"> of that objecting party’s license boundary.</w:t>
      </w:r>
    </w:p>
    <w:p w:rsidR="00325B8E" w:rsidP="00A86F74" w14:paraId="52487BD5" w14:textId="398B78E0">
      <w:pPr>
        <w:pStyle w:val="ParaNum"/>
        <w:numPr>
          <w:ilvl w:val="0"/>
          <w:numId w:val="16"/>
        </w:numPr>
      </w:pPr>
      <w:r>
        <w:t>If an objection is received after the 30</w:t>
      </w:r>
      <w:r w:rsidR="005E2D97">
        <w:t>-</w:t>
      </w:r>
      <w:r>
        <w:t xml:space="preserve">day </w:t>
      </w:r>
      <w:r w:rsidR="005E2D97">
        <w:t xml:space="preserve">notice </w:t>
      </w:r>
      <w:r>
        <w:t xml:space="preserve">period, </w:t>
      </w:r>
      <w:r w:rsidR="005E2D97">
        <w:t xml:space="preserve">VA State Police must </w:t>
      </w:r>
      <w:r>
        <w:t>address the objection to the satisfaction of the adjacent</w:t>
      </w:r>
      <w:r w:rsidR="00620FD5">
        <w:t xml:space="preserve"> market</w:t>
      </w:r>
      <w:r>
        <w:t xml:space="preserve"> licensee within a reasonable timeframe, or else cease operations</w:t>
      </w:r>
      <w:r w:rsidRPr="00135534" w:rsidR="00135534">
        <w:t xml:space="preserve"> at the higher transmitter power</w:t>
      </w:r>
      <w:r>
        <w:t xml:space="preserve"> within </w:t>
      </w:r>
      <w:r w:rsidR="00FA1876">
        <w:t>five (</w:t>
      </w:r>
      <w:r>
        <w:t>5</w:t>
      </w:r>
      <w:r w:rsidR="00FA1876">
        <w:t>)</w:t>
      </w:r>
      <w:r>
        <w:t xml:space="preserve"> km of that objecting party’s license boundary until the objection can be addressed.</w:t>
      </w:r>
    </w:p>
    <w:bookmarkEnd w:id="6"/>
    <w:p w:rsidR="005B7952" w:rsidP="000F3C4E" w14:paraId="1287DDCD" w14:textId="07BA2AD8">
      <w:pPr>
        <w:pStyle w:val="ParaNum"/>
        <w:tabs>
          <w:tab w:val="clear" w:pos="1080"/>
        </w:tabs>
      </w:pPr>
      <w:r>
        <w:t xml:space="preserve">With these conditions, </w:t>
      </w:r>
      <w:r w:rsidR="003058A9">
        <w:t xml:space="preserve">and for the reasons discussed above, </w:t>
      </w:r>
      <w:r>
        <w:t xml:space="preserve">we find that the </w:t>
      </w:r>
      <w:r w:rsidRPr="005B7952">
        <w:t>Commonwealth of Virginia</w:t>
      </w:r>
      <w:r>
        <w:t>,</w:t>
      </w:r>
      <w:r w:rsidRPr="005B7952">
        <w:t xml:space="preserve"> Department of State Police</w:t>
      </w:r>
      <w:r>
        <w:t xml:space="preserve"> has satisfied the standard for waiver of the 60-watt limit for mobile units</w:t>
      </w:r>
      <w:r w:rsidR="004C435D">
        <w:t>,</w:t>
      </w:r>
      <w:r>
        <w:t xml:space="preserve"> specified in </w:t>
      </w:r>
      <w:r w:rsidR="00177615">
        <w:t>s</w:t>
      </w:r>
      <w:r>
        <w:t>ection 22.565(f) of our rules.</w:t>
      </w:r>
    </w:p>
    <w:p w:rsidR="001F1BC0" w:rsidP="001F1BC0" w14:paraId="63F219D9" w14:textId="02BD6EF5">
      <w:pPr>
        <w:pStyle w:val="Heading1"/>
      </w:pPr>
      <w:r>
        <w:t>ORDERING CLAUSE</w:t>
      </w:r>
    </w:p>
    <w:p w:rsidR="001F1BC0" w:rsidP="001D4D62" w14:paraId="76289C06" w14:textId="6484B478">
      <w:pPr>
        <w:pStyle w:val="ParaNum"/>
        <w:tabs>
          <w:tab w:val="clear" w:pos="1080"/>
        </w:tabs>
      </w:pPr>
      <w:r>
        <w:t>Accordingly, IT IS ORDERED that the Request for Waiver filed by the</w:t>
      </w:r>
      <w:r w:rsidRPr="00693405">
        <w:t xml:space="preserve"> </w:t>
      </w:r>
      <w:bookmarkStart w:id="7" w:name="_Hlk79072980"/>
      <w:r w:rsidRPr="00693405">
        <w:t xml:space="preserve">Commonwealth of Virginia Department of State Police </w:t>
      </w:r>
      <w:bookmarkEnd w:id="7"/>
      <w:r>
        <w:t xml:space="preserve">IS GRANTED conditioned as discussed herein.  </w:t>
      </w:r>
    </w:p>
    <w:p w:rsidR="001F1BC0" w:rsidP="001D4D62" w14:paraId="30421244" w14:textId="5F96B3A2">
      <w:pPr>
        <w:pStyle w:val="ParaNum"/>
        <w:tabs>
          <w:tab w:val="clear" w:pos="1080"/>
        </w:tabs>
      </w:pPr>
      <w:r w:rsidRPr="00D82AE8">
        <w:t xml:space="preserve">This action is taken under delegated authority pursuant to </w:t>
      </w:r>
      <w:r w:rsidR="00177615">
        <w:t>s</w:t>
      </w:r>
      <w:r w:rsidRPr="00D82AE8">
        <w:t>ections 0.1</w:t>
      </w:r>
      <w:r w:rsidR="00140E5D">
        <w:t>3</w:t>
      </w:r>
      <w:r w:rsidRPr="00D82AE8">
        <w:t>1(a) and 0.3</w:t>
      </w:r>
      <w:r w:rsidR="00140E5D">
        <w:t>31</w:t>
      </w:r>
      <w:r w:rsidRPr="00D82AE8">
        <w:t xml:space="preserve"> of the Commission</w:t>
      </w:r>
      <w:r w:rsidR="00DB2C68">
        <w:t>’</w:t>
      </w:r>
      <w:r w:rsidRPr="00D82AE8">
        <w:t>s Rules, 47 CFR §§ 0.1</w:t>
      </w:r>
      <w:r w:rsidR="00140E5D">
        <w:t>3</w:t>
      </w:r>
      <w:r w:rsidRPr="00D82AE8">
        <w:t>1(a), 0.3</w:t>
      </w:r>
      <w:r w:rsidR="00140E5D">
        <w:t>31</w:t>
      </w:r>
      <w:r w:rsidRPr="00D82AE8">
        <w:t>.</w:t>
      </w:r>
    </w:p>
    <w:p w:rsidR="001F1BC0" w:rsidP="001F1BC0" w14:paraId="27CF9C90" w14:textId="62B5F536">
      <w:pPr>
        <w:pStyle w:val="ParaNum"/>
        <w:numPr>
          <w:ilvl w:val="0"/>
          <w:numId w:val="0"/>
        </w:numPr>
        <w:ind w:firstLine="720"/>
      </w:pPr>
    </w:p>
    <w:p w:rsidR="001F1BC0" w:rsidRPr="001F1BC0" w:rsidP="001F1BC0" w14:paraId="40232ABA" w14:textId="77777777">
      <w:pPr>
        <w:keepNext/>
        <w:keepLines/>
        <w:widowControl/>
        <w:spacing w:after="120"/>
        <w:ind w:left="2880" w:firstLine="720"/>
      </w:pPr>
      <w:r w:rsidRPr="001F1BC0">
        <w:t>FEDERAL COMMUNICATIONS COMMISSION</w:t>
      </w:r>
    </w:p>
    <w:p w:rsidR="001F1BC0" w:rsidRPr="001F1BC0" w:rsidP="001F1BC0" w14:paraId="202B0035" w14:textId="77777777">
      <w:pPr>
        <w:keepNext/>
        <w:keepLines/>
        <w:widowControl/>
        <w:spacing w:after="120"/>
        <w:ind w:left="720"/>
      </w:pPr>
    </w:p>
    <w:p w:rsidR="001F1BC0" w:rsidRPr="001F1BC0" w:rsidP="001F1BC0" w14:paraId="2CB3B48B" w14:textId="6F587244">
      <w:pPr>
        <w:keepNext/>
        <w:keepLines/>
        <w:widowControl/>
        <w:ind w:left="2880" w:firstLine="720"/>
      </w:pPr>
      <w:r>
        <w:t>Roger Noel</w:t>
      </w:r>
    </w:p>
    <w:p w:rsidR="001F1BC0" w:rsidP="001F1BC0" w14:paraId="0521F052" w14:textId="70F11E66">
      <w:pPr>
        <w:keepNext/>
        <w:keepLines/>
        <w:widowControl/>
        <w:ind w:left="3600"/>
      </w:pPr>
      <w:r w:rsidRPr="001F1BC0">
        <w:t xml:space="preserve">Chief, </w:t>
      </w:r>
      <w:r>
        <w:t>Mobility</w:t>
      </w:r>
      <w:r w:rsidRPr="001F1BC0">
        <w:t xml:space="preserve"> Division</w:t>
      </w:r>
    </w:p>
    <w:p w:rsidR="005A169C" w:rsidP="005A169C" w14:paraId="6DEFE725" w14:textId="27837B11">
      <w:pPr>
        <w:keepNext/>
        <w:keepLines/>
        <w:widowControl/>
      </w:pPr>
    </w:p>
    <w:p w:rsidR="005A169C" w:rsidP="005A169C" w14:paraId="7A150221" w14:textId="12FFACB8">
      <w:pPr>
        <w:keepNext/>
        <w:keepLines/>
        <w:widowControl/>
      </w:pPr>
    </w:p>
    <w:p w:rsidR="005A169C" w:rsidP="005A169C" w14:paraId="7591C4B7" w14:textId="74349152">
      <w:pPr>
        <w:keepNext/>
        <w:keepLines/>
        <w:widowControl/>
      </w:pPr>
    </w:p>
    <w:p w:rsidR="005A169C" w:rsidP="005A169C" w14:paraId="7567B965" w14:textId="27404371">
      <w:pPr>
        <w:keepNext/>
        <w:keepLines/>
        <w:widowControl/>
        <w:rPr>
          <w:b/>
          <w:bCs/>
        </w:rPr>
      </w:pPr>
    </w:p>
    <w:p w:rsidR="005A169C" w:rsidRPr="005A169C" w:rsidP="005A169C" w14:paraId="156D911B" w14:textId="144440A0">
      <w:pPr>
        <w:keepNext/>
        <w:keepLines/>
        <w:widowControl/>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DC8C38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A0156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A8C29C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E2B71E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76AB2E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41F20" w14:paraId="52A44CF1" w14:textId="77777777">
      <w:r>
        <w:separator/>
      </w:r>
    </w:p>
  </w:footnote>
  <w:footnote w:type="continuationSeparator" w:id="1">
    <w:p w:rsidR="00A41F20" w:rsidP="00C721AC" w14:paraId="23E1D28B" w14:textId="77777777">
      <w:pPr>
        <w:spacing w:before="120"/>
        <w:rPr>
          <w:sz w:val="20"/>
        </w:rPr>
      </w:pPr>
      <w:r>
        <w:rPr>
          <w:sz w:val="20"/>
        </w:rPr>
        <w:t xml:space="preserve">(Continued from previous page)  </w:t>
      </w:r>
      <w:r>
        <w:rPr>
          <w:sz w:val="20"/>
        </w:rPr>
        <w:separator/>
      </w:r>
    </w:p>
  </w:footnote>
  <w:footnote w:type="continuationNotice" w:id="2">
    <w:p w:rsidR="00A41F20" w:rsidP="00C721AC" w14:paraId="08343069" w14:textId="77777777">
      <w:pPr>
        <w:jc w:val="right"/>
        <w:rPr>
          <w:sz w:val="20"/>
        </w:rPr>
      </w:pPr>
      <w:r>
        <w:rPr>
          <w:sz w:val="20"/>
        </w:rPr>
        <w:t>(continued….)</w:t>
      </w:r>
    </w:p>
  </w:footnote>
  <w:footnote w:id="3">
    <w:p w:rsidR="00035CB4" w:rsidP="00035CB4" w14:paraId="5DB6BCF8" w14:textId="26377E86">
      <w:pPr>
        <w:pStyle w:val="FootnoteText"/>
      </w:pPr>
      <w:r>
        <w:rPr>
          <w:rStyle w:val="FootnoteReference"/>
        </w:rPr>
        <w:footnoteRef/>
      </w:r>
      <w:r>
        <w:t xml:space="preserve"> 47 CFR § 22.565(f).</w:t>
      </w:r>
    </w:p>
  </w:footnote>
  <w:footnote w:id="4">
    <w:p w:rsidR="00C24AA8" w:rsidP="00C24AA8" w14:paraId="457477E5" w14:textId="77777777">
      <w:pPr>
        <w:pStyle w:val="FootnoteText"/>
      </w:pPr>
      <w:r>
        <w:rPr>
          <w:rStyle w:val="FootnoteReference"/>
        </w:rPr>
        <w:footnoteRef/>
      </w:r>
      <w:r>
        <w:t xml:space="preserve"> </w:t>
      </w:r>
      <w:r w:rsidRPr="00C1370C">
        <w:t>Commonwealth of Virginia, Department of State Police, Request for Waiver, WT Docket No. 20-241 (filed June 25, 2020) (</w:t>
      </w:r>
      <w:r>
        <w:t xml:space="preserve">Waiver </w:t>
      </w:r>
      <w:r w:rsidRPr="00C1370C">
        <w:t>Request).</w:t>
      </w:r>
    </w:p>
  </w:footnote>
  <w:footnote w:id="5">
    <w:p w:rsidR="00035CB4" w:rsidP="00035CB4" w14:paraId="720DC541" w14:textId="2D1C0374">
      <w:pPr>
        <w:pStyle w:val="FootnoteText"/>
      </w:pPr>
      <w:r w:rsidRPr="009C4CC8">
        <w:rPr>
          <w:rStyle w:val="FootnoteReference"/>
        </w:rPr>
        <w:footnoteRef/>
      </w:r>
      <w:r>
        <w:t xml:space="preserve"> </w:t>
      </w:r>
      <w:r>
        <w:t xml:space="preserve">47 CFR Part 90.  </w:t>
      </w:r>
      <w:r>
        <w:rPr>
          <w:w w:val="105"/>
        </w:rPr>
        <w:t>STARS</w:t>
      </w:r>
      <w:r>
        <w:rPr>
          <w:spacing w:val="-20"/>
          <w:w w:val="105"/>
        </w:rPr>
        <w:t xml:space="preserve"> </w:t>
      </w:r>
      <w:r>
        <w:rPr>
          <w:w w:val="105"/>
        </w:rPr>
        <w:t>uses</w:t>
      </w:r>
      <w:r>
        <w:rPr>
          <w:spacing w:val="-8"/>
          <w:w w:val="105"/>
        </w:rPr>
        <w:t xml:space="preserve"> </w:t>
      </w:r>
      <w:r>
        <w:rPr>
          <w:w w:val="105"/>
        </w:rPr>
        <w:t>statewide</w:t>
      </w:r>
      <w:r>
        <w:rPr>
          <w:spacing w:val="-21"/>
          <w:w w:val="105"/>
        </w:rPr>
        <w:t xml:space="preserve"> </w:t>
      </w:r>
      <w:r>
        <w:rPr>
          <w:w w:val="105"/>
        </w:rPr>
        <w:t>mobile</w:t>
      </w:r>
      <w:r>
        <w:rPr>
          <w:spacing w:val="-14"/>
          <w:w w:val="105"/>
        </w:rPr>
        <w:t xml:space="preserve"> </w:t>
      </w:r>
      <w:r>
        <w:rPr>
          <w:w w:val="105"/>
        </w:rPr>
        <w:t>FCC</w:t>
      </w:r>
      <w:r>
        <w:rPr>
          <w:spacing w:val="-13"/>
          <w:w w:val="105"/>
        </w:rPr>
        <w:t xml:space="preserve"> </w:t>
      </w:r>
      <w:r>
        <w:rPr>
          <w:w w:val="105"/>
        </w:rPr>
        <w:t>Part</w:t>
      </w:r>
      <w:r>
        <w:rPr>
          <w:spacing w:val="-9"/>
          <w:w w:val="105"/>
        </w:rPr>
        <w:t xml:space="preserve"> </w:t>
      </w:r>
      <w:r>
        <w:rPr>
          <w:w w:val="105"/>
        </w:rPr>
        <w:t>90</w:t>
      </w:r>
      <w:r>
        <w:rPr>
          <w:spacing w:val="-21"/>
          <w:w w:val="105"/>
        </w:rPr>
        <w:t xml:space="preserve"> </w:t>
      </w:r>
      <w:r>
        <w:rPr>
          <w:w w:val="105"/>
        </w:rPr>
        <w:t>Public</w:t>
      </w:r>
      <w:r>
        <w:rPr>
          <w:spacing w:val="-12"/>
          <w:w w:val="105"/>
        </w:rPr>
        <w:t xml:space="preserve"> </w:t>
      </w:r>
      <w:r>
        <w:rPr>
          <w:w w:val="105"/>
        </w:rPr>
        <w:t>Safety</w:t>
      </w:r>
      <w:r>
        <w:rPr>
          <w:spacing w:val="-27"/>
          <w:w w:val="105"/>
        </w:rPr>
        <w:t xml:space="preserve"> </w:t>
      </w:r>
      <w:r>
        <w:rPr>
          <w:w w:val="105"/>
        </w:rPr>
        <w:t>pool</w:t>
      </w:r>
      <w:r>
        <w:rPr>
          <w:spacing w:val="-12"/>
          <w:w w:val="105"/>
        </w:rPr>
        <w:t xml:space="preserve"> </w:t>
      </w:r>
      <w:r>
        <w:rPr>
          <w:w w:val="105"/>
        </w:rPr>
        <w:t>trunked</w:t>
      </w:r>
      <w:r>
        <w:rPr>
          <w:spacing w:val="-9"/>
          <w:w w:val="105"/>
        </w:rPr>
        <w:t xml:space="preserve"> </w:t>
      </w:r>
      <w:r>
        <w:rPr>
          <w:w w:val="105"/>
        </w:rPr>
        <w:t>frequencies</w:t>
      </w:r>
      <w:r>
        <w:rPr>
          <w:spacing w:val="-7"/>
          <w:w w:val="105"/>
        </w:rPr>
        <w:t xml:space="preserve"> </w:t>
      </w:r>
      <w:r>
        <w:rPr>
          <w:w w:val="105"/>
        </w:rPr>
        <w:t>to</w:t>
      </w:r>
      <w:r>
        <w:rPr>
          <w:w w:val="102"/>
        </w:rPr>
        <w:t xml:space="preserve"> </w:t>
      </w:r>
      <w:r>
        <w:rPr>
          <w:w w:val="105"/>
        </w:rPr>
        <w:t>transmit</w:t>
      </w:r>
      <w:r>
        <w:rPr>
          <w:spacing w:val="-9"/>
          <w:w w:val="105"/>
        </w:rPr>
        <w:t xml:space="preserve"> </w:t>
      </w:r>
      <w:r>
        <w:rPr>
          <w:w w:val="105"/>
        </w:rPr>
        <w:t>talk-in</w:t>
      </w:r>
      <w:r>
        <w:rPr>
          <w:spacing w:val="-11"/>
          <w:w w:val="105"/>
        </w:rPr>
        <w:t xml:space="preserve"> </w:t>
      </w:r>
      <w:r>
        <w:rPr>
          <w:w w:val="105"/>
        </w:rPr>
        <w:t>to</w:t>
      </w:r>
      <w:r>
        <w:rPr>
          <w:spacing w:val="-18"/>
          <w:w w:val="105"/>
        </w:rPr>
        <w:t xml:space="preserve"> </w:t>
      </w:r>
      <w:r>
        <w:rPr>
          <w:w w:val="105"/>
        </w:rPr>
        <w:t>base</w:t>
      </w:r>
      <w:r>
        <w:rPr>
          <w:spacing w:val="-10"/>
          <w:w w:val="105"/>
        </w:rPr>
        <w:t xml:space="preserve"> </w:t>
      </w:r>
      <w:r>
        <w:rPr>
          <w:w w:val="105"/>
        </w:rPr>
        <w:t>stations.</w:t>
      </w:r>
      <w:r w:rsidR="00DE3703">
        <w:rPr>
          <w:w w:val="105"/>
        </w:rPr>
        <w:t xml:space="preserve"> </w:t>
      </w:r>
      <w:r>
        <w:rPr>
          <w:spacing w:val="-12"/>
          <w:w w:val="105"/>
        </w:rPr>
        <w:t xml:space="preserve"> </w:t>
      </w:r>
      <w:r w:rsidR="000651CD">
        <w:rPr>
          <w:w w:val="105"/>
        </w:rPr>
        <w:t>Most of</w:t>
      </w:r>
      <w:r>
        <w:rPr>
          <w:spacing w:val="-20"/>
          <w:w w:val="105"/>
        </w:rPr>
        <w:t xml:space="preserve"> </w:t>
      </w:r>
      <w:r>
        <w:rPr>
          <w:w w:val="105"/>
        </w:rPr>
        <w:t>these</w:t>
      </w:r>
      <w:r>
        <w:rPr>
          <w:spacing w:val="-13"/>
          <w:w w:val="105"/>
        </w:rPr>
        <w:t xml:space="preserve"> </w:t>
      </w:r>
      <w:r>
        <w:rPr>
          <w:w w:val="105"/>
        </w:rPr>
        <w:t>frequencies</w:t>
      </w:r>
      <w:r>
        <w:rPr>
          <w:spacing w:val="-3"/>
          <w:w w:val="105"/>
        </w:rPr>
        <w:t xml:space="preserve"> </w:t>
      </w:r>
      <w:r>
        <w:rPr>
          <w:w w:val="105"/>
        </w:rPr>
        <w:t>are</w:t>
      </w:r>
      <w:r>
        <w:rPr>
          <w:spacing w:val="-20"/>
          <w:w w:val="105"/>
        </w:rPr>
        <w:t xml:space="preserve"> </w:t>
      </w:r>
      <w:r>
        <w:rPr>
          <w:w w:val="105"/>
        </w:rPr>
        <w:t>authorized</w:t>
      </w:r>
      <w:r>
        <w:rPr>
          <w:spacing w:val="-2"/>
          <w:w w:val="105"/>
        </w:rPr>
        <w:t xml:space="preserve"> </w:t>
      </w:r>
      <w:r>
        <w:rPr>
          <w:w w:val="105"/>
        </w:rPr>
        <w:t>for</w:t>
      </w:r>
      <w:r>
        <w:rPr>
          <w:spacing w:val="-19"/>
          <w:w w:val="105"/>
        </w:rPr>
        <w:t xml:space="preserve"> </w:t>
      </w:r>
      <w:r>
        <w:rPr>
          <w:w w:val="105"/>
        </w:rPr>
        <w:t>a</w:t>
      </w:r>
      <w:r>
        <w:rPr>
          <w:w w:val="101"/>
        </w:rPr>
        <w:t xml:space="preserve"> </w:t>
      </w:r>
      <w:r>
        <w:rPr>
          <w:w w:val="105"/>
        </w:rPr>
        <w:t>mobile</w:t>
      </w:r>
      <w:r>
        <w:rPr>
          <w:spacing w:val="-14"/>
          <w:w w:val="105"/>
        </w:rPr>
        <w:t xml:space="preserve"> </w:t>
      </w:r>
      <w:r>
        <w:rPr>
          <w:w w:val="105"/>
        </w:rPr>
        <w:t>maximum</w:t>
      </w:r>
      <w:r>
        <w:rPr>
          <w:spacing w:val="-4"/>
          <w:w w:val="105"/>
        </w:rPr>
        <w:t xml:space="preserve"> transmitter power output</w:t>
      </w:r>
      <w:r>
        <w:rPr>
          <w:spacing w:val="-14"/>
          <w:w w:val="105"/>
        </w:rPr>
        <w:t xml:space="preserve"> </w:t>
      </w:r>
      <w:r>
        <w:rPr>
          <w:w w:val="105"/>
        </w:rPr>
        <w:t>of</w:t>
      </w:r>
      <w:r>
        <w:rPr>
          <w:spacing w:val="-5"/>
          <w:w w:val="105"/>
        </w:rPr>
        <w:t xml:space="preserve"> </w:t>
      </w:r>
      <w:r>
        <w:rPr>
          <w:w w:val="105"/>
        </w:rPr>
        <w:t>125</w:t>
      </w:r>
      <w:r>
        <w:rPr>
          <w:spacing w:val="-32"/>
          <w:w w:val="105"/>
        </w:rPr>
        <w:t xml:space="preserve"> </w:t>
      </w:r>
      <w:r>
        <w:rPr>
          <w:w w:val="105"/>
        </w:rPr>
        <w:t>watts,</w:t>
      </w:r>
      <w:r>
        <w:rPr>
          <w:spacing w:val="-7"/>
          <w:w w:val="105"/>
        </w:rPr>
        <w:t xml:space="preserve"> </w:t>
      </w:r>
      <w:r>
        <w:rPr>
          <w:w w:val="105"/>
        </w:rPr>
        <w:t>and</w:t>
      </w:r>
      <w:r>
        <w:rPr>
          <w:spacing w:val="-9"/>
          <w:w w:val="105"/>
        </w:rPr>
        <w:t xml:space="preserve"> </w:t>
      </w:r>
      <w:r>
        <w:rPr>
          <w:w w:val="105"/>
        </w:rPr>
        <w:t>a</w:t>
      </w:r>
      <w:r>
        <w:rPr>
          <w:spacing w:val="-24"/>
          <w:w w:val="105"/>
        </w:rPr>
        <w:t xml:space="preserve"> </w:t>
      </w:r>
      <w:r>
        <w:rPr>
          <w:w w:val="105"/>
        </w:rPr>
        <w:t>maximum</w:t>
      </w:r>
      <w:r>
        <w:rPr>
          <w:spacing w:val="-4"/>
          <w:w w:val="105"/>
        </w:rPr>
        <w:t xml:space="preserve"> </w:t>
      </w:r>
      <w:r>
        <w:rPr>
          <w:w w:val="105"/>
        </w:rPr>
        <w:t>ERP</w:t>
      </w:r>
      <w:r>
        <w:rPr>
          <w:spacing w:val="-5"/>
          <w:w w:val="105"/>
        </w:rPr>
        <w:t xml:space="preserve"> </w:t>
      </w:r>
      <w:r>
        <w:rPr>
          <w:w w:val="105"/>
        </w:rPr>
        <w:t>of</w:t>
      </w:r>
      <w:r>
        <w:rPr>
          <w:spacing w:val="-19"/>
          <w:w w:val="105"/>
        </w:rPr>
        <w:t xml:space="preserve"> </w:t>
      </w:r>
      <w:r>
        <w:rPr>
          <w:w w:val="105"/>
        </w:rPr>
        <w:t>250</w:t>
      </w:r>
      <w:r>
        <w:rPr>
          <w:spacing w:val="-18"/>
          <w:w w:val="105"/>
        </w:rPr>
        <w:t xml:space="preserve"> </w:t>
      </w:r>
      <w:r>
        <w:rPr>
          <w:w w:val="105"/>
        </w:rPr>
        <w:t>watts.</w:t>
      </w:r>
      <w:r>
        <w:rPr>
          <w:spacing w:val="-7"/>
          <w:w w:val="105"/>
        </w:rPr>
        <w:t xml:space="preserve"> </w:t>
      </w:r>
      <w:r w:rsidR="0043241F">
        <w:rPr>
          <w:spacing w:val="-7"/>
          <w:w w:val="105"/>
        </w:rPr>
        <w:t xml:space="preserve"> </w:t>
      </w:r>
      <w:r w:rsidR="00F3799F">
        <w:rPr>
          <w:spacing w:val="-7"/>
          <w:w w:val="105"/>
        </w:rPr>
        <w:t xml:space="preserve">Waiver </w:t>
      </w:r>
      <w:r>
        <w:rPr>
          <w:w w:val="105"/>
        </w:rPr>
        <w:t>Request at 4.</w:t>
      </w:r>
    </w:p>
  </w:footnote>
  <w:footnote w:id="6">
    <w:p w:rsidR="00035CB4" w:rsidRPr="006648E1" w:rsidP="00035CB4" w14:paraId="15555064" w14:textId="013EB00D">
      <w:pPr>
        <w:pStyle w:val="FootnoteText"/>
      </w:pPr>
      <w:r w:rsidRPr="009C4CC8">
        <w:rPr>
          <w:rStyle w:val="FootnoteReference"/>
        </w:rPr>
        <w:footnoteRef/>
      </w:r>
      <w:r>
        <w:t xml:space="preserve"> </w:t>
      </w:r>
      <w:r w:rsidRPr="006648E1">
        <w:t xml:space="preserve">47 CFR Part 80.  </w:t>
      </w:r>
      <w:r w:rsidRPr="00B631B8">
        <w:rPr>
          <w:rFonts w:eastAsia="Calibri"/>
          <w:szCs w:val="22"/>
        </w:rPr>
        <w:t>V</w:t>
      </w:r>
      <w:r>
        <w:rPr>
          <w:rFonts w:eastAsia="Calibri"/>
          <w:szCs w:val="22"/>
        </w:rPr>
        <w:t>A</w:t>
      </w:r>
      <w:r w:rsidRPr="00B631B8">
        <w:rPr>
          <w:rFonts w:eastAsia="Calibri"/>
          <w:szCs w:val="22"/>
        </w:rPr>
        <w:t xml:space="preserve"> Sta</w:t>
      </w:r>
      <w:r>
        <w:rPr>
          <w:rFonts w:eastAsia="Calibri"/>
          <w:szCs w:val="22"/>
        </w:rPr>
        <w:t>te Police</w:t>
      </w:r>
      <w:r w:rsidRPr="006648E1">
        <w:t xml:space="preserve"> </w:t>
      </w:r>
      <w:r>
        <w:t xml:space="preserve">acquired auctioned </w:t>
      </w:r>
      <w:r w:rsidRPr="006648E1">
        <w:t xml:space="preserve">spectrum for two FCC Part 80 Public Coast </w:t>
      </w:r>
      <w:r w:rsidR="000D1E02">
        <w:t>licenses</w:t>
      </w:r>
      <w:r w:rsidRPr="006648E1">
        <w:t xml:space="preserve">.  These </w:t>
      </w:r>
      <w:r w:rsidR="00D62464">
        <w:t>p</w:t>
      </w:r>
      <w:r w:rsidRPr="006648E1">
        <w:t>art 80 licensed mobile transmit frequencies have a maximum mobile</w:t>
      </w:r>
      <w:r w:rsidRPr="00B03CA0">
        <w:rPr>
          <w:spacing w:val="-4"/>
          <w:w w:val="105"/>
        </w:rPr>
        <w:t xml:space="preserve"> </w:t>
      </w:r>
      <w:r>
        <w:rPr>
          <w:spacing w:val="-4"/>
          <w:w w:val="105"/>
        </w:rPr>
        <w:t>transmitter power output</w:t>
      </w:r>
      <w:r w:rsidRPr="006648E1">
        <w:t xml:space="preserve"> of 125 watts and maximum ERP of 285 watts</w:t>
      </w:r>
      <w:r w:rsidR="0043241F">
        <w:t xml:space="preserve">.  </w:t>
      </w:r>
      <w:r w:rsidR="0043241F">
        <w:rPr>
          <w:i/>
          <w:iCs/>
        </w:rPr>
        <w:t xml:space="preserve">See </w:t>
      </w:r>
      <w:r w:rsidRPr="00F3799F">
        <w:t>Commonwealth of Virginia</w:t>
      </w:r>
      <w:r>
        <w:t xml:space="preserve">, </w:t>
      </w:r>
      <w:r w:rsidRPr="00F3799F">
        <w:rPr>
          <w:i/>
          <w:iCs/>
        </w:rPr>
        <w:t>Order</w:t>
      </w:r>
      <w:r>
        <w:t xml:space="preserve">, 19 FCC </w:t>
      </w:r>
      <w:r>
        <w:t>Rcd</w:t>
      </w:r>
      <w:r>
        <w:t xml:space="preserve"> 15454 (</w:t>
      </w:r>
      <w:r w:rsidR="0043241F">
        <w:t xml:space="preserve">WTB </w:t>
      </w:r>
      <w:r>
        <w:t xml:space="preserve">2004) </w:t>
      </w:r>
      <w:r w:rsidRPr="006648E1">
        <w:t>(grant</w:t>
      </w:r>
      <w:r>
        <w:t>ing</w:t>
      </w:r>
      <w:r w:rsidRPr="006648E1">
        <w:t xml:space="preserve"> Virginia</w:t>
      </w:r>
      <w:r w:rsidR="0043241F">
        <w:t>’</w:t>
      </w:r>
      <w:r w:rsidRPr="006648E1">
        <w:t xml:space="preserve">s request for a waiver of </w:t>
      </w:r>
      <w:r w:rsidR="0043241F">
        <w:t>p</w:t>
      </w:r>
      <w:r w:rsidRPr="006648E1">
        <w:t>art 80 of the Commission</w:t>
      </w:r>
      <w:r w:rsidR="0043241F">
        <w:t>’</w:t>
      </w:r>
      <w:r w:rsidRPr="006648E1">
        <w:t xml:space="preserve">s Rules to permit its public safety operations on </w:t>
      </w:r>
      <w:r>
        <w:t>VHF Public Coast (</w:t>
      </w:r>
      <w:r w:rsidRPr="006648E1">
        <w:t>VPC</w:t>
      </w:r>
      <w:r>
        <w:t>)</w:t>
      </w:r>
      <w:r w:rsidRPr="006648E1">
        <w:t xml:space="preserve"> spectrum to be governed by </w:t>
      </w:r>
      <w:r w:rsidR="0043241F">
        <w:t>p</w:t>
      </w:r>
      <w:r w:rsidRPr="006648E1">
        <w:t>art 90 of the Commission</w:t>
      </w:r>
      <w:r w:rsidR="0043241F">
        <w:t>’</w:t>
      </w:r>
      <w:r>
        <w:t xml:space="preserve">s </w:t>
      </w:r>
      <w:r w:rsidR="0043241F">
        <w:t>r</w:t>
      </w:r>
      <w:r>
        <w:t>ules).</w:t>
      </w:r>
    </w:p>
  </w:footnote>
  <w:footnote w:id="7">
    <w:p w:rsidR="00035CB4" w:rsidRPr="006A3178" w:rsidP="00035CB4" w14:paraId="04F9D6E3" w14:textId="5C4803AE">
      <w:pPr>
        <w:pStyle w:val="FootnoteText"/>
        <w:rPr>
          <w:iCs/>
        </w:rPr>
      </w:pPr>
      <w:r w:rsidRPr="00166E3F">
        <w:rPr>
          <w:rStyle w:val="FootnoteReference"/>
        </w:rPr>
        <w:footnoteRef/>
      </w:r>
      <w:r w:rsidRPr="00B03CA0">
        <w:t xml:space="preserve"> </w:t>
      </w:r>
      <w:r>
        <w:t xml:space="preserve">In addition to holding </w:t>
      </w:r>
      <w:r w:rsidR="0043241F">
        <w:t>p</w:t>
      </w:r>
      <w:r>
        <w:t xml:space="preserve">art 90 and </w:t>
      </w:r>
      <w:r w:rsidR="0043241F">
        <w:t>p</w:t>
      </w:r>
      <w:r>
        <w:t xml:space="preserve">art 80 licenses, </w:t>
      </w:r>
      <w:r>
        <w:rPr>
          <w:rFonts w:eastAsia="Calibri"/>
          <w:szCs w:val="22"/>
        </w:rPr>
        <w:t xml:space="preserve">VA State Police </w:t>
      </w:r>
      <w:r>
        <w:t>acquired</w:t>
      </w:r>
      <w:r w:rsidRPr="00B03CA0">
        <w:t xml:space="preserve"> sixty-four </w:t>
      </w:r>
      <w:r w:rsidR="0043241F">
        <w:t>p</w:t>
      </w:r>
      <w:r w:rsidRPr="00B03CA0">
        <w:t>art 22 paging authorizations</w:t>
      </w:r>
      <w:r>
        <w:t xml:space="preserve"> (lead call sign WPVE519)</w:t>
      </w:r>
      <w:r w:rsidRPr="00B03CA0">
        <w:t>, for whic</w:t>
      </w:r>
      <w:r>
        <w:t>h the instant</w:t>
      </w:r>
      <w:r w:rsidRPr="00B03CA0">
        <w:t xml:space="preserve"> waiver is requested. </w:t>
      </w:r>
      <w:r>
        <w:t xml:space="preserve"> </w:t>
      </w:r>
      <w:r w:rsidR="00F3799F">
        <w:t xml:space="preserve">Waiver </w:t>
      </w:r>
      <w:r w:rsidRPr="006A3178">
        <w:rPr>
          <w:iCs/>
        </w:rPr>
        <w:t>Request at 4-5.</w:t>
      </w:r>
    </w:p>
  </w:footnote>
  <w:footnote w:id="8">
    <w:p w:rsidR="00F05E16" w14:paraId="1A1F3637" w14:textId="3BDF7E37">
      <w:pPr>
        <w:pStyle w:val="FootnoteText"/>
      </w:pPr>
      <w:r>
        <w:rPr>
          <w:rStyle w:val="FootnoteReference"/>
        </w:rPr>
        <w:footnoteRef/>
      </w:r>
      <w:r>
        <w:t xml:space="preserve"> </w:t>
      </w:r>
      <w:r>
        <w:t>Waiver Request at 1.</w:t>
      </w:r>
    </w:p>
  </w:footnote>
  <w:footnote w:id="9">
    <w:p w:rsidR="00F05E16" w14:paraId="229529C1" w14:textId="32B113AE">
      <w:pPr>
        <w:pStyle w:val="FootnoteText"/>
      </w:pPr>
      <w:r>
        <w:rPr>
          <w:rStyle w:val="FootnoteReference"/>
        </w:rPr>
        <w:footnoteRef/>
      </w:r>
      <w:r>
        <w:t xml:space="preserve"> </w:t>
      </w:r>
      <w:r w:rsidR="00353BD8">
        <w:rPr>
          <w:i/>
          <w:iCs/>
        </w:rPr>
        <w:t>Id.</w:t>
      </w:r>
      <w:r>
        <w:t xml:space="preserve"> at </w:t>
      </w:r>
      <w:r w:rsidR="00353BD8">
        <w:t>5</w:t>
      </w:r>
      <w:r>
        <w:t>.</w:t>
      </w:r>
    </w:p>
  </w:footnote>
  <w:footnote w:id="10">
    <w:p w:rsidR="00473BE2" w:rsidP="00473BE2" w14:paraId="76DD63AD" w14:textId="502178B9">
      <w:pPr>
        <w:pStyle w:val="FootnoteText"/>
      </w:pPr>
      <w:r>
        <w:rPr>
          <w:rStyle w:val="FootnoteReference"/>
        </w:rPr>
        <w:footnoteRef/>
      </w:r>
      <w:r>
        <w:t xml:space="preserve"> </w:t>
      </w:r>
      <w:r w:rsidRPr="00905B05">
        <w:rPr>
          <w:i/>
          <w:iCs/>
        </w:rPr>
        <w:t>See</w:t>
      </w:r>
      <w:r>
        <w:t xml:space="preserve"> </w:t>
      </w:r>
      <w:r w:rsidR="00353BD8">
        <w:t>Waiver Request at 5</w:t>
      </w:r>
      <w:r w:rsidR="00905B05">
        <w:t xml:space="preserve"> and</w:t>
      </w:r>
      <w:r w:rsidR="00353BD8">
        <w:t xml:space="preserve"> </w:t>
      </w:r>
      <w:r>
        <w:t xml:space="preserve">Virginia State Police; </w:t>
      </w:r>
      <w:r w:rsidRPr="00C1370C">
        <w:t>Statewide Agencies Radio System (STARS)</w:t>
      </w:r>
      <w:r>
        <w:t xml:space="preserve">, </w:t>
      </w:r>
      <w:hyperlink r:id="rId1" w:history="1">
        <w:r w:rsidRPr="00D97B39">
          <w:rPr>
            <w:rStyle w:val="Hyperlink"/>
          </w:rPr>
          <w:t>https://vsp.virginia.gov/sections-units-bureaus/bass/communications/statewide-agencies-radio-system-program-stars/</w:t>
        </w:r>
      </w:hyperlink>
      <w:r>
        <w:t xml:space="preserve"> (</w:t>
      </w:r>
      <w:r w:rsidR="00DE6445">
        <w:t xml:space="preserve">last </w:t>
      </w:r>
      <w:r>
        <w:t xml:space="preserve">visited Mar. </w:t>
      </w:r>
      <w:r w:rsidR="00DE6445">
        <w:t>30</w:t>
      </w:r>
      <w:r>
        <w:t>, 2022).</w:t>
      </w:r>
    </w:p>
  </w:footnote>
  <w:footnote w:id="11">
    <w:p w:rsidR="00353BD8" w14:paraId="72D053CD" w14:textId="7976712D">
      <w:pPr>
        <w:pStyle w:val="FootnoteText"/>
      </w:pPr>
      <w:r>
        <w:rPr>
          <w:rStyle w:val="FootnoteReference"/>
        </w:rPr>
        <w:footnoteRef/>
      </w:r>
      <w:r>
        <w:t xml:space="preserve"> </w:t>
      </w:r>
      <w:r>
        <w:t>Waiver Request at 5</w:t>
      </w:r>
      <w:r w:rsidR="00905B05">
        <w:t>.</w:t>
      </w:r>
    </w:p>
  </w:footnote>
  <w:footnote w:id="12">
    <w:p w:rsidR="007E6480" w14:paraId="12BC9D39" w14:textId="30186D9F">
      <w:pPr>
        <w:pStyle w:val="FootnoteText"/>
      </w:pPr>
      <w:r>
        <w:rPr>
          <w:rStyle w:val="FootnoteReference"/>
        </w:rPr>
        <w:footnoteRef/>
      </w:r>
      <w:r>
        <w:t xml:space="preserve"> </w:t>
      </w:r>
      <w:r>
        <w:t>Waiver Request at 3</w:t>
      </w:r>
      <w:r w:rsidRPr="00131314" w:rsidR="008E7DCD">
        <w:t>.</w:t>
      </w:r>
    </w:p>
  </w:footnote>
  <w:footnote w:id="13">
    <w:p w:rsidR="008E7DCD" w14:paraId="118D0CAE" w14:textId="07A7168A">
      <w:pPr>
        <w:pStyle w:val="FootnoteText"/>
      </w:pPr>
      <w:r>
        <w:rPr>
          <w:rStyle w:val="FootnoteReference"/>
        </w:rPr>
        <w:footnoteRef/>
      </w:r>
      <w:r>
        <w:t xml:space="preserve"> </w:t>
      </w:r>
      <w:r>
        <w:rPr>
          <w:i/>
          <w:iCs/>
        </w:rPr>
        <w:t xml:space="preserve">Id. </w:t>
      </w:r>
      <w:r w:rsidRPr="008E7DCD">
        <w:t xml:space="preserve">at </w:t>
      </w:r>
      <w:r>
        <w:t xml:space="preserve">6.  VA State Police state that a </w:t>
      </w:r>
      <w:r w:rsidRPr="00131314">
        <w:t>P25 Phase 2 trunked radio system using TDMA technology increases capacity for the radio system.  TDMA is an efficient technology to use in critical life safety communications since spectrum is limited, but conversion from FDMA can result in a loss of geographic coverage if there is an imbalance present</w:t>
      </w:r>
      <w:r w:rsidR="002944FB">
        <w:t>.</w:t>
      </w:r>
    </w:p>
  </w:footnote>
  <w:footnote w:id="14">
    <w:p w:rsidR="00C23D30" w:rsidP="00C23D30" w14:paraId="236EBE71" w14:textId="77777777">
      <w:pPr>
        <w:pStyle w:val="FootnoteText"/>
      </w:pPr>
      <w:r>
        <w:rPr>
          <w:rStyle w:val="FootnoteReference"/>
        </w:rPr>
        <w:footnoteRef/>
      </w:r>
      <w:r>
        <w:t xml:space="preserve"> </w:t>
      </w:r>
      <w:r>
        <w:t xml:space="preserve">Waiver Request at 8.  </w:t>
      </w:r>
      <w:r w:rsidRPr="008A4D0F">
        <w:t xml:space="preserve">Alternatively, VA State Police suggest that in lieu of upgrading to TDMA technology, it could seek to obtain additional VHF spectrum to add channels at each of its existing sixty-three STARS sites.  Waiver Request at 5.  However, VA State Police note that this would require obtaining more than one hundred VHF frequencies, which, it argues, is not a viable alternative given the very limited availability and potential cost of such a huge amount of VHF spectrum.  </w:t>
      </w:r>
      <w:r w:rsidRPr="008A4D0F">
        <w:rPr>
          <w:i/>
          <w:iCs/>
        </w:rPr>
        <w:t>Id.</w:t>
      </w:r>
    </w:p>
  </w:footnote>
  <w:footnote w:id="15">
    <w:p w:rsidR="008E7DCD" w:rsidRPr="00B03CA0" w:rsidP="008E7DCD" w14:paraId="2C13AE2E" w14:textId="77777777">
      <w:pPr>
        <w:pStyle w:val="FootnoteText"/>
      </w:pPr>
      <w:r w:rsidRPr="009C4CC8">
        <w:rPr>
          <w:rStyle w:val="FootnoteReference"/>
        </w:rPr>
        <w:footnoteRef/>
      </w:r>
      <w:r w:rsidRPr="00B03CA0">
        <w:rPr>
          <w:rStyle w:val="FootnoteReference"/>
          <w:vertAlign w:val="baseline"/>
        </w:rPr>
        <w:t xml:space="preserve"> </w:t>
      </w:r>
      <w:r w:rsidRPr="00304318">
        <w:rPr>
          <w:i/>
          <w:iCs/>
        </w:rPr>
        <w:t>Id</w:t>
      </w:r>
      <w:r>
        <w:t>.</w:t>
      </w:r>
    </w:p>
  </w:footnote>
  <w:footnote w:id="16">
    <w:p w:rsidR="0043241F" w:rsidP="0043241F" w14:paraId="1C306803" w14:textId="4FE0C08A">
      <w:pPr>
        <w:pStyle w:val="FootnoteText"/>
      </w:pPr>
      <w:r>
        <w:rPr>
          <w:rStyle w:val="FootnoteReference"/>
        </w:rPr>
        <w:footnoteRef/>
      </w:r>
      <w:r>
        <w:t xml:space="preserve"> </w:t>
      </w:r>
      <w:r>
        <w:t>Waiver Request at 7</w:t>
      </w:r>
      <w:r w:rsidR="00905B05">
        <w:t>.</w:t>
      </w:r>
    </w:p>
  </w:footnote>
  <w:footnote w:id="17">
    <w:p w:rsidR="0043241F" w:rsidRPr="00740B93" w14:paraId="190B2131" w14:textId="0F67ABEA">
      <w:pPr>
        <w:pStyle w:val="FootnoteText"/>
      </w:pPr>
      <w:r>
        <w:rPr>
          <w:rStyle w:val="FootnoteReference"/>
        </w:rPr>
        <w:footnoteRef/>
      </w:r>
      <w:r>
        <w:t xml:space="preserve"> </w:t>
      </w:r>
      <w:r>
        <w:rPr>
          <w:i/>
          <w:iCs/>
        </w:rPr>
        <w:t>Id</w:t>
      </w:r>
      <w:r w:rsidR="00FA2346">
        <w:t xml:space="preserve">. </w:t>
      </w:r>
      <w:r w:rsidR="00D62464">
        <w:t xml:space="preserve"> </w:t>
      </w:r>
      <w:r w:rsidRPr="00FA2346" w:rsidR="00FA2346">
        <w:t>P25 was established to address the need for spectrum efficient interoperable digital public safety radio communications standards for first responders, homeland security, and emergency response professionals. The Telecommunications Industry Association</w:t>
      </w:r>
      <w:r w:rsidR="00FA2346">
        <w:t xml:space="preserve"> </w:t>
      </w:r>
      <w:r w:rsidRPr="00FA2346" w:rsidR="00FA2346">
        <w:t>administers the standards through its role as an ANSI-accredited standards development organization.</w:t>
      </w:r>
      <w:r w:rsidR="00FA2346">
        <w:t xml:space="preserve"> </w:t>
      </w:r>
      <w:r w:rsidRPr="00FA2346" w:rsidR="00FA2346">
        <w:t xml:space="preserve"> Th</w:t>
      </w:r>
      <w:r w:rsidR="00621438">
        <w:t>e</w:t>
      </w:r>
      <w:r w:rsidRPr="00FA2346" w:rsidR="00FA2346">
        <w:t xml:space="preserve"> </w:t>
      </w:r>
      <w:r w:rsidR="00FA2346">
        <w:t>association</w:t>
      </w:r>
      <w:r w:rsidRPr="00FA2346" w:rsidR="00FA2346">
        <w:t xml:space="preserve"> published the P25 suite of standards </w:t>
      </w:r>
      <w:r w:rsidR="00621438">
        <w:t xml:space="preserve">addressing </w:t>
      </w:r>
      <w:r w:rsidRPr="00FA2346" w:rsidR="00FA2346">
        <w:t>49 separate aspects of Land Mobile Radio and TDMA implementations of P25 technology for public safety.</w:t>
      </w:r>
      <w:r w:rsidR="00621438">
        <w:t xml:space="preserve"> Waiver Request Exhibit A at 14.</w:t>
      </w:r>
    </w:p>
  </w:footnote>
  <w:footnote w:id="18">
    <w:p w:rsidR="00F60E42" w:rsidP="00F60E42" w14:paraId="6552E4B2" w14:textId="455DE9A3">
      <w:pPr>
        <w:pStyle w:val="FootnoteText"/>
      </w:pPr>
      <w:r w:rsidRPr="009C4CC8">
        <w:rPr>
          <w:rStyle w:val="FootnoteReference"/>
        </w:rPr>
        <w:footnoteRef/>
      </w:r>
      <w:r>
        <w:t xml:space="preserve"> </w:t>
      </w:r>
      <w:r>
        <w:t xml:space="preserve">Waiver Request at 8 and Exhibit A.  </w:t>
      </w:r>
      <w:r w:rsidRPr="0061690A">
        <w:t>VA State Police rel</w:t>
      </w:r>
      <w:r w:rsidR="00613CC4">
        <w:t>y</w:t>
      </w:r>
      <w:r w:rsidRPr="0061690A">
        <w:t xml:space="preserve"> on the work of Dr. Kenneth Ballard of CTA Consultants, LLC</w:t>
      </w:r>
      <w:r w:rsidR="00830934">
        <w:t>,</w:t>
      </w:r>
      <w:r w:rsidRPr="0061690A">
        <w:t xml:space="preserve"> to research and analyze the impact of P25 TDMA modulation on the existing STARS network.  A detailed analysis by Dr. Ballard is attached </w:t>
      </w:r>
      <w:r>
        <w:t xml:space="preserve">to the Waiver Request </w:t>
      </w:r>
      <w:r w:rsidRPr="0061690A">
        <w:t>as Exhibit A</w:t>
      </w:r>
      <w:r>
        <w:t xml:space="preserve"> (Ballard Analysis).</w:t>
      </w:r>
    </w:p>
  </w:footnote>
  <w:footnote w:id="19">
    <w:p w:rsidR="003D6F5D" w:rsidRPr="00004BDF" w:rsidP="00004BDF" w14:paraId="5B863B6A" w14:textId="55F8BD69">
      <w:pPr>
        <w:pStyle w:val="FootnoteText"/>
      </w:pPr>
      <w:r>
        <w:rPr>
          <w:rStyle w:val="FootnoteReference"/>
        </w:rPr>
        <w:footnoteRef/>
      </w:r>
      <w:r>
        <w:t xml:space="preserve"> </w:t>
      </w:r>
      <w:r w:rsidRPr="00830934" w:rsidR="00004BDF">
        <w:rPr>
          <w:i/>
          <w:iCs/>
        </w:rPr>
        <w:t>See</w:t>
      </w:r>
      <w:r w:rsidRPr="00FA1876" w:rsidR="00004BDF">
        <w:rPr>
          <w:i/>
          <w:iCs/>
        </w:rPr>
        <w:t xml:space="preserve"> Wireless Telecommunications Bureau Seeks Comment on the Commonwealth of Virginia, Department of State Police Request for Waiver of Section 22.565(f) of the Commission’s Rules to Increase Mobile Transmitter Output Power from 60 to 100 Watts</w:t>
      </w:r>
      <w:r w:rsidR="00004BDF">
        <w:t xml:space="preserve">, </w:t>
      </w:r>
      <w:r w:rsidRPr="00FA1876" w:rsidR="00004BDF">
        <w:t>Public Notice</w:t>
      </w:r>
      <w:r w:rsidR="00004BDF">
        <w:t xml:space="preserve">, </w:t>
      </w:r>
      <w:r w:rsidRPr="004F48A8" w:rsidR="004F48A8">
        <w:t>WT Docket No. 20-241</w:t>
      </w:r>
      <w:r w:rsidR="00767F81">
        <w:t>, DA 21-125</w:t>
      </w:r>
      <w:r w:rsidR="004F48A8">
        <w:t>,</w:t>
      </w:r>
      <w:r w:rsidR="00767F81">
        <w:t xml:space="preserve"> </w:t>
      </w:r>
      <w:bookmarkStart w:id="0" w:name="_Hlk97029291"/>
      <w:r w:rsidR="00767F81">
        <w:t xml:space="preserve">36 FCC </w:t>
      </w:r>
      <w:r w:rsidR="00767F81">
        <w:t>Rcd</w:t>
      </w:r>
      <w:r w:rsidR="00767F81">
        <w:t xml:space="preserve"> 1400</w:t>
      </w:r>
      <w:bookmarkEnd w:id="0"/>
      <w:r w:rsidR="004F48A8">
        <w:t xml:space="preserve"> </w:t>
      </w:r>
      <w:r w:rsidR="00004BDF">
        <w:t>(202</w:t>
      </w:r>
      <w:r w:rsidR="004F48A8">
        <w:t>1</w:t>
      </w:r>
      <w:r w:rsidR="00004BDF">
        <w:t>)</w:t>
      </w:r>
      <w:r w:rsidR="00DC2E69">
        <w:t xml:space="preserve"> (</w:t>
      </w:r>
      <w:bookmarkStart w:id="1" w:name="_Hlk97029242"/>
      <w:r w:rsidRPr="00740B93" w:rsidR="00DC2E69">
        <w:rPr>
          <w:i/>
          <w:iCs/>
        </w:rPr>
        <w:t>Public Notice</w:t>
      </w:r>
      <w:bookmarkEnd w:id="1"/>
      <w:r w:rsidR="00DC2E69">
        <w:t>)</w:t>
      </w:r>
      <w:r w:rsidR="00004BDF">
        <w:t>.</w:t>
      </w:r>
    </w:p>
  </w:footnote>
  <w:footnote w:id="20">
    <w:p w:rsidR="00496E4B" w14:paraId="36983793" w14:textId="796278CE">
      <w:pPr>
        <w:pStyle w:val="FootnoteText"/>
      </w:pPr>
      <w:r>
        <w:rPr>
          <w:rStyle w:val="FootnoteReference"/>
        </w:rPr>
        <w:footnoteRef/>
      </w:r>
      <w:r>
        <w:t xml:space="preserve"> </w:t>
      </w:r>
      <w:r w:rsidRPr="00496E4B">
        <w:rPr>
          <w:i/>
          <w:iCs/>
        </w:rPr>
        <w:t>See</w:t>
      </w:r>
      <w:r>
        <w:t xml:space="preserve"> Comments of the Enterprise Wireless Alliance</w:t>
      </w:r>
      <w:r w:rsidR="009D5B06">
        <w:t xml:space="preserve">, </w:t>
      </w:r>
      <w:bookmarkStart w:id="2" w:name="_Hlk78982598"/>
      <w:r w:rsidR="009D5B06">
        <w:t>WT Docket No. 20-241 (March 15, 2021) (EWA Comments)</w:t>
      </w:r>
      <w:bookmarkEnd w:id="2"/>
      <w:r w:rsidR="009D5B06">
        <w:t xml:space="preserve"> and Reply Comments of Utilities Technology Council, New York State Electric &amp; Gas Corporation, and Trott Communications Group, Inc., WT Docket No. 20-241 (March </w:t>
      </w:r>
      <w:r w:rsidR="009A20F1">
        <w:t>26</w:t>
      </w:r>
      <w:r w:rsidR="009D5B06">
        <w:t>, 2021) (UTC Comments).</w:t>
      </w:r>
    </w:p>
  </w:footnote>
  <w:footnote w:id="21">
    <w:p w:rsidR="001F1BC0" w:rsidRPr="00540F21" w:rsidP="001F1BC0" w14:paraId="5C46E016" w14:textId="38173422">
      <w:pPr>
        <w:pStyle w:val="FootnoteText"/>
      </w:pPr>
      <w:r w:rsidRPr="00540F21">
        <w:rPr>
          <w:rStyle w:val="FootnoteReference"/>
        </w:rPr>
        <w:footnoteRef/>
      </w:r>
      <w:r w:rsidRPr="00540F21">
        <w:t xml:space="preserve"> </w:t>
      </w:r>
      <w:r w:rsidRPr="00540F21">
        <w:t>47 CFR § 1.925(b)(3)(</w:t>
      </w:r>
      <w:r w:rsidRPr="00540F21">
        <w:t>i</w:t>
      </w:r>
      <w:r w:rsidRPr="00540F21">
        <w:t>).</w:t>
      </w:r>
    </w:p>
  </w:footnote>
  <w:footnote w:id="22">
    <w:p w:rsidR="001F1BC0" w:rsidRPr="0045496E" w:rsidP="001F1BC0" w14:paraId="260FA3CE" w14:textId="2A5BB6D0">
      <w:pPr>
        <w:pStyle w:val="FootnoteText"/>
      </w:pPr>
      <w:r w:rsidRPr="0045496E">
        <w:rPr>
          <w:rStyle w:val="FootnoteReference"/>
        </w:rPr>
        <w:footnoteRef/>
      </w:r>
      <w:r w:rsidRPr="0045496E">
        <w:t xml:space="preserve"> </w:t>
      </w:r>
      <w:r w:rsidR="00830934">
        <w:rPr>
          <w:i/>
          <w:iCs/>
        </w:rPr>
        <w:t>Id.</w:t>
      </w:r>
      <w:r w:rsidRPr="0045496E">
        <w:t xml:space="preserve"> § 1.925(b)(3)(ii).</w:t>
      </w:r>
    </w:p>
  </w:footnote>
  <w:footnote w:id="23">
    <w:p w:rsidR="001F1BC0" w:rsidRPr="0045496E" w:rsidP="001F1BC0" w14:paraId="410BDA52" w14:textId="6D9F3FDC">
      <w:pPr>
        <w:pStyle w:val="FootnoteText"/>
      </w:pPr>
      <w:r w:rsidRPr="0045496E">
        <w:rPr>
          <w:rStyle w:val="FootnoteReference"/>
        </w:rPr>
        <w:footnoteRef/>
      </w:r>
      <w:r w:rsidRPr="0045496E">
        <w:t xml:space="preserve"> </w:t>
      </w:r>
      <w:r w:rsidRPr="0045496E">
        <w:rPr>
          <w:i/>
        </w:rPr>
        <w:t>WAIT Radio v. FCC</w:t>
      </w:r>
      <w:r w:rsidRPr="0045496E">
        <w:t>, 418 F.2d 1153, 1157 (D.C. Cir. 1969) (</w:t>
      </w:r>
      <w:r w:rsidRPr="001D4D62">
        <w:rPr>
          <w:iCs/>
        </w:rPr>
        <w:t>citing</w:t>
      </w:r>
      <w:r w:rsidRPr="0045496E">
        <w:rPr>
          <w:i/>
        </w:rPr>
        <w:t xml:space="preserve"> Rio Grande Family Radio Fellowship, Inc. v. FCC</w:t>
      </w:r>
      <w:r w:rsidRPr="0045496E">
        <w:t xml:space="preserve">, 406 F.2d 664 (D.C. Cir. 1968)); </w:t>
      </w:r>
      <w:r w:rsidRPr="00FA1876">
        <w:rPr>
          <w:i/>
          <w:iCs/>
        </w:rPr>
        <w:t>Birach</w:t>
      </w:r>
      <w:r w:rsidRPr="00FA1876">
        <w:rPr>
          <w:i/>
          <w:iCs/>
        </w:rPr>
        <w:t xml:space="preserve"> Broadcasting </w:t>
      </w:r>
      <w:r w:rsidRPr="00FA1876" w:rsidR="00830934">
        <w:rPr>
          <w:i/>
          <w:iCs/>
        </w:rPr>
        <w:t>Corp</w:t>
      </w:r>
      <w:r w:rsidR="00830934">
        <w:rPr>
          <w:i/>
          <w:iCs/>
        </w:rPr>
        <w:t>.</w:t>
      </w:r>
      <w:r w:rsidRPr="0045496E">
        <w:t xml:space="preserve">, </w:t>
      </w:r>
      <w:r w:rsidRPr="00FA1876">
        <w:rPr>
          <w:iCs/>
        </w:rPr>
        <w:t>Memorandum Opinion and Order</w:t>
      </w:r>
      <w:r w:rsidRPr="0045496E">
        <w:rPr>
          <w:i/>
        </w:rPr>
        <w:t xml:space="preserve">, </w:t>
      </w:r>
      <w:r w:rsidRPr="0045496E">
        <w:t xml:space="preserve">18 FCC </w:t>
      </w:r>
      <w:r w:rsidRPr="0045496E">
        <w:t>Rcd</w:t>
      </w:r>
      <w:r w:rsidRPr="0045496E">
        <w:t xml:space="preserve"> 1414, 1415</w:t>
      </w:r>
      <w:r w:rsidR="00212831">
        <w:t>,</w:t>
      </w:r>
      <w:r w:rsidRPr="0045496E">
        <w:t xml:space="preserve"> </w:t>
      </w:r>
      <w:r w:rsidR="00212831">
        <w:t>para.</w:t>
      </w:r>
      <w:r w:rsidRPr="0045496E" w:rsidR="00212831">
        <w:t xml:space="preserve"> </w:t>
      </w:r>
      <w:r w:rsidRPr="0045496E">
        <w:t>6 (2003).</w:t>
      </w:r>
    </w:p>
  </w:footnote>
  <w:footnote w:id="24">
    <w:p w:rsidR="00510230" w:rsidP="00510230" w14:paraId="1C8F9418" w14:textId="1581D298">
      <w:pPr>
        <w:pStyle w:val="FootnoteText"/>
      </w:pPr>
      <w:r>
        <w:rPr>
          <w:rStyle w:val="FootnoteReference"/>
        </w:rPr>
        <w:footnoteRef/>
      </w:r>
      <w:r>
        <w:t xml:space="preserve"> </w:t>
      </w:r>
      <w:r w:rsidRPr="00740B93">
        <w:rPr>
          <w:i/>
          <w:iCs/>
        </w:rPr>
        <w:t>See</w:t>
      </w:r>
      <w:r>
        <w:t xml:space="preserve"> Federal Communications Commission 2002 Biennial Regulatory Review, Staff Report of the Wireless Telecommunications Bureau, WT Docket No. 02-310, 18 FCC </w:t>
      </w:r>
      <w:r>
        <w:t>Rcd</w:t>
      </w:r>
      <w:r>
        <w:t xml:space="preserve"> 4243, 4299 (2002) (Staff Report).</w:t>
      </w:r>
    </w:p>
  </w:footnote>
  <w:footnote w:id="25">
    <w:p w:rsidR="000952CF" w:rsidRPr="001D4D62" w14:paraId="08EDB869" w14:textId="463F1899">
      <w:pPr>
        <w:pStyle w:val="FootnoteText"/>
        <w:rPr>
          <w:i/>
          <w:iCs/>
        </w:rPr>
      </w:pPr>
      <w:r>
        <w:rPr>
          <w:rStyle w:val="FootnoteReference"/>
        </w:rPr>
        <w:footnoteRef/>
      </w:r>
      <w:r>
        <w:t xml:space="preserve"> </w:t>
      </w:r>
      <w:r w:rsidR="005E62FC">
        <w:rPr>
          <w:i/>
          <w:iCs/>
        </w:rPr>
        <w:t xml:space="preserve">See </w:t>
      </w:r>
      <w:r w:rsidR="00F245FF">
        <w:rPr>
          <w:i/>
          <w:iCs/>
        </w:rPr>
        <w:t>Northeast Cellular Telephone Co. v. FCC</w:t>
      </w:r>
      <w:r w:rsidR="00F245FF">
        <w:t xml:space="preserve">, 897 F.2d 1164, 1166 (D.C. Cir. </w:t>
      </w:r>
      <w:r w:rsidR="008B0D1C">
        <w:t>1990</w:t>
      </w:r>
      <w:r w:rsidR="001E4CB3">
        <w:t>) (“</w:t>
      </w:r>
      <w:r w:rsidRPr="001E4CB3" w:rsidR="001E4CB3">
        <w:t>The FCC may exercise its discretion to waive a rule where particular facts would make strict compliance inconsistent with the public interest.</w:t>
      </w:r>
      <w:r w:rsidR="001E4CB3">
        <w:t>”).</w:t>
      </w:r>
    </w:p>
  </w:footnote>
  <w:footnote w:id="26">
    <w:p w:rsidR="007F435B" w:rsidRPr="007F435B" w14:paraId="158F0DF0" w14:textId="1AE916C1">
      <w:pPr>
        <w:pStyle w:val="FootnoteText"/>
      </w:pPr>
      <w:r>
        <w:rPr>
          <w:rStyle w:val="FootnoteReference"/>
        </w:rPr>
        <w:footnoteRef/>
      </w:r>
      <w:r>
        <w:t xml:space="preserve"> </w:t>
      </w:r>
      <w:r>
        <w:rPr>
          <w:i/>
          <w:iCs/>
        </w:rPr>
        <w:t xml:space="preserve">See </w:t>
      </w:r>
      <w:r>
        <w:t>Waiver Request at 5.</w:t>
      </w:r>
    </w:p>
  </w:footnote>
  <w:footnote w:id="27">
    <w:p w:rsidR="001261A5" w:rsidRPr="001261A5" w14:paraId="240C20FD" w14:textId="770E93DE">
      <w:pPr>
        <w:pStyle w:val="FootnoteText"/>
      </w:pPr>
      <w:r>
        <w:rPr>
          <w:rStyle w:val="FootnoteReference"/>
        </w:rPr>
        <w:footnoteRef/>
      </w:r>
      <w:r>
        <w:t xml:space="preserve"> </w:t>
      </w:r>
      <w:r>
        <w:rPr>
          <w:i/>
          <w:iCs/>
        </w:rPr>
        <w:t xml:space="preserve">Id. </w:t>
      </w:r>
      <w:r>
        <w:t>at 2.</w:t>
      </w:r>
    </w:p>
  </w:footnote>
  <w:footnote w:id="28">
    <w:p w:rsidR="00620FD5" w:rsidP="00620FD5" w14:paraId="6184A6B5" w14:textId="71A063A6">
      <w:pPr>
        <w:pStyle w:val="FootnoteText"/>
      </w:pPr>
      <w:r>
        <w:rPr>
          <w:rStyle w:val="FootnoteReference"/>
        </w:rPr>
        <w:footnoteRef/>
      </w:r>
      <w:r>
        <w:t xml:space="preserve"> </w:t>
      </w:r>
      <w:r>
        <w:t>Switching from FDMA to TDMA causes more or larger dead spots by increasing the imbalance for two-way communications.  Waiver Request at 7.</w:t>
      </w:r>
    </w:p>
  </w:footnote>
  <w:footnote w:id="29">
    <w:p w:rsidR="009F575E" w14:paraId="5195B1EF" w14:textId="2644D5E0">
      <w:pPr>
        <w:pStyle w:val="FootnoteText"/>
      </w:pPr>
      <w:r>
        <w:rPr>
          <w:rStyle w:val="FootnoteReference"/>
        </w:rPr>
        <w:footnoteRef/>
      </w:r>
      <w:r>
        <w:t xml:space="preserve"> </w:t>
      </w:r>
      <w:r w:rsidRPr="009F575E">
        <w:rPr>
          <w:i/>
          <w:iCs/>
        </w:rPr>
        <w:t>See</w:t>
      </w:r>
      <w:r w:rsidRPr="009F575E">
        <w:t xml:space="preserve"> </w:t>
      </w:r>
      <w:r w:rsidRPr="00FA1876">
        <w:rPr>
          <w:i/>
          <w:iCs/>
        </w:rPr>
        <w:t>State of Wisconsin</w:t>
      </w:r>
      <w:r w:rsidRPr="009F575E">
        <w:t xml:space="preserve">, </w:t>
      </w:r>
      <w:r w:rsidRPr="00FA1876">
        <w:t>Order and Proposed Order of Modification</w:t>
      </w:r>
      <w:r w:rsidRPr="009F575E">
        <w:t xml:space="preserve">, 33 FCC </w:t>
      </w:r>
      <w:r w:rsidRPr="009F575E">
        <w:t>Rcd</w:t>
      </w:r>
      <w:r w:rsidRPr="009F575E">
        <w:t xml:space="preserve"> 11080 (WTB 2018) (</w:t>
      </w:r>
      <w:r w:rsidRPr="009F575E">
        <w:rPr>
          <w:i/>
          <w:iCs/>
        </w:rPr>
        <w:t>Wisconsin Waiver Order</w:t>
      </w:r>
      <w:r w:rsidRPr="009F575E">
        <w:t>).</w:t>
      </w:r>
    </w:p>
  </w:footnote>
  <w:footnote w:id="30">
    <w:p w:rsidR="008A7568" w14:paraId="4CCAD08D" w14:textId="0505E73B">
      <w:pPr>
        <w:pStyle w:val="FootnoteText"/>
      </w:pPr>
      <w:r>
        <w:rPr>
          <w:rStyle w:val="FootnoteReference"/>
        </w:rPr>
        <w:footnoteRef/>
      </w:r>
      <w:r>
        <w:t xml:space="preserve"> </w:t>
      </w:r>
      <w:r w:rsidRPr="008A7568">
        <w:rPr>
          <w:i/>
          <w:iCs/>
        </w:rPr>
        <w:t>See</w:t>
      </w:r>
      <w:r w:rsidRPr="008A7568">
        <w:rPr>
          <w:b/>
          <w:bCs/>
        </w:rPr>
        <w:t> </w:t>
      </w:r>
      <w:r w:rsidRPr="00FA1876">
        <w:rPr>
          <w:i/>
          <w:iCs/>
        </w:rPr>
        <w:t>State of Wyoming</w:t>
      </w:r>
      <w:r w:rsidRPr="008A7568">
        <w:t>, </w:t>
      </w:r>
      <w:r w:rsidRPr="00FA1876">
        <w:t>Order</w:t>
      </w:r>
      <w:r w:rsidRPr="00830934">
        <w:t>,</w:t>
      </w:r>
      <w:r w:rsidRPr="008A7568">
        <w:t> 23 FCC </w:t>
      </w:r>
      <w:r w:rsidRPr="008A7568">
        <w:t>Rcd</w:t>
      </w:r>
      <w:r w:rsidRPr="008A7568">
        <w:t> 9572 (PSHSB 2008)</w:t>
      </w:r>
      <w:r w:rsidRPr="00445F60" w:rsidR="00445F60">
        <w:rPr>
          <w:snapToGrid w:val="0"/>
          <w:kern w:val="28"/>
          <w:sz w:val="22"/>
        </w:rPr>
        <w:t xml:space="preserve"> </w:t>
      </w:r>
      <w:r w:rsidRPr="00445F60" w:rsidR="00445F60">
        <w:t>(</w:t>
      </w:r>
      <w:bookmarkStart w:id="5" w:name="_Hlk79071156"/>
      <w:r w:rsidR="00445F60">
        <w:rPr>
          <w:i/>
          <w:iCs/>
        </w:rPr>
        <w:t>Wyoming</w:t>
      </w:r>
      <w:r w:rsidRPr="00445F60" w:rsidR="00445F60">
        <w:rPr>
          <w:i/>
          <w:iCs/>
        </w:rPr>
        <w:t xml:space="preserve"> Waiver Order</w:t>
      </w:r>
      <w:bookmarkEnd w:id="5"/>
      <w:r w:rsidRPr="00445F60" w:rsidR="00445F60">
        <w:t>)</w:t>
      </w:r>
      <w:r w:rsidR="0043241F">
        <w:t>;</w:t>
      </w:r>
      <w:r w:rsidRPr="0043241F" w:rsidR="0043241F">
        <w:t xml:space="preserve"> </w:t>
      </w:r>
      <w:r w:rsidRPr="00FA1876" w:rsidR="0043241F">
        <w:rPr>
          <w:i/>
          <w:iCs/>
        </w:rPr>
        <w:t>State of Maine—</w:t>
      </w:r>
      <w:r w:rsidRPr="00FA1876" w:rsidR="0043241F">
        <w:rPr>
          <w:i/>
          <w:iCs/>
        </w:rPr>
        <w:t>MSCommNet</w:t>
      </w:r>
      <w:r w:rsidRPr="00FA1876" w:rsidR="0043241F">
        <w:rPr>
          <w:i/>
          <w:iCs/>
        </w:rPr>
        <w:t xml:space="preserve"> Project, Request for Waiver of Sections 90.35(a), 20.9(a)(6), 22.377, and 22.565(f) of the Commission</w:t>
      </w:r>
      <w:r w:rsidR="00830934">
        <w:rPr>
          <w:i/>
          <w:iCs/>
        </w:rPr>
        <w:t>’</w:t>
      </w:r>
      <w:r w:rsidRPr="00FA1876" w:rsidR="0043241F">
        <w:rPr>
          <w:i/>
          <w:iCs/>
        </w:rPr>
        <w:t>s Rules</w:t>
      </w:r>
      <w:r w:rsidRPr="008A7568" w:rsidR="0043241F">
        <w:t>, </w:t>
      </w:r>
      <w:r w:rsidRPr="00FA1876" w:rsidR="0043241F">
        <w:t>Order</w:t>
      </w:r>
      <w:r w:rsidRPr="008A7568" w:rsidR="0043241F">
        <w:t>, 27 FCC </w:t>
      </w:r>
      <w:r w:rsidRPr="008A7568" w:rsidR="0043241F">
        <w:t>Rcd</w:t>
      </w:r>
      <w:r w:rsidRPr="008A7568" w:rsidR="0043241F">
        <w:t xml:space="preserve"> 8891 (PSHSB/WTB 2012) </w:t>
      </w:r>
      <w:r w:rsidRPr="001B3F77" w:rsidR="0043241F">
        <w:t>(</w:t>
      </w:r>
      <w:r w:rsidRPr="008A7568" w:rsidR="0043241F">
        <w:rPr>
          <w:i/>
          <w:iCs/>
        </w:rPr>
        <w:t>Maine Waiver Order</w:t>
      </w:r>
      <w:r w:rsidRPr="001B3F77" w:rsidR="0043241F">
        <w:t>)</w:t>
      </w:r>
      <w:r w:rsidRPr="008A7568">
        <w:t>.</w:t>
      </w:r>
    </w:p>
  </w:footnote>
  <w:footnote w:id="31">
    <w:p w:rsidR="001C540A" w:rsidRPr="001C540A" w14:paraId="2F61B60B" w14:textId="526C1DC2">
      <w:pPr>
        <w:pStyle w:val="FootnoteText"/>
      </w:pPr>
      <w:r>
        <w:rPr>
          <w:rStyle w:val="FootnoteReference"/>
        </w:rPr>
        <w:footnoteRef/>
      </w:r>
      <w:r>
        <w:t xml:space="preserve"> </w:t>
      </w:r>
      <w:r>
        <w:rPr>
          <w:i/>
          <w:iCs/>
        </w:rPr>
        <w:t>See Wyoming Waiver Order</w:t>
      </w:r>
      <w:r>
        <w:t xml:space="preserve">, 23 FCC </w:t>
      </w:r>
      <w:r>
        <w:t>Rcd</w:t>
      </w:r>
      <w:r>
        <w:t xml:space="preserve"> at </w:t>
      </w:r>
      <w:r w:rsidRPr="00740B93" w:rsidR="00D117BE">
        <w:t>9580</w:t>
      </w:r>
      <w:r w:rsidRPr="00740B93">
        <w:t xml:space="preserve">, para </w:t>
      </w:r>
      <w:r w:rsidR="001F4332">
        <w:t>21</w:t>
      </w:r>
      <w:r>
        <w:t xml:space="preserve">; </w:t>
      </w:r>
      <w:r>
        <w:rPr>
          <w:i/>
          <w:iCs/>
        </w:rPr>
        <w:t>Maine Waiver Order</w:t>
      </w:r>
      <w:r>
        <w:t xml:space="preserve">, 27 FCC </w:t>
      </w:r>
      <w:r>
        <w:t>Rcd</w:t>
      </w:r>
      <w:r>
        <w:t xml:space="preserve"> at </w:t>
      </w:r>
      <w:r w:rsidRPr="00740B93" w:rsidR="001F4332">
        <w:t xml:space="preserve">8895, </w:t>
      </w:r>
      <w:r w:rsidRPr="00740B93">
        <w:t xml:space="preserve">para. </w:t>
      </w:r>
      <w:r w:rsidR="001F4332">
        <w:t>18</w:t>
      </w:r>
      <w:r>
        <w:t>.</w:t>
      </w:r>
    </w:p>
  </w:footnote>
  <w:footnote w:id="32">
    <w:p w:rsidR="00B719B0" w14:paraId="252B8D66" w14:textId="60003B11">
      <w:pPr>
        <w:pStyle w:val="FootnoteText"/>
      </w:pPr>
      <w:r>
        <w:rPr>
          <w:rStyle w:val="FootnoteReference"/>
        </w:rPr>
        <w:footnoteRef/>
      </w:r>
      <w:r>
        <w:t xml:space="preserve"> </w:t>
      </w:r>
      <w:r w:rsidRPr="00B5493D">
        <w:rPr>
          <w:i/>
          <w:iCs/>
        </w:rPr>
        <w:t xml:space="preserve">See </w:t>
      </w:r>
      <w:r>
        <w:rPr>
          <w:i/>
          <w:iCs/>
        </w:rPr>
        <w:t>Maine Waiver Order</w:t>
      </w:r>
      <w:r>
        <w:t xml:space="preserve">, 27 FCC </w:t>
      </w:r>
      <w:r>
        <w:t>Rcd</w:t>
      </w:r>
      <w:r>
        <w:t xml:space="preserve"> at </w:t>
      </w:r>
      <w:r w:rsidRPr="00740B93" w:rsidR="00B35232">
        <w:t xml:space="preserve">8895 </w:t>
      </w:r>
      <w:r w:rsidRPr="00740B93">
        <w:t xml:space="preserve">para. </w:t>
      </w:r>
      <w:r w:rsidR="00B35232">
        <w:t>14.</w:t>
      </w:r>
    </w:p>
  </w:footnote>
  <w:footnote w:id="33">
    <w:p w:rsidR="003437FD" w:rsidRPr="00DC2E69" w:rsidP="003437FD" w14:paraId="28DCF824" w14:textId="77777777">
      <w:pPr>
        <w:pStyle w:val="FootnoteText"/>
      </w:pPr>
      <w:r>
        <w:rPr>
          <w:rStyle w:val="FootnoteReference"/>
        </w:rPr>
        <w:footnoteRef/>
      </w:r>
      <w:r>
        <w:t xml:space="preserve"> </w:t>
      </w:r>
      <w:r w:rsidRPr="00DC2E69">
        <w:rPr>
          <w:i/>
          <w:iCs/>
        </w:rPr>
        <w:t>Public Notice</w:t>
      </w:r>
      <w:r>
        <w:t xml:space="preserve">, </w:t>
      </w:r>
      <w:r w:rsidRPr="00DC2E69">
        <w:t xml:space="preserve">36 FCC </w:t>
      </w:r>
      <w:r w:rsidRPr="00DC2E69">
        <w:t>Rcd</w:t>
      </w:r>
      <w:r w:rsidRPr="00DC2E69">
        <w:t xml:space="preserve"> </w:t>
      </w:r>
      <w:r>
        <w:t>at 1401.</w:t>
      </w:r>
    </w:p>
  </w:footnote>
  <w:footnote w:id="34">
    <w:p w:rsidR="003437FD" w:rsidP="003437FD" w14:paraId="40284097" w14:textId="2B0A797C">
      <w:pPr>
        <w:pStyle w:val="FootnoteText"/>
      </w:pPr>
      <w:r>
        <w:rPr>
          <w:rStyle w:val="FootnoteReference"/>
        </w:rPr>
        <w:footnoteRef/>
      </w:r>
      <w:r>
        <w:t xml:space="preserve"> </w:t>
      </w:r>
      <w:r w:rsidRPr="006F5299">
        <w:t>EWA states that the Waiver Request includes the Ballard Analysis</w:t>
      </w:r>
      <w:r w:rsidR="00684F52">
        <w:t>,</w:t>
      </w:r>
      <w:r w:rsidRPr="006F5299">
        <w:t xml:space="preserve"> which supports the claim that the output power increase will not cause interference to other part 22 licensees, whether adjacent channel licensees in the STARS operating area or co-channel licensees in adjacent markets.  EWA further contends that in the unlikely event that the Ballard Analysis conclusions are incorrect, they expect VA State Police to respond quickly to eliminate any problem</w:t>
      </w:r>
      <w:r>
        <w:t>.  EWA Comments at 2-3.</w:t>
      </w:r>
    </w:p>
  </w:footnote>
  <w:footnote w:id="35">
    <w:p w:rsidR="00185940" w:rsidRPr="001C540A" w:rsidP="00185940" w14:paraId="36ABD98B" w14:textId="77777777">
      <w:pPr>
        <w:pStyle w:val="FootnoteText"/>
      </w:pPr>
      <w:r>
        <w:rPr>
          <w:rStyle w:val="FootnoteReference"/>
        </w:rPr>
        <w:footnoteRef/>
      </w:r>
      <w:r>
        <w:t xml:space="preserve"> </w:t>
      </w:r>
      <w:r w:rsidRPr="00445F60">
        <w:rPr>
          <w:i/>
          <w:iCs/>
        </w:rPr>
        <w:t>See</w:t>
      </w:r>
      <w:r w:rsidRPr="00445F60">
        <w:t xml:space="preserve"> </w:t>
      </w:r>
      <w:r>
        <w:rPr>
          <w:i/>
          <w:iCs/>
        </w:rPr>
        <w:t>Wyoming</w:t>
      </w:r>
      <w:r w:rsidRPr="00445F60">
        <w:rPr>
          <w:i/>
          <w:iCs/>
        </w:rPr>
        <w:t xml:space="preserve"> Waiver Order</w:t>
      </w:r>
      <w:r w:rsidRPr="001C540A">
        <w:t>,</w:t>
      </w:r>
      <w:r>
        <w:t xml:space="preserve"> </w:t>
      </w:r>
      <w:r w:rsidRPr="00B5493D">
        <w:t xml:space="preserve">23 FCC </w:t>
      </w:r>
      <w:r w:rsidRPr="00B5493D">
        <w:t>Rcd</w:t>
      </w:r>
      <w:r w:rsidRPr="00B5493D">
        <w:t xml:space="preserve"> </w:t>
      </w:r>
      <w:r w:rsidRPr="00740B93">
        <w:t xml:space="preserve">at 9580, para. </w:t>
      </w:r>
      <w:r>
        <w:t xml:space="preserve">20 (Wyoming must accept any interference that may result from operation of co-channel transmitters authorized to incumbent licensees); </w:t>
      </w:r>
      <w:r w:rsidRPr="00445F60">
        <w:rPr>
          <w:i/>
          <w:iCs/>
        </w:rPr>
        <w:t>Maine Waiver Order</w:t>
      </w:r>
      <w:r>
        <w:t xml:space="preserve">, 27 FCC </w:t>
      </w:r>
      <w:r>
        <w:t>Rcd</w:t>
      </w:r>
      <w:r>
        <w:t xml:space="preserve"> </w:t>
      </w:r>
      <w:r w:rsidRPr="00740B93">
        <w:t xml:space="preserve">at 8895, para </w:t>
      </w:r>
      <w:r>
        <w:t xml:space="preserve">15 (limiting the area in which Maine may operate mobile units at 110 watts on part 22 frequencies to reduce the potential for interference to part 22 licensees in adjacent regions).  The State of Maine was required to operate its mobile units at least eight  kilometers from the edge of its part 22 service area when transmitting at power levels above 60 watts on part 22 paging frequencies.  </w:t>
      </w:r>
      <w:r>
        <w:rPr>
          <w:i/>
          <w:iCs/>
        </w:rPr>
        <w:t>See Maine Waiver Order</w:t>
      </w:r>
      <w:r>
        <w:t xml:space="preserve">, 27 FCC </w:t>
      </w:r>
      <w:r>
        <w:t>Rcd</w:t>
      </w:r>
      <w:r>
        <w:t xml:space="preserve"> at </w:t>
      </w:r>
      <w:r w:rsidRPr="00740B93">
        <w:t xml:space="preserve">8895, para </w:t>
      </w:r>
      <w:r>
        <w:t>19.</w:t>
      </w:r>
    </w:p>
  </w:footnote>
  <w:footnote w:id="36">
    <w:p w:rsidR="00185940" w:rsidRPr="00766187" w:rsidP="00185940" w14:paraId="79C57206" w14:textId="77777777">
      <w:pPr>
        <w:pStyle w:val="FootnoteText"/>
      </w:pPr>
      <w:r>
        <w:rPr>
          <w:rStyle w:val="FootnoteReference"/>
        </w:rPr>
        <w:footnoteRef/>
      </w:r>
      <w:r>
        <w:t xml:space="preserve"> </w:t>
      </w:r>
      <w:r>
        <w:rPr>
          <w:i/>
          <w:iCs/>
        </w:rPr>
        <w:t xml:space="preserve">See </w:t>
      </w:r>
      <w:r>
        <w:t xml:space="preserve">47 CFR </w:t>
      </w:r>
      <w:r w:rsidRPr="00540F21">
        <w:t>§</w:t>
      </w:r>
      <w:r>
        <w:t xml:space="preserve"> 22.503(h).</w:t>
      </w:r>
    </w:p>
  </w:footnote>
  <w:footnote w:id="37">
    <w:p w:rsidR="00DB2C68" w14:paraId="54E0C7EA" w14:textId="0C0A66C1">
      <w:pPr>
        <w:pStyle w:val="FootnoteText"/>
      </w:pPr>
      <w:r>
        <w:rPr>
          <w:rStyle w:val="FootnoteReference"/>
        </w:rPr>
        <w:footnoteRef/>
      </w:r>
      <w:r>
        <w:t xml:space="preserve"> </w:t>
      </w:r>
      <w:r>
        <w:rPr>
          <w:rFonts w:eastAsia="Arial Unicode MS" w:cs="Arial Unicode MS"/>
        </w:rPr>
        <w:t xml:space="preserve">Five kilometers represents the distance between interfering contours generated for the mobile transmitter, using a transmitter power output of 60 watts and 100 watts.  </w:t>
      </w:r>
      <w:r w:rsidRPr="004232D4">
        <w:rPr>
          <w:rFonts w:eastAsia="Arial Unicode MS" w:cs="Arial Unicode MS"/>
          <w:i/>
          <w:iCs/>
        </w:rPr>
        <w:t>See</w:t>
      </w:r>
      <w:r>
        <w:rPr>
          <w:rFonts w:eastAsia="Arial Unicode MS" w:cs="Arial Unicode MS"/>
        </w:rPr>
        <w:t xml:space="preserve"> 47 CFR </w:t>
      </w:r>
      <w:r w:rsidRPr="00D82AE8">
        <w:t>§</w:t>
      </w:r>
      <w:r>
        <w:t xml:space="preserve"> 22.567</w:t>
      </w:r>
      <w:r w:rsidR="000C439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4A73194" w14:textId="1FB6959C">
    <w:pPr>
      <w:pStyle w:val="Header"/>
      <w:rPr>
        <w:b w:val="0"/>
      </w:rPr>
    </w:pPr>
    <w:r>
      <w:tab/>
    </w:r>
    <w:r>
      <w:t>Federal Communications Commission</w:t>
    </w:r>
    <w:r>
      <w:tab/>
    </w:r>
    <w:r w:rsidR="00035CB4">
      <w:t>DA 2</w:t>
    </w:r>
    <w:r w:rsidR="009B4EBA">
      <w:t>2</w:t>
    </w:r>
    <w:r w:rsidR="00035CB4">
      <w:t>-</w:t>
    </w:r>
    <w:r w:rsidR="009B4EBA">
      <w:t>282</w:t>
    </w:r>
  </w:p>
  <w:p w:rsidR="00D25FB5" w14:paraId="2D25CC10" w14:textId="23CB85E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E125EB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E0DDFA" w14:textId="4053EDB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035CB4">
      <w:rPr>
        <w:spacing w:val="-2"/>
      </w:rPr>
      <w:t>DA 2</w:t>
    </w:r>
    <w:r w:rsidR="009B4EBA">
      <w:rPr>
        <w:spacing w:val="-2"/>
      </w:rPr>
      <w:t>2</w:t>
    </w:r>
    <w:r w:rsidR="00035CB4">
      <w:rPr>
        <w:spacing w:val="-2"/>
      </w:rPr>
      <w:t>-</w:t>
    </w:r>
    <w:r w:rsidR="009B4EBA">
      <w:rPr>
        <w:spacing w:val="-2"/>
      </w:rPr>
      <w:t>282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1D1DF0"/>
    <w:multiLevelType w:val="hybridMultilevel"/>
    <w:tmpl w:val="884E98C6"/>
    <w:lvl w:ilvl="0">
      <w:start w:val="1"/>
      <w:numFmt w:val="bullet"/>
      <w:lvlText w:val="•"/>
      <w:lvlJc w:val="left"/>
      <w:pPr>
        <w:ind w:left="861" w:hanging="355"/>
      </w:pPr>
      <w:rPr>
        <w:rFonts w:ascii="Times New Roman" w:eastAsia="Times New Roman" w:hAnsi="Times New Roman" w:hint="default"/>
        <w:w w:val="151"/>
        <w:sz w:val="23"/>
        <w:szCs w:val="23"/>
      </w:rPr>
    </w:lvl>
    <w:lvl w:ilvl="1">
      <w:start w:val="1"/>
      <w:numFmt w:val="bullet"/>
      <w:lvlText w:val="•"/>
      <w:lvlJc w:val="left"/>
      <w:pPr>
        <w:ind w:left="1735" w:hanging="355"/>
      </w:pPr>
      <w:rPr>
        <w:rFonts w:hint="default"/>
      </w:rPr>
    </w:lvl>
    <w:lvl w:ilvl="2">
      <w:start w:val="1"/>
      <w:numFmt w:val="bullet"/>
      <w:lvlText w:val="•"/>
      <w:lvlJc w:val="left"/>
      <w:pPr>
        <w:ind w:left="2609" w:hanging="355"/>
      </w:pPr>
      <w:rPr>
        <w:rFonts w:hint="default"/>
      </w:rPr>
    </w:lvl>
    <w:lvl w:ilvl="3">
      <w:start w:val="1"/>
      <w:numFmt w:val="bullet"/>
      <w:lvlText w:val="•"/>
      <w:lvlJc w:val="left"/>
      <w:pPr>
        <w:ind w:left="3483" w:hanging="355"/>
      </w:pPr>
      <w:rPr>
        <w:rFonts w:hint="default"/>
      </w:rPr>
    </w:lvl>
    <w:lvl w:ilvl="4">
      <w:start w:val="1"/>
      <w:numFmt w:val="bullet"/>
      <w:lvlText w:val="•"/>
      <w:lvlJc w:val="left"/>
      <w:pPr>
        <w:ind w:left="4357" w:hanging="355"/>
      </w:pPr>
      <w:rPr>
        <w:rFonts w:hint="default"/>
      </w:rPr>
    </w:lvl>
    <w:lvl w:ilvl="5">
      <w:start w:val="1"/>
      <w:numFmt w:val="bullet"/>
      <w:lvlText w:val="•"/>
      <w:lvlJc w:val="left"/>
      <w:pPr>
        <w:ind w:left="5231" w:hanging="355"/>
      </w:pPr>
      <w:rPr>
        <w:rFonts w:hint="default"/>
      </w:rPr>
    </w:lvl>
    <w:lvl w:ilvl="6">
      <w:start w:val="1"/>
      <w:numFmt w:val="bullet"/>
      <w:lvlText w:val="•"/>
      <w:lvlJc w:val="left"/>
      <w:pPr>
        <w:ind w:left="6104" w:hanging="355"/>
      </w:pPr>
      <w:rPr>
        <w:rFonts w:hint="default"/>
      </w:rPr>
    </w:lvl>
    <w:lvl w:ilvl="7">
      <w:start w:val="1"/>
      <w:numFmt w:val="bullet"/>
      <w:lvlText w:val="•"/>
      <w:lvlJc w:val="left"/>
      <w:pPr>
        <w:ind w:left="6978" w:hanging="355"/>
      </w:pPr>
      <w:rPr>
        <w:rFonts w:hint="default"/>
      </w:rPr>
    </w:lvl>
    <w:lvl w:ilvl="8">
      <w:start w:val="1"/>
      <w:numFmt w:val="bullet"/>
      <w:lvlText w:val="•"/>
      <w:lvlJc w:val="left"/>
      <w:pPr>
        <w:ind w:left="7852" w:hanging="355"/>
      </w:pPr>
      <w:rPr>
        <w:rFonts w:hint="default"/>
      </w:rPr>
    </w:lvl>
  </w:abstractNum>
  <w:abstractNum w:abstractNumId="2">
    <w:nsid w:val="0C1F33A9"/>
    <w:multiLevelType w:val="hybridMultilevel"/>
    <w:tmpl w:val="23EA1F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9372E52"/>
    <w:multiLevelType w:val="hybridMultilevel"/>
    <w:tmpl w:val="8F8680A4"/>
    <w:numStyleLink w:val="ImportedStyle1"/>
  </w:abstractNum>
  <w:abstractNum w:abstractNumId="7">
    <w:nsid w:val="3C47245E"/>
    <w:multiLevelType w:val="hybridMultilevel"/>
    <w:tmpl w:val="A72243A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43695B5A"/>
    <w:multiLevelType w:val="hybridMultilevel"/>
    <w:tmpl w:val="8F8680A4"/>
    <w:styleLink w:val="ImportedStyle1"/>
    <w:lvl w:ilvl="0">
      <w:start w:val="1"/>
      <w:numFmt w:val="bullet"/>
      <w:lvlText w:val="•"/>
      <w:lvlJc w:val="left"/>
      <w:pPr>
        <w:ind w:left="330" w:hanging="33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bullet"/>
      <w:lvlText w:val="•"/>
      <w:lvlJc w:val="left"/>
      <w:pPr>
        <w:ind w:left="1050" w:hanging="33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bullet"/>
      <w:lvlText w:val="•"/>
      <w:lvlJc w:val="left"/>
      <w:pPr>
        <w:ind w:left="1770" w:hanging="33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bullet"/>
      <w:lvlText w:val="•"/>
      <w:lvlJc w:val="left"/>
      <w:pPr>
        <w:ind w:left="2490" w:hanging="33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bullet"/>
      <w:lvlText w:val="•"/>
      <w:lvlJc w:val="left"/>
      <w:pPr>
        <w:ind w:left="3210" w:hanging="33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bullet"/>
      <w:lvlText w:val="•"/>
      <w:lvlJc w:val="left"/>
      <w:pPr>
        <w:ind w:left="3930" w:hanging="33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bullet"/>
      <w:lvlText w:val="•"/>
      <w:lvlJc w:val="left"/>
      <w:pPr>
        <w:ind w:left="4650" w:hanging="33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bullet"/>
      <w:lvlText w:val="•"/>
      <w:lvlJc w:val="left"/>
      <w:pPr>
        <w:ind w:left="5370" w:hanging="33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bullet"/>
      <w:lvlText w:val="•"/>
      <w:lvlJc w:val="left"/>
      <w:pPr>
        <w:ind w:left="6090" w:hanging="33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9">
    <w:nsid w:val="4AE873DC"/>
    <w:multiLevelType w:val="hybridMultilevel"/>
    <w:tmpl w:val="2D244B68"/>
    <w:styleLink w:val="Bullets"/>
    <w:lvl w:ilvl="0">
      <w:start w:val="1"/>
      <w:numFmt w:val="bullet"/>
      <w:lvlText w:val="•"/>
      <w:lvlJc w:val="left"/>
      <w:pPr>
        <w:ind w:left="189" w:hanging="189"/>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bullet"/>
      <w:lvlText w:val="•"/>
      <w:lvlJc w:val="left"/>
      <w:pPr>
        <w:ind w:left="789" w:hanging="189"/>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bullet"/>
      <w:lvlText w:val="•"/>
      <w:lvlJc w:val="left"/>
      <w:pPr>
        <w:ind w:left="1389" w:hanging="189"/>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bullet"/>
      <w:lvlText w:val="•"/>
      <w:lvlJc w:val="left"/>
      <w:pPr>
        <w:ind w:left="1989" w:hanging="189"/>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bullet"/>
      <w:lvlText w:val="•"/>
      <w:lvlJc w:val="left"/>
      <w:pPr>
        <w:ind w:left="2589" w:hanging="189"/>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bullet"/>
      <w:lvlText w:val="•"/>
      <w:lvlJc w:val="left"/>
      <w:pPr>
        <w:ind w:left="3189" w:hanging="189"/>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bullet"/>
      <w:lvlText w:val="•"/>
      <w:lvlJc w:val="left"/>
      <w:pPr>
        <w:ind w:left="3789" w:hanging="189"/>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bullet"/>
      <w:lvlText w:val="•"/>
      <w:lvlJc w:val="left"/>
      <w:pPr>
        <w:ind w:left="4389" w:hanging="189"/>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bullet"/>
      <w:lvlText w:val="•"/>
      <w:lvlJc w:val="left"/>
      <w:pPr>
        <w:ind w:left="4989" w:hanging="189"/>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780953E7"/>
    <w:multiLevelType w:val="hybridMultilevel"/>
    <w:tmpl w:val="2D244B68"/>
    <w:numStyleLink w:val="Bullets"/>
  </w:abstractNum>
  <w:abstractNum w:abstractNumId="13">
    <w:nsid w:val="7F0A7970"/>
    <w:multiLevelType w:val="hybridMultilevel"/>
    <w:tmpl w:val="8F8680A4"/>
    <w:numStyleLink w:val="ImportedStyle1"/>
  </w:abstractNum>
  <w:num w:numId="1">
    <w:abstractNumId w:val="3"/>
  </w:num>
  <w:num w:numId="2">
    <w:abstractNumId w:val="11"/>
  </w:num>
  <w:num w:numId="3">
    <w:abstractNumId w:val="5"/>
  </w:num>
  <w:num w:numId="4">
    <w:abstractNumId w:val="10"/>
  </w:num>
  <w:num w:numId="5">
    <w:abstractNumId w:val="4"/>
  </w:num>
  <w:num w:numId="6">
    <w:abstractNumId w:val="0"/>
  </w:num>
  <w:num w:numId="7">
    <w:abstractNumId w:val="9"/>
  </w:num>
  <w:num w:numId="8">
    <w:abstractNumId w:val="12"/>
  </w:num>
  <w:num w:numId="9">
    <w:abstractNumId w:val="8"/>
  </w:num>
  <w:num w:numId="10">
    <w:abstractNumId w:val="6"/>
  </w:num>
  <w:num w:numId="11">
    <w:abstractNumId w:val="6"/>
    <w:lvlOverride w:ilvl="0">
      <w:lvl w:ilvl="0">
        <w:start w:val="1"/>
        <w:numFmt w:val="bullet"/>
        <w:lvlText w:val="•"/>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lvlText w:val="•"/>
        <w:lvlJc w:val="left"/>
        <w:pPr>
          <w:ind w:left="10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lvlText w:val="•"/>
        <w:lvlJc w:val="left"/>
        <w:pPr>
          <w:ind w:left="17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lvlText w:val="•"/>
        <w:lvlJc w:val="left"/>
        <w:pPr>
          <w:ind w:left="24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lvlText w:val="•"/>
        <w:lvlJc w:val="left"/>
        <w:pPr>
          <w:ind w:left="32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lvlText w:val="•"/>
        <w:lvlJc w:val="left"/>
        <w:pPr>
          <w:ind w:left="39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lvlText w:val="•"/>
        <w:lvlJc w:val="left"/>
        <w:pPr>
          <w:ind w:left="46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lvlText w:val="•"/>
        <w:lvlJc w:val="left"/>
        <w:pPr>
          <w:ind w:left="53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lvlText w:val="•"/>
        <w:lvlJc w:val="left"/>
        <w:pPr>
          <w:ind w:left="60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
  </w:num>
  <w:num w:numId="13">
    <w:abstractNumId w:val="13"/>
  </w:num>
  <w:num w:numId="14">
    <w:abstractNumId w:val="13"/>
    <w:lvlOverride w:ilvl="0">
      <w:lvl w:ilvl="0">
        <w:start w:val="1"/>
        <w:numFmt w:val="bullet"/>
        <w:lvlText w:val="•"/>
        <w:lvlJc w:val="left"/>
        <w:pPr>
          <w:ind w:left="33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lvlText w:val="•"/>
        <w:lvlJc w:val="left"/>
        <w:pPr>
          <w:ind w:left="10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lvlText w:val="•"/>
        <w:lvlJc w:val="left"/>
        <w:pPr>
          <w:ind w:left="17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lvlText w:val="•"/>
        <w:lvlJc w:val="left"/>
        <w:pPr>
          <w:ind w:left="24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lvlText w:val="•"/>
        <w:lvlJc w:val="left"/>
        <w:pPr>
          <w:ind w:left="32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lvlText w:val="•"/>
        <w:lvlJc w:val="left"/>
        <w:pPr>
          <w:ind w:left="39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lvlText w:val="•"/>
        <w:lvlJc w:val="left"/>
        <w:pPr>
          <w:ind w:left="46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lvlText w:val="•"/>
        <w:lvlJc w:val="left"/>
        <w:pPr>
          <w:ind w:left="53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lvlText w:val="•"/>
        <w:lvlJc w:val="left"/>
        <w:pPr>
          <w:ind w:left="60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1"/>
    <w:lvlOverride w:ilvl="0">
      <w:startOverride w:val="1"/>
    </w:lvlOverride>
  </w:num>
  <w:num w:numId="16">
    <w:abstractNumId w:val="7"/>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B4"/>
    <w:rsid w:val="00004BDF"/>
    <w:rsid w:val="000123A9"/>
    <w:rsid w:val="00022A58"/>
    <w:rsid w:val="00024C82"/>
    <w:rsid w:val="0002752A"/>
    <w:rsid w:val="00035CB4"/>
    <w:rsid w:val="00036039"/>
    <w:rsid w:val="00037CB1"/>
    <w:rsid w:val="00037F90"/>
    <w:rsid w:val="00051DB5"/>
    <w:rsid w:val="00053DAA"/>
    <w:rsid w:val="0005768A"/>
    <w:rsid w:val="00061EF1"/>
    <w:rsid w:val="000648B7"/>
    <w:rsid w:val="000651CD"/>
    <w:rsid w:val="00066B89"/>
    <w:rsid w:val="00074729"/>
    <w:rsid w:val="00074FD5"/>
    <w:rsid w:val="000875BF"/>
    <w:rsid w:val="000952CF"/>
    <w:rsid w:val="00096D8C"/>
    <w:rsid w:val="000A4B73"/>
    <w:rsid w:val="000C0B65"/>
    <w:rsid w:val="000C4399"/>
    <w:rsid w:val="000C77BB"/>
    <w:rsid w:val="000D1E02"/>
    <w:rsid w:val="000E05FE"/>
    <w:rsid w:val="000E3D42"/>
    <w:rsid w:val="000E6272"/>
    <w:rsid w:val="000E7A27"/>
    <w:rsid w:val="000F3C4E"/>
    <w:rsid w:val="000F7D0D"/>
    <w:rsid w:val="00100AA7"/>
    <w:rsid w:val="0011676A"/>
    <w:rsid w:val="00116BF8"/>
    <w:rsid w:val="00122BD5"/>
    <w:rsid w:val="00124CCB"/>
    <w:rsid w:val="001261A5"/>
    <w:rsid w:val="00131314"/>
    <w:rsid w:val="00133F79"/>
    <w:rsid w:val="00135534"/>
    <w:rsid w:val="00140E5D"/>
    <w:rsid w:val="00146799"/>
    <w:rsid w:val="0014708E"/>
    <w:rsid w:val="001477E4"/>
    <w:rsid w:val="001653B5"/>
    <w:rsid w:val="001724E4"/>
    <w:rsid w:val="00177615"/>
    <w:rsid w:val="00185940"/>
    <w:rsid w:val="001927F1"/>
    <w:rsid w:val="00194A66"/>
    <w:rsid w:val="001A1D4B"/>
    <w:rsid w:val="001A38E2"/>
    <w:rsid w:val="001B367F"/>
    <w:rsid w:val="001B3F77"/>
    <w:rsid w:val="001B6362"/>
    <w:rsid w:val="001C540A"/>
    <w:rsid w:val="001D0A2F"/>
    <w:rsid w:val="001D2FDB"/>
    <w:rsid w:val="001D303A"/>
    <w:rsid w:val="001D4D62"/>
    <w:rsid w:val="001D6BCF"/>
    <w:rsid w:val="001E01CA"/>
    <w:rsid w:val="001E140D"/>
    <w:rsid w:val="001E3E88"/>
    <w:rsid w:val="001E4CB3"/>
    <w:rsid w:val="001F1BC0"/>
    <w:rsid w:val="001F4332"/>
    <w:rsid w:val="002062E8"/>
    <w:rsid w:val="00212831"/>
    <w:rsid w:val="00214B7A"/>
    <w:rsid w:val="00215296"/>
    <w:rsid w:val="00232A06"/>
    <w:rsid w:val="0023308C"/>
    <w:rsid w:val="00275CF5"/>
    <w:rsid w:val="002760DA"/>
    <w:rsid w:val="0028301F"/>
    <w:rsid w:val="00285017"/>
    <w:rsid w:val="002944FB"/>
    <w:rsid w:val="002A2D2E"/>
    <w:rsid w:val="002C00E8"/>
    <w:rsid w:val="002C0B06"/>
    <w:rsid w:val="002E7FE6"/>
    <w:rsid w:val="00304318"/>
    <w:rsid w:val="003058A9"/>
    <w:rsid w:val="00325B8E"/>
    <w:rsid w:val="00340202"/>
    <w:rsid w:val="003404BB"/>
    <w:rsid w:val="00343749"/>
    <w:rsid w:val="003437FD"/>
    <w:rsid w:val="00344C87"/>
    <w:rsid w:val="00347066"/>
    <w:rsid w:val="00350EE8"/>
    <w:rsid w:val="00353BD8"/>
    <w:rsid w:val="003660ED"/>
    <w:rsid w:val="00367F73"/>
    <w:rsid w:val="003A1030"/>
    <w:rsid w:val="003A787A"/>
    <w:rsid w:val="003B0550"/>
    <w:rsid w:val="003B455B"/>
    <w:rsid w:val="003B694F"/>
    <w:rsid w:val="003D2F8B"/>
    <w:rsid w:val="003D6F5D"/>
    <w:rsid w:val="003E31B5"/>
    <w:rsid w:val="003F171C"/>
    <w:rsid w:val="003F396A"/>
    <w:rsid w:val="0040790B"/>
    <w:rsid w:val="004105D4"/>
    <w:rsid w:val="00412FC5"/>
    <w:rsid w:val="00422276"/>
    <w:rsid w:val="004232D4"/>
    <w:rsid w:val="004242F1"/>
    <w:rsid w:val="0042664C"/>
    <w:rsid w:val="0043241F"/>
    <w:rsid w:val="00445A00"/>
    <w:rsid w:val="00445F60"/>
    <w:rsid w:val="00446CE5"/>
    <w:rsid w:val="0044749F"/>
    <w:rsid w:val="00451B0F"/>
    <w:rsid w:val="0045496E"/>
    <w:rsid w:val="00473BE2"/>
    <w:rsid w:val="00494030"/>
    <w:rsid w:val="00494832"/>
    <w:rsid w:val="00496E4B"/>
    <w:rsid w:val="004A1296"/>
    <w:rsid w:val="004B4961"/>
    <w:rsid w:val="004C2EE3"/>
    <w:rsid w:val="004C435D"/>
    <w:rsid w:val="004D08CD"/>
    <w:rsid w:val="004D618B"/>
    <w:rsid w:val="004D7E68"/>
    <w:rsid w:val="004E2E92"/>
    <w:rsid w:val="004E4A22"/>
    <w:rsid w:val="004E66AF"/>
    <w:rsid w:val="004F041B"/>
    <w:rsid w:val="004F48A8"/>
    <w:rsid w:val="004F5F56"/>
    <w:rsid w:val="00510230"/>
    <w:rsid w:val="00511968"/>
    <w:rsid w:val="005257BC"/>
    <w:rsid w:val="0053672E"/>
    <w:rsid w:val="00540F21"/>
    <w:rsid w:val="00543C15"/>
    <w:rsid w:val="00546F37"/>
    <w:rsid w:val="00551D13"/>
    <w:rsid w:val="0055614C"/>
    <w:rsid w:val="00566D06"/>
    <w:rsid w:val="00582EF5"/>
    <w:rsid w:val="00592C2B"/>
    <w:rsid w:val="005970AA"/>
    <w:rsid w:val="005A169C"/>
    <w:rsid w:val="005A43F2"/>
    <w:rsid w:val="005B7952"/>
    <w:rsid w:val="005C3D59"/>
    <w:rsid w:val="005E14C2"/>
    <w:rsid w:val="005E2D97"/>
    <w:rsid w:val="005E62FC"/>
    <w:rsid w:val="005F0092"/>
    <w:rsid w:val="006031BC"/>
    <w:rsid w:val="00607BA5"/>
    <w:rsid w:val="006108F9"/>
    <w:rsid w:val="0061180A"/>
    <w:rsid w:val="00613CC4"/>
    <w:rsid w:val="0061690A"/>
    <w:rsid w:val="00620FD5"/>
    <w:rsid w:val="00621438"/>
    <w:rsid w:val="00626EB6"/>
    <w:rsid w:val="00655D03"/>
    <w:rsid w:val="006566ED"/>
    <w:rsid w:val="00661E88"/>
    <w:rsid w:val="006648E1"/>
    <w:rsid w:val="00674788"/>
    <w:rsid w:val="00683388"/>
    <w:rsid w:val="00683F84"/>
    <w:rsid w:val="00684F52"/>
    <w:rsid w:val="00693405"/>
    <w:rsid w:val="006A2751"/>
    <w:rsid w:val="006A3178"/>
    <w:rsid w:val="006A6A81"/>
    <w:rsid w:val="006B2AD0"/>
    <w:rsid w:val="006C4786"/>
    <w:rsid w:val="006C50FC"/>
    <w:rsid w:val="006D4F31"/>
    <w:rsid w:val="006E3368"/>
    <w:rsid w:val="006E4D4A"/>
    <w:rsid w:val="006E616B"/>
    <w:rsid w:val="006F5299"/>
    <w:rsid w:val="006F7393"/>
    <w:rsid w:val="0070224F"/>
    <w:rsid w:val="00706840"/>
    <w:rsid w:val="007115F7"/>
    <w:rsid w:val="007162AB"/>
    <w:rsid w:val="0071645B"/>
    <w:rsid w:val="00722E31"/>
    <w:rsid w:val="00736742"/>
    <w:rsid w:val="00740B93"/>
    <w:rsid w:val="007522E7"/>
    <w:rsid w:val="00763F38"/>
    <w:rsid w:val="00766187"/>
    <w:rsid w:val="00767F81"/>
    <w:rsid w:val="007828D2"/>
    <w:rsid w:val="00783D39"/>
    <w:rsid w:val="00784DC6"/>
    <w:rsid w:val="00785689"/>
    <w:rsid w:val="0078587D"/>
    <w:rsid w:val="0079754B"/>
    <w:rsid w:val="007A1E6D"/>
    <w:rsid w:val="007A6489"/>
    <w:rsid w:val="007B0EB2"/>
    <w:rsid w:val="007B47C6"/>
    <w:rsid w:val="007B61A5"/>
    <w:rsid w:val="007C3151"/>
    <w:rsid w:val="007D0507"/>
    <w:rsid w:val="007E5C7C"/>
    <w:rsid w:val="007E6480"/>
    <w:rsid w:val="007E7943"/>
    <w:rsid w:val="007F435B"/>
    <w:rsid w:val="007F6D5B"/>
    <w:rsid w:val="00807E2B"/>
    <w:rsid w:val="00810B6F"/>
    <w:rsid w:val="008206E0"/>
    <w:rsid w:val="00822CE0"/>
    <w:rsid w:val="008247AA"/>
    <w:rsid w:val="00830934"/>
    <w:rsid w:val="00831650"/>
    <w:rsid w:val="00841AB1"/>
    <w:rsid w:val="0085564F"/>
    <w:rsid w:val="00856252"/>
    <w:rsid w:val="00856AA3"/>
    <w:rsid w:val="00875F2C"/>
    <w:rsid w:val="00897E38"/>
    <w:rsid w:val="008A1C1D"/>
    <w:rsid w:val="008A4D0F"/>
    <w:rsid w:val="008A7568"/>
    <w:rsid w:val="008B0D1C"/>
    <w:rsid w:val="008C2394"/>
    <w:rsid w:val="008C68F1"/>
    <w:rsid w:val="008E322F"/>
    <w:rsid w:val="008E7DCD"/>
    <w:rsid w:val="00905B05"/>
    <w:rsid w:val="00911774"/>
    <w:rsid w:val="00921803"/>
    <w:rsid w:val="00926503"/>
    <w:rsid w:val="00933E8E"/>
    <w:rsid w:val="009726D8"/>
    <w:rsid w:val="009A20F1"/>
    <w:rsid w:val="009B4EBA"/>
    <w:rsid w:val="009D5B06"/>
    <w:rsid w:val="009D7308"/>
    <w:rsid w:val="009E165B"/>
    <w:rsid w:val="009F575E"/>
    <w:rsid w:val="009F76DB"/>
    <w:rsid w:val="00A15544"/>
    <w:rsid w:val="00A32C3B"/>
    <w:rsid w:val="00A41F20"/>
    <w:rsid w:val="00A45F4F"/>
    <w:rsid w:val="00A47610"/>
    <w:rsid w:val="00A52F50"/>
    <w:rsid w:val="00A600A9"/>
    <w:rsid w:val="00A71E2E"/>
    <w:rsid w:val="00A728D9"/>
    <w:rsid w:val="00A77A77"/>
    <w:rsid w:val="00A80ADA"/>
    <w:rsid w:val="00A86F74"/>
    <w:rsid w:val="00A87915"/>
    <w:rsid w:val="00AA1D8F"/>
    <w:rsid w:val="00AA55B7"/>
    <w:rsid w:val="00AA5B9E"/>
    <w:rsid w:val="00AB2407"/>
    <w:rsid w:val="00AB53DF"/>
    <w:rsid w:val="00AC2484"/>
    <w:rsid w:val="00AC540F"/>
    <w:rsid w:val="00AE38C9"/>
    <w:rsid w:val="00AF2F28"/>
    <w:rsid w:val="00B03CA0"/>
    <w:rsid w:val="00B07E5C"/>
    <w:rsid w:val="00B20A1E"/>
    <w:rsid w:val="00B35232"/>
    <w:rsid w:val="00B46FEA"/>
    <w:rsid w:val="00B544CD"/>
    <w:rsid w:val="00B5493D"/>
    <w:rsid w:val="00B631B8"/>
    <w:rsid w:val="00B719B0"/>
    <w:rsid w:val="00B811F7"/>
    <w:rsid w:val="00BA5DC6"/>
    <w:rsid w:val="00BA6196"/>
    <w:rsid w:val="00BC6D8C"/>
    <w:rsid w:val="00BD4AB6"/>
    <w:rsid w:val="00BE34A3"/>
    <w:rsid w:val="00BE39DD"/>
    <w:rsid w:val="00BF5FAF"/>
    <w:rsid w:val="00C06F7C"/>
    <w:rsid w:val="00C1126B"/>
    <w:rsid w:val="00C1370C"/>
    <w:rsid w:val="00C1669C"/>
    <w:rsid w:val="00C2090E"/>
    <w:rsid w:val="00C21547"/>
    <w:rsid w:val="00C23D30"/>
    <w:rsid w:val="00C24AA8"/>
    <w:rsid w:val="00C34006"/>
    <w:rsid w:val="00C36B4C"/>
    <w:rsid w:val="00C3768F"/>
    <w:rsid w:val="00C426B1"/>
    <w:rsid w:val="00C605C3"/>
    <w:rsid w:val="00C66160"/>
    <w:rsid w:val="00C721AC"/>
    <w:rsid w:val="00C90A68"/>
    <w:rsid w:val="00C90D6A"/>
    <w:rsid w:val="00CA247E"/>
    <w:rsid w:val="00CA6D21"/>
    <w:rsid w:val="00CB129B"/>
    <w:rsid w:val="00CC72B6"/>
    <w:rsid w:val="00CF38CC"/>
    <w:rsid w:val="00CF5598"/>
    <w:rsid w:val="00D0218D"/>
    <w:rsid w:val="00D037D6"/>
    <w:rsid w:val="00D07B7E"/>
    <w:rsid w:val="00D117BE"/>
    <w:rsid w:val="00D14CCD"/>
    <w:rsid w:val="00D25FB5"/>
    <w:rsid w:val="00D44223"/>
    <w:rsid w:val="00D62464"/>
    <w:rsid w:val="00D63CB9"/>
    <w:rsid w:val="00D82AE8"/>
    <w:rsid w:val="00D83E2E"/>
    <w:rsid w:val="00D97B39"/>
    <w:rsid w:val="00DA2529"/>
    <w:rsid w:val="00DB130A"/>
    <w:rsid w:val="00DB2C68"/>
    <w:rsid w:val="00DB2EBB"/>
    <w:rsid w:val="00DB4F2F"/>
    <w:rsid w:val="00DC10A1"/>
    <w:rsid w:val="00DC2E69"/>
    <w:rsid w:val="00DC655F"/>
    <w:rsid w:val="00DD0B59"/>
    <w:rsid w:val="00DD7EBD"/>
    <w:rsid w:val="00DE3703"/>
    <w:rsid w:val="00DE6445"/>
    <w:rsid w:val="00DF62B6"/>
    <w:rsid w:val="00E07225"/>
    <w:rsid w:val="00E17E8D"/>
    <w:rsid w:val="00E26DB9"/>
    <w:rsid w:val="00E51A1B"/>
    <w:rsid w:val="00E5409F"/>
    <w:rsid w:val="00E609A7"/>
    <w:rsid w:val="00E62476"/>
    <w:rsid w:val="00E669E9"/>
    <w:rsid w:val="00E70988"/>
    <w:rsid w:val="00E82D80"/>
    <w:rsid w:val="00E86DB5"/>
    <w:rsid w:val="00E94EEC"/>
    <w:rsid w:val="00EA4A2E"/>
    <w:rsid w:val="00EA5A99"/>
    <w:rsid w:val="00EB7865"/>
    <w:rsid w:val="00EC590D"/>
    <w:rsid w:val="00ED3982"/>
    <w:rsid w:val="00ED7BA0"/>
    <w:rsid w:val="00EE6488"/>
    <w:rsid w:val="00EE7BD1"/>
    <w:rsid w:val="00EF4848"/>
    <w:rsid w:val="00F021FA"/>
    <w:rsid w:val="00F05E16"/>
    <w:rsid w:val="00F11FA0"/>
    <w:rsid w:val="00F21BA7"/>
    <w:rsid w:val="00F245FF"/>
    <w:rsid w:val="00F3799F"/>
    <w:rsid w:val="00F5643C"/>
    <w:rsid w:val="00F60E42"/>
    <w:rsid w:val="00F62E97"/>
    <w:rsid w:val="00F64209"/>
    <w:rsid w:val="00F93BF5"/>
    <w:rsid w:val="00F943D5"/>
    <w:rsid w:val="00FA1876"/>
    <w:rsid w:val="00FA2346"/>
    <w:rsid w:val="00FC4742"/>
    <w:rsid w:val="00FD27CD"/>
    <w:rsid w:val="00FE34DA"/>
    <w:rsid w:val="00FF02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3726EE7"/>
  <w15:chartTrackingRefBased/>
  <w15:docId w15:val="{753DF4A6-4C16-4643-8DA9-A7A55C0A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Footnote Text Char Char Char Char Char2 Char,Footnote Text Char Char Char1,Footnote Text Char1 Char,Footnote Text Char1 Char Char Char1 Char,Footnote Text Char2 Char Char Char Char Char Char"/>
    <w:link w:val="FootnoteText"/>
    <w:rsid w:val="00035CB4"/>
  </w:style>
  <w:style w:type="character" w:customStyle="1" w:styleId="ParaNumChar">
    <w:name w:val="ParaNum Char"/>
    <w:link w:val="ParaNum"/>
    <w:locked/>
    <w:rsid w:val="00035CB4"/>
    <w:rPr>
      <w:snapToGrid w:val="0"/>
      <w:kern w:val="28"/>
      <w:sz w:val="22"/>
    </w:rPr>
  </w:style>
  <w:style w:type="numbering" w:customStyle="1" w:styleId="Bullets">
    <w:name w:val="Bullets"/>
    <w:rsid w:val="001F1BC0"/>
    <w:pPr>
      <w:numPr>
        <w:numId w:val="7"/>
      </w:numPr>
    </w:pPr>
  </w:style>
  <w:style w:type="numbering" w:customStyle="1" w:styleId="ImportedStyle1">
    <w:name w:val="Imported Style 1"/>
    <w:rsid w:val="001F1BC0"/>
    <w:pPr>
      <w:numPr>
        <w:numId w:val="9"/>
      </w:numPr>
    </w:pPr>
  </w:style>
  <w:style w:type="paragraph" w:styleId="BodyText">
    <w:name w:val="Body Text"/>
    <w:basedOn w:val="Normal"/>
    <w:link w:val="BodyTextChar"/>
    <w:uiPriority w:val="1"/>
    <w:qFormat/>
    <w:rsid w:val="00214B7A"/>
    <w:pPr>
      <w:ind w:left="114"/>
    </w:pPr>
    <w:rPr>
      <w:snapToGrid/>
      <w:kern w:val="0"/>
      <w:sz w:val="23"/>
      <w:szCs w:val="23"/>
    </w:rPr>
  </w:style>
  <w:style w:type="character" w:customStyle="1" w:styleId="BodyTextChar">
    <w:name w:val="Body Text Char"/>
    <w:link w:val="BodyText"/>
    <w:uiPriority w:val="1"/>
    <w:rsid w:val="00214B7A"/>
    <w:rPr>
      <w:sz w:val="23"/>
      <w:szCs w:val="23"/>
    </w:rPr>
  </w:style>
  <w:style w:type="character" w:customStyle="1" w:styleId="UnresolvedMention">
    <w:name w:val="Unresolved Mention"/>
    <w:uiPriority w:val="99"/>
    <w:semiHidden/>
    <w:unhideWhenUsed/>
    <w:rsid w:val="005A169C"/>
    <w:rPr>
      <w:color w:val="605E5C"/>
      <w:shd w:val="clear" w:color="auto" w:fill="E1DFDD"/>
    </w:rPr>
  </w:style>
  <w:style w:type="character" w:styleId="CommentReference">
    <w:name w:val="annotation reference"/>
    <w:basedOn w:val="DefaultParagraphFont"/>
    <w:rsid w:val="006C50FC"/>
    <w:rPr>
      <w:sz w:val="16"/>
      <w:szCs w:val="16"/>
    </w:rPr>
  </w:style>
  <w:style w:type="paragraph" w:styleId="CommentText">
    <w:name w:val="annotation text"/>
    <w:basedOn w:val="Normal"/>
    <w:link w:val="CommentTextChar"/>
    <w:rsid w:val="006C50FC"/>
    <w:rPr>
      <w:sz w:val="20"/>
    </w:rPr>
  </w:style>
  <w:style w:type="character" w:customStyle="1" w:styleId="CommentTextChar">
    <w:name w:val="Comment Text Char"/>
    <w:basedOn w:val="DefaultParagraphFont"/>
    <w:link w:val="CommentText"/>
    <w:rsid w:val="006C50FC"/>
    <w:rPr>
      <w:snapToGrid w:val="0"/>
      <w:kern w:val="28"/>
    </w:rPr>
  </w:style>
  <w:style w:type="paragraph" w:styleId="CommentSubject">
    <w:name w:val="annotation subject"/>
    <w:basedOn w:val="CommentText"/>
    <w:next w:val="CommentText"/>
    <w:link w:val="CommentSubjectChar"/>
    <w:rsid w:val="006C50FC"/>
    <w:rPr>
      <w:b/>
      <w:bCs/>
    </w:rPr>
  </w:style>
  <w:style w:type="character" w:customStyle="1" w:styleId="CommentSubjectChar">
    <w:name w:val="Comment Subject Char"/>
    <w:basedOn w:val="CommentTextChar"/>
    <w:link w:val="CommentSubject"/>
    <w:rsid w:val="006C50FC"/>
    <w:rPr>
      <w:b/>
      <w:bCs/>
      <w:snapToGrid w:val="0"/>
      <w:kern w:val="28"/>
    </w:rPr>
  </w:style>
  <w:style w:type="paragraph" w:styleId="ListParagraph">
    <w:name w:val="List Paragraph"/>
    <w:basedOn w:val="Normal"/>
    <w:uiPriority w:val="34"/>
    <w:qFormat/>
    <w:rsid w:val="00807E2B"/>
    <w:pPr>
      <w:ind w:left="720"/>
      <w:contextualSpacing/>
    </w:pPr>
  </w:style>
  <w:style w:type="paragraph" w:styleId="Revision">
    <w:name w:val="Revision"/>
    <w:hidden/>
    <w:uiPriority w:val="99"/>
    <w:semiHidden/>
    <w:rsid w:val="00C24AA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vsp.virginia.gov/sections-units-bureaus/bass/communications/statewide-agencies-radio-system-program-star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