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5CF70D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27C97C" w14:textId="77777777">
      <w:pPr>
        <w:pStyle w:val="StyleBoldCentered"/>
      </w:pPr>
      <w:r>
        <w:t>F</w:t>
      </w:r>
      <w:r>
        <w:rPr>
          <w:caps w:val="0"/>
        </w:rPr>
        <w:t>ederal Communications Commission</w:t>
      </w:r>
    </w:p>
    <w:p w:rsidR="004C2EE3" w:rsidP="00096D8C" w14:paraId="1B695F6F" w14:textId="77777777">
      <w:pPr>
        <w:pStyle w:val="StyleBoldCentered"/>
      </w:pPr>
      <w:r>
        <w:rPr>
          <w:caps w:val="0"/>
        </w:rPr>
        <w:t>Washington, D.C. 20554</w:t>
      </w:r>
    </w:p>
    <w:p w:rsidR="004C2EE3" w:rsidP="0070224F" w14:paraId="347EE072" w14:textId="77777777"/>
    <w:p w:rsidR="000307F0" w:rsidP="006A2CD7" w14:paraId="6403719F" w14:textId="77777777">
      <w:pPr>
        <w:pStyle w:val="StyleBoldCentered"/>
        <w:jc w:val="left"/>
      </w:pPr>
    </w:p>
    <w:p w:rsidR="000307F0" w:rsidRPr="00324F9C" w:rsidP="000307F0" w14:paraId="1860FF7C" w14:textId="738E2D7D">
      <w:pPr>
        <w:tabs>
          <w:tab w:val="center" w:pos="4680"/>
        </w:tabs>
        <w:suppressAutoHyphens/>
        <w:rPr>
          <w:spacing w:val="-2"/>
        </w:rPr>
      </w:pPr>
      <w:r w:rsidRPr="00324F9C">
        <w:rPr>
          <w:spacing w:val="-2"/>
        </w:rPr>
        <w:t>In the Matter of</w:t>
      </w:r>
      <w:r>
        <w:rPr>
          <w:spacing w:val="-2"/>
        </w:rPr>
        <w:tab/>
        <w:t>)</w:t>
      </w:r>
    </w:p>
    <w:p w:rsidR="000307F0" w:rsidRPr="00324F9C" w:rsidP="000307F0" w14:paraId="5C35EDB2" w14:textId="55960C58">
      <w:pPr>
        <w:tabs>
          <w:tab w:val="center" w:pos="4680"/>
        </w:tabs>
        <w:suppressAutoHyphens/>
        <w:rPr>
          <w:spacing w:val="-2"/>
        </w:rPr>
      </w:pPr>
      <w:r>
        <w:rPr>
          <w:spacing w:val="-2"/>
        </w:rPr>
        <w:tab/>
        <w:t>)</w:t>
      </w:r>
    </w:p>
    <w:p w:rsidR="000307F0" w:rsidRPr="000307F0" w:rsidP="000307F0" w14:paraId="1BECA19B" w14:textId="5B4961C7">
      <w:pPr>
        <w:pStyle w:val="TOAHeading"/>
        <w:tabs>
          <w:tab w:val="center" w:pos="4680"/>
          <w:tab w:val="clear" w:pos="9360"/>
        </w:tabs>
        <w:rPr>
          <w:spacing w:val="-2"/>
        </w:rPr>
      </w:pPr>
      <w:r w:rsidRPr="004A386C">
        <w:rPr>
          <w:b/>
          <w:bCs/>
          <w:spacing w:val="-2"/>
        </w:rPr>
        <w:t>ARM &amp; RAGE, LLC</w:t>
      </w:r>
      <w:r>
        <w:rPr>
          <w:spacing w:val="-2"/>
        </w:rPr>
        <w:tab/>
        <w:t>)</w:t>
      </w:r>
      <w:r>
        <w:rPr>
          <w:spacing w:val="-2"/>
        </w:rPr>
        <w:tab/>
      </w:r>
      <w:r w:rsidRPr="00324F9C">
        <w:rPr>
          <w:spacing w:val="-2"/>
        </w:rPr>
        <w:t>MB Docket No. 2</w:t>
      </w:r>
      <w:r>
        <w:rPr>
          <w:spacing w:val="-2"/>
        </w:rPr>
        <w:t>2</w:t>
      </w:r>
      <w:r w:rsidRPr="00324F9C">
        <w:rPr>
          <w:spacing w:val="-2"/>
        </w:rPr>
        <w:t>-</w:t>
      </w:r>
      <w:r w:rsidR="008D4BF5">
        <w:rPr>
          <w:spacing w:val="-2"/>
        </w:rPr>
        <w:t>122</w:t>
      </w:r>
    </w:p>
    <w:p w:rsidR="000307F0" w:rsidP="000307F0" w14:paraId="61720EE4" w14:textId="2DE476A7">
      <w:pPr>
        <w:tabs>
          <w:tab w:val="center" w:pos="4680"/>
        </w:tabs>
        <w:suppressAutoHyphens/>
        <w:rPr>
          <w:spacing w:val="-2"/>
        </w:rPr>
      </w:pPr>
      <w:r>
        <w:rPr>
          <w:spacing w:val="-2"/>
        </w:rPr>
        <w:tab/>
        <w:t>)</w:t>
      </w:r>
    </w:p>
    <w:p w:rsidR="000307F0" w:rsidRPr="000307F0" w:rsidP="000307F0" w14:paraId="214DE5EC" w14:textId="25017291">
      <w:pPr>
        <w:tabs>
          <w:tab w:val="center" w:pos="4680"/>
        </w:tabs>
        <w:suppressAutoHyphens/>
        <w:rPr>
          <w:spacing w:val="-2"/>
        </w:rPr>
      </w:pPr>
      <w:r>
        <w:rPr>
          <w:spacing w:val="-2"/>
        </w:rPr>
        <w:t>WJBE(AM), Powell, TN</w:t>
      </w:r>
      <w:r>
        <w:rPr>
          <w:spacing w:val="-2"/>
        </w:rPr>
        <w:tab/>
        <w:t>)</w:t>
      </w:r>
      <w:r>
        <w:rPr>
          <w:spacing w:val="-2"/>
        </w:rPr>
        <w:tab/>
        <w:t>Facility ID No. 59693</w:t>
      </w:r>
    </w:p>
    <w:p w:rsidR="000307F0" w:rsidRPr="00324F9C" w:rsidP="000307F0" w14:paraId="600065EA" w14:textId="77777777">
      <w:pPr>
        <w:tabs>
          <w:tab w:val="center" w:pos="4680"/>
        </w:tabs>
        <w:suppressAutoHyphens/>
        <w:rPr>
          <w:spacing w:val="-2"/>
        </w:rPr>
      </w:pPr>
    </w:p>
    <w:p w:rsidR="000307F0" w:rsidRPr="000307F0" w:rsidP="000307F0" w14:paraId="22E6FC59" w14:textId="47D1702B">
      <w:pPr>
        <w:pStyle w:val="StyleBoldCentered"/>
        <w:jc w:val="left"/>
      </w:pPr>
    </w:p>
    <w:p w:rsidR="00841AB1" w:rsidP="00F021FA" w14:paraId="74829976" w14:textId="11B1333A">
      <w:pPr>
        <w:pStyle w:val="StyleBoldCentered"/>
      </w:pPr>
      <w:r>
        <w:t>hEARING dESIGNATION oRDER</w:t>
      </w:r>
      <w:r w:rsidR="00AB04FA">
        <w:t xml:space="preserve">, </w:t>
      </w:r>
      <w:r w:rsidR="00E235C3">
        <w:t>ORDER TO SHOW CAUSE</w:t>
      </w:r>
      <w:r w:rsidR="00AB04FA">
        <w:t>, AND N</w:t>
      </w:r>
      <w:r w:rsidRPr="00483B3D" w:rsidR="00AB04FA">
        <w:rPr>
          <w:rFonts w:ascii="Times New Roman" w:hAnsi="Times New Roman"/>
        </w:rPr>
        <w:t>OTICE OF OPPORTUNITY FOR HEARING</w:t>
      </w:r>
    </w:p>
    <w:p w:rsidR="004C2EE3" w14:paraId="514628B8" w14:textId="77777777">
      <w:pPr>
        <w:tabs>
          <w:tab w:val="left" w:pos="-720"/>
        </w:tabs>
        <w:suppressAutoHyphens/>
        <w:spacing w:line="227" w:lineRule="auto"/>
        <w:rPr>
          <w:spacing w:val="-2"/>
        </w:rPr>
      </w:pPr>
    </w:p>
    <w:p w:rsidR="004C2EE3" w:rsidP="00133F79" w14:paraId="0B950791" w14:textId="7B688BE8">
      <w:pPr>
        <w:tabs>
          <w:tab w:val="left" w:pos="720"/>
          <w:tab w:val="right" w:pos="9360"/>
        </w:tabs>
        <w:suppressAutoHyphens/>
        <w:spacing w:line="227" w:lineRule="auto"/>
        <w:rPr>
          <w:spacing w:val="-2"/>
        </w:rPr>
      </w:pPr>
      <w:r>
        <w:rPr>
          <w:b/>
          <w:spacing w:val="-2"/>
        </w:rPr>
        <w:t xml:space="preserve">Adopted:  </w:t>
      </w:r>
      <w:r w:rsidR="006047DB">
        <w:rPr>
          <w:b/>
          <w:spacing w:val="-2"/>
        </w:rPr>
        <w:t xml:space="preserve">March </w:t>
      </w:r>
      <w:r w:rsidR="00A55354">
        <w:rPr>
          <w:b/>
          <w:spacing w:val="-2"/>
        </w:rPr>
        <w:t>21</w:t>
      </w:r>
      <w:r w:rsidR="005349E0">
        <w:rPr>
          <w:b/>
          <w:spacing w:val="-2"/>
        </w:rPr>
        <w:t>, 202</w:t>
      </w:r>
      <w:r w:rsidR="00A66613">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047DB">
        <w:rPr>
          <w:b/>
          <w:spacing w:val="-2"/>
        </w:rPr>
        <w:t xml:space="preserve">March </w:t>
      </w:r>
      <w:r w:rsidR="00A55354">
        <w:rPr>
          <w:b/>
          <w:spacing w:val="-2"/>
        </w:rPr>
        <w:t>21</w:t>
      </w:r>
      <w:r w:rsidR="005349E0">
        <w:rPr>
          <w:b/>
          <w:spacing w:val="-2"/>
        </w:rPr>
        <w:t>, 202</w:t>
      </w:r>
      <w:r w:rsidR="00A66613">
        <w:rPr>
          <w:b/>
          <w:spacing w:val="-2"/>
        </w:rPr>
        <w:t>2</w:t>
      </w:r>
    </w:p>
    <w:p w:rsidR="00822CE0" w14:paraId="6F500EA7" w14:textId="77777777"/>
    <w:p w:rsidR="004C2EE3" w14:paraId="6D4F19B9" w14:textId="06BDC2E4">
      <w:pPr>
        <w:rPr>
          <w:spacing w:val="-2"/>
        </w:rPr>
      </w:pPr>
      <w:r>
        <w:t xml:space="preserve">By </w:t>
      </w:r>
      <w:r w:rsidR="00D965D7">
        <w:t xml:space="preserve">the </w:t>
      </w:r>
      <w:r w:rsidR="0076782A">
        <w:t xml:space="preserve">Chief, </w:t>
      </w:r>
      <w:r w:rsidR="00D965D7">
        <w:t>Media Bureau:</w:t>
      </w:r>
    </w:p>
    <w:p w:rsidR="00822CE0" w:rsidRPr="00324F9C" w14:paraId="0E9AAE32" w14:textId="77777777">
      <w:pPr>
        <w:rPr>
          <w:spacing w:val="-2"/>
          <w:szCs w:val="22"/>
        </w:rPr>
      </w:pPr>
    </w:p>
    <w:p w:rsidR="00412FC5" w:rsidP="00C36B4C" w14:paraId="5F195B80" w14:textId="7205358D">
      <w:pPr>
        <w:pStyle w:val="Heading1"/>
        <w:rPr>
          <w:rFonts w:ascii="Times New Roman" w:hAnsi="Times New Roman"/>
          <w:szCs w:val="22"/>
        </w:rPr>
      </w:pPr>
      <w:r w:rsidRPr="00324F9C">
        <w:rPr>
          <w:rFonts w:ascii="Times New Roman" w:hAnsi="Times New Roman"/>
          <w:szCs w:val="22"/>
        </w:rPr>
        <w:t>introduction</w:t>
      </w:r>
      <w:r w:rsidR="006A0F87">
        <w:rPr>
          <w:rFonts w:ascii="Times New Roman" w:hAnsi="Times New Roman"/>
          <w:szCs w:val="22"/>
        </w:rPr>
        <w:t xml:space="preserve"> </w:t>
      </w:r>
    </w:p>
    <w:p w:rsidR="000762CE" w:rsidP="000762CE" w14:paraId="685DF1FA" w14:textId="608DC3FA">
      <w:pPr>
        <w:rPr>
          <w:snapToGrid/>
          <w:kern w:val="0"/>
          <w:sz w:val="24"/>
          <w:szCs w:val="24"/>
        </w:rPr>
      </w:pPr>
      <w:bookmarkStart w:id="0" w:name="_Hlk57381379"/>
    </w:p>
    <w:p w:rsidR="0058664B" w:rsidP="00572C90" w14:paraId="611EBE17" w14:textId="77777777">
      <w:pPr>
        <w:pStyle w:val="ParaNum"/>
        <w:rPr>
          <w:szCs w:val="22"/>
        </w:rPr>
      </w:pPr>
      <w:r w:rsidRPr="000762CE">
        <w:rPr>
          <w:szCs w:val="22"/>
        </w:rPr>
        <w:t xml:space="preserve">This </w:t>
      </w:r>
      <w:r w:rsidRPr="000762CE">
        <w:rPr>
          <w:i/>
          <w:iCs/>
          <w:szCs w:val="22"/>
        </w:rPr>
        <w:t>Hearing Designation Order</w:t>
      </w:r>
      <w:r w:rsidR="00AB04FA">
        <w:rPr>
          <w:i/>
          <w:iCs/>
          <w:szCs w:val="22"/>
        </w:rPr>
        <w:t xml:space="preserve">, </w:t>
      </w:r>
      <w:r w:rsidR="00E235C3">
        <w:rPr>
          <w:i/>
          <w:iCs/>
          <w:szCs w:val="22"/>
        </w:rPr>
        <w:t>Order to Show Cause</w:t>
      </w:r>
      <w:r w:rsidR="00AB04FA">
        <w:rPr>
          <w:i/>
          <w:iCs/>
          <w:szCs w:val="22"/>
        </w:rPr>
        <w:t>, and Notice of Opportunity for Hearing</w:t>
      </w:r>
      <w:r w:rsidRPr="007532DE" w:rsidR="00E81859">
        <w:rPr>
          <w:szCs w:val="22"/>
        </w:rPr>
        <w:t xml:space="preserve"> </w:t>
      </w:r>
      <w:r w:rsidRPr="007532DE">
        <w:rPr>
          <w:szCs w:val="22"/>
        </w:rPr>
        <w:t xml:space="preserve">commences a proceeding </w:t>
      </w:r>
      <w:r w:rsidRPr="007532DE" w:rsidR="00862092">
        <w:rPr>
          <w:szCs w:val="22"/>
        </w:rPr>
        <w:t xml:space="preserve">to </w:t>
      </w:r>
      <w:r w:rsidRPr="007532DE">
        <w:rPr>
          <w:szCs w:val="22"/>
        </w:rPr>
        <w:t xml:space="preserve">determine whether </w:t>
      </w:r>
      <w:r w:rsidR="00E235C3">
        <w:rPr>
          <w:szCs w:val="22"/>
        </w:rPr>
        <w:t xml:space="preserve">the license of </w:t>
      </w:r>
      <w:r w:rsidRPr="007532DE" w:rsidR="0006296F">
        <w:rPr>
          <w:szCs w:val="22"/>
        </w:rPr>
        <w:t xml:space="preserve">Arm &amp; Rage, LLC </w:t>
      </w:r>
      <w:r w:rsidRPr="007532DE">
        <w:rPr>
          <w:szCs w:val="22"/>
        </w:rPr>
        <w:t>(A</w:t>
      </w:r>
      <w:r w:rsidRPr="007532DE" w:rsidR="0006296F">
        <w:rPr>
          <w:szCs w:val="22"/>
        </w:rPr>
        <w:t>&amp;R</w:t>
      </w:r>
      <w:r w:rsidRPr="007532DE">
        <w:rPr>
          <w:szCs w:val="22"/>
        </w:rPr>
        <w:t>)</w:t>
      </w:r>
      <w:r w:rsidRPr="007532DE" w:rsidR="00862092">
        <w:rPr>
          <w:szCs w:val="22"/>
        </w:rPr>
        <w:t xml:space="preserve"> </w:t>
      </w:r>
      <w:r w:rsidR="00F8688C">
        <w:rPr>
          <w:szCs w:val="22"/>
        </w:rPr>
        <w:t xml:space="preserve">for </w:t>
      </w:r>
      <w:r w:rsidRPr="007532DE" w:rsidR="00862092">
        <w:rPr>
          <w:szCs w:val="22"/>
        </w:rPr>
        <w:t>WJBE(AM), Powell, T</w:t>
      </w:r>
      <w:r w:rsidRPr="007532DE" w:rsidR="006A3C6A">
        <w:rPr>
          <w:szCs w:val="22"/>
        </w:rPr>
        <w:t>ennessee</w:t>
      </w:r>
      <w:r w:rsidRPr="007532DE" w:rsidR="002A726A">
        <w:rPr>
          <w:szCs w:val="22"/>
        </w:rPr>
        <w:t xml:space="preserve"> </w:t>
      </w:r>
      <w:r w:rsidR="00E235C3">
        <w:rPr>
          <w:szCs w:val="22"/>
        </w:rPr>
        <w:t>should be revoked</w:t>
      </w:r>
      <w:r w:rsidR="003D5F6E">
        <w:rPr>
          <w:szCs w:val="22"/>
        </w:rPr>
        <w:t xml:space="preserve"> </w:t>
      </w:r>
      <w:r w:rsidR="005F667D">
        <w:rPr>
          <w:szCs w:val="22"/>
        </w:rPr>
        <w:t>pursuant to sections 312(a) and (c) of the Communications Act of 1934, as amended (Act)</w:t>
      </w:r>
      <w:r w:rsidR="00516631">
        <w:rPr>
          <w:szCs w:val="22"/>
        </w:rPr>
        <w:t>,</w:t>
      </w:r>
      <w:r w:rsidR="005F667D">
        <w:rPr>
          <w:szCs w:val="22"/>
        </w:rPr>
        <w:t xml:space="preserve"> </w:t>
      </w:r>
      <w:r w:rsidRPr="007532DE" w:rsidR="002A726A">
        <w:rPr>
          <w:szCs w:val="22"/>
        </w:rPr>
        <w:t>following the felony conviction of its sole member, Joseph Armstrong (Armstrong)</w:t>
      </w:r>
      <w:r w:rsidRPr="007532DE" w:rsidR="009D0A63">
        <w:rPr>
          <w:szCs w:val="22"/>
        </w:rPr>
        <w:t>.</w:t>
      </w:r>
      <w:r>
        <w:rPr>
          <w:rStyle w:val="FootnoteReference"/>
          <w:szCs w:val="22"/>
        </w:rPr>
        <w:footnoteReference w:id="3"/>
      </w:r>
      <w:r w:rsidRPr="007532DE" w:rsidR="009D0A63">
        <w:rPr>
          <w:szCs w:val="22"/>
        </w:rPr>
        <w:t xml:space="preserve">  </w:t>
      </w:r>
      <w:r w:rsidRPr="007532DE">
        <w:rPr>
          <w:szCs w:val="22"/>
        </w:rPr>
        <w:t xml:space="preserve">As discussed more fully below, </w:t>
      </w:r>
      <w:r w:rsidRPr="007532DE" w:rsidR="006005A4">
        <w:rPr>
          <w:szCs w:val="22"/>
        </w:rPr>
        <w:t>Armstrong</w:t>
      </w:r>
      <w:r w:rsidRPr="007532DE">
        <w:rPr>
          <w:szCs w:val="22"/>
        </w:rPr>
        <w:t xml:space="preserve"> </w:t>
      </w:r>
      <w:r w:rsidRPr="007532DE" w:rsidR="00A92775">
        <w:rPr>
          <w:szCs w:val="22"/>
        </w:rPr>
        <w:t>has been</w:t>
      </w:r>
      <w:r w:rsidRPr="007532DE">
        <w:rPr>
          <w:szCs w:val="22"/>
        </w:rPr>
        <w:t xml:space="preserve"> convicted of </w:t>
      </w:r>
      <w:r w:rsidRPr="007532DE" w:rsidR="00A2130D">
        <w:rPr>
          <w:szCs w:val="22"/>
        </w:rPr>
        <w:t>fraud and false statements</w:t>
      </w:r>
      <w:r w:rsidRPr="007532DE" w:rsidR="00D41460">
        <w:rPr>
          <w:szCs w:val="22"/>
        </w:rPr>
        <w:t xml:space="preserve"> </w:t>
      </w:r>
      <w:r w:rsidRPr="007532DE" w:rsidR="004450DE">
        <w:rPr>
          <w:szCs w:val="22"/>
        </w:rPr>
        <w:t xml:space="preserve">under </w:t>
      </w:r>
      <w:r w:rsidRPr="007532DE" w:rsidR="000728D9">
        <w:rPr>
          <w:szCs w:val="22"/>
        </w:rPr>
        <w:t xml:space="preserve">26 U.S.C. section </w:t>
      </w:r>
      <w:r w:rsidRPr="007532DE" w:rsidR="00A973E3">
        <w:rPr>
          <w:szCs w:val="22"/>
        </w:rPr>
        <w:t>7206(1)</w:t>
      </w:r>
      <w:r w:rsidRPr="007532DE" w:rsidR="00A92775">
        <w:rPr>
          <w:szCs w:val="22"/>
        </w:rPr>
        <w:t xml:space="preserve"> for f</w:t>
      </w:r>
      <w:r w:rsidRPr="007532DE" w:rsidR="00D41460">
        <w:rPr>
          <w:szCs w:val="22"/>
        </w:rPr>
        <w:t>iling a false federal income tax return</w:t>
      </w:r>
      <w:r w:rsidRPr="007532DE" w:rsidR="00BA18AF">
        <w:rPr>
          <w:szCs w:val="22"/>
        </w:rPr>
        <w:t>.</w:t>
      </w:r>
      <w:r>
        <w:rPr>
          <w:rStyle w:val="FootnoteReference"/>
          <w:szCs w:val="22"/>
        </w:rPr>
        <w:footnoteReference w:id="4"/>
      </w:r>
      <w:r w:rsidRPr="000762CE" w:rsidR="00D80F2B">
        <w:rPr>
          <w:szCs w:val="22"/>
        </w:rPr>
        <w:t xml:space="preserve"> </w:t>
      </w:r>
      <w:r w:rsidRPr="000762CE" w:rsidR="00B147C0">
        <w:rPr>
          <w:szCs w:val="22"/>
        </w:rPr>
        <w:t xml:space="preserve"> </w:t>
      </w:r>
      <w:bookmarkEnd w:id="0"/>
      <w:r w:rsidRPr="00FD6EAA" w:rsidR="00437638">
        <w:t>The conviction raise</w:t>
      </w:r>
      <w:r w:rsidR="00437638">
        <w:t>s</w:t>
      </w:r>
      <w:r w:rsidRPr="00FD6EAA" w:rsidR="00437638">
        <w:t xml:space="preserve"> </w:t>
      </w:r>
      <w:r w:rsidR="00F25DCC">
        <w:t xml:space="preserve">the </w:t>
      </w:r>
      <w:r w:rsidRPr="00FD6EAA" w:rsidR="00437638">
        <w:t xml:space="preserve">question under the Commission’s </w:t>
      </w:r>
      <w:r w:rsidRPr="000762CE" w:rsidR="00437638">
        <w:rPr>
          <w:i/>
          <w:iCs/>
        </w:rPr>
        <w:t>Character Qualifications Policy Statement</w:t>
      </w:r>
      <w:r>
        <w:rPr>
          <w:rStyle w:val="FootnoteReference"/>
          <w:rFonts w:cstheme="minorBidi"/>
        </w:rPr>
        <w:footnoteReference w:id="5"/>
      </w:r>
      <w:r w:rsidR="00A725D4">
        <w:t xml:space="preserve"> </w:t>
      </w:r>
      <w:r w:rsidR="00437638">
        <w:t xml:space="preserve">of </w:t>
      </w:r>
      <w:r w:rsidRPr="00FD6EAA" w:rsidR="00437638">
        <w:t xml:space="preserve">whether </w:t>
      </w:r>
      <w:r w:rsidR="00437638">
        <w:t>Armstrong</w:t>
      </w:r>
      <w:r w:rsidR="006C7EE9">
        <w:t>,</w:t>
      </w:r>
      <w:r w:rsidR="00437638">
        <w:t xml:space="preserve"> and hence A&amp;R</w:t>
      </w:r>
      <w:r w:rsidR="006C7EE9">
        <w:t>,</w:t>
      </w:r>
      <w:r w:rsidRPr="00FD6EAA" w:rsidR="00437638">
        <w:t xml:space="preserve"> possess</w:t>
      </w:r>
      <w:r w:rsidR="00437638">
        <w:t>es</w:t>
      </w:r>
      <w:r w:rsidRPr="00FD6EAA" w:rsidR="00437638">
        <w:t xml:space="preserve"> the requisite character qualifications to remain </w:t>
      </w:r>
      <w:r w:rsidRPr="007532DE" w:rsidR="003D5F6E">
        <w:rPr>
          <w:szCs w:val="22"/>
        </w:rPr>
        <w:t>a licensee of the Federal Communications Commission (FCC or Commission)</w:t>
      </w:r>
      <w:r w:rsidR="00F8688C">
        <w:rPr>
          <w:szCs w:val="22"/>
        </w:rPr>
        <w:t xml:space="preserve">.  </w:t>
      </w:r>
      <w:r w:rsidRPr="00483B3D" w:rsidR="00437638">
        <w:t xml:space="preserve">Accordingly, </w:t>
      </w:r>
      <w:r w:rsidR="00437638">
        <w:t xml:space="preserve">the </w:t>
      </w:r>
      <w:r w:rsidRPr="000762CE" w:rsidR="00437638">
        <w:rPr>
          <w:szCs w:val="22"/>
        </w:rPr>
        <w:t xml:space="preserve">Chief, Media </w:t>
      </w:r>
    </w:p>
    <w:p w:rsidR="0058664B" w14:paraId="12B6828F" w14:textId="77777777">
      <w:pPr>
        <w:widowControl/>
        <w:rPr>
          <w:szCs w:val="22"/>
        </w:rPr>
      </w:pPr>
      <w:r>
        <w:rPr>
          <w:szCs w:val="22"/>
        </w:rPr>
        <w:br w:type="page"/>
      </w:r>
    </w:p>
    <w:p w:rsidR="005A634C" w:rsidRPr="00572C90" w:rsidP="0058664B" w14:paraId="6DC220BF" w14:textId="736F5FAE">
      <w:pPr>
        <w:pStyle w:val="ParaNum"/>
        <w:numPr>
          <w:ilvl w:val="0"/>
          <w:numId w:val="0"/>
        </w:numPr>
        <w:rPr>
          <w:snapToGrid/>
          <w:kern w:val="0"/>
          <w:sz w:val="24"/>
          <w:szCs w:val="24"/>
        </w:rPr>
      </w:pPr>
      <w:r w:rsidRPr="000762CE">
        <w:rPr>
          <w:szCs w:val="22"/>
        </w:rPr>
        <w:t xml:space="preserve">Bureau (Bureau) </w:t>
      </w:r>
      <w:r>
        <w:t>is</w:t>
      </w:r>
      <w:r w:rsidRPr="00483B3D">
        <w:t xml:space="preserve"> designating the case to be tried as a written proceeding under the Commission’s rules for hearing proceedings, with the </w:t>
      </w:r>
      <w:bookmarkStart w:id="1" w:name="_Hlk84503983"/>
      <w:r w:rsidRPr="00483B3D">
        <w:t>Administrative Law Judge serving as the presiding officer</w:t>
      </w:r>
      <w:bookmarkEnd w:id="1"/>
      <w:r w:rsidRPr="00483B3D">
        <w:t>.</w:t>
      </w:r>
      <w:r>
        <w:rPr>
          <w:rStyle w:val="FootnoteReference"/>
        </w:rPr>
        <w:footnoteReference w:id="6"/>
      </w:r>
      <w:r w:rsidRPr="006B645D" w:rsidR="00E81859">
        <w:rPr>
          <w:sz w:val="20"/>
        </w:rPr>
        <w:t xml:space="preserve"> </w:t>
      </w:r>
      <w:r w:rsidR="00E81859">
        <w:t xml:space="preserve"> </w:t>
      </w:r>
      <w:r w:rsidRPr="000762CE" w:rsidR="00F8688C">
        <w:rPr>
          <w:szCs w:val="22"/>
        </w:rPr>
        <w:t xml:space="preserve">  </w:t>
      </w:r>
    </w:p>
    <w:p w:rsidR="008C4DB3" w:rsidP="008C4DB3" w14:paraId="0117FE5B" w14:textId="6910E07B">
      <w:pPr>
        <w:pStyle w:val="Heading1"/>
        <w:rPr>
          <w:rFonts w:ascii="Times New Roman" w:hAnsi="Times New Roman"/>
          <w:szCs w:val="22"/>
        </w:rPr>
      </w:pPr>
      <w:r w:rsidRPr="00324F9C">
        <w:rPr>
          <w:rFonts w:ascii="Times New Roman" w:hAnsi="Times New Roman"/>
          <w:szCs w:val="22"/>
        </w:rPr>
        <w:t>background</w:t>
      </w:r>
      <w:r w:rsidR="006A0F87">
        <w:rPr>
          <w:rFonts w:ascii="Times New Roman" w:hAnsi="Times New Roman"/>
          <w:szCs w:val="22"/>
        </w:rPr>
        <w:t xml:space="preserve"> </w:t>
      </w:r>
    </w:p>
    <w:p w:rsidR="00F0327A" w:rsidRPr="00F0327A" w:rsidP="002733AC" w14:paraId="114FA872" w14:textId="77777777">
      <w:pPr>
        <w:pStyle w:val="ParaNum"/>
      </w:pPr>
      <w:r w:rsidRPr="006A0F87">
        <w:rPr>
          <w:b/>
          <w:bCs/>
          <w:szCs w:val="22"/>
        </w:rPr>
        <w:t xml:space="preserve">Court Verdict.  </w:t>
      </w:r>
      <w:r w:rsidRPr="006A0F87" w:rsidR="00E23AD2">
        <w:rPr>
          <w:szCs w:val="22"/>
        </w:rPr>
        <w:t xml:space="preserve">On </w:t>
      </w:r>
      <w:r w:rsidRPr="006A0F87" w:rsidR="00340E45">
        <w:rPr>
          <w:szCs w:val="22"/>
        </w:rPr>
        <w:t>August 8, 2016</w:t>
      </w:r>
      <w:r w:rsidRPr="006A0F87" w:rsidR="00E23AD2">
        <w:rPr>
          <w:szCs w:val="22"/>
        </w:rPr>
        <w:t xml:space="preserve">, </w:t>
      </w:r>
      <w:r w:rsidRPr="006A0F87" w:rsidR="001C56D9">
        <w:rPr>
          <w:szCs w:val="22"/>
        </w:rPr>
        <w:t xml:space="preserve">a jury convicted </w:t>
      </w:r>
      <w:r w:rsidRPr="006A0F87" w:rsidR="00DD5D65">
        <w:rPr>
          <w:szCs w:val="22"/>
        </w:rPr>
        <w:t>Armstrong</w:t>
      </w:r>
      <w:r w:rsidRPr="006A0F87" w:rsidR="001C56D9">
        <w:rPr>
          <w:szCs w:val="22"/>
        </w:rPr>
        <w:t xml:space="preserve"> of </w:t>
      </w:r>
      <w:r w:rsidRPr="006A0F87" w:rsidR="00DC60ED">
        <w:rPr>
          <w:szCs w:val="22"/>
        </w:rPr>
        <w:t>one</w:t>
      </w:r>
      <w:r w:rsidRPr="006A0F87" w:rsidR="00BC6B55">
        <w:rPr>
          <w:szCs w:val="22"/>
        </w:rPr>
        <w:t xml:space="preserve"> felony count</w:t>
      </w:r>
      <w:r w:rsidRPr="006A0F87" w:rsidR="00DC60ED">
        <w:rPr>
          <w:szCs w:val="22"/>
        </w:rPr>
        <w:t xml:space="preserve"> of fraud and false statements under 26 U.S.C. section 7206(1) for filing a false federal income tax return.</w:t>
      </w:r>
      <w:r>
        <w:rPr>
          <w:rStyle w:val="FootnoteReference"/>
        </w:rPr>
        <w:footnoteReference w:id="7"/>
      </w:r>
      <w:r w:rsidRPr="006B645D" w:rsidR="00CB6E58">
        <w:rPr>
          <w:sz w:val="20"/>
        </w:rPr>
        <w:t xml:space="preserve"> </w:t>
      </w:r>
      <w:r w:rsidRPr="006A0F87" w:rsidR="00D34F3C">
        <w:rPr>
          <w:szCs w:val="22"/>
        </w:rPr>
        <w:t xml:space="preserve"> </w:t>
      </w:r>
      <w:r w:rsidRPr="006A0F87" w:rsidR="00CB0765">
        <w:rPr>
          <w:szCs w:val="22"/>
        </w:rPr>
        <w:t>The record of the criminal trial reflect</w:t>
      </w:r>
      <w:r w:rsidR="007C62CF">
        <w:rPr>
          <w:szCs w:val="22"/>
        </w:rPr>
        <w:t>s</w:t>
      </w:r>
      <w:r w:rsidRPr="006A0F87" w:rsidR="00CB0765">
        <w:rPr>
          <w:szCs w:val="22"/>
        </w:rPr>
        <w:t xml:space="preserve"> that</w:t>
      </w:r>
      <w:r w:rsidR="00251FD7">
        <w:t xml:space="preserve"> the jury heard evidence that Armstrong, an elected representative in the Tennessee legislature, </w:t>
      </w:r>
      <w:r w:rsidR="007C1E57">
        <w:t>purchased</w:t>
      </w:r>
      <w:r w:rsidR="00251FD7">
        <w:t xml:space="preserve"> cigarette tax stamps in 2007 </w:t>
      </w:r>
      <w:r w:rsidR="007C1E57">
        <w:t>and</w:t>
      </w:r>
      <w:r w:rsidR="00251FD7">
        <w:t xml:space="preserve"> sold </w:t>
      </w:r>
      <w:r w:rsidR="007C1E57">
        <w:t xml:space="preserve">them </w:t>
      </w:r>
      <w:r w:rsidR="00251FD7">
        <w:t>at a profit of approximately $330,000 following the legislature’s increase in the state’s cigarette tax</w:t>
      </w:r>
      <w:r w:rsidR="002C02DE">
        <w:t>,</w:t>
      </w:r>
      <w:r w:rsidR="00251FD7">
        <w:t xml:space="preserve"> but did not </w:t>
      </w:r>
      <w:r w:rsidR="005039EE">
        <w:t>include</w:t>
      </w:r>
      <w:r w:rsidR="00251FD7">
        <w:t xml:space="preserve"> the profit on his federal 2008 individual income tax return.</w:t>
      </w:r>
      <w:r>
        <w:rPr>
          <w:rStyle w:val="FootnoteReference"/>
        </w:rPr>
        <w:footnoteReference w:id="8"/>
      </w:r>
      <w:r w:rsidR="00251FD7">
        <w:t xml:space="preserve">  </w:t>
      </w:r>
      <w:r w:rsidRPr="006A0F87" w:rsidR="00340E45">
        <w:rPr>
          <w:szCs w:val="22"/>
        </w:rPr>
        <w:t xml:space="preserve">On January 25, 2017, </w:t>
      </w:r>
      <w:r w:rsidRPr="006A0F87" w:rsidR="004766E7">
        <w:rPr>
          <w:szCs w:val="22"/>
        </w:rPr>
        <w:t xml:space="preserve">Armstrong was sentenced to three years </w:t>
      </w:r>
      <w:r w:rsidRPr="006A0F87" w:rsidR="00B84BB2">
        <w:rPr>
          <w:szCs w:val="22"/>
        </w:rPr>
        <w:t xml:space="preserve">of </w:t>
      </w:r>
      <w:r w:rsidRPr="006A0F87" w:rsidR="004766E7">
        <w:rPr>
          <w:szCs w:val="22"/>
        </w:rPr>
        <w:t>probation</w:t>
      </w:r>
      <w:r w:rsidR="005039EE">
        <w:rPr>
          <w:szCs w:val="22"/>
        </w:rPr>
        <w:t>,</w:t>
      </w:r>
      <w:r w:rsidRPr="006A0F87" w:rsidR="004766E7">
        <w:rPr>
          <w:szCs w:val="22"/>
        </w:rPr>
        <w:t xml:space="preserve"> which included six months of house arrest, </w:t>
      </w:r>
      <w:r w:rsidRPr="006A0F87" w:rsidR="00861865">
        <w:rPr>
          <w:szCs w:val="22"/>
        </w:rPr>
        <w:t>ordered to pay $99,943 in restitution to the federal government</w:t>
      </w:r>
      <w:r w:rsidRPr="006A0F87" w:rsidR="00B84BB2">
        <w:rPr>
          <w:szCs w:val="22"/>
        </w:rPr>
        <w:t xml:space="preserve"> and</w:t>
      </w:r>
      <w:r w:rsidRPr="006A0F87" w:rsidR="00861865">
        <w:rPr>
          <w:szCs w:val="22"/>
        </w:rPr>
        <w:t xml:space="preserve"> a $40,000 fine, and </w:t>
      </w:r>
      <w:r w:rsidRPr="006A0F87" w:rsidR="00B84BB2">
        <w:rPr>
          <w:szCs w:val="22"/>
        </w:rPr>
        <w:t xml:space="preserve">required </w:t>
      </w:r>
      <w:r w:rsidRPr="006A0F87" w:rsidR="00861865">
        <w:rPr>
          <w:szCs w:val="22"/>
        </w:rPr>
        <w:t>to perform 300 hours of community service</w:t>
      </w:r>
      <w:r w:rsidRPr="006A0F87" w:rsidR="00765611">
        <w:rPr>
          <w:szCs w:val="22"/>
        </w:rPr>
        <w:t>.</w:t>
      </w:r>
      <w:r w:rsidRPr="006A0F87" w:rsidR="00CB374F">
        <w:rPr>
          <w:szCs w:val="22"/>
        </w:rPr>
        <w:t xml:space="preserve">  </w:t>
      </w:r>
    </w:p>
    <w:p w:rsidR="0058664B" w:rsidP="0058664B" w14:paraId="18F39FEE" w14:textId="2AC74F2C">
      <w:pPr>
        <w:pStyle w:val="ParaNum"/>
        <w:rPr>
          <w:szCs w:val="22"/>
        </w:rPr>
      </w:pPr>
      <w:r w:rsidRPr="00DD0A60">
        <w:rPr>
          <w:b/>
          <w:bCs/>
          <w:szCs w:val="22"/>
        </w:rPr>
        <w:t>Commission Filings.</w:t>
      </w:r>
      <w:r w:rsidRPr="00DD0A60">
        <w:rPr>
          <w:szCs w:val="22"/>
        </w:rPr>
        <w:t xml:space="preserve">  </w:t>
      </w:r>
      <w:r w:rsidR="00BD2587">
        <w:rPr>
          <w:szCs w:val="22"/>
        </w:rPr>
        <w:t xml:space="preserve">Pursuant to </w:t>
      </w:r>
      <w:r w:rsidRPr="006A0F87" w:rsidR="00BD2587">
        <w:rPr>
          <w:szCs w:val="22"/>
        </w:rPr>
        <w:t>section 1.65(c) of the Rules</w:t>
      </w:r>
      <w:r w:rsidR="006251FE">
        <w:rPr>
          <w:szCs w:val="22"/>
        </w:rPr>
        <w:t>,</w:t>
      </w:r>
      <w:r w:rsidR="00BD2587">
        <w:rPr>
          <w:szCs w:val="22"/>
        </w:rPr>
        <w:t xml:space="preserve"> A&amp;R was required to report the conviction as an adverse finding by April 1, 2017, </w:t>
      </w:r>
      <w:r w:rsidR="00BD2587">
        <w:rPr>
          <w:i/>
          <w:iCs/>
          <w:szCs w:val="22"/>
        </w:rPr>
        <w:t xml:space="preserve">i.e., </w:t>
      </w:r>
      <w:r w:rsidR="00BD2587">
        <w:rPr>
          <w:szCs w:val="22"/>
        </w:rPr>
        <w:t>the anniversary of  license renewal</w:t>
      </w:r>
      <w:r w:rsidR="007662FD">
        <w:rPr>
          <w:szCs w:val="22"/>
        </w:rPr>
        <w:t xml:space="preserve"> filing</w:t>
      </w:r>
      <w:r w:rsidR="00BD2587">
        <w:rPr>
          <w:szCs w:val="22"/>
        </w:rPr>
        <w:t>s for Tennessee.</w:t>
      </w:r>
      <w:r>
        <w:rPr>
          <w:rStyle w:val="FootnoteReference"/>
          <w:szCs w:val="22"/>
        </w:rPr>
        <w:footnoteReference w:id="9"/>
      </w:r>
      <w:r w:rsidR="00BD2587">
        <w:rPr>
          <w:szCs w:val="22"/>
        </w:rPr>
        <w:t xml:space="preserve">   </w:t>
      </w:r>
      <w:r w:rsidRPr="006A0F87" w:rsidR="00B84BB2">
        <w:rPr>
          <w:szCs w:val="22"/>
        </w:rPr>
        <w:t xml:space="preserve"> A&amp;R </w:t>
      </w:r>
      <w:r w:rsidRPr="006A0F87" w:rsidR="00964745">
        <w:rPr>
          <w:szCs w:val="22"/>
        </w:rPr>
        <w:t xml:space="preserve">submitted a document </w:t>
      </w:r>
      <w:r w:rsidRPr="006A0F87" w:rsidR="00B84BB2">
        <w:rPr>
          <w:szCs w:val="22"/>
        </w:rPr>
        <w:t>inform</w:t>
      </w:r>
      <w:r w:rsidRPr="006A0F87" w:rsidR="00964745">
        <w:rPr>
          <w:szCs w:val="22"/>
        </w:rPr>
        <w:t xml:space="preserve">ing </w:t>
      </w:r>
      <w:r w:rsidRPr="006A0F87" w:rsidR="00B84BB2">
        <w:rPr>
          <w:szCs w:val="22"/>
        </w:rPr>
        <w:t xml:space="preserve">the Commission of the conviction </w:t>
      </w:r>
      <w:r w:rsidR="00BD2587">
        <w:rPr>
          <w:szCs w:val="22"/>
        </w:rPr>
        <w:t>o</w:t>
      </w:r>
      <w:r w:rsidRPr="006A0F87" w:rsidR="00BD2587">
        <w:rPr>
          <w:szCs w:val="22"/>
        </w:rPr>
        <w:t>n April 14,</w:t>
      </w:r>
      <w:r w:rsidR="00BD2587">
        <w:rPr>
          <w:szCs w:val="22"/>
        </w:rPr>
        <w:t xml:space="preserve"> 2017</w:t>
      </w:r>
      <w:r w:rsidR="00E5284E">
        <w:rPr>
          <w:szCs w:val="22"/>
        </w:rPr>
        <w:t>, after the due date</w:t>
      </w:r>
      <w:r w:rsidRPr="006A0F87" w:rsidR="00B84BB2">
        <w:rPr>
          <w:szCs w:val="22"/>
        </w:rPr>
        <w:t>.</w:t>
      </w:r>
      <w:r>
        <w:rPr>
          <w:rStyle w:val="FootnoteReference"/>
          <w:szCs w:val="22"/>
        </w:rPr>
        <w:footnoteReference w:id="10"/>
      </w:r>
      <w:r w:rsidRPr="006A0F87" w:rsidR="00B84BB2">
        <w:rPr>
          <w:szCs w:val="22"/>
        </w:rPr>
        <w:t xml:space="preserve"> </w:t>
      </w:r>
      <w:r w:rsidRPr="006A0F87" w:rsidR="00AF7ED6">
        <w:rPr>
          <w:szCs w:val="22"/>
        </w:rPr>
        <w:t xml:space="preserve"> </w:t>
      </w:r>
      <w:r w:rsidR="00F314AA">
        <w:rPr>
          <w:szCs w:val="22"/>
        </w:rPr>
        <w:t>A&amp;R</w:t>
      </w:r>
      <w:r w:rsidR="00DC7670">
        <w:rPr>
          <w:szCs w:val="22"/>
        </w:rPr>
        <w:t>,</w:t>
      </w:r>
      <w:r w:rsidR="00F314AA">
        <w:rPr>
          <w:szCs w:val="22"/>
        </w:rPr>
        <w:t xml:space="preserve"> </w:t>
      </w:r>
      <w:r w:rsidRPr="006A0F87" w:rsidR="00DC7670">
        <w:rPr>
          <w:szCs w:val="22"/>
        </w:rPr>
        <w:t>on March 18, 2020</w:t>
      </w:r>
      <w:r w:rsidR="00DC7670">
        <w:rPr>
          <w:szCs w:val="22"/>
        </w:rPr>
        <w:t xml:space="preserve">, </w:t>
      </w:r>
      <w:r w:rsidR="00F314AA">
        <w:rPr>
          <w:szCs w:val="22"/>
        </w:rPr>
        <w:t xml:space="preserve">also </w:t>
      </w:r>
      <w:r w:rsidRPr="006A0F87" w:rsidR="0048583A">
        <w:rPr>
          <w:szCs w:val="22"/>
        </w:rPr>
        <w:t xml:space="preserve">attached </w:t>
      </w:r>
      <w:r w:rsidRPr="006A0F87" w:rsidR="00647EAC">
        <w:rPr>
          <w:szCs w:val="22"/>
        </w:rPr>
        <w:t>th</w:t>
      </w:r>
      <w:r w:rsidRPr="006A0F87" w:rsidR="00396714">
        <w:rPr>
          <w:szCs w:val="22"/>
        </w:rPr>
        <w:t xml:space="preserve">e </w:t>
      </w:r>
      <w:r w:rsidR="00661A7C">
        <w:rPr>
          <w:szCs w:val="22"/>
        </w:rPr>
        <w:t>same</w:t>
      </w:r>
      <w:r w:rsidRPr="006A0F87" w:rsidR="00396714">
        <w:rPr>
          <w:szCs w:val="22"/>
        </w:rPr>
        <w:t xml:space="preserve"> </w:t>
      </w:r>
      <w:r w:rsidRPr="006A0F87" w:rsidR="00694BA8">
        <w:rPr>
          <w:szCs w:val="22"/>
        </w:rPr>
        <w:t>Adverse Find</w:t>
      </w:r>
      <w:r w:rsidRPr="006A0F87" w:rsidR="0048583A">
        <w:rPr>
          <w:szCs w:val="22"/>
        </w:rPr>
        <w:t>ing</w:t>
      </w:r>
      <w:r w:rsidRPr="006A0F87" w:rsidR="00694BA8">
        <w:rPr>
          <w:szCs w:val="22"/>
        </w:rPr>
        <w:t xml:space="preserve"> Report</w:t>
      </w:r>
      <w:r w:rsidRPr="006A0F87" w:rsidR="00396714">
        <w:rPr>
          <w:szCs w:val="22"/>
        </w:rPr>
        <w:t xml:space="preserve"> </w:t>
      </w:r>
      <w:r w:rsidRPr="006A0F87" w:rsidR="00647EAC">
        <w:rPr>
          <w:szCs w:val="22"/>
        </w:rPr>
        <w:t xml:space="preserve">to </w:t>
      </w:r>
      <w:r w:rsidRPr="006A0F87" w:rsidR="00F314AA">
        <w:rPr>
          <w:szCs w:val="22"/>
        </w:rPr>
        <w:t xml:space="preserve">a timely Renewal Application to </w:t>
      </w:r>
      <w:r w:rsidRPr="006A0F87" w:rsidR="00647EAC">
        <w:rPr>
          <w:szCs w:val="22"/>
        </w:rPr>
        <w:t>explain</w:t>
      </w:r>
      <w:r w:rsidRPr="006A0F87" w:rsidR="00BE340F">
        <w:rPr>
          <w:szCs w:val="22"/>
        </w:rPr>
        <w:t xml:space="preserve"> its answer of</w:t>
      </w:r>
      <w:r w:rsidR="002D096C">
        <w:rPr>
          <w:szCs w:val="22"/>
        </w:rPr>
        <w:t xml:space="preserve"> </w:t>
      </w:r>
      <w:r w:rsidRPr="006A0F87" w:rsidR="00AF7ED6">
        <w:rPr>
          <w:szCs w:val="22"/>
        </w:rPr>
        <w:t xml:space="preserve">“No” </w:t>
      </w:r>
      <w:r w:rsidR="005039EE">
        <w:rPr>
          <w:szCs w:val="22"/>
        </w:rPr>
        <w:t>to the question as to whether A&amp;R</w:t>
      </w:r>
      <w:r w:rsidRPr="006A0F87" w:rsidR="00BE340F">
        <w:rPr>
          <w:szCs w:val="22"/>
        </w:rPr>
        <w:t xml:space="preserve"> could certify </w:t>
      </w:r>
      <w:r w:rsidRPr="006A0F87" w:rsidR="00AF7ED6">
        <w:rPr>
          <w:szCs w:val="22"/>
        </w:rPr>
        <w:t xml:space="preserve">that </w:t>
      </w:r>
      <w:r w:rsidRPr="006A0F87" w:rsidR="00C81FF1">
        <w:rPr>
          <w:szCs w:val="22"/>
        </w:rPr>
        <w:t xml:space="preserve">there had been no adverse findings bearing on the character qualifications of </w:t>
      </w:r>
      <w:r w:rsidRPr="006A0F87" w:rsidR="009001A7">
        <w:rPr>
          <w:szCs w:val="22"/>
        </w:rPr>
        <w:t>A&amp;R</w:t>
      </w:r>
      <w:r w:rsidRPr="006A0F87" w:rsidR="00BE340F">
        <w:rPr>
          <w:szCs w:val="22"/>
        </w:rPr>
        <w:t xml:space="preserve"> and its</w:t>
      </w:r>
      <w:r w:rsidRPr="006A0F87" w:rsidR="008563FF">
        <w:rPr>
          <w:szCs w:val="22"/>
        </w:rPr>
        <w:t xml:space="preserve"> principal</w:t>
      </w:r>
      <w:r w:rsidRPr="006A0F87" w:rsidR="00530070">
        <w:rPr>
          <w:szCs w:val="22"/>
        </w:rPr>
        <w:t>.</w:t>
      </w:r>
      <w:r>
        <w:rPr>
          <w:rStyle w:val="FootnoteReference"/>
        </w:rPr>
        <w:footnoteReference w:id="11"/>
      </w:r>
      <w:r w:rsidR="00F70D41">
        <w:rPr>
          <w:szCs w:val="22"/>
        </w:rPr>
        <w:t xml:space="preserve">  </w:t>
      </w:r>
      <w:r w:rsidRPr="002733AC" w:rsidR="002733AC">
        <w:rPr>
          <w:szCs w:val="22"/>
        </w:rPr>
        <w:t>We note that A&amp;R also responded “No” to the Renewal Application’s question of whether it had timely upload</w:t>
      </w:r>
      <w:r w:rsidRPr="00E5284E" w:rsidR="002733AC">
        <w:rPr>
          <w:szCs w:val="22"/>
        </w:rPr>
        <w:t xml:space="preserve">ed </w:t>
      </w:r>
      <w:r w:rsidR="008A133B">
        <w:rPr>
          <w:szCs w:val="22"/>
        </w:rPr>
        <w:t xml:space="preserve">required </w:t>
      </w:r>
      <w:r w:rsidRPr="00E5284E" w:rsidR="002733AC">
        <w:rPr>
          <w:szCs w:val="22"/>
        </w:rPr>
        <w:t>documents to its online public inspection file.</w:t>
      </w:r>
      <w:r>
        <w:rPr>
          <w:rStyle w:val="FootnoteReference"/>
        </w:rPr>
        <w:footnoteReference w:id="12"/>
      </w:r>
      <w:r>
        <w:rPr>
          <w:szCs w:val="22"/>
        </w:rPr>
        <w:t xml:space="preserve">  </w:t>
      </w:r>
      <w:r w:rsidRPr="00DD0A60">
        <w:rPr>
          <w:szCs w:val="22"/>
        </w:rPr>
        <w:t xml:space="preserve">Specifically, A&amp;R </w:t>
      </w:r>
      <w:r w:rsidRPr="0058664B">
        <w:rPr>
          <w:szCs w:val="22"/>
        </w:rPr>
        <w:t>acknowledged that it had neither filed Biennial Ownership Reports as required by section 73.3615 of the Rules nor timely uploaded issues/programs lists as required by section 73.3526 of the Rules.</w:t>
      </w:r>
      <w:r>
        <w:rPr>
          <w:rStyle w:val="FootnoteReference"/>
          <w:szCs w:val="22"/>
        </w:rPr>
        <w:footnoteReference w:id="13"/>
      </w:r>
    </w:p>
    <w:p w:rsidR="00D83984" w:rsidRPr="0058664B" w:rsidP="0058664B" w14:paraId="5F1F8EC0" w14:textId="77777777">
      <w:pPr>
        <w:pStyle w:val="ParaNum"/>
        <w:numPr>
          <w:ilvl w:val="0"/>
          <w:numId w:val="0"/>
        </w:numPr>
        <w:ind w:left="720"/>
        <w:rPr>
          <w:szCs w:val="22"/>
        </w:rPr>
      </w:pPr>
    </w:p>
    <w:p w:rsidR="00D2072C" w:rsidRPr="00B00228" w:rsidP="002733AC" w14:paraId="40E0F9B2" w14:textId="35F79B08">
      <w:pPr>
        <w:pStyle w:val="ParaNum"/>
      </w:pPr>
      <w:r w:rsidRPr="002733AC">
        <w:rPr>
          <w:b/>
          <w:bCs/>
          <w:szCs w:val="22"/>
        </w:rPr>
        <w:t xml:space="preserve">Legal Standards.  </w:t>
      </w:r>
      <w:r w:rsidRPr="002733AC" w:rsidR="008D1215">
        <w:rPr>
          <w:szCs w:val="22"/>
        </w:rPr>
        <w:t>Section 312 of the Act sets forth specific circumstances in which the Commission may revoke a station license.</w:t>
      </w:r>
      <w:r>
        <w:rPr>
          <w:rStyle w:val="FootnoteReference"/>
          <w:szCs w:val="22"/>
        </w:rPr>
        <w:footnoteReference w:id="14"/>
      </w:r>
      <w:r w:rsidRPr="002733AC" w:rsidR="008D1215">
        <w:rPr>
          <w:b/>
          <w:bCs/>
          <w:szCs w:val="22"/>
        </w:rPr>
        <w:t xml:space="preserve">  </w:t>
      </w:r>
      <w:r w:rsidRPr="002733AC" w:rsidR="0039094C">
        <w:rPr>
          <w:szCs w:val="22"/>
        </w:rPr>
        <w:t>One such circumstance is a matter “</w:t>
      </w:r>
      <w:r w:rsidRPr="002733AC" w:rsidR="008D1215">
        <w:rPr>
          <w:szCs w:val="22"/>
        </w:rPr>
        <w:t>coming to the attention of the Commission which would warrant it in refusing to grant a license or permit on an original application</w:t>
      </w:r>
      <w:r w:rsidRPr="002733AC" w:rsidR="0039094C">
        <w:rPr>
          <w:szCs w:val="22"/>
        </w:rPr>
        <w:t>.”</w:t>
      </w:r>
      <w:r>
        <w:rPr>
          <w:rStyle w:val="FootnoteReference"/>
          <w:szCs w:val="22"/>
        </w:rPr>
        <w:footnoteReference w:id="15"/>
      </w:r>
      <w:r w:rsidRPr="002733AC" w:rsidR="005C45B3">
        <w:rPr>
          <w:szCs w:val="22"/>
        </w:rPr>
        <w:t xml:space="preserve">  </w:t>
      </w:r>
      <w:r w:rsidRPr="002733AC" w:rsidR="005D77DC">
        <w:rPr>
          <w:szCs w:val="22"/>
        </w:rPr>
        <w:t>T</w:t>
      </w:r>
      <w:r w:rsidR="006819E9">
        <w:t xml:space="preserve">he character of an applicant is among the </w:t>
      </w:r>
      <w:r w:rsidR="000B72D4">
        <w:t xml:space="preserve">important </w:t>
      </w:r>
      <w:r w:rsidR="006819E9">
        <w:t>public interest factors that the Commission considers in determining whether an applicant has the requisite qualifications to become and/or remain a Commission licensee</w:t>
      </w:r>
      <w:r w:rsidR="003F5588">
        <w:t>.</w:t>
      </w:r>
      <w:r>
        <w:rPr>
          <w:rStyle w:val="FootnoteReference"/>
        </w:rPr>
        <w:footnoteReference w:id="16"/>
      </w:r>
      <w:r w:rsidR="00574FB0">
        <w:t xml:space="preserve"> </w:t>
      </w:r>
      <w:r w:rsidRPr="000C1EC2" w:rsidR="000163CD">
        <w:rPr>
          <w:szCs w:val="22"/>
        </w:rPr>
        <w:t xml:space="preserve"> </w:t>
      </w:r>
      <w:r w:rsidRPr="000C1EC2" w:rsidR="00E77AC2">
        <w:rPr>
          <w:szCs w:val="22"/>
        </w:rPr>
        <w:t xml:space="preserve">The central question in any character inquiry is whether the applicant or licensee “is likely to </w:t>
      </w:r>
      <w:r w:rsidRPr="000C1EC2" w:rsidR="00E77AC2">
        <w:rPr>
          <w:color w:val="000000"/>
          <w:szCs w:val="22"/>
          <w:bdr w:val="none" w:sz="0" w:space="0" w:color="auto" w:frame="1"/>
          <w:shd w:val="clear" w:color="auto" w:fill="FFFFFF"/>
        </w:rPr>
        <w:t>be forthright in its dealings with the Commission and to operate its station consistent with the requirements of the Communications Act and the Commission's Rules and policies.”</w:t>
      </w:r>
      <w:r>
        <w:rPr>
          <w:rStyle w:val="FootnoteReference"/>
          <w:sz w:val="22"/>
          <w:szCs w:val="22"/>
        </w:rPr>
        <w:footnoteReference w:id="17"/>
      </w:r>
      <w:r w:rsidRPr="000C1EC2" w:rsidR="00E77AC2">
        <w:rPr>
          <w:color w:val="000000"/>
          <w:szCs w:val="22"/>
          <w:bdr w:val="none" w:sz="0" w:space="0" w:color="auto" w:frame="1"/>
          <w:shd w:val="clear" w:color="auto" w:fill="FFFFFF"/>
        </w:rPr>
        <w:t xml:space="preserve"> </w:t>
      </w:r>
      <w:r w:rsidRPr="000C1EC2" w:rsidR="002C3802">
        <w:rPr>
          <w:color w:val="000000"/>
          <w:szCs w:val="22"/>
          <w:bdr w:val="none" w:sz="0" w:space="0" w:color="auto" w:frame="1"/>
          <w:shd w:val="clear" w:color="auto" w:fill="FFFFFF"/>
        </w:rPr>
        <w:t xml:space="preserve"> Any violation of the Com</w:t>
      </w:r>
      <w:r w:rsidR="000A0828">
        <w:rPr>
          <w:color w:val="000000"/>
          <w:szCs w:val="22"/>
          <w:bdr w:val="none" w:sz="0" w:space="0" w:color="auto" w:frame="1"/>
          <w:shd w:val="clear" w:color="auto" w:fill="FFFFFF"/>
        </w:rPr>
        <w:t>m</w:t>
      </w:r>
      <w:r w:rsidR="00EE29C4">
        <w:rPr>
          <w:color w:val="000000"/>
          <w:szCs w:val="22"/>
          <w:bdr w:val="none" w:sz="0" w:space="0" w:color="auto" w:frame="1"/>
          <w:shd w:val="clear" w:color="auto" w:fill="FFFFFF"/>
        </w:rPr>
        <w:t>unicat</w:t>
      </w:r>
      <w:r w:rsidRPr="000C1EC2" w:rsidR="002C3802">
        <w:rPr>
          <w:color w:val="000000"/>
          <w:szCs w:val="22"/>
          <w:bdr w:val="none" w:sz="0" w:space="0" w:color="auto" w:frame="1"/>
          <w:shd w:val="clear" w:color="auto" w:fill="FFFFFF"/>
        </w:rPr>
        <w:t>ion’s Act or Commission rules potentially bears on character qualifications.</w:t>
      </w:r>
      <w:r>
        <w:rPr>
          <w:rStyle w:val="FootnoteReference"/>
          <w:sz w:val="22"/>
          <w:szCs w:val="22"/>
          <w:bdr w:val="none" w:sz="0" w:space="0" w:color="auto" w:frame="1"/>
          <w:shd w:val="clear" w:color="auto" w:fill="FFFFFF"/>
        </w:rPr>
        <w:footnoteReference w:id="18"/>
      </w:r>
      <w:r w:rsidRPr="000C1EC2" w:rsidR="002C3802">
        <w:rPr>
          <w:color w:val="000000"/>
          <w:szCs w:val="22"/>
          <w:bdr w:val="none" w:sz="0" w:space="0" w:color="auto" w:frame="1"/>
          <w:shd w:val="clear" w:color="auto" w:fill="FFFFFF"/>
        </w:rPr>
        <w:t xml:space="preserve">  </w:t>
      </w:r>
      <w:r>
        <w:t xml:space="preserve">Under the Commission’s </w:t>
      </w:r>
      <w:r w:rsidRPr="002733AC">
        <w:rPr>
          <w:i/>
          <w:iCs/>
        </w:rPr>
        <w:t>Character Qualifications Policy Statement</w:t>
      </w:r>
      <w:r>
        <w:t xml:space="preserve">, non-FCC misconduct </w:t>
      </w:r>
      <w:r w:rsidR="002C3802">
        <w:t xml:space="preserve">also </w:t>
      </w:r>
      <w:r>
        <w:t>may call into question a licensee’s character.</w:t>
      </w:r>
      <w:r>
        <w:rPr>
          <w:rStyle w:val="FootnoteReference"/>
          <w:rFonts w:cstheme="minorBidi"/>
        </w:rPr>
        <w:footnoteReference w:id="19"/>
      </w:r>
      <w:r>
        <w:t xml:space="preserve">  In assessing character qualifications in broadcasting matters, the Commission considers, as relevant, “evidence of any conviction for misconduct constituting a felony.”</w:t>
      </w:r>
      <w:r>
        <w:rPr>
          <w:rStyle w:val="FootnoteReference"/>
          <w:rFonts w:cstheme="minorBidi"/>
        </w:rPr>
        <w:footnoteReference w:id="20"/>
      </w:r>
      <w:r>
        <w:t xml:space="preserve">  In particular, we have found that “[b]</w:t>
      </w:r>
      <w:r>
        <w:t>ecause</w:t>
      </w:r>
      <w:r>
        <w:t xml:space="preserve"> all felonies are serious crimes, any conviction provides an indication of an applicant’s or licensee’s propensity to obey the law” and conform to provisions of both the Act and the Commission’s Rules and policies.</w:t>
      </w:r>
      <w:r>
        <w:rPr>
          <w:rStyle w:val="FootnoteReference"/>
          <w:rFonts w:cstheme="minorBidi"/>
        </w:rPr>
        <w:footnoteReference w:id="21"/>
      </w:r>
      <w:r>
        <w:t xml:space="preserve">  </w:t>
      </w:r>
      <w:r w:rsidRPr="002733AC" w:rsidR="006D6FF4">
        <w:rPr>
          <w:szCs w:val="22"/>
        </w:rPr>
        <w:t>Also relevant to the Commission are any adjudicated “fraudulent representations to another governmental unit” because there may be a sufficient nexus between fraud before another agency and an applicant</w:t>
      </w:r>
      <w:r w:rsidRPr="002733AC" w:rsidR="00B26B0C">
        <w:rPr>
          <w:szCs w:val="22"/>
        </w:rPr>
        <w:t>’s propensity to</w:t>
      </w:r>
      <w:r w:rsidRPr="002733AC" w:rsidR="006D6FF4">
        <w:rPr>
          <w:szCs w:val="22"/>
        </w:rPr>
        <w:t xml:space="preserve"> engage in similar behavior in its dealings with the Commission.</w:t>
      </w:r>
      <w:r>
        <w:rPr>
          <w:rStyle w:val="FootnoteReference"/>
          <w:szCs w:val="22"/>
        </w:rPr>
        <w:footnoteReference w:id="22"/>
      </w:r>
      <w:r w:rsidRPr="002733AC" w:rsidR="006D6FF4">
        <w:rPr>
          <w:szCs w:val="22"/>
        </w:rPr>
        <w:t xml:space="preserve">  Non-FCC actions involving truthfulness and criminal behavior, thus, may hav</w:t>
      </w:r>
      <w:r w:rsidRPr="002733AC" w:rsidR="00B26B0C">
        <w:rPr>
          <w:szCs w:val="22"/>
        </w:rPr>
        <w:t>e</w:t>
      </w:r>
      <w:r w:rsidRPr="002733AC" w:rsidR="006D6FF4">
        <w:rPr>
          <w:szCs w:val="22"/>
        </w:rPr>
        <w:t xml:space="preserve"> a bearing on character qualifications.  </w:t>
      </w:r>
      <w:r>
        <w:t xml:space="preserve">The question of whether misconduct is disqualifying turns on the facts of each case, including a consideration of any mitigating </w:t>
      </w:r>
      <w:r>
        <w:t>circumstances.</w:t>
      </w:r>
      <w:r>
        <w:rPr>
          <w:rStyle w:val="FootnoteReference"/>
          <w:rFonts w:cstheme="minorBidi"/>
        </w:rPr>
        <w:footnoteReference w:id="23"/>
      </w:r>
      <w:r w:rsidRPr="002733AC">
        <w:rPr>
          <w:sz w:val="24"/>
          <w:szCs w:val="24"/>
        </w:rPr>
        <w:t xml:space="preserve"> </w:t>
      </w:r>
      <w:r w:rsidRPr="002733AC" w:rsidR="00234F3D">
        <w:rPr>
          <w:sz w:val="24"/>
          <w:szCs w:val="24"/>
        </w:rPr>
        <w:t xml:space="preserve"> </w:t>
      </w:r>
      <w:r w:rsidR="00234F3D">
        <w:t xml:space="preserve">The purpose of the hearing is not to retry the facts which led to Armstrong’s felony conviction but, rather, to consider the impact of that adjudicated misconduct </w:t>
      </w:r>
      <w:r w:rsidRPr="00842077" w:rsidR="0090764C">
        <w:t xml:space="preserve">and </w:t>
      </w:r>
      <w:r w:rsidRPr="006B645D" w:rsidR="00E06C6C">
        <w:t xml:space="preserve">A&amp;R’s </w:t>
      </w:r>
      <w:r w:rsidRPr="00842077" w:rsidR="0090764C">
        <w:t xml:space="preserve">admitted rule violations </w:t>
      </w:r>
      <w:r w:rsidRPr="00842077" w:rsidR="00234F3D">
        <w:t xml:space="preserve">on </w:t>
      </w:r>
      <w:r w:rsidRPr="00842077" w:rsidR="00E06C6C">
        <w:t>Armstrong</w:t>
      </w:r>
      <w:r w:rsidRPr="006B645D" w:rsidR="00842077">
        <w:t>’s</w:t>
      </w:r>
      <w:r w:rsidRPr="00842077" w:rsidR="00E06C6C">
        <w:t xml:space="preserve"> and, by extension A&amp;R’s, </w:t>
      </w:r>
      <w:r w:rsidRPr="00842077" w:rsidR="00234F3D">
        <w:t>character</w:t>
      </w:r>
      <w:r w:rsidR="00234F3D">
        <w:t xml:space="preserve"> qualifications when viewed along with any mitigating factors.</w:t>
      </w:r>
      <w:r>
        <w:rPr>
          <w:rStyle w:val="FootnoteReference"/>
        </w:rPr>
        <w:footnoteReference w:id="24"/>
      </w:r>
      <w:r w:rsidR="00234F3D">
        <w:t xml:space="preserve">  </w:t>
      </w:r>
    </w:p>
    <w:p w:rsidR="005B6796" w:rsidP="005B6796" w14:paraId="3CB4A2F1" w14:textId="4BDB5841">
      <w:pPr>
        <w:pStyle w:val="Heading1"/>
        <w:rPr>
          <w:rFonts w:ascii="Times New Roman" w:hAnsi="Times New Roman"/>
          <w:szCs w:val="22"/>
        </w:rPr>
      </w:pPr>
      <w:r w:rsidRPr="00324F9C">
        <w:rPr>
          <w:rFonts w:ascii="Times New Roman" w:hAnsi="Times New Roman"/>
          <w:szCs w:val="22"/>
        </w:rPr>
        <w:t>Discussion</w:t>
      </w:r>
    </w:p>
    <w:p w:rsidR="00854D8A" w:rsidRPr="00854D8A" w:rsidP="00011185" w14:paraId="5F8B3EE0" w14:textId="1322EE09">
      <w:pPr>
        <w:pStyle w:val="ParaNum"/>
      </w:pPr>
      <w:r>
        <w:t xml:space="preserve">We find that Armstrong’s felony conviction raises </w:t>
      </w:r>
      <w:r w:rsidR="006155DD">
        <w:t xml:space="preserve">the question under the Commission’s </w:t>
      </w:r>
      <w:r w:rsidR="006155DD">
        <w:rPr>
          <w:i/>
          <w:iCs/>
        </w:rPr>
        <w:t xml:space="preserve">Character Qualifications Policy Statement </w:t>
      </w:r>
      <w:r w:rsidR="00F21566">
        <w:t>whether he</w:t>
      </w:r>
      <w:r w:rsidR="00096CD5">
        <w:t>, and thus A&amp;R,</w:t>
      </w:r>
      <w:r w:rsidR="00F21566">
        <w:t xml:space="preserve"> has the character qualifications to remain a Commission licensee.  </w:t>
      </w:r>
      <w:r w:rsidRPr="00011185" w:rsidR="00A858E0">
        <w:rPr>
          <w:szCs w:val="22"/>
        </w:rPr>
        <w:t>The Commission and the courts have recognized that “[t]he FCC relies heavily on the honesty and probity of its licensees in a regulatory system that is largely self-policing.”</w:t>
      </w:r>
      <w:r>
        <w:rPr>
          <w:rStyle w:val="FootnoteReference"/>
          <w:szCs w:val="22"/>
        </w:rPr>
        <w:footnoteReference w:id="25"/>
      </w:r>
      <w:r w:rsidRPr="00011185" w:rsidR="00A858E0">
        <w:rPr>
          <w:szCs w:val="22"/>
        </w:rPr>
        <w:t xml:space="preserve">  </w:t>
      </w:r>
      <w:r>
        <w:rPr>
          <w:szCs w:val="22"/>
        </w:rPr>
        <w:t>F</w:t>
      </w:r>
      <w:r w:rsidRPr="00011185">
        <w:rPr>
          <w:szCs w:val="22"/>
        </w:rPr>
        <w:t xml:space="preserve">ull and clear disclosure of all material facts is essential to the efficient administration of the Commission's licensing process, and proper analysis of broadcast applications is critically dependent on the accuracy and completeness of information and data that only the applicant can provide.  </w:t>
      </w:r>
      <w:r w:rsidRPr="00011185" w:rsidR="00BA1CA5">
        <w:rPr>
          <w:szCs w:val="22"/>
        </w:rPr>
        <w:t>Misrepresentation and lack of candor raise serious concerns as to the likelihood that the Commission can rely on an applicant, permittee, or licensee to be truthful.</w:t>
      </w:r>
      <w:r>
        <w:rPr>
          <w:szCs w:val="22"/>
          <w:vertAlign w:val="superscript"/>
        </w:rPr>
        <w:footnoteReference w:id="26"/>
      </w:r>
      <w:r w:rsidRPr="00011185" w:rsidR="00BA1CA5">
        <w:rPr>
          <w:szCs w:val="22"/>
        </w:rPr>
        <w:t xml:space="preserve">  </w:t>
      </w:r>
    </w:p>
    <w:p w:rsidR="00A858E0" w:rsidRPr="00842077" w:rsidP="00C87054" w14:paraId="1D809AFA" w14:textId="3B352413">
      <w:pPr>
        <w:pStyle w:val="ParaNum"/>
      </w:pPr>
      <w:r w:rsidRPr="00011185">
        <w:rPr>
          <w:szCs w:val="22"/>
        </w:rPr>
        <w:t xml:space="preserve">The </w:t>
      </w:r>
      <w:r w:rsidR="00F97D0E">
        <w:rPr>
          <w:szCs w:val="22"/>
        </w:rPr>
        <w:t xml:space="preserve">felony </w:t>
      </w:r>
      <w:r w:rsidRPr="00011185">
        <w:rPr>
          <w:szCs w:val="22"/>
        </w:rPr>
        <w:t>of which Armstrong was convicted</w:t>
      </w:r>
      <w:r w:rsidRPr="00583D36" w:rsidR="00583D36">
        <w:rPr>
          <w:rFonts w:eastAsia="Calibri"/>
          <w:noProof/>
          <w:szCs w:val="22"/>
        </w:rPr>
        <w:t>—</w:t>
      </w:r>
      <w:r w:rsidRPr="00011185" w:rsidR="00C37488">
        <w:rPr>
          <w:szCs w:val="22"/>
        </w:rPr>
        <w:t>fraud and false statements</w:t>
      </w:r>
      <w:r w:rsidRPr="00583D36" w:rsidR="00583D36">
        <w:rPr>
          <w:rFonts w:eastAsia="Calibri"/>
          <w:noProof/>
          <w:szCs w:val="22"/>
        </w:rPr>
        <w:t>—</w:t>
      </w:r>
      <w:r w:rsidRPr="00011185">
        <w:rPr>
          <w:szCs w:val="22"/>
        </w:rPr>
        <w:t xml:space="preserve">is </w:t>
      </w:r>
      <w:r w:rsidRPr="00011185" w:rsidR="00C37488">
        <w:rPr>
          <w:szCs w:val="22"/>
        </w:rPr>
        <w:t>centered up</w:t>
      </w:r>
      <w:r w:rsidRPr="00011185">
        <w:rPr>
          <w:szCs w:val="22"/>
        </w:rPr>
        <w:t xml:space="preserve">on </w:t>
      </w:r>
      <w:r w:rsidR="00F97D0E">
        <w:rPr>
          <w:szCs w:val="22"/>
        </w:rPr>
        <w:t xml:space="preserve">criminally </w:t>
      </w:r>
      <w:r w:rsidRPr="00011185">
        <w:rPr>
          <w:szCs w:val="22"/>
        </w:rPr>
        <w:t>dishonest</w:t>
      </w:r>
      <w:r w:rsidRPr="00011185" w:rsidR="00BC127D">
        <w:rPr>
          <w:szCs w:val="22"/>
        </w:rPr>
        <w:t xml:space="preserve"> conduct</w:t>
      </w:r>
      <w:r w:rsidRPr="00011185">
        <w:rPr>
          <w:szCs w:val="22"/>
        </w:rPr>
        <w:t xml:space="preserve">.  </w:t>
      </w:r>
      <w:r w:rsidRPr="00011185" w:rsidR="00C37488">
        <w:rPr>
          <w:szCs w:val="22"/>
        </w:rPr>
        <w:t xml:space="preserve">Armstrong directed </w:t>
      </w:r>
      <w:r w:rsidRPr="00011185" w:rsidR="00555922">
        <w:rPr>
          <w:szCs w:val="22"/>
        </w:rPr>
        <w:t xml:space="preserve">that dishonesty </w:t>
      </w:r>
      <w:r w:rsidRPr="00011185" w:rsidR="00BA1CA5">
        <w:rPr>
          <w:szCs w:val="22"/>
        </w:rPr>
        <w:t>at</w:t>
      </w:r>
      <w:r w:rsidRPr="00011185" w:rsidR="00555922">
        <w:rPr>
          <w:szCs w:val="22"/>
        </w:rPr>
        <w:t xml:space="preserve"> </w:t>
      </w:r>
      <w:r w:rsidRPr="00011185" w:rsidR="00C37488">
        <w:rPr>
          <w:szCs w:val="22"/>
        </w:rPr>
        <w:t>a federal agency</w:t>
      </w:r>
      <w:r w:rsidRPr="00011185" w:rsidR="00555922">
        <w:rPr>
          <w:szCs w:val="22"/>
        </w:rPr>
        <w:t xml:space="preserve"> by making false statements on a federal </w:t>
      </w:r>
      <w:r w:rsidR="00583D36">
        <w:rPr>
          <w:szCs w:val="22"/>
        </w:rPr>
        <w:t xml:space="preserve">tax </w:t>
      </w:r>
      <w:r w:rsidRPr="00011185" w:rsidR="00555922">
        <w:rPr>
          <w:szCs w:val="22"/>
        </w:rPr>
        <w:t>form</w:t>
      </w:r>
      <w:r w:rsidRPr="00011185" w:rsidR="00BA1CA5">
        <w:rPr>
          <w:szCs w:val="22"/>
        </w:rPr>
        <w:t xml:space="preserve">.  </w:t>
      </w:r>
      <w:r w:rsidRPr="00011185" w:rsidR="00081A3D">
        <w:rPr>
          <w:szCs w:val="22"/>
        </w:rPr>
        <w:t xml:space="preserve">His </w:t>
      </w:r>
      <w:r w:rsidRPr="00011185" w:rsidR="00BA1CA5">
        <w:rPr>
          <w:szCs w:val="22"/>
        </w:rPr>
        <w:t>omi</w:t>
      </w:r>
      <w:r w:rsidRPr="00011185" w:rsidR="0073020A">
        <w:rPr>
          <w:szCs w:val="22"/>
        </w:rPr>
        <w:t xml:space="preserve">ssion of </w:t>
      </w:r>
      <w:r w:rsidRPr="00011185" w:rsidR="00BA1CA5">
        <w:rPr>
          <w:szCs w:val="22"/>
        </w:rPr>
        <w:t xml:space="preserve">material financial information </w:t>
      </w:r>
      <w:r w:rsidRPr="00011185" w:rsidR="0073020A">
        <w:rPr>
          <w:szCs w:val="22"/>
        </w:rPr>
        <w:t xml:space="preserve">(a </w:t>
      </w:r>
      <w:r w:rsidR="000F7967">
        <w:t xml:space="preserve">large </w:t>
      </w:r>
      <w:r w:rsidR="0073020A">
        <w:t xml:space="preserve">profit), </w:t>
      </w:r>
      <w:r w:rsidRPr="00011185" w:rsidR="0073020A">
        <w:rPr>
          <w:szCs w:val="22"/>
        </w:rPr>
        <w:t>result</w:t>
      </w:r>
      <w:r w:rsidRPr="00011185" w:rsidR="00081A3D">
        <w:rPr>
          <w:szCs w:val="22"/>
        </w:rPr>
        <w:t>ed</w:t>
      </w:r>
      <w:r w:rsidRPr="00011185" w:rsidR="0073020A">
        <w:rPr>
          <w:szCs w:val="22"/>
        </w:rPr>
        <w:t xml:space="preserve"> </w:t>
      </w:r>
      <w:r w:rsidRPr="00011185" w:rsidR="00081A3D">
        <w:rPr>
          <w:szCs w:val="22"/>
        </w:rPr>
        <w:t xml:space="preserve">in </w:t>
      </w:r>
      <w:r w:rsidRPr="00011185" w:rsidR="0073020A">
        <w:rPr>
          <w:szCs w:val="22"/>
        </w:rPr>
        <w:t xml:space="preserve">substantial inaccuracy of information </w:t>
      </w:r>
      <w:r w:rsidR="00697948">
        <w:rPr>
          <w:szCs w:val="22"/>
        </w:rPr>
        <w:t>that he was</w:t>
      </w:r>
      <w:r w:rsidR="005C1B0B">
        <w:rPr>
          <w:szCs w:val="22"/>
        </w:rPr>
        <w:t xml:space="preserve"> federally</w:t>
      </w:r>
      <w:r w:rsidR="00697948">
        <w:rPr>
          <w:szCs w:val="22"/>
        </w:rPr>
        <w:t xml:space="preserve"> required to report </w:t>
      </w:r>
      <w:r w:rsidRPr="00011185" w:rsidR="0073020A">
        <w:rPr>
          <w:szCs w:val="22"/>
        </w:rPr>
        <w:t>(total income</w:t>
      </w:r>
      <w:r w:rsidRPr="00011185" w:rsidR="00081A3D">
        <w:rPr>
          <w:szCs w:val="22"/>
        </w:rPr>
        <w:t xml:space="preserve"> on which tax liability</w:t>
      </w:r>
      <w:r w:rsidRPr="00011185" w:rsidR="00257CA6">
        <w:rPr>
          <w:szCs w:val="22"/>
        </w:rPr>
        <w:t xml:space="preserve"> is</w:t>
      </w:r>
      <w:r w:rsidRPr="00011185" w:rsidR="00081A3D">
        <w:rPr>
          <w:szCs w:val="22"/>
        </w:rPr>
        <w:t xml:space="preserve"> based</w:t>
      </w:r>
      <w:r w:rsidRPr="00011185" w:rsidR="0073020A">
        <w:rPr>
          <w:szCs w:val="22"/>
        </w:rPr>
        <w:t xml:space="preserve">).  </w:t>
      </w:r>
      <w:r w:rsidRPr="00842077" w:rsidR="00E06C6C">
        <w:rPr>
          <w:szCs w:val="22"/>
        </w:rPr>
        <w:t>In light of Armstrong’s past willingness to conceal information from another federal agency in violation of the law, we</w:t>
      </w:r>
      <w:r w:rsidRPr="00842077" w:rsidR="00E06C6C">
        <w:t xml:space="preserve"> are unable to conclude on the record before us that Armstrong’s criminal convictions are not disqualifying.  In addition, </w:t>
      </w:r>
      <w:r w:rsidRPr="00842077" w:rsidR="002C588D">
        <w:rPr>
          <w:szCs w:val="22"/>
        </w:rPr>
        <w:t>A&amp;R’s late</w:t>
      </w:r>
      <w:r w:rsidRPr="00842077" w:rsidR="00224AF5">
        <w:rPr>
          <w:szCs w:val="22"/>
        </w:rPr>
        <w:t xml:space="preserve"> reporting</w:t>
      </w:r>
      <w:r w:rsidRPr="00842077" w:rsidR="002C588D">
        <w:rPr>
          <w:szCs w:val="22"/>
        </w:rPr>
        <w:t xml:space="preserve"> of Armstrong’s conviction</w:t>
      </w:r>
      <w:r w:rsidRPr="00842077" w:rsidR="00224AF5">
        <w:rPr>
          <w:szCs w:val="22"/>
        </w:rPr>
        <w:t xml:space="preserve"> to the Commission</w:t>
      </w:r>
      <w:r w:rsidRPr="00842077" w:rsidR="002C588D">
        <w:rPr>
          <w:szCs w:val="22"/>
        </w:rPr>
        <w:t>, along with its self-reported</w:t>
      </w:r>
      <w:r w:rsidRPr="00842077" w:rsidR="00224AF5">
        <w:rPr>
          <w:szCs w:val="22"/>
        </w:rPr>
        <w:t xml:space="preserve"> and purportedly inadvertent</w:t>
      </w:r>
      <w:r w:rsidRPr="00842077" w:rsidR="002C588D">
        <w:rPr>
          <w:szCs w:val="22"/>
        </w:rPr>
        <w:t xml:space="preserve"> failure to file ownership reports and to upload issues/programs lists between 2018 and 2020, </w:t>
      </w:r>
      <w:r w:rsidRPr="00842077" w:rsidR="00C87054">
        <w:rPr>
          <w:szCs w:val="22"/>
        </w:rPr>
        <w:t>when considered along with the felony</w:t>
      </w:r>
      <w:r w:rsidR="00842077">
        <w:rPr>
          <w:szCs w:val="22"/>
        </w:rPr>
        <w:t>,</w:t>
      </w:r>
      <w:r w:rsidR="00172200">
        <w:rPr>
          <w:szCs w:val="22"/>
        </w:rPr>
        <w:t xml:space="preserve"> </w:t>
      </w:r>
      <w:r w:rsidRPr="00842077" w:rsidR="00A66071">
        <w:rPr>
          <w:szCs w:val="22"/>
        </w:rPr>
        <w:t>heighten our concern</w:t>
      </w:r>
      <w:r w:rsidRPr="00842077" w:rsidR="00224AF5">
        <w:rPr>
          <w:szCs w:val="22"/>
        </w:rPr>
        <w:t xml:space="preserve"> </w:t>
      </w:r>
      <w:r w:rsidRPr="00842077" w:rsidR="00763F7C">
        <w:rPr>
          <w:szCs w:val="22"/>
        </w:rPr>
        <w:t xml:space="preserve">as to </w:t>
      </w:r>
      <w:r w:rsidRPr="00842077" w:rsidR="00A66071">
        <w:rPr>
          <w:szCs w:val="22"/>
        </w:rPr>
        <w:t xml:space="preserve">whether we can rely upon A&amp;R to provide complete and accurate information to the Commission. </w:t>
      </w:r>
      <w:r w:rsidRPr="00842077" w:rsidR="002C588D">
        <w:rPr>
          <w:szCs w:val="22"/>
        </w:rPr>
        <w:t xml:space="preserve"> </w:t>
      </w:r>
      <w:r w:rsidRPr="00842077" w:rsidR="007B4185">
        <w:t xml:space="preserve">Because </w:t>
      </w:r>
      <w:r w:rsidRPr="00842077" w:rsidR="00E06C6C">
        <w:t xml:space="preserve">Armstrong’s </w:t>
      </w:r>
      <w:r w:rsidRPr="00842077" w:rsidR="007B4185">
        <w:t>conviction</w:t>
      </w:r>
      <w:r w:rsidRPr="00842077" w:rsidR="00037FAA">
        <w:t>,</w:t>
      </w:r>
      <w:r w:rsidRPr="00842077" w:rsidR="00E06C6C">
        <w:t xml:space="preserve"> </w:t>
      </w:r>
      <w:r w:rsidRPr="006B645D" w:rsidR="00C87054">
        <w:t>separately</w:t>
      </w:r>
      <w:r w:rsidRPr="00842077" w:rsidR="00E06C6C">
        <w:t>, and together with A&amp;R’s admitted rule violation</w:t>
      </w:r>
      <w:r w:rsidR="002D096C">
        <w:t>s</w:t>
      </w:r>
      <w:r w:rsidRPr="00842077" w:rsidR="00E06C6C">
        <w:t>,</w:t>
      </w:r>
      <w:r w:rsidRPr="00842077" w:rsidR="007B4185">
        <w:t xml:space="preserve"> raise</w:t>
      </w:r>
      <w:r w:rsidR="002C2DD3">
        <w:t>s</w:t>
      </w:r>
      <w:r w:rsidRPr="00842077" w:rsidR="007B4185">
        <w:t xml:space="preserve"> question</w:t>
      </w:r>
      <w:r w:rsidRPr="00842077" w:rsidR="00E06C6C">
        <w:t>s</w:t>
      </w:r>
      <w:r w:rsidRPr="00842077" w:rsidR="007B4185">
        <w:t xml:space="preserve"> under the Commission’s </w:t>
      </w:r>
      <w:r w:rsidRPr="00842077" w:rsidR="007B4185">
        <w:rPr>
          <w:i/>
          <w:iCs/>
        </w:rPr>
        <w:t>Character Qualifications Policy Statement</w:t>
      </w:r>
      <w:r w:rsidRPr="00842077" w:rsidR="007B4185">
        <w:t>, w</w:t>
      </w:r>
      <w:r w:rsidRPr="00842077" w:rsidR="00AB169C">
        <w:t xml:space="preserve">e </w:t>
      </w:r>
      <w:r w:rsidRPr="00842077" w:rsidR="007B4185">
        <w:t xml:space="preserve">designate for </w:t>
      </w:r>
      <w:r w:rsidRPr="00842077" w:rsidR="00AB169C">
        <w:t xml:space="preserve">hearing </w:t>
      </w:r>
      <w:r w:rsidRPr="00842077" w:rsidR="00BD56BD">
        <w:t xml:space="preserve">appropriate issues to determine whether Armstrong, and by extension, A&amp;R, possess the requisite character qualifications </w:t>
      </w:r>
      <w:r w:rsidRPr="00842077" w:rsidR="00AB169C">
        <w:t>to remain a Commission licensee</w:t>
      </w:r>
      <w:r w:rsidRPr="00842077" w:rsidR="00E1147A">
        <w:t xml:space="preserve"> and</w:t>
      </w:r>
      <w:r w:rsidRPr="00842077" w:rsidR="007B4185">
        <w:t xml:space="preserve"> whether </w:t>
      </w:r>
      <w:r w:rsidRPr="00842077" w:rsidR="00037FAA">
        <w:t xml:space="preserve">the </w:t>
      </w:r>
      <w:r w:rsidR="00C769A2">
        <w:t xml:space="preserve">Commission should revoke the </w:t>
      </w:r>
      <w:r w:rsidRPr="00842077" w:rsidR="007B4185">
        <w:t xml:space="preserve">license </w:t>
      </w:r>
      <w:r w:rsidRPr="00842077" w:rsidR="00037FAA">
        <w:t xml:space="preserve">for </w:t>
      </w:r>
      <w:r w:rsidRPr="00842077" w:rsidR="00037FAA">
        <w:rPr>
          <w:szCs w:val="22"/>
        </w:rPr>
        <w:t>WJBE(AM)</w:t>
      </w:r>
      <w:r w:rsidRPr="00842077" w:rsidR="00AB169C">
        <w:t xml:space="preserve">.  </w:t>
      </w:r>
    </w:p>
    <w:p w:rsidR="00DF439D" w:rsidRPr="005D23ED" w:rsidP="00DF439D" w14:paraId="03E7A71E" w14:textId="77777777">
      <w:pPr>
        <w:pStyle w:val="Heading1"/>
        <w:rPr>
          <w:rFonts w:ascii="Times New Roman" w:hAnsi="Times New Roman"/>
          <w:snapToGrid/>
          <w:szCs w:val="22"/>
        </w:rPr>
      </w:pPr>
      <w:bookmarkStart w:id="2" w:name="_Toc54885240"/>
      <w:bookmarkStart w:id="3" w:name="_Toc54885304"/>
      <w:bookmarkStart w:id="4" w:name="_Toc54885434"/>
      <w:bookmarkStart w:id="5" w:name="_Toc54885474"/>
      <w:bookmarkStart w:id="6" w:name="_Toc54888014"/>
      <w:bookmarkStart w:id="7" w:name="_Toc54888155"/>
      <w:bookmarkStart w:id="8" w:name="_Toc54888246"/>
      <w:bookmarkStart w:id="9" w:name="_Toc54966081"/>
      <w:bookmarkStart w:id="10" w:name="_Toc55791816"/>
      <w:bookmarkStart w:id="11" w:name="_Toc55792276"/>
      <w:bookmarkStart w:id="12" w:name="_Toc55792732"/>
      <w:bookmarkStart w:id="13" w:name="_Toc55793032"/>
      <w:bookmarkStart w:id="14" w:name="_Toc55793127"/>
      <w:bookmarkStart w:id="15" w:name="_Toc55793411"/>
      <w:bookmarkStart w:id="16" w:name="_Toc55793551"/>
      <w:bookmarkStart w:id="17" w:name="_Toc55793648"/>
      <w:bookmarkStart w:id="18" w:name="_Toc55886342"/>
      <w:bookmarkStart w:id="19" w:name="_Toc55886459"/>
      <w:bookmarkStart w:id="20" w:name="_Toc56063423"/>
      <w:bookmarkStart w:id="21" w:name="_Toc56063534"/>
      <w:bookmarkStart w:id="22" w:name="_Toc56063798"/>
      <w:bookmarkStart w:id="23" w:name="_Toc56065795"/>
      <w:bookmarkStart w:id="24" w:name="_Toc56066055"/>
      <w:bookmarkStart w:id="25" w:name="_Hlk96627823"/>
      <w:r>
        <w:rPr>
          <w:szCs w:val="22"/>
        </w:rPr>
        <w:t>Procedures for Hearing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46DC4" w:rsidRPr="00A46DC4" w:rsidP="00A46DC4" w14:paraId="0BD4FC32" w14:textId="23507B24">
      <w:pPr>
        <w:pStyle w:val="ParaNum"/>
      </w:pPr>
      <w:r w:rsidRPr="001A3085">
        <w:rPr>
          <w:i/>
          <w:iCs/>
        </w:rPr>
        <w:t xml:space="preserve">Written Hearings Report and Order.  </w:t>
      </w:r>
      <w:r>
        <w:t xml:space="preserve">The Commission recently supplemented its formal hearing processes </w:t>
      </w:r>
      <w:r w:rsidR="00AB04FA">
        <w:t xml:space="preserve">applicable to the revocation of Title III licenses </w:t>
      </w:r>
      <w:r>
        <w:t xml:space="preserve">by adopting rules that, </w:t>
      </w:r>
      <w:r w:rsidRPr="001A3085">
        <w:rPr>
          <w:i/>
        </w:rPr>
        <w:t>inter alia</w:t>
      </w:r>
      <w:r>
        <w:t>, expand the use of a hearing procedure that relies in appropriate cases on written submissions and documentary evidence.</w:t>
      </w:r>
      <w:r>
        <w:rPr>
          <w:rStyle w:val="FootnoteReference"/>
        </w:rPr>
        <w:footnoteReference w:id="27"/>
      </w:r>
      <w:r>
        <w:t xml:space="preserve">  These </w:t>
      </w:r>
      <w:r w:rsidRPr="009E0CC2">
        <w:t>hearing</w:t>
      </w:r>
      <w:r>
        <w:t xml:space="preserve"> proceedings</w:t>
      </w:r>
      <w:r w:rsidRPr="009E0CC2">
        <w:t xml:space="preserve"> shall be resolved on a written record consisting of affirmative case, responsive case, and reply case submissions, along with all associated evidence in the record, including stipulations and agreements of the parties and official notice</w:t>
      </w:r>
      <w:r>
        <w:t xml:space="preserve"> of material facts.  </w:t>
      </w:r>
      <w:r w:rsidRPr="001A3085" w:rsidR="00C444A8">
        <w:rPr>
          <w:szCs w:val="22"/>
        </w:rPr>
        <w:t xml:space="preserve">Based on </w:t>
      </w:r>
      <w:r w:rsidRPr="001A3085" w:rsidR="00C444A8">
        <w:rPr>
          <w:szCs w:val="22"/>
        </w:rPr>
        <w:t xml:space="preserve">that record, the presiding officer will issue an Initial Decision pursuant to section </w:t>
      </w:r>
      <w:r w:rsidR="007871D6">
        <w:rPr>
          <w:szCs w:val="22"/>
        </w:rPr>
        <w:t>409(a)</w:t>
      </w:r>
      <w:r w:rsidRPr="001A3085" w:rsidR="00C444A8">
        <w:rPr>
          <w:szCs w:val="22"/>
        </w:rPr>
        <w:t xml:space="preserve"> of the Act and sections 1.267 and 1.274(c) of the Rules.</w:t>
      </w:r>
      <w:r>
        <w:rPr>
          <w:sz w:val="20"/>
          <w:szCs w:val="22"/>
          <w:vertAlign w:val="superscript"/>
        </w:rPr>
        <w:footnoteReference w:id="28"/>
      </w:r>
      <w:r w:rsidRPr="001A3085" w:rsidR="00C444A8">
        <w:rPr>
          <w:szCs w:val="22"/>
        </w:rPr>
        <w:t xml:space="preserve"> </w:t>
      </w:r>
      <w:r w:rsidR="002B6B76">
        <w:rPr>
          <w:szCs w:val="22"/>
        </w:rPr>
        <w:t xml:space="preserve"> </w:t>
      </w:r>
      <w:r w:rsidRPr="001A3085" w:rsidR="00C444A8">
        <w:rPr>
          <w:szCs w:val="22"/>
        </w:rPr>
        <w:t>The Bureau finds that this is an appropriate case for use of those procedures</w:t>
      </w:r>
      <w:r w:rsidR="007871D6">
        <w:rPr>
          <w:szCs w:val="22"/>
        </w:rPr>
        <w:t xml:space="preserve"> </w:t>
      </w:r>
      <w:r w:rsidR="007871D6">
        <w:t>because the criminal proceeding is a final adjudication and the court record from the proceeding contains an explanation of the factual underpinnings for the verdict finding Armstrong guilty.</w:t>
      </w:r>
      <w:r>
        <w:rPr>
          <w:rStyle w:val="FootnoteReference"/>
        </w:rPr>
        <w:footnoteReference w:id="29"/>
      </w:r>
      <w:r w:rsidRPr="001A3085" w:rsidR="00C444A8">
        <w:rPr>
          <w:szCs w:val="22"/>
        </w:rPr>
        <w:t xml:space="preserve"> </w:t>
      </w:r>
    </w:p>
    <w:p w:rsidR="00A46DC4" w:rsidRPr="00E261B6" w:rsidP="00E36F6F" w14:paraId="67D5118C" w14:textId="11248186">
      <w:pPr>
        <w:pStyle w:val="ParaNum"/>
      </w:pPr>
      <w:r>
        <w:rPr>
          <w:i/>
        </w:rPr>
        <w:t>Notice of Appearance</w:t>
      </w:r>
      <w:r>
        <w:t xml:space="preserve">.  </w:t>
      </w:r>
      <w:r w:rsidR="00394DB6">
        <w:t>Parties to this matter who</w:t>
      </w:r>
      <w:r>
        <w:t xml:space="preserve"> wish to avail themselves of the opportunity to </w:t>
      </w:r>
      <w:r w:rsidR="00394DB6">
        <w:t>participate in the hearing proceeding</w:t>
      </w:r>
      <w:r>
        <w:t xml:space="preserve"> must file a written appearance pursuant to section </w:t>
      </w:r>
      <w:r w:rsidRPr="00816263">
        <w:t>1.</w:t>
      </w:r>
      <w:r w:rsidR="00AB04FA">
        <w:t>9</w:t>
      </w:r>
      <w:r w:rsidRPr="00816263" w:rsidR="00810302">
        <w:t>1</w:t>
      </w:r>
      <w:r w:rsidRPr="00816263">
        <w:t>(c)</w:t>
      </w:r>
      <w:r>
        <w:t xml:space="preserve"> of the Rules.</w:t>
      </w:r>
      <w:r>
        <w:rPr>
          <w:rStyle w:val="FootnoteReference"/>
          <w:iCs/>
        </w:rPr>
        <w:footnoteReference w:id="30"/>
      </w:r>
      <w:r>
        <w:t xml:space="preserve">  The written appearance must be filed within 20 days of the mailing of this </w:t>
      </w:r>
      <w:r>
        <w:rPr>
          <w:i/>
        </w:rPr>
        <w:t>Hearing Designation Order</w:t>
      </w:r>
      <w:r w:rsidR="002E4ACD">
        <w:rPr>
          <w:i/>
        </w:rPr>
        <w:t>,</w:t>
      </w:r>
      <w:r>
        <w:rPr>
          <w:i/>
        </w:rPr>
        <w:t xml:space="preserve"> </w:t>
      </w:r>
      <w:r w:rsidR="00E66C9D">
        <w:rPr>
          <w:i/>
        </w:rPr>
        <w:t>Order to Show Cause</w:t>
      </w:r>
      <w:r w:rsidR="002E4ACD">
        <w:rPr>
          <w:i/>
        </w:rPr>
        <w:t>, and Notice of Opportunity for Hearing</w:t>
      </w:r>
      <w:r w:rsidRPr="006A0F87" w:rsidR="003A7501">
        <w:rPr>
          <w:szCs w:val="22"/>
        </w:rPr>
        <w:t xml:space="preserve"> </w:t>
      </w:r>
      <w:r>
        <w:t>and must state, among other things, that they will present evidence on the matters specified in this order</w:t>
      </w:r>
      <w:r w:rsidRPr="00F30EF3" w:rsidR="00F30EF3">
        <w:rPr>
          <w:szCs w:val="22"/>
        </w:rPr>
        <w:t xml:space="preserve">, </w:t>
      </w:r>
      <w:r w:rsidRPr="00F30EF3" w:rsidR="00F30EF3">
        <w:rPr>
          <w:szCs w:val="22"/>
          <w:shd w:val="clear" w:color="auto" w:fill="FFFFFF"/>
        </w:rPr>
        <w:t>and, if required, appear before a presiding officer at a time and place to be determined</w:t>
      </w:r>
      <w:r w:rsidR="00F30EF3">
        <w:rPr>
          <w:szCs w:val="22"/>
          <w:shd w:val="clear" w:color="auto" w:fill="FFFFFF"/>
        </w:rPr>
        <w:t xml:space="preserve"> (which shall be </w:t>
      </w:r>
      <w:r w:rsidRPr="00F30EF3" w:rsidR="00F30EF3">
        <w:rPr>
          <w:szCs w:val="22"/>
          <w:shd w:val="clear" w:color="auto" w:fill="FFFFFF"/>
        </w:rPr>
        <w:t xml:space="preserve">no earlier than thirty days after receipt of </w:t>
      </w:r>
      <w:r w:rsidR="00F30EF3">
        <w:rPr>
          <w:szCs w:val="22"/>
          <w:shd w:val="clear" w:color="auto" w:fill="FFFFFF"/>
        </w:rPr>
        <w:t xml:space="preserve">this </w:t>
      </w:r>
      <w:r w:rsidRPr="00F30EF3" w:rsidR="00F30EF3">
        <w:rPr>
          <w:szCs w:val="22"/>
          <w:shd w:val="clear" w:color="auto" w:fill="FFFFFF"/>
        </w:rPr>
        <w:t>order</w:t>
      </w:r>
      <w:r w:rsidR="00F30EF3">
        <w:rPr>
          <w:szCs w:val="22"/>
          <w:shd w:val="clear" w:color="auto" w:fill="FFFFFF"/>
        </w:rPr>
        <w:t>)</w:t>
      </w:r>
      <w:r w:rsidRPr="00F30EF3">
        <w:rPr>
          <w:szCs w:val="22"/>
        </w:rPr>
        <w:t>.</w:t>
      </w:r>
      <w:r>
        <w:rPr>
          <w:rStyle w:val="FootnoteReference"/>
          <w:szCs w:val="22"/>
        </w:rPr>
        <w:footnoteReference w:id="31"/>
      </w:r>
      <w:r>
        <w:t xml:space="preserve">  </w:t>
      </w:r>
    </w:p>
    <w:p w:rsidR="00DF439D" w:rsidP="00DF439D" w14:paraId="36049484" w14:textId="7B9A60D0">
      <w:pPr>
        <w:pStyle w:val="ParaNum"/>
        <w:rPr>
          <w:szCs w:val="22"/>
        </w:rPr>
      </w:pPr>
      <w:r w:rsidRPr="00953754">
        <w:rPr>
          <w:i/>
          <w:szCs w:val="22"/>
        </w:rPr>
        <w:t xml:space="preserve">Initial </w:t>
      </w:r>
      <w:r>
        <w:rPr>
          <w:i/>
          <w:szCs w:val="22"/>
        </w:rPr>
        <w:t>Case Order</w:t>
      </w:r>
      <w:r>
        <w:rPr>
          <w:szCs w:val="22"/>
        </w:rPr>
        <w:t xml:space="preserve">.  After release of this </w:t>
      </w:r>
      <w:r w:rsidRPr="00324F9C">
        <w:rPr>
          <w:i/>
          <w:iCs/>
          <w:szCs w:val="22"/>
        </w:rPr>
        <w:t>Hearing Designation Order</w:t>
      </w:r>
      <w:r w:rsidR="002E4ACD">
        <w:rPr>
          <w:i/>
          <w:iCs/>
          <w:szCs w:val="22"/>
        </w:rPr>
        <w:t xml:space="preserve">, </w:t>
      </w:r>
      <w:r w:rsidR="00E1147A">
        <w:rPr>
          <w:i/>
          <w:iCs/>
          <w:szCs w:val="22"/>
        </w:rPr>
        <w:t>Order to Show Cause</w:t>
      </w:r>
      <w:r w:rsidR="008A1916">
        <w:rPr>
          <w:szCs w:val="22"/>
        </w:rPr>
        <w:t>,</w:t>
      </w:r>
      <w:r w:rsidRPr="006A0F87" w:rsidR="003A7501">
        <w:rPr>
          <w:szCs w:val="22"/>
        </w:rPr>
        <w:t xml:space="preserve"> </w:t>
      </w:r>
      <w:r w:rsidR="002E4ACD">
        <w:rPr>
          <w:i/>
        </w:rPr>
        <w:t>and Notice of Opportunity for Hearing</w:t>
      </w:r>
      <w:r w:rsidR="002E4ACD">
        <w:rPr>
          <w:iCs/>
        </w:rPr>
        <w:t>,</w:t>
      </w:r>
      <w:r w:rsidRPr="006A0F87" w:rsidR="002E4ACD">
        <w:rPr>
          <w:szCs w:val="22"/>
        </w:rPr>
        <w:t xml:space="preserve"> </w:t>
      </w:r>
      <w:r>
        <w:rPr>
          <w:szCs w:val="22"/>
        </w:rPr>
        <w:t xml:space="preserve">the presiding officer shall promptly release an </w:t>
      </w:r>
      <w:r w:rsidRPr="00EF282F">
        <w:rPr>
          <w:szCs w:val="22"/>
        </w:rPr>
        <w:t>Initial Case Order</w:t>
      </w:r>
      <w:r>
        <w:rPr>
          <w:szCs w:val="22"/>
        </w:rPr>
        <w:t xml:space="preserve">.  </w:t>
      </w:r>
      <w:r w:rsidR="009E1BE6">
        <w:t xml:space="preserve">The Initial Case Order shall put all parties on notice that they are expected to be fully cognizant of Part I of the Rules concerning Practice and Procedure, 47 CFR Part 1, Subparts A and B.  The Initial Case Order shall also set a date for the initial status conference and a date by which each party should file a pre-conference submission that would include (a) whether discovery is expected in this case, and if so, a proposed discovery schedule; (b) any preliminary motions they are intending to file; and (c) a proposed case schedule.  The parties’ pre-conference submissions should also indicate whether they request that a Protective Order be entered in this case.  </w:t>
      </w:r>
    </w:p>
    <w:p w:rsidR="00B63541" w:rsidP="00B63541" w14:paraId="213E7C8E" w14:textId="77777777">
      <w:pPr>
        <w:pStyle w:val="ParaNum"/>
        <w:rPr>
          <w:snapToGrid/>
        </w:rPr>
      </w:pPr>
      <w:r>
        <w:rPr>
          <w:i/>
        </w:rPr>
        <w:t>Initial Status Conference and Initial Status Conference Order</w:t>
      </w:r>
      <w:r>
        <w:t>.  The presiding officer shall set the case schedule, including any deadlines by which the parties should submit the motions they identified in their pre-conference submissions.</w:t>
      </w:r>
      <w:r>
        <w:rPr>
          <w:vertAlign w:val="superscript"/>
        </w:rPr>
        <w:footnoteReference w:id="32"/>
      </w:r>
      <w:r>
        <w:t xml:space="preserve">  The presiding officer shall also set the deadlines for the parties’ affirmative case, responsive case, and reply case submissions in accordance with sections 1.371-1.375 of the Rules.</w:t>
      </w:r>
      <w:r>
        <w:rPr>
          <w:vertAlign w:val="superscript"/>
        </w:rPr>
        <w:footnoteReference w:id="33"/>
      </w:r>
      <w:r>
        <w:t xml:space="preserve">  If the parties have requested the entrance of a Protective Order, the presiding officer shall also set a deadline by which a joint proposed Protective Order shall be submitted for consideration.  In accordance with section 1.248(b) of the Rules,</w:t>
      </w:r>
      <w:r>
        <w:rPr>
          <w:rStyle w:val="FootnoteReference"/>
        </w:rPr>
        <w:footnoteReference w:id="34"/>
      </w:r>
      <w:r>
        <w:t xml:space="preserve"> the presiding officer may adopt the case schedule during the status conference or in an order following the conference.  </w:t>
      </w:r>
    </w:p>
    <w:p w:rsidR="00040326" w:rsidP="00040326" w14:paraId="2A3BF4D0" w14:textId="77777777">
      <w:pPr>
        <w:pStyle w:val="ParaNum"/>
        <w:rPr>
          <w:snapToGrid/>
        </w:rPr>
      </w:pPr>
      <w:r>
        <w:t xml:space="preserve">Additional status conferences may be scheduled throughout the course of the proceeding at the request of the parties and/or at the discretion of the presiding officer.  Any request by a party for a status conference must be made in writing to the presiding officer and shall be copied on all other parties.    </w:t>
      </w:r>
    </w:p>
    <w:p w:rsidR="00B63541" w:rsidRPr="003C4039" w:rsidP="003C4039" w14:paraId="18E8627D" w14:textId="71DB74A3">
      <w:pPr>
        <w:pStyle w:val="ParaNum"/>
        <w:widowControl/>
        <w:ind w:right="-180"/>
        <w:rPr>
          <w:color w:val="000000"/>
          <w:szCs w:val="22"/>
        </w:rPr>
      </w:pPr>
      <w:r w:rsidRPr="007D5E9E">
        <w:rPr>
          <w:i/>
          <w:iCs/>
          <w:color w:val="000000"/>
          <w:szCs w:val="22"/>
        </w:rPr>
        <w:t>Transcript</w:t>
      </w:r>
      <w:r>
        <w:rPr>
          <w:i/>
          <w:iCs/>
          <w:color w:val="000000"/>
          <w:szCs w:val="22"/>
        </w:rPr>
        <w:t>s</w:t>
      </w:r>
      <w:r w:rsidRPr="007D5E9E">
        <w:rPr>
          <w:i/>
          <w:iCs/>
          <w:color w:val="000000"/>
          <w:szCs w:val="22"/>
        </w:rPr>
        <w:t>.</w:t>
      </w:r>
      <w:r>
        <w:rPr>
          <w:color w:val="000000"/>
          <w:szCs w:val="22"/>
        </w:rPr>
        <w:t xml:space="preserve">  </w:t>
      </w:r>
      <w:r>
        <w:rPr>
          <w:szCs w:val="22"/>
        </w:rPr>
        <w:t xml:space="preserve">In accordance with section 1.248 of the </w:t>
      </w:r>
      <w:r w:rsidR="000603F9">
        <w:rPr>
          <w:szCs w:val="22"/>
        </w:rPr>
        <w:t>Rules</w:t>
      </w:r>
      <w:r>
        <w:rPr>
          <w:szCs w:val="22"/>
        </w:rPr>
        <w:t>, an official transcript of all case conferences shall be made, unless the parties and the presiding officer agree to forego a transcript.</w:t>
      </w:r>
      <w:r>
        <w:rPr>
          <w:rStyle w:val="FootnoteReference"/>
          <w:szCs w:val="22"/>
        </w:rPr>
        <w:footnoteReference w:id="35"/>
      </w:r>
      <w:r>
        <w:rPr>
          <w:szCs w:val="22"/>
        </w:rPr>
        <w:t xml:space="preserve">  Transcripts shall be made available to the public as part of the official record in the Commission’s </w:t>
      </w:r>
      <w:r>
        <w:t xml:space="preserve">Electronic Comment Filing System (ECFS) in </w:t>
      </w:r>
      <w:r w:rsidRPr="00154B29">
        <w:t>MB Docket No. 2</w:t>
      </w:r>
      <w:r w:rsidR="005A4080">
        <w:t>2</w:t>
      </w:r>
      <w:r w:rsidR="008D4BF5">
        <w:t>-122.</w:t>
      </w:r>
      <w:r>
        <w:t xml:space="preserve"> </w:t>
      </w:r>
    </w:p>
    <w:p w:rsidR="005B6CD1" w:rsidP="005B6CD1" w14:paraId="1F1C845B" w14:textId="741CCCE4">
      <w:pPr>
        <w:pStyle w:val="ParaNum"/>
        <w:rPr>
          <w:szCs w:val="22"/>
        </w:rPr>
      </w:pPr>
      <w:r>
        <w:rPr>
          <w:i/>
          <w:szCs w:val="22"/>
        </w:rPr>
        <w:t>Requests for Admissions</w:t>
      </w:r>
      <w:r w:rsidRPr="00BA01D8">
        <w:rPr>
          <w:szCs w:val="22"/>
        </w:rPr>
        <w:t>.</w:t>
      </w:r>
      <w:r>
        <w:rPr>
          <w:szCs w:val="22"/>
        </w:rPr>
        <w:t xml:space="preserve">  In accordance with section 1.246 of the </w:t>
      </w:r>
      <w:r w:rsidR="000603F9">
        <w:rPr>
          <w:szCs w:val="22"/>
        </w:rPr>
        <w:t>Rules</w:t>
      </w:r>
      <w:r>
        <w:rPr>
          <w:szCs w:val="22"/>
        </w:rPr>
        <w:t>, any party may serve upon any other party written requests for the admission of the genuineness of any relevant documents or of the truth of any relevant matters of fact.</w:t>
      </w:r>
      <w:r>
        <w:rPr>
          <w:rStyle w:val="FootnoteReference"/>
          <w:szCs w:val="22"/>
        </w:rPr>
        <w:footnoteReference w:id="36"/>
      </w:r>
      <w:r>
        <w:rPr>
          <w:szCs w:val="22"/>
        </w:rPr>
        <w:t xml:space="preserve">  Such requests shall be served within twenty (20) days after the deadline for filing a notice of appearance unless the presiding officer sets a different time frame.</w:t>
      </w:r>
      <w:r>
        <w:rPr>
          <w:rStyle w:val="FootnoteReference"/>
          <w:szCs w:val="22"/>
        </w:rPr>
        <w:footnoteReference w:id="37"/>
      </w:r>
    </w:p>
    <w:p w:rsidR="00DF439D" w:rsidRPr="0025459F" w:rsidP="0025459F" w14:paraId="18D1EF8B" w14:textId="48178D29">
      <w:pPr>
        <w:pStyle w:val="ParaNum"/>
        <w:rPr>
          <w:szCs w:val="22"/>
        </w:rPr>
      </w:pPr>
      <w:r w:rsidRPr="005B6CD1">
        <w:rPr>
          <w:i/>
          <w:iCs/>
        </w:rPr>
        <w:t>Available Discovery Methods</w:t>
      </w:r>
      <w:r>
        <w:t>.  Sections 1.311 through 1.325 of the Rules set forth procedures that may be used for the discovery of relevant facts and/or for the production and preservation of evidence for use in the hearing proceeding.</w:t>
      </w:r>
      <w:r>
        <w:rPr>
          <w:rStyle w:val="FootnoteReference"/>
        </w:rPr>
        <w:footnoteReference w:id="38"/>
      </w:r>
      <w:r>
        <w:t xml:space="preserve">  These sections of the Rules provide, </w:t>
      </w:r>
      <w:r w:rsidRPr="005B6CD1">
        <w:rPr>
          <w:i/>
          <w:iCs/>
        </w:rPr>
        <w:t>inter alia</w:t>
      </w:r>
      <w:r>
        <w:t>, for the taking of depositions, for interrogatories, and for the production of documents and things.</w:t>
      </w:r>
      <w:r>
        <w:rPr>
          <w:rStyle w:val="FootnoteReference"/>
        </w:rPr>
        <w:footnoteReference w:id="39"/>
      </w:r>
      <w:r>
        <w:t xml:space="preserve">  </w:t>
      </w:r>
      <w:r w:rsidRPr="0025459F">
        <w:rPr>
          <w:iCs/>
          <w:szCs w:val="22"/>
        </w:rPr>
        <w:t xml:space="preserve"> </w:t>
      </w:r>
    </w:p>
    <w:p w:rsidR="00DF439D" w:rsidRPr="003C578A" w:rsidP="00DF439D" w14:paraId="3E04D95C" w14:textId="1AA2E87C">
      <w:pPr>
        <w:pStyle w:val="ParaNum"/>
        <w:widowControl/>
        <w:ind w:right="-180"/>
        <w:rPr>
          <w:color w:val="000000"/>
          <w:szCs w:val="22"/>
        </w:rPr>
      </w:pPr>
      <w:r w:rsidRPr="00997019">
        <w:rPr>
          <w:i/>
          <w:color w:val="000000"/>
          <w:szCs w:val="22"/>
        </w:rPr>
        <w:t>Evidentiary Rules</w:t>
      </w:r>
      <w:r>
        <w:rPr>
          <w:color w:val="000000"/>
          <w:szCs w:val="22"/>
        </w:rPr>
        <w:t xml:space="preserve">.  In the </w:t>
      </w:r>
      <w:r w:rsidRPr="000F0CC7">
        <w:rPr>
          <w:i/>
          <w:iCs/>
        </w:rPr>
        <w:t>Written Hearings</w:t>
      </w:r>
      <w:r w:rsidRPr="00492DFC">
        <w:rPr>
          <w:i/>
          <w:color w:val="000000"/>
          <w:szCs w:val="22"/>
        </w:rPr>
        <w:t xml:space="preserve"> </w:t>
      </w:r>
      <w:r w:rsidRPr="00492DFC">
        <w:rPr>
          <w:i/>
          <w:iCs/>
          <w:color w:val="000000"/>
          <w:szCs w:val="22"/>
        </w:rPr>
        <w:t>Report and Order</w:t>
      </w:r>
      <w:r>
        <w:rPr>
          <w:color w:val="000000"/>
          <w:szCs w:val="22"/>
        </w:rPr>
        <w:t>, the Commission amended section</w:t>
      </w:r>
      <w:r w:rsidRPr="003C578A">
        <w:rPr>
          <w:color w:val="000000"/>
          <w:szCs w:val="22"/>
        </w:rPr>
        <w:t xml:space="preserve"> 1.351 of </w:t>
      </w:r>
      <w:r w:rsidR="00FE3304">
        <w:rPr>
          <w:color w:val="000000"/>
          <w:szCs w:val="22"/>
        </w:rPr>
        <w:t>the</w:t>
      </w:r>
      <w:r w:rsidRPr="003C578A">
        <w:rPr>
          <w:color w:val="000000"/>
          <w:szCs w:val="22"/>
        </w:rPr>
        <w:t xml:space="preserve"> </w:t>
      </w:r>
      <w:r w:rsidR="000603F9">
        <w:rPr>
          <w:color w:val="000000"/>
          <w:szCs w:val="22"/>
        </w:rPr>
        <w:t>R</w:t>
      </w:r>
      <w:r w:rsidRPr="003C578A">
        <w:rPr>
          <w:color w:val="000000"/>
          <w:szCs w:val="22"/>
        </w:rPr>
        <w:t xml:space="preserve">ules to adopt the evidentiary standard </w:t>
      </w:r>
      <w:r>
        <w:rPr>
          <w:color w:val="000000"/>
          <w:szCs w:val="22"/>
        </w:rPr>
        <w:t xml:space="preserve">set forth </w:t>
      </w:r>
      <w:r w:rsidRPr="003C578A">
        <w:rPr>
          <w:color w:val="000000"/>
          <w:szCs w:val="22"/>
        </w:rPr>
        <w:t xml:space="preserve">in the </w:t>
      </w:r>
      <w:r>
        <w:rPr>
          <w:color w:val="000000"/>
          <w:szCs w:val="22"/>
        </w:rPr>
        <w:t xml:space="preserve">formal APA hearing requirements.  In relevant part, section 1.351 of the </w:t>
      </w:r>
      <w:r w:rsidR="000603F9">
        <w:rPr>
          <w:color w:val="000000"/>
          <w:szCs w:val="22"/>
        </w:rPr>
        <w:t>R</w:t>
      </w:r>
      <w:r>
        <w:rPr>
          <w:color w:val="000000"/>
          <w:szCs w:val="22"/>
        </w:rPr>
        <w:t xml:space="preserve">ules now </w:t>
      </w:r>
      <w:r w:rsidR="00BD2577">
        <w:rPr>
          <w:color w:val="000000"/>
          <w:szCs w:val="22"/>
        </w:rPr>
        <w:t>states,</w:t>
      </w:r>
      <w:r>
        <w:rPr>
          <w:color w:val="000000"/>
          <w:szCs w:val="22"/>
        </w:rPr>
        <w:t xml:space="preserve"> “any oral or documentary evidence may be adduced, but the presiding officer shall exclude irrelevant, immaterial, or unduly repetitious evidence.”</w:t>
      </w:r>
      <w:r>
        <w:rPr>
          <w:rStyle w:val="FootnoteReference"/>
          <w:sz w:val="22"/>
          <w:szCs w:val="22"/>
        </w:rPr>
        <w:footnoteReference w:id="40"/>
      </w:r>
      <w:r>
        <w:rPr>
          <w:szCs w:val="22"/>
          <w:shd w:val="clear" w:color="auto" w:fill="FFFFFF"/>
        </w:rPr>
        <w:t xml:space="preserve">  The </w:t>
      </w:r>
      <w:r>
        <w:rPr>
          <w:color w:val="000000"/>
          <w:szCs w:val="22"/>
        </w:rPr>
        <w:t>p</w:t>
      </w:r>
      <w:r w:rsidRPr="003C578A">
        <w:rPr>
          <w:color w:val="000000"/>
          <w:szCs w:val="22"/>
        </w:rPr>
        <w:t>arties remain free to make evidentiary arguments based on the Federal Rules of Evidence.</w:t>
      </w:r>
    </w:p>
    <w:p w:rsidR="00DF439D" w:rsidRPr="00BC5E12" w:rsidP="00DF439D" w14:paraId="5B136EBE" w14:textId="65F021B7">
      <w:pPr>
        <w:pStyle w:val="ParaNum"/>
        <w:rPr>
          <w:szCs w:val="22"/>
        </w:rPr>
      </w:pPr>
      <w:r w:rsidRPr="00EF282F">
        <w:rPr>
          <w:i/>
          <w:szCs w:val="22"/>
        </w:rPr>
        <w:t>Petitions to Intervene</w:t>
      </w:r>
      <w:r>
        <w:rPr>
          <w:szCs w:val="22"/>
        </w:rPr>
        <w:t>.  Any person or entity</w:t>
      </w:r>
      <w:r w:rsidRPr="00BC5E12">
        <w:rPr>
          <w:szCs w:val="22"/>
        </w:rPr>
        <w:t xml:space="preserve"> seeking status as a party in interest in this proceeding must file a petition to intervene in accordance with </w:t>
      </w:r>
      <w:r>
        <w:rPr>
          <w:szCs w:val="22"/>
        </w:rPr>
        <w:t>s</w:t>
      </w:r>
      <w:r w:rsidRPr="00BC5E12">
        <w:rPr>
          <w:szCs w:val="22"/>
        </w:rPr>
        <w:t xml:space="preserve">ection 1.223(a) of the </w:t>
      </w:r>
      <w:r w:rsidR="000603F9">
        <w:rPr>
          <w:szCs w:val="22"/>
        </w:rPr>
        <w:t>R</w:t>
      </w:r>
      <w:r>
        <w:rPr>
          <w:szCs w:val="22"/>
        </w:rPr>
        <w:t>ules</w:t>
      </w:r>
      <w:r w:rsidRPr="00BC5E12">
        <w:rPr>
          <w:szCs w:val="22"/>
        </w:rPr>
        <w:t>.</w:t>
      </w:r>
      <w:r>
        <w:rPr>
          <w:szCs w:val="22"/>
          <w:vertAlign w:val="superscript"/>
        </w:rPr>
        <w:footnoteReference w:id="41"/>
      </w:r>
      <w:r>
        <w:rPr>
          <w:szCs w:val="22"/>
        </w:rPr>
        <w:t xml:space="preserve">  Any person or entity </w:t>
      </w:r>
      <w:r w:rsidRPr="00BC5E12">
        <w:rPr>
          <w:szCs w:val="22"/>
        </w:rPr>
        <w:t xml:space="preserve">seeking to participate in </w:t>
      </w:r>
      <w:r>
        <w:rPr>
          <w:szCs w:val="22"/>
        </w:rPr>
        <w:t>this proceeding</w:t>
      </w:r>
      <w:r w:rsidRPr="00BC5E12">
        <w:rPr>
          <w:szCs w:val="22"/>
        </w:rPr>
        <w:t xml:space="preserve"> as a party may file a petition for leave to intervene in accordance with </w:t>
      </w:r>
      <w:r>
        <w:rPr>
          <w:szCs w:val="22"/>
        </w:rPr>
        <w:t>s</w:t>
      </w:r>
      <w:r w:rsidRPr="00BC5E12">
        <w:rPr>
          <w:szCs w:val="22"/>
        </w:rPr>
        <w:t xml:space="preserve">ection 1.223(b) of the </w:t>
      </w:r>
      <w:r w:rsidR="000603F9">
        <w:rPr>
          <w:szCs w:val="22"/>
        </w:rPr>
        <w:t>R</w:t>
      </w:r>
      <w:r>
        <w:rPr>
          <w:szCs w:val="22"/>
        </w:rPr>
        <w:t>ules</w:t>
      </w:r>
      <w:r w:rsidRPr="00BC5E12">
        <w:rPr>
          <w:szCs w:val="22"/>
        </w:rPr>
        <w:t>.</w:t>
      </w:r>
      <w:r>
        <w:rPr>
          <w:szCs w:val="22"/>
          <w:vertAlign w:val="superscript"/>
        </w:rPr>
        <w:footnoteReference w:id="42"/>
      </w:r>
      <w:r w:rsidRPr="00BC5E12">
        <w:rPr>
          <w:szCs w:val="22"/>
        </w:rPr>
        <w:t xml:space="preserve">  </w:t>
      </w:r>
    </w:p>
    <w:p w:rsidR="00DF439D" w:rsidRPr="00D36091" w:rsidP="00DF439D" w14:paraId="138C6470" w14:textId="484A4DA9">
      <w:pPr>
        <w:pStyle w:val="ParaNum"/>
        <w:rPr>
          <w:szCs w:val="22"/>
        </w:rPr>
      </w:pPr>
      <w:r w:rsidRPr="00EF282F">
        <w:rPr>
          <w:i/>
          <w:szCs w:val="22"/>
        </w:rPr>
        <w:t>Motions to Enlarge, Change or Delete Issues.</w:t>
      </w:r>
      <w:r w:rsidRPr="00D36091">
        <w:rPr>
          <w:szCs w:val="22"/>
        </w:rPr>
        <w:t xml:space="preserve">  </w:t>
      </w:r>
      <w:r w:rsidRPr="00D36091">
        <w:rPr>
          <w:kern w:val="22"/>
          <w:szCs w:val="22"/>
        </w:rPr>
        <w:t xml:space="preserve">Motions to enlarge, change, or delete issues to be considered in this </w:t>
      </w:r>
      <w:r>
        <w:rPr>
          <w:kern w:val="22"/>
          <w:szCs w:val="22"/>
        </w:rPr>
        <w:t xml:space="preserve">proceeding </w:t>
      </w:r>
      <w:r w:rsidRPr="00D36091">
        <w:rPr>
          <w:kern w:val="22"/>
          <w:szCs w:val="22"/>
        </w:rPr>
        <w:t xml:space="preserve">shall be allowed, consistent with </w:t>
      </w:r>
      <w:r>
        <w:rPr>
          <w:kern w:val="22"/>
          <w:szCs w:val="22"/>
        </w:rPr>
        <w:t>s</w:t>
      </w:r>
      <w:r w:rsidRPr="00D36091">
        <w:rPr>
          <w:kern w:val="22"/>
          <w:szCs w:val="22"/>
        </w:rPr>
        <w:t xml:space="preserve">ection 1.229 </w:t>
      </w:r>
      <w:r w:rsidRPr="00BC5E12">
        <w:rPr>
          <w:szCs w:val="22"/>
        </w:rPr>
        <w:t xml:space="preserve">of the </w:t>
      </w:r>
      <w:r w:rsidR="000603F9">
        <w:rPr>
          <w:szCs w:val="22"/>
        </w:rPr>
        <w:t>R</w:t>
      </w:r>
      <w:r>
        <w:rPr>
          <w:szCs w:val="22"/>
        </w:rPr>
        <w:t>ules</w:t>
      </w:r>
      <w:r w:rsidRPr="00D36091">
        <w:rPr>
          <w:kern w:val="22"/>
          <w:szCs w:val="22"/>
        </w:rPr>
        <w:t>.</w:t>
      </w:r>
      <w:r>
        <w:rPr>
          <w:rStyle w:val="FootnoteReference"/>
          <w:kern w:val="22"/>
          <w:sz w:val="22"/>
          <w:szCs w:val="22"/>
        </w:rPr>
        <w:footnoteReference w:id="43"/>
      </w:r>
    </w:p>
    <w:p w:rsidR="008F5A89" w:rsidP="008F5A89" w14:paraId="4E6507E3" w14:textId="31FA072B">
      <w:pPr>
        <w:pStyle w:val="ParaNum"/>
        <w:widowControl/>
        <w:rPr>
          <w:snapToGrid/>
          <w:kern w:val="0"/>
          <w:szCs w:val="22"/>
        </w:rPr>
      </w:pPr>
      <w:r w:rsidRPr="003E2531">
        <w:rPr>
          <w:i/>
          <w:szCs w:val="22"/>
        </w:rPr>
        <w:t>Restricted Proceeding</w:t>
      </w:r>
      <w:r w:rsidRPr="003E2531">
        <w:rPr>
          <w:i/>
          <w:snapToGrid/>
          <w:kern w:val="0"/>
          <w:szCs w:val="22"/>
        </w:rPr>
        <w:t>.</w:t>
      </w:r>
      <w:r w:rsidRPr="00D36091">
        <w:rPr>
          <w:snapToGrid/>
          <w:kern w:val="0"/>
          <w:szCs w:val="22"/>
        </w:rPr>
        <w:t xml:space="preserve">  This </w:t>
      </w:r>
      <w:r>
        <w:rPr>
          <w:snapToGrid/>
          <w:kern w:val="0"/>
          <w:szCs w:val="22"/>
        </w:rPr>
        <w:t xml:space="preserve">hearing </w:t>
      </w:r>
      <w:r w:rsidRPr="00D36091">
        <w:rPr>
          <w:kern w:val="22"/>
          <w:szCs w:val="22"/>
        </w:rPr>
        <w:t xml:space="preserve">proceeding is a “restricted” proceeding pursuant to </w:t>
      </w:r>
      <w:r>
        <w:rPr>
          <w:kern w:val="22"/>
          <w:szCs w:val="22"/>
        </w:rPr>
        <w:t>s</w:t>
      </w:r>
      <w:r w:rsidRPr="00D36091">
        <w:rPr>
          <w:kern w:val="22"/>
          <w:szCs w:val="22"/>
        </w:rPr>
        <w:t xml:space="preserve">ection 1.1208 of the </w:t>
      </w:r>
      <w:r w:rsidR="000603F9">
        <w:rPr>
          <w:kern w:val="22"/>
          <w:szCs w:val="22"/>
        </w:rPr>
        <w:t>R</w:t>
      </w:r>
      <w:r>
        <w:rPr>
          <w:kern w:val="22"/>
          <w:szCs w:val="22"/>
        </w:rPr>
        <w:t>ules</w:t>
      </w:r>
      <w:r w:rsidRPr="00D36091">
        <w:rPr>
          <w:kern w:val="22"/>
          <w:szCs w:val="22"/>
        </w:rPr>
        <w:t xml:space="preserve"> and thus </w:t>
      </w:r>
      <w:r w:rsidRPr="00D36091">
        <w:rPr>
          <w:i/>
          <w:kern w:val="22"/>
          <w:szCs w:val="22"/>
        </w:rPr>
        <w:t xml:space="preserve">ex </w:t>
      </w:r>
      <w:r w:rsidRPr="00D36091">
        <w:rPr>
          <w:i/>
          <w:kern w:val="22"/>
          <w:szCs w:val="22"/>
        </w:rPr>
        <w:t>parte</w:t>
      </w:r>
      <w:r w:rsidRPr="00D36091">
        <w:rPr>
          <w:kern w:val="22"/>
          <w:szCs w:val="22"/>
        </w:rPr>
        <w:t xml:space="preserve"> presentations to or from Commission decision-making personnel, including </w:t>
      </w:r>
      <w:r>
        <w:rPr>
          <w:kern w:val="22"/>
          <w:szCs w:val="22"/>
        </w:rPr>
        <w:t xml:space="preserve">the presiding officer and her staff and </w:t>
      </w:r>
      <w:r w:rsidRPr="00D36091">
        <w:rPr>
          <w:kern w:val="22"/>
          <w:szCs w:val="22"/>
        </w:rPr>
        <w:t>staff</w:t>
      </w:r>
      <w:r>
        <w:rPr>
          <w:kern w:val="22"/>
          <w:szCs w:val="22"/>
        </w:rPr>
        <w:t xml:space="preserve"> of the Commission’s Media Bureau</w:t>
      </w:r>
      <w:r w:rsidRPr="00D36091">
        <w:rPr>
          <w:kern w:val="22"/>
          <w:szCs w:val="22"/>
        </w:rPr>
        <w:t>, are prohibited</w:t>
      </w:r>
      <w:r>
        <w:rPr>
          <w:kern w:val="22"/>
          <w:szCs w:val="22"/>
        </w:rPr>
        <w:t xml:space="preserve">, except as otherwise provided in the </w:t>
      </w:r>
      <w:r w:rsidR="000603F9">
        <w:rPr>
          <w:kern w:val="22"/>
          <w:szCs w:val="22"/>
        </w:rPr>
        <w:t>R</w:t>
      </w:r>
      <w:r>
        <w:rPr>
          <w:kern w:val="22"/>
          <w:szCs w:val="22"/>
        </w:rPr>
        <w:t>ules</w:t>
      </w:r>
      <w:r w:rsidRPr="00D36091">
        <w:rPr>
          <w:kern w:val="22"/>
          <w:szCs w:val="22"/>
        </w:rPr>
        <w:t>.</w:t>
      </w:r>
      <w:r>
        <w:rPr>
          <w:rStyle w:val="FootnoteReference"/>
          <w:kern w:val="22"/>
          <w:sz w:val="22"/>
          <w:szCs w:val="22"/>
        </w:rPr>
        <w:footnoteReference w:id="44"/>
      </w:r>
      <w:r w:rsidRPr="00D36091">
        <w:rPr>
          <w:kern w:val="22"/>
          <w:szCs w:val="22"/>
        </w:rPr>
        <w:t xml:space="preserve">  </w:t>
      </w:r>
    </w:p>
    <w:p w:rsidR="00DF439D" w:rsidRPr="00D451FB" w:rsidP="00D451FB" w14:paraId="73E02328" w14:textId="464B88B8">
      <w:pPr>
        <w:pStyle w:val="ParaNum"/>
        <w:widowControl/>
        <w:rPr>
          <w:snapToGrid/>
          <w:kern w:val="0"/>
          <w:szCs w:val="22"/>
        </w:rPr>
      </w:pPr>
      <w:r w:rsidRPr="008F5A89">
        <w:rPr>
          <w:i/>
          <w:iCs/>
        </w:rPr>
        <w:t xml:space="preserve">Electronic Filing of Documents.  </w:t>
      </w:r>
      <w:bookmarkStart w:id="26" w:name="_Hlk73701755"/>
      <w:r w:rsidRPr="008F5A89" w:rsidR="008F5A89">
        <w:rPr>
          <w:iCs/>
        </w:rPr>
        <w:t>All</w:t>
      </w:r>
      <w:r w:rsidR="008F5A89">
        <w:t xml:space="preserve"> written submissions such as </w:t>
      </w:r>
      <w:r w:rsidR="00F9058A">
        <w:t xml:space="preserve">motions, </w:t>
      </w:r>
      <w:r w:rsidR="008F5A89">
        <w:t xml:space="preserve">letters, discovery requests and objections and written responses thereto, excluding confidential and/or other </w:t>
      </w:r>
      <w:r w:rsidR="008F5A89">
        <w:t>protected material, must be filed in MB Docket No. 2</w:t>
      </w:r>
      <w:r w:rsidR="005A4080">
        <w:t>2</w:t>
      </w:r>
      <w:r w:rsidR="008F5A89">
        <w:t>-</w:t>
      </w:r>
      <w:r w:rsidR="007B7E46">
        <w:t>122</w:t>
      </w:r>
      <w:r w:rsidR="008F5A89">
        <w:t xml:space="preserve"> using ECFS.</w:t>
      </w:r>
      <w:r>
        <w:rPr>
          <w:vertAlign w:val="superscript"/>
        </w:rPr>
        <w:footnoteReference w:id="45"/>
      </w:r>
      <w:r w:rsidR="008F5A89">
        <w:t xml:space="preserve">  ECFS shall also act as the repository for records of actions taken in this proceeding, excluding confidential and/or other protected material, by the presiding officer and the Commission.  Documents responsive to any party’s requests for production of documents should not be filed on ECFS.  Such responsive documents shall be served directly on counsel for the party requesting the documents and produced either in hard copy or in electronic form (</w:t>
      </w:r>
      <w:r w:rsidRPr="008F5A89" w:rsidR="008F5A89">
        <w:rPr>
          <w:i/>
          <w:iCs/>
        </w:rPr>
        <w:t>e.g</w:t>
      </w:r>
      <w:r w:rsidR="008F5A89">
        <w:t>., hard drive, thumb drive) with files named in such a way as it is clear how the documents are organized.</w:t>
      </w:r>
      <w:bookmarkEnd w:id="26"/>
    </w:p>
    <w:p w:rsidR="00DF439D" w:rsidP="00DF439D" w14:paraId="78B19A88" w14:textId="77777777">
      <w:pPr>
        <w:pStyle w:val="ParaNum"/>
      </w:pPr>
      <w:r w:rsidRPr="00011B4E">
        <w:rPr>
          <w:i/>
          <w:iCs/>
        </w:rPr>
        <w:t xml:space="preserve">Case </w:t>
      </w:r>
      <w:r>
        <w:rPr>
          <w:i/>
          <w:iCs/>
        </w:rPr>
        <w:t>C</w:t>
      </w:r>
      <w:r w:rsidRPr="00011B4E">
        <w:rPr>
          <w:i/>
          <w:iCs/>
        </w:rPr>
        <w:t>aption</w:t>
      </w:r>
      <w:r>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rStyle w:val="FootnoteReference"/>
        </w:rPr>
        <w:footnoteReference w:id="46"/>
      </w:r>
      <w:r>
        <w:t xml:space="preserve">  The presiding officer shall be identified by name.  </w:t>
      </w:r>
    </w:p>
    <w:p w:rsidR="00DF439D" w:rsidRPr="00AF2192" w:rsidP="00DF439D" w14:paraId="50824DEA" w14:textId="36568925">
      <w:pPr>
        <w:pStyle w:val="ParaNum"/>
        <w:tabs>
          <w:tab w:val="left" w:pos="1710"/>
        </w:tabs>
        <w:rPr>
          <w:szCs w:val="22"/>
        </w:rPr>
      </w:pPr>
      <w:r w:rsidRPr="00AB3052">
        <w:rPr>
          <w:i/>
          <w:iCs/>
        </w:rPr>
        <w:t>Service.</w:t>
      </w:r>
      <w:r>
        <w:rPr>
          <w:szCs w:val="22"/>
        </w:rPr>
        <w:t xml:space="preserve">  </w:t>
      </w:r>
      <w:r w:rsidR="00394DB6">
        <w:rPr>
          <w:szCs w:val="22"/>
        </w:rPr>
        <w:t xml:space="preserve">All documents submitted in this proceeding must also be served on all other parties in accordance with section 1.211 of the Commission’s </w:t>
      </w:r>
      <w:r w:rsidR="00E9621F">
        <w:rPr>
          <w:szCs w:val="22"/>
        </w:rPr>
        <w:t>R</w:t>
      </w:r>
      <w:r w:rsidR="00C752C8">
        <w:rPr>
          <w:szCs w:val="22"/>
        </w:rPr>
        <w:t>or</w:t>
      </w:r>
      <w:r w:rsidR="00394DB6">
        <w:rPr>
          <w:szCs w:val="22"/>
        </w:rPr>
        <w:t>ules</w:t>
      </w:r>
      <w:r w:rsidR="00394DB6">
        <w:rPr>
          <w:szCs w:val="22"/>
        </w:rPr>
        <w:t xml:space="preserve"> and shall be accompanied by a proof of service.  </w:t>
      </w:r>
      <w:r>
        <w:t xml:space="preserve">Service on the Enforcement Bureau shall be made using the following email address:  </w:t>
      </w:r>
      <w:hyperlink r:id="rId5" w:history="1">
        <w:r w:rsidRPr="00602876">
          <w:rPr>
            <w:rStyle w:val="Hyperlink"/>
            <w:szCs w:val="22"/>
          </w:rPr>
          <w:t>EBHearings@fcc.gov</w:t>
        </w:r>
      </w:hyperlink>
      <w:r>
        <w:t xml:space="preserve">.  </w:t>
      </w:r>
    </w:p>
    <w:p w:rsidR="00DF439D" w:rsidRPr="001438CE" w:rsidP="001438CE" w14:paraId="31F3E340" w14:textId="5FF1D82F">
      <w:pPr>
        <w:pStyle w:val="ParaNum"/>
        <w:tabs>
          <w:tab w:val="left" w:pos="1710"/>
        </w:tabs>
        <w:rPr>
          <w:szCs w:val="22"/>
        </w:rPr>
      </w:pPr>
      <w:r w:rsidRPr="00AF2192">
        <w:rPr>
          <w:i/>
          <w:szCs w:val="22"/>
        </w:rPr>
        <w:t>Confidential and/or Otherwise Protected Materials</w:t>
      </w:r>
      <w:r w:rsidRPr="00AF2192">
        <w:rPr>
          <w:i/>
          <w:snapToGrid/>
          <w:kern w:val="0"/>
          <w:szCs w:val="22"/>
        </w:rPr>
        <w:t>.</w:t>
      </w:r>
      <w:r w:rsidRPr="00AF2192">
        <w:rPr>
          <w:snapToGrid/>
          <w:kern w:val="0"/>
          <w:szCs w:val="22"/>
        </w:rPr>
        <w:t xml:space="preserve">  To the extent any party to this proceeding wishes to submit materials or information that it would like withheld from the public record, it may do so in accordance with the procedures set forth in section 1.314 </w:t>
      </w:r>
      <w:r w:rsidRPr="00AF2192">
        <w:rPr>
          <w:szCs w:val="22"/>
        </w:rPr>
        <w:t xml:space="preserve">of the </w:t>
      </w:r>
      <w:r w:rsidR="000603F9">
        <w:rPr>
          <w:szCs w:val="22"/>
        </w:rPr>
        <w:t>R</w:t>
      </w:r>
      <w:r w:rsidRPr="00AF2192">
        <w:rPr>
          <w:szCs w:val="22"/>
        </w:rPr>
        <w:t>ules</w:t>
      </w:r>
      <w:r w:rsidRPr="00AF2192">
        <w:rPr>
          <w:snapToGrid/>
          <w:kern w:val="0"/>
          <w:szCs w:val="22"/>
        </w:rPr>
        <w:t>.</w:t>
      </w:r>
      <w:r>
        <w:rPr>
          <w:rStyle w:val="FootnoteReference"/>
          <w:snapToGrid/>
          <w:kern w:val="0"/>
          <w:szCs w:val="22"/>
        </w:rPr>
        <w:footnoteReference w:id="47"/>
      </w:r>
      <w:r w:rsidRPr="00AF2192">
        <w:rPr>
          <w:snapToGrid/>
          <w:kern w:val="0"/>
          <w:szCs w:val="22"/>
        </w:rPr>
        <w:t xml:space="preserve">  The parties may also enter into a Protective Order.  As stated above, requests for a Protective Order should be made in the parties’ pre-conference submission in accordance with the schedule set forth in the Initial Case Order.</w:t>
      </w:r>
      <w:r w:rsidRPr="00AF2192" w:rsidR="00D451FB">
        <w:rPr>
          <w:snapToGrid/>
          <w:kern w:val="0"/>
          <w:szCs w:val="22"/>
        </w:rPr>
        <w:t xml:space="preserve">  </w:t>
      </w:r>
      <w:r w:rsidR="00D451FB">
        <w:t xml:space="preserve"> </w:t>
      </w:r>
    </w:p>
    <w:p w:rsidR="00A2436D" w:rsidRPr="00A2436D" w:rsidP="00B2084B" w14:paraId="37CCD847" w14:textId="4891F987">
      <w:pPr>
        <w:pStyle w:val="ParaNum"/>
        <w:widowControl/>
        <w:rPr>
          <w:snapToGrid/>
          <w:kern w:val="0"/>
          <w:szCs w:val="22"/>
        </w:rPr>
      </w:pPr>
      <w:r>
        <w:rPr>
          <w:i/>
          <w:szCs w:val="22"/>
        </w:rPr>
        <w:t>Initial</w:t>
      </w:r>
      <w:r w:rsidRPr="009562E8">
        <w:rPr>
          <w:i/>
          <w:szCs w:val="22"/>
        </w:rPr>
        <w:t xml:space="preserve"> Decision</w:t>
      </w:r>
      <w:r w:rsidRPr="009562E8">
        <w:rPr>
          <w:i/>
          <w:snapToGrid/>
          <w:kern w:val="0"/>
          <w:szCs w:val="22"/>
        </w:rPr>
        <w:t>.</w:t>
      </w:r>
      <w:r w:rsidRPr="009562E8">
        <w:rPr>
          <w:snapToGrid/>
          <w:kern w:val="0"/>
          <w:szCs w:val="22"/>
        </w:rPr>
        <w:t xml:space="preserve">  The </w:t>
      </w:r>
      <w:r>
        <w:rPr>
          <w:snapToGrid/>
          <w:kern w:val="0"/>
          <w:szCs w:val="22"/>
        </w:rPr>
        <w:t>presiding officer</w:t>
      </w:r>
      <w:r w:rsidRPr="009562E8">
        <w:rPr>
          <w:snapToGrid/>
          <w:kern w:val="0"/>
          <w:szCs w:val="22"/>
        </w:rPr>
        <w:t xml:space="preserve"> shall issue a</w:t>
      </w:r>
      <w:r>
        <w:rPr>
          <w:snapToGrid/>
          <w:kern w:val="0"/>
          <w:szCs w:val="22"/>
        </w:rPr>
        <w:t>n Initial</w:t>
      </w:r>
      <w:r w:rsidRPr="009562E8">
        <w:rPr>
          <w:snapToGrid/>
          <w:kern w:val="0"/>
          <w:szCs w:val="22"/>
        </w:rPr>
        <w:t xml:space="preserve"> </w:t>
      </w:r>
      <w:r>
        <w:rPr>
          <w:snapToGrid/>
          <w:kern w:val="0"/>
          <w:szCs w:val="22"/>
        </w:rPr>
        <w:t>D</w:t>
      </w:r>
      <w:r w:rsidRPr="009562E8">
        <w:rPr>
          <w:snapToGrid/>
          <w:kern w:val="0"/>
          <w:szCs w:val="22"/>
        </w:rPr>
        <w:t>ecision on the issues set forth herein</w:t>
      </w:r>
      <w:r>
        <w:rPr>
          <w:snapToGrid/>
          <w:kern w:val="0"/>
          <w:szCs w:val="22"/>
        </w:rPr>
        <w:t>, as well as any other issues designated for hearing in the course of the proceeding</w:t>
      </w:r>
      <w:r w:rsidRPr="009562E8">
        <w:rPr>
          <w:snapToGrid/>
          <w:kern w:val="0"/>
          <w:szCs w:val="22"/>
        </w:rPr>
        <w:t xml:space="preserve">.  This </w:t>
      </w:r>
      <w:r>
        <w:rPr>
          <w:snapToGrid/>
          <w:kern w:val="0"/>
          <w:szCs w:val="22"/>
        </w:rPr>
        <w:t>Initial</w:t>
      </w:r>
      <w:r w:rsidRPr="009562E8">
        <w:rPr>
          <w:snapToGrid/>
          <w:kern w:val="0"/>
          <w:szCs w:val="22"/>
        </w:rPr>
        <w:t xml:space="preserve"> </w:t>
      </w:r>
      <w:r>
        <w:rPr>
          <w:snapToGrid/>
          <w:kern w:val="0"/>
          <w:szCs w:val="22"/>
        </w:rPr>
        <w:t>D</w:t>
      </w:r>
      <w:r w:rsidRPr="009562E8">
        <w:rPr>
          <w:snapToGrid/>
          <w:kern w:val="0"/>
          <w:szCs w:val="22"/>
        </w:rPr>
        <w:t>ecision shall contain</w:t>
      </w:r>
      <w:r w:rsidRPr="009562E8">
        <w:rPr>
          <w:kern w:val="22"/>
          <w:szCs w:val="22"/>
        </w:rPr>
        <w:t>, at a minimum, findings of fact and conclusions of law, as well as the reasons or basis therefor, and the appropriate rule or order or policy and the sanction, relief or denial thereof, as appropriate.</w:t>
      </w:r>
      <w:r>
        <w:rPr>
          <w:rStyle w:val="FootnoteReference"/>
          <w:kern w:val="22"/>
          <w:sz w:val="22"/>
          <w:szCs w:val="22"/>
        </w:rPr>
        <w:footnoteReference w:id="48"/>
      </w:r>
      <w:r w:rsidRPr="00D36091" w:rsidR="00DF439D">
        <w:rPr>
          <w:kern w:val="22"/>
          <w:szCs w:val="22"/>
        </w:rPr>
        <w:t xml:space="preserve">  </w:t>
      </w:r>
    </w:p>
    <w:p w:rsidR="00A2436D" w:rsidP="00A2436D" w14:paraId="231E92CD" w14:textId="37D7FD66">
      <w:pPr>
        <w:pStyle w:val="Heading1"/>
        <w:rPr>
          <w:rFonts w:ascii="Times New Roman" w:hAnsi="Times New Roman"/>
          <w:szCs w:val="22"/>
        </w:rPr>
      </w:pPr>
      <w:r w:rsidRPr="00324F9C">
        <w:rPr>
          <w:rFonts w:ascii="Times New Roman" w:hAnsi="Times New Roman"/>
          <w:szCs w:val="22"/>
        </w:rPr>
        <w:t>ordering clauses</w:t>
      </w:r>
    </w:p>
    <w:p w:rsidR="00EC64A6" w:rsidRPr="001B5F85" w:rsidP="001B5F85" w14:paraId="29985DEC" w14:textId="22A67A22">
      <w:pPr>
        <w:pStyle w:val="ParaNum"/>
      </w:pPr>
      <w:r w:rsidRPr="006B686B">
        <w:rPr>
          <w:szCs w:val="22"/>
        </w:rPr>
        <w:t>ACCORDINGLY</w:t>
      </w:r>
      <w:r w:rsidRPr="006B686B" w:rsidR="006951F9">
        <w:rPr>
          <w:szCs w:val="22"/>
        </w:rPr>
        <w:t>, IT IS ORDERED that</w:t>
      </w:r>
      <w:r w:rsidRPr="006B686B" w:rsidR="00CA218D">
        <w:rPr>
          <w:szCs w:val="22"/>
        </w:rPr>
        <w:t xml:space="preserve">, </w:t>
      </w:r>
      <w:r w:rsidR="00B2084B">
        <w:t>pursuant to sections 312(a) and 312(c) of the Communications Act of 1934, as amended,</w:t>
      </w:r>
      <w:r>
        <w:rPr>
          <w:rStyle w:val="FootnoteReference"/>
        </w:rPr>
        <w:footnoteReference w:id="49"/>
      </w:r>
      <w:r w:rsidR="00D938C9">
        <w:t xml:space="preserve"> </w:t>
      </w:r>
      <w:r w:rsidR="00B2084B">
        <w:t xml:space="preserve">and </w:t>
      </w:r>
      <w:r w:rsidRPr="00483B3D" w:rsidR="00CA7329">
        <w:t>section 1.91(a) of the Commission’s Rules,</w:t>
      </w:r>
      <w:r>
        <w:rPr>
          <w:rStyle w:val="FootnoteReference"/>
        </w:rPr>
        <w:footnoteReference w:id="50"/>
      </w:r>
      <w:r w:rsidRPr="00483B3D" w:rsidR="00CA7329">
        <w:t xml:space="preserve"> </w:t>
      </w:r>
      <w:r w:rsidR="00CA7329">
        <w:t xml:space="preserve">and </w:t>
      </w:r>
      <w:r w:rsidR="00B2084B">
        <w:t>pursuant to authority delegated under section</w:t>
      </w:r>
      <w:r w:rsidR="00DA6717">
        <w:t>s</w:t>
      </w:r>
      <w:r w:rsidR="00B2084B">
        <w:t xml:space="preserve"> </w:t>
      </w:r>
      <w:r w:rsidR="00DA6717">
        <w:t xml:space="preserve">0.61 and </w:t>
      </w:r>
      <w:r w:rsidR="00B2084B">
        <w:t>0.283 of the Commission’s Rules</w:t>
      </w:r>
      <w:r w:rsidR="00B2084B">
        <w:rPr>
          <w:rStyle w:val="FootnoteReference"/>
        </w:rPr>
        <w:t xml:space="preserve"> </w:t>
      </w:r>
      <w:r w:rsidR="00B2084B">
        <w:t>,</w:t>
      </w:r>
      <w:r>
        <w:rPr>
          <w:rStyle w:val="FootnoteReference"/>
        </w:rPr>
        <w:footnoteReference w:id="51"/>
      </w:r>
      <w:r w:rsidR="00B2084B">
        <w:t xml:space="preserve"> </w:t>
      </w:r>
      <w:r>
        <w:t xml:space="preserve">Arm &amp; Rage, LLC IS HEREBY ORDERED TO SHOW CAUSE why its </w:t>
      </w:r>
      <w:r w:rsidR="00B2084B">
        <w:t xml:space="preserve">authorization </w:t>
      </w:r>
      <w:r>
        <w:t xml:space="preserve">for </w:t>
      </w:r>
      <w:r w:rsidRPr="006B686B">
        <w:rPr>
          <w:spacing w:val="-2"/>
        </w:rPr>
        <w:t xml:space="preserve">WJBE(AM), Powell, Tennessee SHOULD NOT BE REVOKED </w:t>
      </w:r>
      <w:r w:rsidR="00B2084B">
        <w:t>in a proceeding before the FCC Administrative Law Judge, at a time and place to be specified in a subsequent order, upon the following issues:</w:t>
      </w:r>
      <w:r w:rsidRPr="006B686B" w:rsidR="00B2084B">
        <w:rPr>
          <w:kern w:val="0"/>
          <w:sz w:val="24"/>
          <w:szCs w:val="24"/>
        </w:rPr>
        <w:t xml:space="preserve"> </w:t>
      </w:r>
    </w:p>
    <w:p w:rsidR="00C62794" w:rsidP="00F31A8B" w14:paraId="00868580" w14:textId="01DEDB2C">
      <w:pPr>
        <w:pStyle w:val="ParaNum"/>
        <w:numPr>
          <w:ilvl w:val="0"/>
          <w:numId w:val="0"/>
        </w:numPr>
        <w:tabs>
          <w:tab w:val="left" w:pos="720"/>
        </w:tabs>
        <w:ind w:left="720" w:right="720"/>
        <w:rPr>
          <w:szCs w:val="22"/>
        </w:rPr>
      </w:pPr>
      <w:r w:rsidRPr="00324F9C">
        <w:rPr>
          <w:szCs w:val="22"/>
        </w:rPr>
        <w:t xml:space="preserve">(a) To determine the effects, if any, of </w:t>
      </w:r>
      <w:r>
        <w:rPr>
          <w:szCs w:val="22"/>
        </w:rPr>
        <w:t xml:space="preserve">Joseph </w:t>
      </w:r>
      <w:r w:rsidR="00CE1097">
        <w:rPr>
          <w:szCs w:val="22"/>
        </w:rPr>
        <w:t>Armstrong’s</w:t>
      </w:r>
      <w:r w:rsidRPr="00324F9C">
        <w:rPr>
          <w:szCs w:val="22"/>
        </w:rPr>
        <w:t xml:space="preserve"> felony conviction</w:t>
      </w:r>
      <w:r w:rsidR="00F31A8B">
        <w:rPr>
          <w:szCs w:val="22"/>
        </w:rPr>
        <w:t xml:space="preserve"> </w:t>
      </w:r>
      <w:r w:rsidRPr="00324F9C">
        <w:rPr>
          <w:szCs w:val="22"/>
        </w:rPr>
        <w:t xml:space="preserve">on his qualifications </w:t>
      </w:r>
      <w:r w:rsidR="008A5D1B">
        <w:t>and</w:t>
      </w:r>
      <w:r w:rsidR="00122B70">
        <w:t xml:space="preserve"> thus</w:t>
      </w:r>
      <w:r w:rsidR="008A5D1B">
        <w:t xml:space="preserve"> the qualifications of </w:t>
      </w:r>
      <w:r>
        <w:rPr>
          <w:szCs w:val="22"/>
        </w:rPr>
        <w:t xml:space="preserve">Arm &amp; Rage, LLC </w:t>
      </w:r>
      <w:r w:rsidRPr="00324F9C">
        <w:rPr>
          <w:szCs w:val="22"/>
        </w:rPr>
        <w:t>to be a Commission licensee</w:t>
      </w:r>
      <w:r w:rsidR="003D38EC">
        <w:rPr>
          <w:szCs w:val="22"/>
        </w:rPr>
        <w:t>;</w:t>
      </w:r>
    </w:p>
    <w:p w:rsidR="0066709F" w:rsidP="0054104B" w14:paraId="4E1515F1" w14:textId="6E8D6CD4">
      <w:pPr>
        <w:pStyle w:val="ParaNum"/>
        <w:numPr>
          <w:ilvl w:val="0"/>
          <w:numId w:val="0"/>
        </w:numPr>
        <w:tabs>
          <w:tab w:val="left" w:pos="720"/>
        </w:tabs>
        <w:ind w:left="720" w:right="720"/>
        <w:rPr>
          <w:szCs w:val="22"/>
        </w:rPr>
      </w:pPr>
      <w:r>
        <w:rPr>
          <w:szCs w:val="22"/>
        </w:rPr>
        <w:t xml:space="preserve">(b) </w:t>
      </w:r>
      <w:r>
        <w:rPr>
          <w:szCs w:val="22"/>
        </w:rPr>
        <w:t xml:space="preserve">To determine the effects, if any, of </w:t>
      </w:r>
      <w:r w:rsidRPr="00146A33" w:rsidR="00274E7D">
        <w:t>Arm &amp; Rage, LLC</w:t>
      </w:r>
      <w:r w:rsidRPr="00146A33" w:rsidR="00274E7D">
        <w:rPr>
          <w:szCs w:val="22"/>
        </w:rPr>
        <w:t xml:space="preserve">’s </w:t>
      </w:r>
      <w:r>
        <w:rPr>
          <w:szCs w:val="22"/>
        </w:rPr>
        <w:t xml:space="preserve">failure to report the </w:t>
      </w:r>
      <w:r>
        <w:rPr>
          <w:szCs w:val="22"/>
        </w:rPr>
        <w:t xml:space="preserve">conviction by the April 1, 2017 due date, to upload </w:t>
      </w:r>
      <w:r w:rsidR="004B083E">
        <w:rPr>
          <w:szCs w:val="22"/>
        </w:rPr>
        <w:t>required</w:t>
      </w:r>
      <w:r>
        <w:rPr>
          <w:szCs w:val="22"/>
        </w:rPr>
        <w:t xml:space="preserve"> information to </w:t>
      </w:r>
      <w:r w:rsidR="004B083E">
        <w:rPr>
          <w:szCs w:val="22"/>
        </w:rPr>
        <w:t>an</w:t>
      </w:r>
      <w:r>
        <w:rPr>
          <w:szCs w:val="22"/>
        </w:rPr>
        <w:t xml:space="preserve"> online public inspection file, and to file timely ownership </w:t>
      </w:r>
      <w:r w:rsidRPr="00146A33">
        <w:rPr>
          <w:szCs w:val="22"/>
        </w:rPr>
        <w:t>reports</w:t>
      </w:r>
      <w:r w:rsidRPr="00146A33" w:rsidR="004B083E">
        <w:rPr>
          <w:szCs w:val="22"/>
        </w:rPr>
        <w:t xml:space="preserve"> o</w:t>
      </w:r>
      <w:r w:rsidR="00C752C8">
        <w:rPr>
          <w:szCs w:val="22"/>
        </w:rPr>
        <w:t>n</w:t>
      </w:r>
      <w:r w:rsidRPr="00146A33" w:rsidR="004B083E">
        <w:rPr>
          <w:szCs w:val="22"/>
        </w:rPr>
        <w:t xml:space="preserve"> </w:t>
      </w:r>
      <w:r w:rsidRPr="00146A33" w:rsidR="0090764C">
        <w:rPr>
          <w:szCs w:val="22"/>
        </w:rPr>
        <w:t>its</w:t>
      </w:r>
      <w:r w:rsidRPr="00146A33" w:rsidR="004B083E">
        <w:rPr>
          <w:szCs w:val="22"/>
        </w:rPr>
        <w:t xml:space="preserve"> qualifications to be a Commission licensee;</w:t>
      </w:r>
      <w:r w:rsidRPr="00146A33" w:rsidR="00D5025E">
        <w:rPr>
          <w:szCs w:val="22"/>
        </w:rPr>
        <w:t xml:space="preserve"> and</w:t>
      </w:r>
    </w:p>
    <w:p w:rsidR="00375FB6" w:rsidRPr="00375FB6" w:rsidP="0054104B" w14:paraId="75B310E9" w14:textId="5F62FD28">
      <w:pPr>
        <w:pStyle w:val="ParaNum"/>
        <w:numPr>
          <w:ilvl w:val="0"/>
          <w:numId w:val="0"/>
        </w:numPr>
        <w:tabs>
          <w:tab w:val="left" w:pos="720"/>
        </w:tabs>
        <w:ind w:left="720" w:right="720"/>
        <w:rPr>
          <w:szCs w:val="22"/>
        </w:rPr>
      </w:pPr>
      <w:r>
        <w:rPr>
          <w:szCs w:val="22"/>
        </w:rPr>
        <w:t xml:space="preserve">(c) </w:t>
      </w:r>
      <w:r w:rsidR="003D38EC">
        <w:rPr>
          <w:szCs w:val="22"/>
        </w:rPr>
        <w:t>T</w:t>
      </w:r>
      <w:r w:rsidRPr="00324F9C" w:rsidR="00C62794">
        <w:rPr>
          <w:szCs w:val="22"/>
        </w:rPr>
        <w:t>o determine</w:t>
      </w:r>
      <w:r w:rsidR="00C62794">
        <w:rPr>
          <w:szCs w:val="22"/>
        </w:rPr>
        <w:t xml:space="preserve"> </w:t>
      </w:r>
      <w:r w:rsidRPr="00324F9C" w:rsidR="00C62794">
        <w:rPr>
          <w:szCs w:val="22"/>
        </w:rPr>
        <w:t>whether</w:t>
      </w:r>
      <w:r w:rsidR="005A4080">
        <w:rPr>
          <w:szCs w:val="22"/>
        </w:rPr>
        <w:t>, pursuant to</w:t>
      </w:r>
      <w:r w:rsidRPr="00324F9C" w:rsidR="00C62794">
        <w:rPr>
          <w:szCs w:val="22"/>
        </w:rPr>
        <w:t xml:space="preserve"> </w:t>
      </w:r>
      <w:r w:rsidR="001B32B5">
        <w:rPr>
          <w:spacing w:val="-2"/>
        </w:rPr>
        <w:t>section 3</w:t>
      </w:r>
      <w:r w:rsidR="005A4080">
        <w:rPr>
          <w:spacing w:val="-2"/>
        </w:rPr>
        <w:t>12</w:t>
      </w:r>
      <w:r w:rsidR="001B32B5">
        <w:rPr>
          <w:spacing w:val="-2"/>
        </w:rPr>
        <w:t xml:space="preserve"> of the Communications Act or 1934, as amended</w:t>
      </w:r>
      <w:r w:rsidR="00911F72">
        <w:rPr>
          <w:spacing w:val="-2"/>
        </w:rPr>
        <w:t>,</w:t>
      </w:r>
      <w:r w:rsidR="006A1092">
        <w:rPr>
          <w:spacing w:val="-2"/>
        </w:rPr>
        <w:t xml:space="preserve"> </w:t>
      </w:r>
      <w:r w:rsidR="005A4080">
        <w:rPr>
          <w:szCs w:val="22"/>
        </w:rPr>
        <w:t xml:space="preserve">the license of Arm &amp; Rage, LLC for </w:t>
      </w:r>
      <w:r w:rsidR="001B32B5">
        <w:rPr>
          <w:spacing w:val="-2"/>
        </w:rPr>
        <w:t xml:space="preserve">WJBE(AM), Powell, Tennessee </w:t>
      </w:r>
      <w:r w:rsidRPr="00324F9C" w:rsidR="00C62794">
        <w:rPr>
          <w:szCs w:val="22"/>
        </w:rPr>
        <w:t xml:space="preserve">should be </w:t>
      </w:r>
      <w:r w:rsidR="005A4080">
        <w:rPr>
          <w:szCs w:val="22"/>
        </w:rPr>
        <w:t xml:space="preserve">revoked.  </w:t>
      </w:r>
    </w:p>
    <w:p w:rsidR="007E6F14" w:rsidRPr="00324F9C" w:rsidP="007E6F14" w14:paraId="76B6C0F1" w14:textId="54907662">
      <w:pPr>
        <w:pStyle w:val="ParaNum"/>
        <w:rPr>
          <w:szCs w:val="22"/>
        </w:rPr>
      </w:pPr>
      <w:r w:rsidRPr="00324F9C">
        <w:rPr>
          <w:szCs w:val="22"/>
        </w:rPr>
        <w:t>IT IS FURTHER ORDERED that</w:t>
      </w:r>
      <w:r w:rsidRPr="00324F9C" w:rsidR="00AD03C2">
        <w:rPr>
          <w:szCs w:val="22"/>
        </w:rPr>
        <w:t>, pursuant to</w:t>
      </w:r>
      <w:r w:rsidRPr="000749C0" w:rsidR="000749C0">
        <w:rPr>
          <w:szCs w:val="22"/>
        </w:rPr>
        <w:t xml:space="preserve"> </w:t>
      </w:r>
      <w:r w:rsidRPr="00324F9C" w:rsidR="000749C0">
        <w:rPr>
          <w:szCs w:val="22"/>
        </w:rPr>
        <w:t xml:space="preserve">section </w:t>
      </w:r>
      <w:r w:rsidRPr="00483B3D" w:rsidR="000749C0">
        <w:t>312(c) of the Communications Act of 1934, as amended,</w:t>
      </w:r>
      <w:r w:rsidRPr="00324F9C" w:rsidR="00CB7E20">
        <w:rPr>
          <w:szCs w:val="22"/>
        </w:rPr>
        <w:t xml:space="preserve"> </w:t>
      </w:r>
      <w:r w:rsidRPr="00324F9C" w:rsidR="009909FC">
        <w:rPr>
          <w:szCs w:val="22"/>
        </w:rPr>
        <w:t>section 1.</w:t>
      </w:r>
      <w:r w:rsidR="00D41B2F">
        <w:rPr>
          <w:szCs w:val="22"/>
        </w:rPr>
        <w:t>91</w:t>
      </w:r>
      <w:r w:rsidRPr="00324F9C" w:rsidR="009909FC">
        <w:rPr>
          <w:szCs w:val="22"/>
        </w:rPr>
        <w:t>(c) of the Commission’s Rules</w:t>
      </w:r>
      <w:r w:rsidRPr="00324F9C" w:rsidR="00CB622C">
        <w:rPr>
          <w:szCs w:val="22"/>
        </w:rPr>
        <w:t>,</w:t>
      </w:r>
      <w:r>
        <w:rPr>
          <w:rStyle w:val="FootnoteReference"/>
          <w:sz w:val="22"/>
          <w:szCs w:val="22"/>
        </w:rPr>
        <w:footnoteReference w:id="52"/>
      </w:r>
      <w:r w:rsidRPr="00324F9C" w:rsidR="00CB622C">
        <w:rPr>
          <w:szCs w:val="22"/>
        </w:rPr>
        <w:t xml:space="preserve"> in order to </w:t>
      </w:r>
      <w:r w:rsidRPr="00324F9C">
        <w:rPr>
          <w:szCs w:val="22"/>
        </w:rPr>
        <w:t xml:space="preserve">avail </w:t>
      </w:r>
      <w:r w:rsidRPr="00324F9C" w:rsidR="00EC081E">
        <w:rPr>
          <w:szCs w:val="22"/>
        </w:rPr>
        <w:t>it</w:t>
      </w:r>
      <w:r w:rsidRPr="00324F9C">
        <w:rPr>
          <w:szCs w:val="22"/>
        </w:rPr>
        <w:t>self of the opportunity to be heard</w:t>
      </w:r>
      <w:r w:rsidRPr="00324F9C" w:rsidR="00AA0902">
        <w:rPr>
          <w:szCs w:val="22"/>
        </w:rPr>
        <w:t xml:space="preserve"> and the right to present evidence at a hearing in these proceedings, </w:t>
      </w:r>
      <w:r w:rsidR="0091655E">
        <w:rPr>
          <w:szCs w:val="22"/>
        </w:rPr>
        <w:t>Arm &amp; Rage, LLC and</w:t>
      </w:r>
      <w:r w:rsidR="000016AF">
        <w:rPr>
          <w:szCs w:val="22"/>
        </w:rPr>
        <w:t>/or</w:t>
      </w:r>
      <w:r w:rsidR="0091655E">
        <w:rPr>
          <w:szCs w:val="22"/>
        </w:rPr>
        <w:t xml:space="preserve"> Joseph Armstrong</w:t>
      </w:r>
      <w:r w:rsidRPr="00324F9C" w:rsidR="00EB4C03">
        <w:rPr>
          <w:szCs w:val="22"/>
        </w:rPr>
        <w:t>, in person or by</w:t>
      </w:r>
      <w:r w:rsidRPr="00324F9C" w:rsidR="00454CD7">
        <w:rPr>
          <w:szCs w:val="22"/>
        </w:rPr>
        <w:t xml:space="preserve"> an</w:t>
      </w:r>
      <w:r w:rsidRPr="00324F9C" w:rsidR="00EB4C03">
        <w:rPr>
          <w:szCs w:val="22"/>
        </w:rPr>
        <w:t xml:space="preserve"> attorney</w:t>
      </w:r>
      <w:r w:rsidRPr="00324F9C" w:rsidR="00454CD7">
        <w:rPr>
          <w:szCs w:val="22"/>
        </w:rPr>
        <w:t>,</w:t>
      </w:r>
      <w:r w:rsidRPr="00324F9C" w:rsidR="008431B9">
        <w:rPr>
          <w:szCs w:val="22"/>
        </w:rPr>
        <w:t xml:space="preserve"> SHALL FILE within</w:t>
      </w:r>
      <w:r w:rsidRPr="00324F9C" w:rsidR="00A676B5">
        <w:rPr>
          <w:szCs w:val="22"/>
        </w:rPr>
        <w:t xml:space="preserve"> 20 days of the </w:t>
      </w:r>
      <w:r w:rsidR="00CA4662">
        <w:rPr>
          <w:szCs w:val="22"/>
        </w:rPr>
        <w:t>mailing</w:t>
      </w:r>
      <w:r w:rsidRPr="00324F9C" w:rsidR="00881FF8">
        <w:rPr>
          <w:szCs w:val="22"/>
        </w:rPr>
        <w:t xml:space="preserve"> of this </w:t>
      </w:r>
      <w:r w:rsidRPr="00324F9C" w:rsidR="00CB622C">
        <w:rPr>
          <w:i/>
          <w:iCs/>
          <w:szCs w:val="22"/>
        </w:rPr>
        <w:t xml:space="preserve">Hearing Designation </w:t>
      </w:r>
      <w:r w:rsidRPr="00324F9C" w:rsidR="00881FF8">
        <w:rPr>
          <w:i/>
          <w:iCs/>
          <w:szCs w:val="22"/>
        </w:rPr>
        <w:t>Order</w:t>
      </w:r>
      <w:r w:rsidR="000749C0">
        <w:rPr>
          <w:i/>
          <w:iCs/>
          <w:szCs w:val="22"/>
        </w:rPr>
        <w:t xml:space="preserve">, </w:t>
      </w:r>
      <w:r w:rsidR="005672DE">
        <w:rPr>
          <w:i/>
          <w:iCs/>
          <w:szCs w:val="22"/>
        </w:rPr>
        <w:t>Order to Show Cause</w:t>
      </w:r>
      <w:r w:rsidR="000749C0">
        <w:rPr>
          <w:i/>
          <w:iCs/>
          <w:szCs w:val="22"/>
        </w:rPr>
        <w:t xml:space="preserve">, and </w:t>
      </w:r>
      <w:r w:rsidR="000749C0">
        <w:rPr>
          <w:i/>
        </w:rPr>
        <w:t>Notice of Opportunity for Hearing</w:t>
      </w:r>
      <w:r w:rsidRPr="006A0F87" w:rsidR="003A7501">
        <w:rPr>
          <w:szCs w:val="22"/>
        </w:rPr>
        <w:t xml:space="preserve"> </w:t>
      </w:r>
      <w:r w:rsidRPr="00324F9C" w:rsidR="00706AEF">
        <w:rPr>
          <w:szCs w:val="22"/>
        </w:rPr>
        <w:t xml:space="preserve">a </w:t>
      </w:r>
      <w:r w:rsidRPr="00324F9C" w:rsidR="00A676B5">
        <w:rPr>
          <w:szCs w:val="22"/>
        </w:rPr>
        <w:t>written appearance</w:t>
      </w:r>
      <w:r w:rsidRPr="00324F9C" w:rsidR="00C62230">
        <w:rPr>
          <w:szCs w:val="22"/>
        </w:rPr>
        <w:t xml:space="preserve"> stating</w:t>
      </w:r>
      <w:r w:rsidRPr="00324F9C" w:rsidR="00A676B5">
        <w:rPr>
          <w:szCs w:val="22"/>
        </w:rPr>
        <w:t xml:space="preserve"> </w:t>
      </w:r>
      <w:r w:rsidRPr="00324F9C" w:rsidR="0013779D">
        <w:rPr>
          <w:szCs w:val="22"/>
        </w:rPr>
        <w:t xml:space="preserve">its </w:t>
      </w:r>
      <w:r w:rsidRPr="00324F9C" w:rsidR="00933F16">
        <w:rPr>
          <w:szCs w:val="22"/>
        </w:rPr>
        <w:t xml:space="preserve">intention to appear </w:t>
      </w:r>
      <w:r w:rsidRPr="00324F9C" w:rsidR="00706AEF">
        <w:rPr>
          <w:szCs w:val="22"/>
        </w:rPr>
        <w:t>at the hearing and present evidence on the issues specified above.</w:t>
      </w:r>
    </w:p>
    <w:p w:rsidR="00376EB5" w:rsidRPr="00661446" w:rsidP="00947AF4" w14:paraId="381E0C9A" w14:textId="451A70E2">
      <w:pPr>
        <w:pStyle w:val="ParaNum"/>
      </w:pPr>
      <w:r>
        <w:t>IT IS FURTHER ORDERED, pursuant to section 1.</w:t>
      </w:r>
      <w:r w:rsidR="00D41B2F">
        <w:t>9</w:t>
      </w:r>
      <w:r w:rsidR="000749C0">
        <w:t>2</w:t>
      </w:r>
      <w:r>
        <w:t>(</w:t>
      </w:r>
      <w:r w:rsidR="0062084A">
        <w:t>a</w:t>
      </w:r>
      <w:r>
        <w:t xml:space="preserve">) </w:t>
      </w:r>
      <w:r w:rsidR="0062084A">
        <w:t>and (c)</w:t>
      </w:r>
      <w:r w:rsidR="000749C0">
        <w:t xml:space="preserve"> </w:t>
      </w:r>
      <w:r>
        <w:t>of the Commission’s Rules,</w:t>
      </w:r>
      <w:r>
        <w:rPr>
          <w:rStyle w:val="FootnoteReference"/>
        </w:rPr>
        <w:footnoteReference w:id="53"/>
      </w:r>
      <w:r>
        <w:t xml:space="preserve"> that if </w:t>
      </w:r>
      <w:r w:rsidR="00BC7377">
        <w:rPr>
          <w:szCs w:val="22"/>
        </w:rPr>
        <w:t xml:space="preserve">Arm &amp; Rage, LLC </w:t>
      </w:r>
      <w:r w:rsidR="00DB2E7C">
        <w:rPr>
          <w:szCs w:val="22"/>
        </w:rPr>
        <w:t>and/</w:t>
      </w:r>
      <w:r w:rsidR="00BC7377">
        <w:rPr>
          <w:szCs w:val="22"/>
        </w:rPr>
        <w:t>or Joseph Armstrong</w:t>
      </w:r>
      <w:r w:rsidR="00BC7377">
        <w:t xml:space="preserve"> </w:t>
      </w:r>
      <w:r>
        <w:t xml:space="preserve">fails to file a written appearance within the time specified above, or has not filed prior to the expiration of that time a petition to dismiss without prejudice, or a petition to accept, for good cause shown, such written appearance beyond expiration of said 20 days, </w:t>
      </w:r>
      <w:r w:rsidRPr="00483B3D" w:rsidR="00F47744">
        <w:t>the right to a hearing shall be deemed waived</w:t>
      </w:r>
      <w:r w:rsidR="00F47744">
        <w:t xml:space="preserve">.  Where a hearing is waived, </w:t>
      </w:r>
      <w:r>
        <w:t>the Administrative Law Judge shall</w:t>
      </w:r>
      <w:bookmarkStart w:id="28" w:name="_Hlk67047491"/>
      <w:r w:rsidR="000B0FF6">
        <w:t xml:space="preserve"> issue an order terminating the hearing proceeding and certifying the case to the Commission</w:t>
      </w:r>
      <w:r w:rsidR="00F47744">
        <w:t>.</w:t>
      </w:r>
      <w:bookmarkEnd w:id="28"/>
    </w:p>
    <w:p w:rsidR="00C37E42" w:rsidRPr="00D932F6" w:rsidP="00D932F6" w14:paraId="0D92C376" w14:textId="155C21C6">
      <w:pPr>
        <w:pStyle w:val="ParaNum"/>
        <w:rPr>
          <w:szCs w:val="22"/>
        </w:rPr>
      </w:pPr>
      <w:r w:rsidRPr="00324F9C">
        <w:rPr>
          <w:szCs w:val="22"/>
        </w:rPr>
        <w:t>IT IS FURTHER ORDERED that the Chief, Enforcement Bureau, IS MADE A PARTY to this proceeding without the need to file a written appearance.</w:t>
      </w:r>
    </w:p>
    <w:p w:rsidR="00FC2BFC" w:rsidP="000F1C13" w14:paraId="391B8597" w14:textId="39F905CA">
      <w:pPr>
        <w:pStyle w:val="ParaNum"/>
        <w:rPr>
          <w:szCs w:val="22"/>
        </w:rPr>
      </w:pPr>
      <w:r w:rsidRPr="00324F9C">
        <w:rPr>
          <w:szCs w:val="22"/>
        </w:rPr>
        <w:t>IT IS FURTHER ORDERED that, in accordance with</w:t>
      </w:r>
      <w:r w:rsidRPr="00324F9C" w:rsidR="007155C2">
        <w:rPr>
          <w:szCs w:val="22"/>
        </w:rPr>
        <w:t xml:space="preserve"> section 3</w:t>
      </w:r>
      <w:r w:rsidR="00FD6826">
        <w:rPr>
          <w:szCs w:val="22"/>
        </w:rPr>
        <w:t>12</w:t>
      </w:r>
      <w:r w:rsidRPr="00324F9C" w:rsidR="00743578">
        <w:rPr>
          <w:szCs w:val="22"/>
        </w:rPr>
        <w:t>(</w:t>
      </w:r>
      <w:r w:rsidR="00FD6826">
        <w:rPr>
          <w:szCs w:val="22"/>
        </w:rPr>
        <w:t>d</w:t>
      </w:r>
      <w:r w:rsidRPr="00324F9C" w:rsidR="00743578">
        <w:rPr>
          <w:szCs w:val="22"/>
        </w:rPr>
        <w:t>)</w:t>
      </w:r>
      <w:r w:rsidRPr="00324F9C" w:rsidR="007155C2">
        <w:rPr>
          <w:szCs w:val="22"/>
        </w:rPr>
        <w:t xml:space="preserve"> of the </w:t>
      </w:r>
      <w:r w:rsidRPr="00324F9C" w:rsidR="00231686">
        <w:rPr>
          <w:szCs w:val="22"/>
        </w:rPr>
        <w:t>Communications Act of 1934,</w:t>
      </w:r>
      <w:r w:rsidRPr="00324F9C" w:rsidR="00AF20B8">
        <w:rPr>
          <w:szCs w:val="22"/>
        </w:rPr>
        <w:t xml:space="preserve"> </w:t>
      </w:r>
      <w:r w:rsidRPr="00324F9C" w:rsidR="00231686">
        <w:rPr>
          <w:szCs w:val="22"/>
        </w:rPr>
        <w:t>as amended</w:t>
      </w:r>
      <w:r w:rsidRPr="00324F9C" w:rsidR="00AE2530">
        <w:rPr>
          <w:szCs w:val="22"/>
        </w:rPr>
        <w:t>,</w:t>
      </w:r>
      <w:r w:rsidRPr="000749C0" w:rsidR="000749C0">
        <w:t xml:space="preserve"> </w:t>
      </w:r>
      <w:r w:rsidRPr="00483B3D" w:rsidR="000749C0">
        <w:t>and section 1.91(d) of the Commission’s Rules</w:t>
      </w:r>
      <w:r w:rsidR="000749C0">
        <w:rPr>
          <w:rStyle w:val="Heading5Char"/>
          <w:szCs w:val="22"/>
        </w:rPr>
        <w:t>,</w:t>
      </w:r>
      <w:r>
        <w:rPr>
          <w:rStyle w:val="FootnoteReference"/>
          <w:sz w:val="22"/>
          <w:szCs w:val="22"/>
        </w:rPr>
        <w:footnoteReference w:id="54"/>
      </w:r>
      <w:r w:rsidRPr="00324F9C" w:rsidR="00AE2530">
        <w:rPr>
          <w:szCs w:val="22"/>
        </w:rPr>
        <w:t xml:space="preserve"> the burden of proceeding with the introduction of evidence </w:t>
      </w:r>
      <w:r w:rsidRPr="00324F9C" w:rsidR="00725C89">
        <w:rPr>
          <w:szCs w:val="22"/>
        </w:rPr>
        <w:t xml:space="preserve">and the burden </w:t>
      </w:r>
      <w:r w:rsidRPr="00324F9C" w:rsidR="00AE2530">
        <w:rPr>
          <w:szCs w:val="22"/>
        </w:rPr>
        <w:t>of proof</w:t>
      </w:r>
      <w:r w:rsidRPr="00324F9C">
        <w:rPr>
          <w:szCs w:val="22"/>
        </w:rPr>
        <w:t xml:space="preserve"> </w:t>
      </w:r>
      <w:r w:rsidRPr="00324F9C" w:rsidR="00725C89">
        <w:rPr>
          <w:szCs w:val="22"/>
        </w:rPr>
        <w:t>SHALL BE</w:t>
      </w:r>
      <w:r w:rsidRPr="00324F9C" w:rsidR="00705040">
        <w:rPr>
          <w:szCs w:val="22"/>
        </w:rPr>
        <w:t xml:space="preserve"> upon</w:t>
      </w:r>
      <w:r w:rsidR="00D932F6">
        <w:rPr>
          <w:szCs w:val="22"/>
        </w:rPr>
        <w:t xml:space="preserve"> </w:t>
      </w:r>
      <w:r w:rsidR="00661446">
        <w:rPr>
          <w:szCs w:val="22"/>
        </w:rPr>
        <w:t xml:space="preserve">the </w:t>
      </w:r>
      <w:r w:rsidR="000E7A2D">
        <w:rPr>
          <w:szCs w:val="22"/>
        </w:rPr>
        <w:t>Commission</w:t>
      </w:r>
      <w:r w:rsidR="000749C0">
        <w:rPr>
          <w:szCs w:val="22"/>
        </w:rPr>
        <w:t>’s Enforcement Bureau</w:t>
      </w:r>
      <w:r w:rsidRPr="00324F9C" w:rsidR="00705040">
        <w:rPr>
          <w:szCs w:val="22"/>
        </w:rPr>
        <w:t>.</w:t>
      </w:r>
    </w:p>
    <w:p w:rsidR="00741EBF" w:rsidRPr="00F565F2" w:rsidP="00D5025E" w14:paraId="10A38A0F" w14:textId="7B0779E9">
      <w:pPr>
        <w:pStyle w:val="ParaNum"/>
      </w:pPr>
      <w:r w:rsidRPr="00F44B9E">
        <w:rPr>
          <w:szCs w:val="22"/>
        </w:rPr>
        <w:t>IT IS FURTHER ORDERED that a copy of each document filed in this proceeding subsequent t</w:t>
      </w:r>
      <w:r w:rsidRPr="00F01E13">
        <w:rPr>
          <w:szCs w:val="22"/>
        </w:rPr>
        <w:t xml:space="preserve">o the date of adoption of this </w:t>
      </w:r>
      <w:r w:rsidRPr="00F01E13">
        <w:rPr>
          <w:i/>
          <w:iCs/>
          <w:szCs w:val="22"/>
        </w:rPr>
        <w:t>Hearing Designation Order</w:t>
      </w:r>
      <w:r w:rsidR="000749C0">
        <w:rPr>
          <w:i/>
          <w:iCs/>
          <w:szCs w:val="22"/>
        </w:rPr>
        <w:t xml:space="preserve">, </w:t>
      </w:r>
      <w:r w:rsidR="005672DE">
        <w:rPr>
          <w:i/>
          <w:iCs/>
          <w:szCs w:val="22"/>
        </w:rPr>
        <w:t>Order to Show Cause</w:t>
      </w:r>
      <w:r w:rsidR="000749C0">
        <w:rPr>
          <w:i/>
          <w:iCs/>
          <w:szCs w:val="22"/>
        </w:rPr>
        <w:t xml:space="preserve">, and </w:t>
      </w:r>
      <w:r w:rsidR="000749C0">
        <w:rPr>
          <w:i/>
        </w:rPr>
        <w:t>Notice of Opportunity for Hearing</w:t>
      </w:r>
      <w:r w:rsidRPr="007532DE" w:rsidR="005672DE">
        <w:rPr>
          <w:szCs w:val="22"/>
        </w:rPr>
        <w:t xml:space="preserve"> </w:t>
      </w:r>
      <w:r w:rsidRPr="003A7501">
        <w:rPr>
          <w:szCs w:val="22"/>
        </w:rPr>
        <w:t xml:space="preserve">SHALL BE SERVED on the counsel of record appearing on behalf of the Chief, Enforcement Bureau.  </w:t>
      </w:r>
      <w:r w:rsidR="00F44B9E">
        <w:t xml:space="preserve">Electronic service on the Enforcement Bureau shall be made using the following email address: </w:t>
      </w:r>
      <w:hyperlink r:id="rId5" w:history="1">
        <w:r w:rsidRPr="00947670" w:rsidR="00F44B9E">
          <w:rPr>
            <w:rStyle w:val="Hyperlink"/>
          </w:rPr>
          <w:t>EBHearings@fcc.gov</w:t>
        </w:r>
      </w:hyperlink>
      <w:r w:rsidR="00F44B9E">
        <w:t>.</w:t>
      </w:r>
    </w:p>
    <w:p w:rsidR="007E132F" w:rsidRPr="0058664B" w:rsidP="0058664B" w14:paraId="41C1719F" w14:textId="31DE6395">
      <w:pPr>
        <w:pStyle w:val="ParaNum"/>
      </w:pPr>
      <w:r w:rsidRPr="007E132F">
        <w:rPr>
          <w:szCs w:val="22"/>
        </w:rPr>
        <w:t xml:space="preserve">IT IS FURTHER ORDERED that copies of this </w:t>
      </w:r>
      <w:r w:rsidRPr="007E132F" w:rsidR="00E33DD3">
        <w:rPr>
          <w:i/>
          <w:iCs/>
          <w:szCs w:val="22"/>
        </w:rPr>
        <w:t>Hearing Designation Order</w:t>
      </w:r>
      <w:r w:rsidR="000749C0">
        <w:rPr>
          <w:i/>
          <w:iCs/>
          <w:szCs w:val="22"/>
        </w:rPr>
        <w:t xml:space="preserve">, </w:t>
      </w:r>
      <w:r w:rsidR="00690BBC">
        <w:rPr>
          <w:i/>
          <w:iCs/>
          <w:szCs w:val="22"/>
        </w:rPr>
        <w:t>Order to Show Cause</w:t>
      </w:r>
      <w:r w:rsidR="000749C0">
        <w:rPr>
          <w:i/>
          <w:iCs/>
          <w:szCs w:val="22"/>
        </w:rPr>
        <w:t xml:space="preserve">, and </w:t>
      </w:r>
      <w:r w:rsidR="000749C0">
        <w:rPr>
          <w:i/>
        </w:rPr>
        <w:t>Notice of Opportunity for Hearing</w:t>
      </w:r>
      <w:r w:rsidRPr="007532DE" w:rsidR="00690BBC">
        <w:rPr>
          <w:szCs w:val="22"/>
        </w:rPr>
        <w:t xml:space="preserve"> </w:t>
      </w:r>
      <w:r w:rsidRPr="007E132F" w:rsidR="002055CF">
        <w:rPr>
          <w:szCs w:val="22"/>
        </w:rPr>
        <w:t>shall be sent</w:t>
      </w:r>
      <w:r w:rsidRPr="007E132F" w:rsidR="00DA10A4">
        <w:rPr>
          <w:szCs w:val="22"/>
        </w:rPr>
        <w:t xml:space="preserve"> </w:t>
      </w:r>
      <w:r w:rsidRPr="007E132F" w:rsidR="00631BDF">
        <w:rPr>
          <w:szCs w:val="22"/>
        </w:rPr>
        <w:t>via</w:t>
      </w:r>
      <w:r w:rsidRPr="007E132F" w:rsidR="00DA10A4">
        <w:rPr>
          <w:szCs w:val="22"/>
        </w:rPr>
        <w:t xml:space="preserve"> Certified Ma</w:t>
      </w:r>
      <w:r w:rsidRPr="007E132F" w:rsidR="001B4AF6">
        <w:rPr>
          <w:szCs w:val="22"/>
        </w:rPr>
        <w:t>il</w:t>
      </w:r>
      <w:r w:rsidRPr="007E132F" w:rsidR="00DA10A4">
        <w:rPr>
          <w:szCs w:val="22"/>
        </w:rPr>
        <w:t>, Return Receipt Requested</w:t>
      </w:r>
      <w:r w:rsidRPr="007E132F" w:rsidR="002055CF">
        <w:rPr>
          <w:szCs w:val="22"/>
        </w:rPr>
        <w:t>, and by regular first</w:t>
      </w:r>
      <w:r w:rsidRPr="007E132F" w:rsidR="00B1162A">
        <w:rPr>
          <w:szCs w:val="22"/>
        </w:rPr>
        <w:t>-</w:t>
      </w:r>
      <w:r w:rsidRPr="007E132F" w:rsidR="002055CF">
        <w:rPr>
          <w:szCs w:val="22"/>
        </w:rPr>
        <w:t>class mail to</w:t>
      </w:r>
      <w:r w:rsidRPr="007E132F" w:rsidR="00D932F6">
        <w:rPr>
          <w:szCs w:val="22"/>
        </w:rPr>
        <w:t xml:space="preserve"> Arm &amp; Rage, LLC and Joseph Armstrong</w:t>
      </w:r>
      <w:r w:rsidRPr="007E132F" w:rsidR="00230582">
        <w:rPr>
          <w:szCs w:val="22"/>
        </w:rPr>
        <w:t xml:space="preserve">, </w:t>
      </w:r>
      <w:r w:rsidRPr="007E132F" w:rsidR="00A57A1D">
        <w:rPr>
          <w:szCs w:val="22"/>
        </w:rPr>
        <w:t xml:space="preserve">2340 Martin Luther King Ave., Knoxville, TN </w:t>
      </w:r>
      <w:r w:rsidRPr="007E132F" w:rsidR="006553D8">
        <w:rPr>
          <w:szCs w:val="22"/>
        </w:rPr>
        <w:t xml:space="preserve">37914 </w:t>
      </w:r>
      <w:r w:rsidRPr="007E132F" w:rsidR="009A78DB">
        <w:rPr>
          <w:szCs w:val="22"/>
        </w:rPr>
        <w:t xml:space="preserve">and </w:t>
      </w:r>
      <w:r w:rsidRPr="007E132F">
        <w:rPr>
          <w:szCs w:val="22"/>
        </w:rPr>
        <w:t>James L. Winston, Esq.</w:t>
      </w:r>
      <w:r w:rsidRPr="007E132F" w:rsidR="004A7BD8">
        <w:rPr>
          <w:szCs w:val="22"/>
        </w:rPr>
        <w:t>,</w:t>
      </w:r>
      <w:r w:rsidRPr="007E132F" w:rsidR="00334185">
        <w:rPr>
          <w:szCs w:val="22"/>
        </w:rPr>
        <w:t xml:space="preserve"> </w:t>
      </w:r>
      <w:r>
        <w:t xml:space="preserve">Rubin, Winston, </w:t>
      </w:r>
      <w:r>
        <w:t>Diercks</w:t>
      </w:r>
      <w:r>
        <w:t>, Harris &amp; Cooke, LLP</w:t>
      </w:r>
      <w:r w:rsidRPr="007E132F">
        <w:rPr>
          <w:szCs w:val="22"/>
        </w:rPr>
        <w:t xml:space="preserve">, </w:t>
      </w:r>
      <w:r>
        <w:t>P.O, Box 20036, Suite 700, Washington, DC 20036</w:t>
      </w:r>
      <w:r w:rsidR="00F4027E">
        <w:t>.</w:t>
      </w:r>
    </w:p>
    <w:p w:rsidR="0058664B" w14:paraId="601B5524" w14:textId="77777777">
      <w:pPr>
        <w:widowControl/>
        <w:rPr>
          <w:szCs w:val="22"/>
        </w:rPr>
      </w:pPr>
      <w:r>
        <w:rPr>
          <w:szCs w:val="22"/>
        </w:rPr>
        <w:br w:type="page"/>
      </w:r>
    </w:p>
    <w:p w:rsidR="00DA10A4" w:rsidRPr="00324F9C" w:rsidP="000D7DB3" w14:paraId="426740F6" w14:textId="3B9F0F50">
      <w:pPr>
        <w:pStyle w:val="ParaNum"/>
        <w:rPr>
          <w:szCs w:val="22"/>
        </w:rPr>
      </w:pPr>
      <w:r w:rsidRPr="00324F9C">
        <w:rPr>
          <w:szCs w:val="22"/>
        </w:rPr>
        <w:t xml:space="preserve">IT IS FURTHER ORDERED that the Secretary of the Commission shall cause to have </w:t>
      </w:r>
      <w:r w:rsidRPr="00324F9C" w:rsidR="00F61243">
        <w:rPr>
          <w:szCs w:val="22"/>
        </w:rPr>
        <w:t xml:space="preserve">this </w:t>
      </w:r>
      <w:bookmarkStart w:id="29" w:name="_Hlk55475551"/>
      <w:r w:rsidRPr="00324F9C" w:rsidR="00F61243">
        <w:rPr>
          <w:i/>
          <w:iCs/>
          <w:szCs w:val="22"/>
        </w:rPr>
        <w:t>Hearing Designation Order</w:t>
      </w:r>
      <w:r w:rsidR="000749C0">
        <w:rPr>
          <w:i/>
          <w:iCs/>
          <w:szCs w:val="22"/>
        </w:rPr>
        <w:t xml:space="preserve">, </w:t>
      </w:r>
      <w:bookmarkEnd w:id="29"/>
      <w:r w:rsidR="00690BBC">
        <w:rPr>
          <w:i/>
          <w:iCs/>
          <w:szCs w:val="22"/>
        </w:rPr>
        <w:t>Order to Show Cause</w:t>
      </w:r>
      <w:r w:rsidR="000749C0">
        <w:rPr>
          <w:i/>
          <w:iCs/>
          <w:szCs w:val="22"/>
        </w:rPr>
        <w:t xml:space="preserve">, and </w:t>
      </w:r>
      <w:r w:rsidR="000749C0">
        <w:rPr>
          <w:i/>
        </w:rPr>
        <w:t>Notice of Opportunity for Hearing</w:t>
      </w:r>
      <w:r w:rsidRPr="007532DE" w:rsidR="00690BBC">
        <w:rPr>
          <w:szCs w:val="22"/>
        </w:rPr>
        <w:t xml:space="preserve"> </w:t>
      </w:r>
      <w:r w:rsidR="002165DC">
        <w:rPr>
          <w:szCs w:val="22"/>
        </w:rPr>
        <w:t xml:space="preserve">or </w:t>
      </w:r>
      <w:r w:rsidRPr="00324F9C" w:rsidR="00F61243">
        <w:rPr>
          <w:szCs w:val="22"/>
        </w:rPr>
        <w:t>a summary thereof published in the Federal Register.</w:t>
      </w:r>
    </w:p>
    <w:bookmarkEnd w:id="25"/>
    <w:p w:rsidR="004924D9" w:rsidRPr="00324F9C" w:rsidP="004924D9" w14:paraId="20F9DB22" w14:textId="1CFC4C5D">
      <w:pPr>
        <w:pStyle w:val="ParaNum"/>
        <w:numPr>
          <w:ilvl w:val="0"/>
          <w:numId w:val="0"/>
        </w:numPr>
        <w:rPr>
          <w:b/>
          <w:bCs/>
          <w:szCs w:val="22"/>
        </w:rPr>
      </w:pPr>
    </w:p>
    <w:p w:rsidR="004924D9" w:rsidRPr="00324F9C" w:rsidP="001C1621" w14:paraId="2506BE09" w14:textId="77777777">
      <w:pPr>
        <w:ind w:left="3600" w:firstLine="720"/>
        <w:rPr>
          <w:szCs w:val="22"/>
        </w:rPr>
      </w:pPr>
      <w:r w:rsidRPr="00324F9C">
        <w:rPr>
          <w:szCs w:val="22"/>
        </w:rPr>
        <w:t>FEDERAL COMMUNICATIONS COMMISSION</w:t>
      </w:r>
    </w:p>
    <w:p w:rsidR="004924D9" w:rsidRPr="00324F9C" w:rsidP="004924D9" w14:paraId="0EB5299A" w14:textId="77777777">
      <w:pPr>
        <w:rPr>
          <w:szCs w:val="22"/>
        </w:rPr>
      </w:pPr>
    </w:p>
    <w:p w:rsidR="004924D9" w:rsidRPr="00324F9C" w:rsidP="004924D9" w14:paraId="5709B39D" w14:textId="77777777">
      <w:pPr>
        <w:rPr>
          <w:szCs w:val="22"/>
        </w:rPr>
      </w:pPr>
    </w:p>
    <w:p w:rsidR="004924D9" w:rsidRPr="00324F9C" w:rsidP="004924D9" w14:paraId="2A3C707E" w14:textId="77777777">
      <w:pPr>
        <w:rPr>
          <w:szCs w:val="22"/>
        </w:rPr>
      </w:pPr>
    </w:p>
    <w:p w:rsidR="004924D9" w:rsidRPr="00324F9C" w:rsidP="004924D9" w14:paraId="6BB45F2C" w14:textId="77777777">
      <w:pPr>
        <w:rPr>
          <w:szCs w:val="22"/>
        </w:rPr>
      </w:pPr>
    </w:p>
    <w:p w:rsidR="004924D9" w:rsidRPr="00324F9C" w:rsidP="004924D9" w14:paraId="01B40D2E" w14:textId="6F9B6B7D">
      <w:pPr>
        <w:rPr>
          <w:szCs w:val="22"/>
        </w:rPr>
      </w:pPr>
      <w:r w:rsidRPr="00324F9C">
        <w:rPr>
          <w:szCs w:val="22"/>
        </w:rPr>
        <w:tab/>
      </w:r>
      <w:r w:rsidRPr="00324F9C">
        <w:rPr>
          <w:szCs w:val="22"/>
        </w:rPr>
        <w:tab/>
      </w:r>
      <w:r w:rsidRPr="00324F9C">
        <w:rPr>
          <w:szCs w:val="22"/>
        </w:rPr>
        <w:tab/>
      </w:r>
      <w:r w:rsidRPr="00324F9C">
        <w:rPr>
          <w:szCs w:val="22"/>
        </w:rPr>
        <w:tab/>
      </w:r>
      <w:r w:rsidRPr="00324F9C">
        <w:rPr>
          <w:szCs w:val="22"/>
        </w:rPr>
        <w:tab/>
      </w:r>
      <w:r w:rsidRPr="00324F9C">
        <w:rPr>
          <w:szCs w:val="22"/>
        </w:rPr>
        <w:tab/>
      </w:r>
      <w:r w:rsidR="00130D0D">
        <w:rPr>
          <w:szCs w:val="22"/>
        </w:rPr>
        <w:t>Holly Sau</w:t>
      </w:r>
      <w:r w:rsidR="009942FD">
        <w:rPr>
          <w:szCs w:val="22"/>
        </w:rPr>
        <w:t>r</w:t>
      </w:r>
      <w:r w:rsidR="00130D0D">
        <w:rPr>
          <w:szCs w:val="22"/>
        </w:rPr>
        <w:t>er</w:t>
      </w:r>
    </w:p>
    <w:p w:rsidR="00E42EB1" w:rsidP="00A86DBC" w14:paraId="5ADE7FD7" w14:textId="1448B1AA">
      <w:pPr>
        <w:rPr>
          <w:szCs w:val="22"/>
        </w:rPr>
      </w:pPr>
      <w:r w:rsidRPr="00324F9C">
        <w:rPr>
          <w:szCs w:val="22"/>
        </w:rPr>
        <w:tab/>
      </w:r>
      <w:r w:rsidRPr="00324F9C">
        <w:rPr>
          <w:szCs w:val="22"/>
        </w:rPr>
        <w:tab/>
      </w:r>
      <w:r w:rsidRPr="00324F9C">
        <w:rPr>
          <w:szCs w:val="22"/>
        </w:rPr>
        <w:tab/>
      </w:r>
      <w:r w:rsidRPr="00324F9C">
        <w:rPr>
          <w:szCs w:val="22"/>
        </w:rPr>
        <w:tab/>
      </w:r>
      <w:r w:rsidRPr="00324F9C">
        <w:rPr>
          <w:szCs w:val="22"/>
        </w:rPr>
        <w:tab/>
      </w:r>
      <w:r w:rsidRPr="00324F9C">
        <w:rPr>
          <w:szCs w:val="22"/>
        </w:rPr>
        <w:tab/>
      </w:r>
      <w:r w:rsidRPr="00324F9C" w:rsidR="004B2674">
        <w:rPr>
          <w:szCs w:val="22"/>
        </w:rPr>
        <w:t>Chief, Media Bu</w:t>
      </w:r>
      <w:r w:rsidRPr="00324F9C" w:rsidR="0083609F">
        <w:rPr>
          <w:szCs w:val="22"/>
        </w:rPr>
        <w:t>reau</w:t>
      </w:r>
    </w:p>
    <w:p w:rsidR="00E42EB1" w:rsidP="004924D9" w14:paraId="0B3FBA6C" w14:textId="77777777">
      <w:pP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BB" w:rsidP="0055614C" w14:paraId="1574B2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25BB" w14:paraId="38F244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BB" w14:paraId="50F34E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825BB" w14:paraId="21053E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BB" w14:paraId="4A7BE8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004D" w14:paraId="3258EFBC" w14:textId="77777777">
      <w:r>
        <w:separator/>
      </w:r>
    </w:p>
  </w:footnote>
  <w:footnote w:type="continuationSeparator" w:id="1">
    <w:p w:rsidR="0029004D" w:rsidP="00C721AC" w14:paraId="114F11D6" w14:textId="77777777">
      <w:pPr>
        <w:spacing w:before="120"/>
        <w:rPr>
          <w:sz w:val="20"/>
        </w:rPr>
      </w:pPr>
      <w:r>
        <w:rPr>
          <w:sz w:val="20"/>
        </w:rPr>
        <w:t xml:space="preserve">(Continued from previous page)  </w:t>
      </w:r>
      <w:r>
        <w:rPr>
          <w:sz w:val="20"/>
        </w:rPr>
        <w:separator/>
      </w:r>
    </w:p>
  </w:footnote>
  <w:footnote w:type="continuationNotice" w:id="2">
    <w:p w:rsidR="0029004D" w:rsidP="00C721AC" w14:paraId="46AAEF55" w14:textId="77777777">
      <w:pPr>
        <w:jc w:val="right"/>
        <w:rPr>
          <w:sz w:val="20"/>
        </w:rPr>
      </w:pPr>
      <w:r>
        <w:rPr>
          <w:sz w:val="20"/>
        </w:rPr>
        <w:t>(continued….)</w:t>
      </w:r>
    </w:p>
  </w:footnote>
  <w:footnote w:id="3">
    <w:p w:rsidR="00F8688C" w:rsidRPr="00F8688C" w:rsidP="00F8688C" w14:paraId="4772426D" w14:textId="584CF1F0">
      <w:pPr>
        <w:pStyle w:val="FootnoteText"/>
        <w:rPr>
          <w:szCs w:val="22"/>
        </w:rPr>
      </w:pPr>
      <w:r>
        <w:rPr>
          <w:rStyle w:val="FootnoteReference"/>
        </w:rPr>
        <w:footnoteRef/>
      </w:r>
      <w:r>
        <w:t xml:space="preserve"> </w:t>
      </w:r>
      <w:r w:rsidRPr="004A71D7" w:rsidR="00926A77">
        <w:t xml:space="preserve">The Chief, Media Bureau (Bureau), </w:t>
      </w:r>
      <w:r w:rsidR="00926A77">
        <w:t xml:space="preserve">pursuant to delegated authority, </w:t>
      </w:r>
      <w:r w:rsidRPr="004A71D7" w:rsidR="00926A77">
        <w:t xml:space="preserve">issues this </w:t>
      </w:r>
      <w:r w:rsidRPr="004A71D7" w:rsidR="00926A77">
        <w:rPr>
          <w:i/>
          <w:iCs/>
        </w:rPr>
        <w:t xml:space="preserve">Hearing Designation Order, Order to Show Cause, and Notice of Opportunity for Hearing </w:t>
      </w:r>
      <w:r w:rsidRPr="004A71D7" w:rsidR="00926A77">
        <w:t>pursuant to sections</w:t>
      </w:r>
      <w:r w:rsidR="00926A77">
        <w:t xml:space="preserve"> </w:t>
      </w:r>
      <w:r w:rsidRPr="009A5B10" w:rsidR="00926A77">
        <w:t>312(a) and 312(c)</w:t>
      </w:r>
      <w:r w:rsidRPr="004A71D7" w:rsidR="00926A77">
        <w:t xml:space="preserve"> of the</w:t>
      </w:r>
      <w:r w:rsidR="006251FE">
        <w:t xml:space="preserve"> Act and </w:t>
      </w:r>
      <w:r w:rsidRPr="004A71D7" w:rsidR="00926A77">
        <w:t>sections 1.91 and 1.221 of the Commission’s rules (Rules</w:t>
      </w:r>
      <w:r w:rsidR="00926A77">
        <w:t>)</w:t>
      </w:r>
      <w:r w:rsidRPr="004A71D7" w:rsidR="00926A77">
        <w:t>.</w:t>
      </w:r>
      <w:r w:rsidR="00926A77">
        <w:t xml:space="preserve">  </w:t>
      </w:r>
      <w:r w:rsidRPr="004A71D7" w:rsidR="00926A77">
        <w:rPr>
          <w:i/>
          <w:iCs/>
        </w:rPr>
        <w:t>See</w:t>
      </w:r>
      <w:r w:rsidR="00926A77">
        <w:t xml:space="preserve"> </w:t>
      </w:r>
      <w:r w:rsidRPr="004A71D7" w:rsidR="00926A77">
        <w:t xml:space="preserve">47 U.S.C. </w:t>
      </w:r>
      <w:r w:rsidRPr="003F3463" w:rsidR="00926A77">
        <w:t xml:space="preserve">§§ </w:t>
      </w:r>
      <w:r w:rsidRPr="004A71D7" w:rsidR="00926A77">
        <w:t>312(a)(2)</w:t>
      </w:r>
      <w:r w:rsidR="00926A77">
        <w:t xml:space="preserve"> and</w:t>
      </w:r>
      <w:r w:rsidRPr="004A71D7" w:rsidR="00926A77">
        <w:t xml:space="preserve"> 312(c)</w:t>
      </w:r>
      <w:r w:rsidR="00926A77">
        <w:t xml:space="preserve">; </w:t>
      </w:r>
      <w:r w:rsidRPr="004A71D7" w:rsidR="00926A77">
        <w:t>47 CFR §§ 1.91, 1.221</w:t>
      </w:r>
      <w:r w:rsidR="00926A77">
        <w:t xml:space="preserve">, 0.61 and 0.283.  </w:t>
      </w:r>
      <w:r>
        <w:t xml:space="preserve">A&amp;R has a </w:t>
      </w:r>
      <w:r>
        <w:rPr>
          <w:szCs w:val="22"/>
        </w:rPr>
        <w:t xml:space="preserve">pending </w:t>
      </w:r>
      <w:r w:rsidRPr="000762CE">
        <w:rPr>
          <w:szCs w:val="22"/>
        </w:rPr>
        <w:t xml:space="preserve">application for license renewal </w:t>
      </w:r>
      <w:r>
        <w:rPr>
          <w:szCs w:val="22"/>
        </w:rPr>
        <w:t xml:space="preserve">that we will hold in abeyance pending the outcome of the hearing.  </w:t>
      </w:r>
      <w:r>
        <w:rPr>
          <w:i/>
          <w:iCs/>
          <w:szCs w:val="22"/>
        </w:rPr>
        <w:t xml:space="preserve">See </w:t>
      </w:r>
      <w:r>
        <w:rPr>
          <w:szCs w:val="22"/>
        </w:rPr>
        <w:t xml:space="preserve">Application </w:t>
      </w:r>
      <w:r w:rsidRPr="00F8688C">
        <w:rPr>
          <w:szCs w:val="22"/>
        </w:rPr>
        <w:t>File No. 0000108293</w:t>
      </w:r>
      <w:r>
        <w:rPr>
          <w:szCs w:val="22"/>
        </w:rPr>
        <w:t xml:space="preserve"> (rec. </w:t>
      </w:r>
      <w:r w:rsidR="00D552A5">
        <w:rPr>
          <w:szCs w:val="22"/>
        </w:rPr>
        <w:t>Mar. 18</w:t>
      </w:r>
      <w:r>
        <w:rPr>
          <w:szCs w:val="22"/>
        </w:rPr>
        <w:t>, 20</w:t>
      </w:r>
      <w:r w:rsidR="00D552A5">
        <w:rPr>
          <w:szCs w:val="22"/>
        </w:rPr>
        <w:t>20</w:t>
      </w:r>
      <w:r>
        <w:rPr>
          <w:szCs w:val="22"/>
        </w:rPr>
        <w:t>)</w:t>
      </w:r>
      <w:r w:rsidR="00DC7670">
        <w:rPr>
          <w:szCs w:val="22"/>
        </w:rPr>
        <w:t xml:space="preserve"> (Renewal Application)</w:t>
      </w:r>
      <w:r>
        <w:rPr>
          <w:szCs w:val="22"/>
        </w:rPr>
        <w:t>.  If the underlying license is revoked</w:t>
      </w:r>
      <w:r w:rsidR="000A310A">
        <w:rPr>
          <w:szCs w:val="22"/>
        </w:rPr>
        <w:t>,</w:t>
      </w:r>
      <w:r>
        <w:rPr>
          <w:szCs w:val="22"/>
        </w:rPr>
        <w:t xml:space="preserve"> the Renewal Application will be</w:t>
      </w:r>
      <w:r w:rsidR="000A310A">
        <w:rPr>
          <w:szCs w:val="22"/>
        </w:rPr>
        <w:t xml:space="preserve"> dismissed as</w:t>
      </w:r>
      <w:r>
        <w:rPr>
          <w:szCs w:val="22"/>
        </w:rPr>
        <w:t xml:space="preserve"> moot.  If the license is not revoked, we would need to determine</w:t>
      </w:r>
      <w:r w:rsidRPr="000762CE">
        <w:rPr>
          <w:szCs w:val="22"/>
        </w:rPr>
        <w:t xml:space="preserve"> whether </w:t>
      </w:r>
      <w:r>
        <w:rPr>
          <w:szCs w:val="22"/>
        </w:rPr>
        <w:t xml:space="preserve">the </w:t>
      </w:r>
      <w:r w:rsidRPr="000762CE">
        <w:rPr>
          <w:szCs w:val="22"/>
        </w:rPr>
        <w:t>Renewal Applicatio</w:t>
      </w:r>
      <w:r>
        <w:rPr>
          <w:szCs w:val="22"/>
        </w:rPr>
        <w:t>n</w:t>
      </w:r>
      <w:r w:rsidR="006D7759">
        <w:rPr>
          <w:szCs w:val="22"/>
        </w:rPr>
        <w:t xml:space="preserve">, which </w:t>
      </w:r>
      <w:r w:rsidR="008E1D3D">
        <w:rPr>
          <w:szCs w:val="22"/>
        </w:rPr>
        <w:t xml:space="preserve">also </w:t>
      </w:r>
      <w:r w:rsidR="006D7759">
        <w:rPr>
          <w:szCs w:val="22"/>
        </w:rPr>
        <w:t>discloses rule violations</w:t>
      </w:r>
      <w:r w:rsidR="005555DB">
        <w:rPr>
          <w:szCs w:val="22"/>
        </w:rPr>
        <w:t xml:space="preserve"> concerning filing of</w:t>
      </w:r>
      <w:r w:rsidRPr="00F70D41" w:rsidR="005555DB">
        <w:rPr>
          <w:szCs w:val="22"/>
        </w:rPr>
        <w:t xml:space="preserve"> Biennial Ownership Reports </w:t>
      </w:r>
      <w:r w:rsidR="00AE23D1">
        <w:rPr>
          <w:szCs w:val="22"/>
        </w:rPr>
        <w:t xml:space="preserve">and </w:t>
      </w:r>
      <w:r w:rsidR="005555DB">
        <w:rPr>
          <w:szCs w:val="22"/>
        </w:rPr>
        <w:t xml:space="preserve">of </w:t>
      </w:r>
      <w:r w:rsidRPr="00F70D41" w:rsidR="005555DB">
        <w:rPr>
          <w:szCs w:val="22"/>
        </w:rPr>
        <w:t>issues/programs lists</w:t>
      </w:r>
      <w:r w:rsidR="008E1D3D">
        <w:rPr>
          <w:szCs w:val="22"/>
        </w:rPr>
        <w:t xml:space="preserve"> but requests a waiver of those requirements,</w:t>
      </w:r>
      <w:r w:rsidRPr="00F70D41" w:rsidR="005555DB">
        <w:rPr>
          <w:szCs w:val="22"/>
        </w:rPr>
        <w:t xml:space="preserve"> </w:t>
      </w:r>
      <w:r w:rsidRPr="000762CE">
        <w:rPr>
          <w:szCs w:val="22"/>
        </w:rPr>
        <w:t>should be granted, denied, or granted subject to appropriate terms and conditions, as described in section 309(k)(2)</w:t>
      </w:r>
      <w:r>
        <w:rPr>
          <w:szCs w:val="22"/>
        </w:rPr>
        <w:t xml:space="preserve"> </w:t>
      </w:r>
      <w:r w:rsidRPr="000762CE">
        <w:rPr>
          <w:szCs w:val="22"/>
        </w:rPr>
        <w:t>of the Act</w:t>
      </w:r>
      <w:r>
        <w:rPr>
          <w:szCs w:val="22"/>
        </w:rPr>
        <w:t xml:space="preserve">.  </w:t>
      </w:r>
      <w:r>
        <w:t>47 U.S.C. § 309(k)(2).</w:t>
      </w:r>
      <w:r w:rsidR="005555DB">
        <w:t xml:space="preserve">  </w:t>
      </w:r>
      <w:r w:rsidR="005555DB">
        <w:rPr>
          <w:i/>
          <w:iCs/>
          <w:szCs w:val="22"/>
        </w:rPr>
        <w:t xml:space="preserve">See </w:t>
      </w:r>
      <w:r w:rsidR="005555DB">
        <w:t>Renewal Application, Attach. (Online Public Inspection File Exhibit)</w:t>
      </w:r>
      <w:r w:rsidR="00AE23D1">
        <w:t xml:space="preserve">; 47 CFR §§ </w:t>
      </w:r>
      <w:r w:rsidRPr="00F70D41" w:rsidR="00AE23D1">
        <w:rPr>
          <w:szCs w:val="22"/>
        </w:rPr>
        <w:t>73.3526</w:t>
      </w:r>
      <w:r w:rsidR="00AE23D1">
        <w:rPr>
          <w:szCs w:val="22"/>
        </w:rPr>
        <w:t xml:space="preserve">, </w:t>
      </w:r>
      <w:r w:rsidRPr="00F70D41" w:rsidR="00AE23D1">
        <w:rPr>
          <w:szCs w:val="22"/>
        </w:rPr>
        <w:t>73.3615</w:t>
      </w:r>
      <w:r w:rsidR="00AE23D1">
        <w:rPr>
          <w:szCs w:val="22"/>
        </w:rPr>
        <w:t xml:space="preserve">. </w:t>
      </w:r>
    </w:p>
  </w:footnote>
  <w:footnote w:id="4">
    <w:p w:rsidR="00D825BB" w:rsidRPr="005624DD" w:rsidP="00A0431E" w14:paraId="70C7ADB5" w14:textId="36CD030A">
      <w:pPr>
        <w:pStyle w:val="FootnoteText"/>
      </w:pPr>
      <w:r>
        <w:rPr>
          <w:rStyle w:val="FootnoteReference"/>
        </w:rPr>
        <w:footnoteRef/>
      </w:r>
      <w:r>
        <w:t xml:space="preserve"> </w:t>
      </w:r>
      <w:r>
        <w:t>47 U.S.C. § 7206(1).</w:t>
      </w:r>
    </w:p>
  </w:footnote>
  <w:footnote w:id="5">
    <w:p w:rsidR="00A725D4" w:rsidP="00A725D4" w14:paraId="6AFDE678" w14:textId="77777777">
      <w:pPr>
        <w:pStyle w:val="FootnoteText"/>
      </w:pPr>
      <w:r>
        <w:rPr>
          <w:rStyle w:val="FootnoteReference"/>
        </w:rPr>
        <w:footnoteRef/>
      </w:r>
      <w:r>
        <w:t xml:space="preserve"> </w:t>
      </w:r>
      <w:r>
        <w:rPr>
          <w:i/>
          <w:iCs/>
        </w:rPr>
        <w:t>See generally Policy Regarding Character Qualifications In Broad. Licensing</w:t>
      </w:r>
      <w:r>
        <w:t>, Report, Order, and Policy Statement, 102 F.C.C.2d 1179 (</w:t>
      </w:r>
      <w:r>
        <w:rPr>
          <w:i/>
          <w:iCs/>
        </w:rPr>
        <w:t>January</w:t>
      </w:r>
      <w:r>
        <w:t xml:space="preserve"> </w:t>
      </w:r>
      <w:r>
        <w:rPr>
          <w:i/>
          <w:iCs/>
        </w:rPr>
        <w:t>1986 Policy Statement</w:t>
      </w:r>
      <w:r>
        <w:t xml:space="preserve">), </w:t>
      </w:r>
      <w:r>
        <w:rPr>
          <w:i/>
          <w:iCs/>
        </w:rPr>
        <w:t>recon. dismissed/denied</w:t>
      </w:r>
      <w:r>
        <w:t xml:space="preserve">¸ 1 FCC </w:t>
      </w:r>
      <w:r>
        <w:t>Rcd</w:t>
      </w:r>
      <w:r>
        <w:t xml:space="preserve"> 421 (</w:t>
      </w:r>
      <w:r>
        <w:rPr>
          <w:i/>
          <w:iCs/>
        </w:rPr>
        <w:t>November 1986 Policy Statement</w:t>
      </w:r>
      <w:r>
        <w:t xml:space="preserve">).  </w:t>
      </w:r>
      <w:r>
        <w:rPr>
          <w:i/>
          <w:iCs/>
        </w:rPr>
        <w:t>See also Policy Regarding Character Qualifications in Broad. Licensing</w:t>
      </w:r>
      <w:r>
        <w:t xml:space="preserve">, Policy Statement and Order, 5 FCC </w:t>
      </w:r>
      <w:r>
        <w:t>Rcd</w:t>
      </w:r>
      <w:r>
        <w:t xml:space="preserve"> 3252 (1990) (</w:t>
      </w:r>
      <w:r>
        <w:rPr>
          <w:i/>
          <w:iCs/>
        </w:rPr>
        <w:t>1990 Policy Statement</w:t>
      </w:r>
      <w:r>
        <w:t xml:space="preserve">), </w:t>
      </w:r>
      <w:r>
        <w:rPr>
          <w:i/>
          <w:iCs/>
        </w:rPr>
        <w:t>modified</w:t>
      </w:r>
      <w:r>
        <w:t>,</w:t>
      </w:r>
      <w:r>
        <w:rPr>
          <w:i/>
          <w:iCs/>
        </w:rPr>
        <w:t xml:space="preserve"> </w:t>
      </w:r>
      <w:r>
        <w:t xml:space="preserve">Memorandum Opinion and Order, 6 FCC </w:t>
      </w:r>
      <w:r>
        <w:t>Rcd</w:t>
      </w:r>
      <w:r>
        <w:t xml:space="preserve"> 3448 (1991) (</w:t>
      </w:r>
      <w:r>
        <w:rPr>
          <w:i/>
          <w:iCs/>
        </w:rPr>
        <w:t>1991 Policy Statement)</w:t>
      </w:r>
      <w:r>
        <w:t xml:space="preserve">, </w:t>
      </w:r>
      <w:r>
        <w:rPr>
          <w:i/>
          <w:iCs/>
        </w:rPr>
        <w:t>further modified</w:t>
      </w:r>
      <w:r>
        <w:t xml:space="preserve">, Memorandum Opinion and Order, 7 FCC </w:t>
      </w:r>
      <w:r>
        <w:t>Rcd</w:t>
      </w:r>
      <w:r>
        <w:t xml:space="preserve"> 6564 (1992) (collectively, </w:t>
      </w:r>
      <w:r>
        <w:rPr>
          <w:i/>
          <w:iCs/>
        </w:rPr>
        <w:t>Character Qualifications Policy Statement</w:t>
      </w:r>
      <w:r>
        <w:t>).</w:t>
      </w:r>
    </w:p>
  </w:footnote>
  <w:footnote w:id="6">
    <w:p w:rsidR="00D825BB" w:rsidP="00C3748C" w14:paraId="1CB7D583" w14:textId="049EF659">
      <w:pPr>
        <w:pStyle w:val="FootnoteText"/>
      </w:pPr>
      <w:r>
        <w:rPr>
          <w:rStyle w:val="FootnoteReference"/>
        </w:rPr>
        <w:footnoteRef/>
      </w:r>
      <w:r>
        <w:t xml:space="preserve"> </w:t>
      </w:r>
      <w:r w:rsidRPr="00FD6EAA" w:rsidR="0075032F">
        <w:t xml:space="preserve">Because this proceeding pertains to the potential revocation of a “station license,” the Commission’s Part 1, subpart B hearing rules apply.  47 CFR § 1.91(d).  Consistent with the Bureau’s past practice, we designate an ALJ to serve as the presiding officer.  </w:t>
      </w:r>
      <w:r w:rsidRPr="00FD6EAA" w:rsidR="0075032F">
        <w:rPr>
          <w:i/>
          <w:iCs/>
        </w:rPr>
        <w:t>See, e.</w:t>
      </w:r>
      <w:r w:rsidRPr="00FD6EAA" w:rsidR="0075032F">
        <w:rPr>
          <w:i/>
          <w:iCs/>
          <w:color w:val="000000" w:themeColor="text1"/>
        </w:rPr>
        <w:t>g</w:t>
      </w:r>
      <w:r w:rsidRPr="00FD6EAA" w:rsidR="0075032F">
        <w:rPr>
          <w:color w:val="000000" w:themeColor="text1"/>
        </w:rPr>
        <w:t xml:space="preserve">., </w:t>
      </w:r>
      <w:r w:rsidRPr="00FD6EAA" w:rsidR="0075032F">
        <w:rPr>
          <w:i/>
          <w:iCs/>
          <w:color w:val="000000"/>
          <w:bdr w:val="none" w:sz="0" w:space="0" w:color="auto" w:frame="1"/>
        </w:rPr>
        <w:t>Auburn Network, Inc.</w:t>
      </w:r>
      <w:r w:rsidRPr="00FD6EAA" w:rsidR="0075032F">
        <w:rPr>
          <w:color w:val="000000"/>
          <w:bdr w:val="none" w:sz="0" w:space="0" w:color="auto" w:frame="1"/>
        </w:rPr>
        <w:t xml:space="preserve">, </w:t>
      </w:r>
      <w:r w:rsidRPr="00FD6EAA" w:rsidR="0075032F">
        <w:rPr>
          <w:color w:val="000000"/>
          <w:shd w:val="clear" w:color="auto" w:fill="FFFFFF"/>
        </w:rPr>
        <w:t>Hearing Designation Order, Order to Show Cause and Notice of Opportunity for Hearing</w:t>
      </w:r>
      <w:r w:rsidRPr="00FD6EAA" w:rsidR="0075032F">
        <w:rPr>
          <w:color w:val="000000"/>
        </w:rPr>
        <w:t xml:space="preserve">, 35 FCC </w:t>
      </w:r>
      <w:r w:rsidRPr="00FD6EAA" w:rsidR="0075032F">
        <w:rPr>
          <w:color w:val="000000"/>
        </w:rPr>
        <w:t>Rcd</w:t>
      </w:r>
      <w:r w:rsidRPr="00FD6EAA" w:rsidR="0075032F">
        <w:rPr>
          <w:color w:val="000000"/>
        </w:rPr>
        <w:t xml:space="preserve"> 1282 (MB 2021)</w:t>
      </w:r>
      <w:r w:rsidRPr="00FD6EAA" w:rsidR="0075032F">
        <w:rPr>
          <w:color w:val="000000" w:themeColor="text1"/>
          <w:shd w:val="clear" w:color="auto" w:fill="FFFFFF"/>
        </w:rPr>
        <w:t>.</w:t>
      </w:r>
      <w:r w:rsidR="00C3748C">
        <w:t xml:space="preserve">  </w:t>
      </w:r>
      <w:r w:rsidR="009E55D4">
        <w:t>W</w:t>
      </w:r>
      <w:r w:rsidRPr="00FD6EAA">
        <w:t xml:space="preserve">ritten hearing procedures, described </w:t>
      </w:r>
      <w:r w:rsidRPr="00FD6EAA">
        <w:rPr>
          <w:i/>
          <w:iCs/>
        </w:rPr>
        <w:t>infra</w:t>
      </w:r>
      <w:r w:rsidRPr="00FD6EAA">
        <w:t xml:space="preserve"> at para.</w:t>
      </w:r>
      <w:r w:rsidR="00EB13A7">
        <w:t xml:space="preserve"> 7</w:t>
      </w:r>
      <w:r w:rsidR="00E261B6">
        <w:t xml:space="preserve">, </w:t>
      </w:r>
      <w:r w:rsidRPr="00FD6EAA">
        <w:t xml:space="preserve">became effective on Nov. 5, 2020.  </w:t>
      </w:r>
      <w:r w:rsidRPr="00FD6EAA">
        <w:rPr>
          <w:i/>
        </w:rPr>
        <w:t xml:space="preserve">See </w:t>
      </w:r>
      <w:r w:rsidRPr="00FD6EAA">
        <w:rPr>
          <w:i/>
          <w:iCs/>
        </w:rPr>
        <w:t>Procedural Streamlining of Administrative Hearings</w:t>
      </w:r>
      <w:r w:rsidRPr="00FD6EAA">
        <w:t xml:space="preserve">, Report and Order, 35 FCC </w:t>
      </w:r>
      <w:r w:rsidRPr="00FD6EAA">
        <w:t>Rcd</w:t>
      </w:r>
      <w:r w:rsidRPr="00FD6EAA">
        <w:t xml:space="preserve"> 10729 (2020) (</w:t>
      </w:r>
      <w:r w:rsidRPr="00FD6EAA">
        <w:rPr>
          <w:i/>
          <w:iCs/>
        </w:rPr>
        <w:t>Written Hearings Report and Order</w:t>
      </w:r>
      <w:r w:rsidRPr="00FD6EAA">
        <w:t>); 85 Fed. Reg. 63166 (Oct. 6, 2020).</w:t>
      </w:r>
      <w:r>
        <w:t xml:space="preserve">  </w:t>
      </w:r>
    </w:p>
  </w:footnote>
  <w:footnote w:id="7">
    <w:p w:rsidR="00D825BB" w:rsidRPr="00285B19" w:rsidP="00A0431E" w14:paraId="082F9E36" w14:textId="2131DFB9">
      <w:pPr>
        <w:pStyle w:val="FootnoteText"/>
      </w:pPr>
      <w:r>
        <w:rPr>
          <w:rStyle w:val="FootnoteReference"/>
        </w:rPr>
        <w:footnoteRef/>
      </w:r>
      <w:r>
        <w:t xml:space="preserve"> </w:t>
      </w:r>
      <w:r>
        <w:rPr>
          <w:i/>
          <w:iCs/>
        </w:rPr>
        <w:t>See United States v. Joseph E. Armstrong</w:t>
      </w:r>
      <w:r>
        <w:t>, No. 3:15-cr-00091-TWP-CCS-001 (U.S. District. Ct. E.D. TN 2017) (</w:t>
      </w:r>
      <w:r>
        <w:rPr>
          <w:i/>
          <w:iCs/>
        </w:rPr>
        <w:t xml:space="preserve">Armstrong </w:t>
      </w:r>
      <w:r>
        <w:t>Proceeding).</w:t>
      </w:r>
    </w:p>
  </w:footnote>
  <w:footnote w:id="8">
    <w:p w:rsidR="00D825BB" w14:paraId="2968AEEC" w14:textId="3BEFDF66">
      <w:pPr>
        <w:pStyle w:val="FootnoteText"/>
      </w:pPr>
      <w:r>
        <w:rPr>
          <w:rStyle w:val="FootnoteReference"/>
        </w:rPr>
        <w:footnoteRef/>
      </w:r>
      <w:r>
        <w:t xml:space="preserve"> </w:t>
      </w:r>
      <w:r>
        <w:rPr>
          <w:i/>
          <w:iCs/>
        </w:rPr>
        <w:t xml:space="preserve">See </w:t>
      </w:r>
      <w:r>
        <w:t xml:space="preserve">United States’ Sentencing Memo, </w:t>
      </w:r>
      <w:r>
        <w:rPr>
          <w:i/>
          <w:iCs/>
        </w:rPr>
        <w:t xml:space="preserve">Armstrong </w:t>
      </w:r>
      <w:r>
        <w:t xml:space="preserve">Proceeding (Nov. 30, 2016) at 2, 6; Memorandum and Order, </w:t>
      </w:r>
      <w:r>
        <w:rPr>
          <w:i/>
          <w:iCs/>
        </w:rPr>
        <w:t xml:space="preserve">Armstrong </w:t>
      </w:r>
      <w:r>
        <w:t>Proceeding (Phillips, J. Oct. 12, 2016) at 1, 4.</w:t>
      </w:r>
    </w:p>
  </w:footnote>
  <w:footnote w:id="9">
    <w:p w:rsidR="00BD2587" w:rsidP="00BD2587" w14:paraId="06843D9D" w14:textId="0C8FE07B">
      <w:pPr>
        <w:pStyle w:val="FootnoteText"/>
      </w:pPr>
      <w:r>
        <w:rPr>
          <w:rStyle w:val="FootnoteReference"/>
        </w:rPr>
        <w:footnoteRef/>
      </w:r>
      <w:r>
        <w:t xml:space="preserve"> </w:t>
      </w:r>
      <w:r>
        <w:t>47 CFR § 1.65(c) (requiring licensees to report adverse court and administrative findings of conduct that would have a bearing on character qualifications).</w:t>
      </w:r>
    </w:p>
  </w:footnote>
  <w:footnote w:id="10">
    <w:p w:rsidR="00D825BB" w14:paraId="246F7140" w14:textId="6C446A92">
      <w:pPr>
        <w:pStyle w:val="FootnoteText"/>
      </w:pPr>
      <w:r>
        <w:rPr>
          <w:rStyle w:val="FootnoteReference"/>
        </w:rPr>
        <w:footnoteRef/>
      </w:r>
      <w:r>
        <w:t xml:space="preserve"> </w:t>
      </w:r>
      <w:r w:rsidR="00E845A3">
        <w:rPr>
          <w:i/>
          <w:iCs/>
        </w:rPr>
        <w:t xml:space="preserve">See </w:t>
      </w:r>
      <w:r w:rsidR="002C02DE">
        <w:t>WJBE(AM)</w:t>
      </w:r>
      <w:r w:rsidR="000233EB">
        <w:t>—</w:t>
      </w:r>
      <w:r w:rsidR="002C02DE">
        <w:t>Letter from James L. Winston, Esq. to Marlene H. Dortch, FCC, Report Pursuant to Section 1.65</w:t>
      </w:r>
      <w:r w:rsidR="00E845A3">
        <w:t xml:space="preserve"> (Apr. 14, 2017) (Adverse Finding Report)</w:t>
      </w:r>
      <w:r>
        <w:t>.</w:t>
      </w:r>
    </w:p>
  </w:footnote>
  <w:footnote w:id="11">
    <w:p w:rsidR="00D825BB" w:rsidP="00A0431E" w14:paraId="2C81CBF2" w14:textId="539A1CB9">
      <w:pPr>
        <w:pStyle w:val="FootnoteText"/>
      </w:pPr>
      <w:r w:rsidRPr="007B136B">
        <w:rPr>
          <w:rStyle w:val="FootnoteReference"/>
        </w:rPr>
        <w:footnoteRef/>
      </w:r>
      <w:r w:rsidRPr="007B136B">
        <w:t xml:space="preserve"> </w:t>
      </w:r>
      <w:r>
        <w:t>Renewal Application, Attach. (WJBE - Adverse Findings Exhibit).  Among the relevant factors identified in the renewal certification are two applicable to the instant matter</w:t>
      </w:r>
      <w:r w:rsidR="000233EB">
        <w:t>—</w:t>
      </w:r>
      <w:r>
        <w:t>whether there has been</w:t>
      </w:r>
      <w:r>
        <w:rPr>
          <w:szCs w:val="22"/>
        </w:rPr>
        <w:t xml:space="preserve"> a felony conviction or fraudulent statements to another government unit.</w:t>
      </w:r>
    </w:p>
  </w:footnote>
  <w:footnote w:id="12">
    <w:p w:rsidR="002733AC" w:rsidP="002733AC" w14:paraId="34C7B3FB" w14:textId="182198D8">
      <w:pPr>
        <w:pStyle w:val="FootnoteText"/>
      </w:pPr>
      <w:r>
        <w:rPr>
          <w:rStyle w:val="FootnoteReference"/>
        </w:rPr>
        <w:footnoteRef/>
      </w:r>
      <w:r>
        <w:t xml:space="preserve"> </w:t>
      </w:r>
      <w:r>
        <w:rPr>
          <w:i/>
          <w:iCs/>
          <w:szCs w:val="22"/>
        </w:rPr>
        <w:t xml:space="preserve">See </w:t>
      </w:r>
      <w:r>
        <w:t xml:space="preserve">Renewal Application, Attach. (Online Public Inspection File Exhibit).  </w:t>
      </w:r>
    </w:p>
  </w:footnote>
  <w:footnote w:id="13">
    <w:p w:rsidR="00F0327A" w:rsidP="00F0327A" w14:paraId="6CF88DED" w14:textId="5912035B">
      <w:pPr>
        <w:pStyle w:val="FootnoteText"/>
      </w:pPr>
      <w:r>
        <w:rPr>
          <w:rStyle w:val="FootnoteReference"/>
        </w:rPr>
        <w:footnoteRef/>
      </w:r>
      <w:r>
        <w:t xml:space="preserve"> </w:t>
      </w:r>
      <w:r>
        <w:rPr>
          <w:i/>
          <w:iCs/>
        </w:rPr>
        <w:t xml:space="preserve">Id. </w:t>
      </w:r>
      <w:r w:rsidR="00D11F92">
        <w:rPr>
          <w:i/>
          <w:iCs/>
        </w:rPr>
        <w:t xml:space="preserve"> </w:t>
      </w:r>
      <w:r w:rsidRPr="00F70D41">
        <w:rPr>
          <w:szCs w:val="22"/>
        </w:rPr>
        <w:t>In an exhibit to the Renewal Application, A&amp;R notes that it had no ownership changes to report, it had maintained issues/programs lists in paper format at its studio, and has since filed and uploaded the required information to its online public inspection file</w:t>
      </w:r>
      <w:r>
        <w:rPr>
          <w:szCs w:val="22"/>
        </w:rPr>
        <w:t xml:space="preserve">.  </w:t>
      </w:r>
      <w:r>
        <w:rPr>
          <w:i/>
          <w:iCs/>
        </w:rPr>
        <w:t>Id.</w:t>
      </w:r>
      <w:r>
        <w:t xml:space="preserve"> at 1.  </w:t>
      </w:r>
      <w:r w:rsidRPr="00F70D41">
        <w:rPr>
          <w:szCs w:val="22"/>
        </w:rPr>
        <w:t>In that same exhibit, A&amp;R requests waivers of the rules it would otherwise be considered to have violated, stating that these were inadvertent oversights by a station operated with very little staff.</w:t>
      </w:r>
      <w:r>
        <w:rPr>
          <w:szCs w:val="22"/>
        </w:rPr>
        <w:t xml:space="preserve">  </w:t>
      </w:r>
      <w:r>
        <w:rPr>
          <w:i/>
          <w:iCs/>
        </w:rPr>
        <w:t>Id.</w:t>
      </w:r>
    </w:p>
  </w:footnote>
  <w:footnote w:id="14">
    <w:p w:rsidR="008D1215" w14:paraId="03EB66DC" w14:textId="675DFF53">
      <w:pPr>
        <w:pStyle w:val="FootnoteText"/>
      </w:pPr>
      <w:r>
        <w:rPr>
          <w:rStyle w:val="FootnoteReference"/>
        </w:rPr>
        <w:footnoteRef/>
      </w:r>
      <w:r>
        <w:t xml:space="preserve"> </w:t>
      </w:r>
      <w:r>
        <w:t>47 U.S.C. § 312(a).</w:t>
      </w:r>
    </w:p>
  </w:footnote>
  <w:footnote w:id="15">
    <w:p w:rsidR="0039094C" w:rsidRPr="0039094C" w14:paraId="4BC1F52D" w14:textId="296849AF">
      <w:pPr>
        <w:pStyle w:val="FootnoteText"/>
      </w:pPr>
      <w:r>
        <w:rPr>
          <w:rStyle w:val="FootnoteReference"/>
        </w:rPr>
        <w:footnoteRef/>
      </w:r>
      <w:r>
        <w:t xml:space="preserve"> </w:t>
      </w:r>
      <w:r>
        <w:rPr>
          <w:i/>
          <w:iCs/>
        </w:rPr>
        <w:t xml:space="preserve">Id. </w:t>
      </w:r>
      <w:r>
        <w:t>§ 312(a)(2).</w:t>
      </w:r>
    </w:p>
  </w:footnote>
  <w:footnote w:id="16">
    <w:p w:rsidR="00A71142" w:rsidRPr="00FC05FC" w14:paraId="1923B21F" w14:textId="7B55C7FB">
      <w:pPr>
        <w:pStyle w:val="FootnoteText"/>
      </w:pPr>
      <w:r>
        <w:rPr>
          <w:rStyle w:val="FootnoteReference"/>
        </w:rPr>
        <w:footnoteRef/>
      </w:r>
      <w:r>
        <w:t xml:space="preserve"> </w:t>
      </w:r>
      <w:r>
        <w:rPr>
          <w:i/>
          <w:iCs/>
        </w:rPr>
        <w:t xml:space="preserve">E.g., Terry </w:t>
      </w:r>
      <w:r w:rsidR="00100056">
        <w:rPr>
          <w:i/>
          <w:iCs/>
        </w:rPr>
        <w:t xml:space="preserve">Keith Hammond, </w:t>
      </w:r>
      <w:r w:rsidRPr="00100056" w:rsidR="00100056">
        <w:rPr>
          <w:szCs w:val="22"/>
        </w:rPr>
        <w:t>Order to Show Cause, Notice of Opportunity for Hearing</w:t>
      </w:r>
      <w:r w:rsidR="000F4589">
        <w:rPr>
          <w:szCs w:val="22"/>
        </w:rPr>
        <w:t xml:space="preserve">, and </w:t>
      </w:r>
      <w:r w:rsidRPr="00100056" w:rsidR="000F4589">
        <w:rPr>
          <w:szCs w:val="22"/>
        </w:rPr>
        <w:t>Hearing Designation Order,</w:t>
      </w:r>
      <w:r w:rsidR="000F4589">
        <w:rPr>
          <w:szCs w:val="22"/>
        </w:rPr>
        <w:t xml:space="preserve"> </w:t>
      </w:r>
      <w:r w:rsidR="00553D8D">
        <w:rPr>
          <w:szCs w:val="22"/>
        </w:rPr>
        <w:t xml:space="preserve">21 </w:t>
      </w:r>
      <w:r w:rsidR="000F4589">
        <w:rPr>
          <w:szCs w:val="22"/>
        </w:rPr>
        <w:t xml:space="preserve">FCC </w:t>
      </w:r>
      <w:r w:rsidR="000F4589">
        <w:rPr>
          <w:szCs w:val="22"/>
        </w:rPr>
        <w:t>Rcd</w:t>
      </w:r>
      <w:r w:rsidR="000F4589">
        <w:rPr>
          <w:szCs w:val="22"/>
        </w:rPr>
        <w:t xml:space="preserve"> </w:t>
      </w:r>
      <w:r w:rsidR="00553D8D">
        <w:rPr>
          <w:szCs w:val="22"/>
        </w:rPr>
        <w:t>10267,</w:t>
      </w:r>
      <w:r w:rsidR="0072382A">
        <w:rPr>
          <w:szCs w:val="22"/>
        </w:rPr>
        <w:t xml:space="preserve"> </w:t>
      </w:r>
      <w:r w:rsidR="00375ABF">
        <w:rPr>
          <w:szCs w:val="22"/>
        </w:rPr>
        <w:t xml:space="preserve">10272, para. 13 </w:t>
      </w:r>
      <w:r w:rsidR="000F4589">
        <w:rPr>
          <w:szCs w:val="22"/>
        </w:rPr>
        <w:t>(2006) (</w:t>
      </w:r>
      <w:r w:rsidR="00281BFF">
        <w:rPr>
          <w:szCs w:val="22"/>
        </w:rPr>
        <w:t xml:space="preserve">applicant’s </w:t>
      </w:r>
      <w:r w:rsidR="000F4589">
        <w:rPr>
          <w:szCs w:val="22"/>
        </w:rPr>
        <w:t xml:space="preserve">felony conviction </w:t>
      </w:r>
      <w:r w:rsidR="00F504CC">
        <w:rPr>
          <w:szCs w:val="22"/>
        </w:rPr>
        <w:t xml:space="preserve">and untruthful statements </w:t>
      </w:r>
      <w:r w:rsidR="000F4589">
        <w:rPr>
          <w:szCs w:val="22"/>
        </w:rPr>
        <w:t>a</w:t>
      </w:r>
      <w:r w:rsidR="00AC0C6A">
        <w:rPr>
          <w:szCs w:val="22"/>
        </w:rPr>
        <w:t xml:space="preserve">mong </w:t>
      </w:r>
      <w:r w:rsidR="003F5588">
        <w:rPr>
          <w:szCs w:val="22"/>
        </w:rPr>
        <w:t>ground</w:t>
      </w:r>
      <w:r w:rsidR="00AC0C6A">
        <w:rPr>
          <w:szCs w:val="22"/>
        </w:rPr>
        <w:t>s for designating</w:t>
      </w:r>
      <w:r w:rsidR="000F4589">
        <w:rPr>
          <w:szCs w:val="22"/>
        </w:rPr>
        <w:t xml:space="preserve"> license renewal application</w:t>
      </w:r>
      <w:r w:rsidR="00AC0C6A">
        <w:rPr>
          <w:szCs w:val="22"/>
        </w:rPr>
        <w:t xml:space="preserve"> for hearing</w:t>
      </w:r>
      <w:r w:rsidR="000F4589">
        <w:rPr>
          <w:szCs w:val="22"/>
        </w:rPr>
        <w:t>).</w:t>
      </w:r>
      <w:r w:rsidR="00796E74">
        <w:rPr>
          <w:szCs w:val="22"/>
        </w:rPr>
        <w:t xml:space="preserve">  </w:t>
      </w:r>
      <w:r w:rsidR="00E11131">
        <w:rPr>
          <w:i/>
          <w:iCs/>
          <w:szCs w:val="22"/>
        </w:rPr>
        <w:t xml:space="preserve">See also </w:t>
      </w:r>
      <w:r w:rsidR="00E11131">
        <w:rPr>
          <w:szCs w:val="22"/>
        </w:rPr>
        <w:t>47 U</w:t>
      </w:r>
      <w:r w:rsidR="00312D16">
        <w:rPr>
          <w:szCs w:val="22"/>
        </w:rPr>
        <w:t>.</w:t>
      </w:r>
      <w:r w:rsidR="00E11131">
        <w:rPr>
          <w:szCs w:val="22"/>
        </w:rPr>
        <w:t>S</w:t>
      </w:r>
      <w:r w:rsidR="00312D16">
        <w:rPr>
          <w:szCs w:val="22"/>
        </w:rPr>
        <w:t>.</w:t>
      </w:r>
      <w:r w:rsidR="00E11131">
        <w:rPr>
          <w:szCs w:val="22"/>
        </w:rPr>
        <w:t>C</w:t>
      </w:r>
      <w:r w:rsidR="00312D16">
        <w:rPr>
          <w:szCs w:val="22"/>
        </w:rPr>
        <w:t>.</w:t>
      </w:r>
      <w:r w:rsidR="00E11131">
        <w:rPr>
          <w:szCs w:val="22"/>
        </w:rPr>
        <w:t xml:space="preserve"> </w:t>
      </w:r>
      <w:r w:rsidR="00E11131">
        <w:t>§§ 308</w:t>
      </w:r>
      <w:r w:rsidR="00C755A1">
        <w:t xml:space="preserve"> (requirements for license can include character)</w:t>
      </w:r>
      <w:r w:rsidR="00E11131">
        <w:t>, 309 (public interest a factor in considering applications)</w:t>
      </w:r>
      <w:r w:rsidR="00FC05FC">
        <w:t>.</w:t>
      </w:r>
    </w:p>
  </w:footnote>
  <w:footnote w:id="17">
    <w:p w:rsidR="00E77AC2" w:rsidP="00CC7EBA" w14:paraId="6A54A516" w14:textId="058FEFA2">
      <w:pPr>
        <w:shd w:val="clear" w:color="auto" w:fill="FFFFFF"/>
        <w:textAlignment w:val="baseline"/>
        <w:rPr>
          <w:color w:val="000000"/>
          <w:sz w:val="20"/>
          <w:bdr w:val="none" w:sz="0" w:space="0" w:color="auto" w:frame="1"/>
          <w:shd w:val="clear" w:color="auto" w:fill="FFFFFF"/>
        </w:rPr>
      </w:pPr>
      <w:r w:rsidRPr="00CC7EBA">
        <w:rPr>
          <w:rStyle w:val="FootnoteReference"/>
        </w:rPr>
        <w:footnoteRef/>
      </w:r>
      <w:r w:rsidRPr="00CC7EBA">
        <w:t xml:space="preserve"> </w:t>
      </w:r>
      <w:r w:rsidRPr="00CC7EBA">
        <w:rPr>
          <w:i/>
          <w:iCs/>
          <w:color w:val="000000"/>
          <w:sz w:val="20"/>
          <w:bdr w:val="none" w:sz="0" w:space="0" w:color="auto" w:frame="1"/>
          <w:shd w:val="clear" w:color="auto" w:fill="FFFFFF"/>
        </w:rPr>
        <w:t>See Character Policy Statement</w:t>
      </w:r>
      <w:r w:rsidRPr="00CC7EBA">
        <w:rPr>
          <w:color w:val="000000"/>
          <w:sz w:val="20"/>
          <w:bdr w:val="none" w:sz="0" w:space="0" w:color="auto" w:frame="1"/>
          <w:shd w:val="clear" w:color="auto" w:fill="FFFFFF"/>
        </w:rPr>
        <w:t xml:space="preserve">, </w:t>
      </w:r>
      <w:r w:rsidRPr="00CC7EBA">
        <w:rPr>
          <w:color w:val="000000"/>
          <w:sz w:val="20"/>
        </w:rPr>
        <w:t xml:space="preserve">102 F.C.C.2d at 1209, para. </w:t>
      </w:r>
      <w:r w:rsidRPr="00CC7EBA" w:rsidR="002C3802">
        <w:rPr>
          <w:color w:val="000000"/>
          <w:sz w:val="20"/>
        </w:rPr>
        <w:t xml:space="preserve">55 </w:t>
      </w:r>
      <w:r w:rsidRPr="00CC7EBA">
        <w:rPr>
          <w:color w:val="000000"/>
          <w:sz w:val="20"/>
          <w:bdr w:val="none" w:sz="0" w:space="0" w:color="auto" w:frame="1"/>
          <w:shd w:val="clear" w:color="auto" w:fill="FFFFFF"/>
        </w:rPr>
        <w:t>(stating that the character inquiry centers on “whether the licensee will in the future be likely to be forthright in its dealings with the Commission and to operate its station consistent with the requirements of the Communications Act and the Commission's Rules and policies,” violations of which “have a potential bearing on character qualifications”).</w:t>
      </w:r>
    </w:p>
    <w:p w:rsidR="00CC7EBA" w:rsidRPr="00CC7EBA" w:rsidP="00CC7EBA" w14:paraId="7DE8BEDD" w14:textId="77777777">
      <w:pPr>
        <w:shd w:val="clear" w:color="auto" w:fill="FFFFFF"/>
        <w:textAlignment w:val="baseline"/>
        <w:rPr>
          <w:color w:val="000000"/>
          <w:sz w:val="20"/>
        </w:rPr>
      </w:pPr>
    </w:p>
  </w:footnote>
  <w:footnote w:id="18">
    <w:p w:rsidR="002C3802" w:rsidRPr="002C3802" w14:paraId="23E91179" w14:textId="4E561CF8">
      <w:pPr>
        <w:pStyle w:val="FootnoteText"/>
      </w:pPr>
      <w:r w:rsidRPr="00CC7EBA">
        <w:rPr>
          <w:rStyle w:val="FootnoteReference"/>
        </w:rPr>
        <w:footnoteRef/>
      </w:r>
      <w:r w:rsidRPr="00CC7EBA">
        <w:t xml:space="preserve"> </w:t>
      </w:r>
      <w:r w:rsidRPr="00CC7EBA">
        <w:rPr>
          <w:i/>
          <w:iCs/>
        </w:rPr>
        <w:t>Id.</w:t>
      </w:r>
      <w:r w:rsidRPr="00CC7EBA">
        <w:t xml:space="preserve"> at </w:t>
      </w:r>
      <w:r w:rsidRPr="00CC7EBA" w:rsidR="000C1EC2">
        <w:t xml:space="preserve">1209-10, </w:t>
      </w:r>
      <w:r w:rsidRPr="00CC7EBA">
        <w:t>paras. 56-57.</w:t>
      </w:r>
    </w:p>
  </w:footnote>
  <w:footnote w:id="19">
    <w:p w:rsidR="00D825BB" w:rsidP="00A21B01" w14:paraId="36AD2A0A" w14:textId="406AF49A">
      <w:pPr>
        <w:pStyle w:val="FootnoteText"/>
      </w:pPr>
      <w:r>
        <w:rPr>
          <w:rStyle w:val="FootnoteReference"/>
        </w:rPr>
        <w:footnoteRef/>
      </w:r>
      <w:r>
        <w:t xml:space="preserve"> </w:t>
      </w:r>
      <w:r>
        <w:t xml:space="preserve">The term “non-FCC misconduct” refers to misconduct other than a violation of the </w:t>
      </w:r>
      <w:r w:rsidR="0055433F">
        <w:t>R</w:t>
      </w:r>
      <w:r>
        <w:t>ules or the Act.</w:t>
      </w:r>
      <w:r w:rsidR="00246A65">
        <w:t xml:space="preserve"> </w:t>
      </w:r>
      <w:r>
        <w:t xml:space="preserve"> </w:t>
      </w:r>
      <w:r w:rsidR="001A25C8">
        <w:rPr>
          <w:i/>
          <w:iCs/>
        </w:rPr>
        <w:t xml:space="preserve">January </w:t>
      </w:r>
      <w:r>
        <w:rPr>
          <w:i/>
          <w:iCs/>
        </w:rPr>
        <w:t>1986 Policy Statement</w:t>
      </w:r>
      <w:r>
        <w:t>, 102 F.C.C.2d at 1183 n.11, para. 7.</w:t>
      </w:r>
      <w:r w:rsidR="00492983">
        <w:t xml:space="preserve">  </w:t>
      </w:r>
      <w:r w:rsidRPr="00342FA9" w:rsidR="00492983">
        <w:rPr>
          <w:szCs w:val="22"/>
        </w:rPr>
        <w:t>The Commission and the courts have recognized that “[t]he FCC relies heavily on the honesty and probity of its licensees in a regulatory system that is largely self-policing.”</w:t>
      </w:r>
      <w:r w:rsidR="00492983">
        <w:rPr>
          <w:szCs w:val="22"/>
        </w:rPr>
        <w:t xml:space="preserve">  </w:t>
      </w:r>
      <w:r w:rsidRPr="006A4A95" w:rsidR="00492983">
        <w:rPr>
          <w:rStyle w:val="Emphasis"/>
          <w:color w:val="3D3D3D"/>
          <w:bdr w:val="none" w:sz="0" w:space="0" w:color="auto" w:frame="1"/>
          <w:shd w:val="clear" w:color="auto" w:fill="FFFFFF"/>
        </w:rPr>
        <w:t>See </w:t>
      </w:r>
      <w:hyperlink r:id="rId1" w:anchor="co_pp_sp_506_193" w:history="1">
        <w:r w:rsidRPr="006A4A95" w:rsidR="00492983">
          <w:rPr>
            <w:rStyle w:val="Emphasis"/>
            <w:bdr w:val="none" w:sz="0" w:space="0" w:color="auto" w:frame="1"/>
            <w:shd w:val="clear" w:color="auto" w:fill="FFFFFF"/>
          </w:rPr>
          <w:t>Contemporary Media, Inc., v. FCC</w:t>
        </w:r>
        <w:r w:rsidRPr="006A4A95" w:rsidR="00492983">
          <w:rPr>
            <w:rStyle w:val="Hyperlink"/>
            <w:color w:val="auto"/>
            <w:u w:val="none"/>
            <w:bdr w:val="none" w:sz="0" w:space="0" w:color="auto" w:frame="1"/>
            <w:shd w:val="clear" w:color="auto" w:fill="FFFFFF"/>
          </w:rPr>
          <w:t>, 214 F.3d 187, 193 (D.C. Cir. 2000)</w:t>
        </w:r>
      </w:hyperlink>
      <w:r w:rsidRPr="006A4A95" w:rsidR="00492983">
        <w:rPr>
          <w:shd w:val="clear" w:color="auto" w:fill="FFFFFF"/>
        </w:rPr>
        <w:t>.</w:t>
      </w:r>
      <w:r w:rsidR="00492983">
        <w:rPr>
          <w:shd w:val="clear" w:color="auto" w:fill="FFFFFF"/>
        </w:rPr>
        <w:t xml:space="preserve">  </w:t>
      </w:r>
      <w:r w:rsidR="00492983">
        <w:rPr>
          <w:szCs w:val="22"/>
        </w:rPr>
        <w:t>R</w:t>
      </w:r>
      <w:r w:rsidRPr="006637B2" w:rsidR="00492983">
        <w:rPr>
          <w:szCs w:val="22"/>
        </w:rPr>
        <w:t>eliability is a key</w:t>
      </w:r>
      <w:r w:rsidR="00492983">
        <w:rPr>
          <w:szCs w:val="22"/>
        </w:rPr>
        <w:t>, necessary</w:t>
      </w:r>
      <w:r w:rsidRPr="006637B2" w:rsidR="00492983">
        <w:rPr>
          <w:szCs w:val="22"/>
        </w:rPr>
        <w:t xml:space="preserve"> element</w:t>
      </w:r>
      <w:r w:rsidR="00492983">
        <w:rPr>
          <w:szCs w:val="22"/>
        </w:rPr>
        <w:t xml:space="preserve"> </w:t>
      </w:r>
      <w:r w:rsidRPr="006637B2" w:rsidR="00492983">
        <w:rPr>
          <w:szCs w:val="22"/>
        </w:rPr>
        <w:t>to operat</w:t>
      </w:r>
      <w:r w:rsidR="00492983">
        <w:rPr>
          <w:szCs w:val="22"/>
        </w:rPr>
        <w:t>ing</w:t>
      </w:r>
      <w:r w:rsidRPr="006637B2" w:rsidR="00492983">
        <w:rPr>
          <w:szCs w:val="22"/>
        </w:rPr>
        <w:t xml:space="preserve"> a broadcast station in the public interest.</w:t>
      </w:r>
      <w:r w:rsidR="00492983">
        <w:rPr>
          <w:szCs w:val="22"/>
        </w:rPr>
        <w:t xml:space="preserve">  </w:t>
      </w:r>
      <w:r w:rsidRPr="00C61530" w:rsidR="00492983">
        <w:rPr>
          <w:i/>
          <w:iCs/>
        </w:rPr>
        <w:t>See</w:t>
      </w:r>
      <w:r w:rsidR="00492983">
        <w:t xml:space="preserve"> </w:t>
      </w:r>
      <w:r w:rsidR="00492983">
        <w:rPr>
          <w:i/>
          <w:iCs/>
        </w:rPr>
        <w:t>1986 Policy Statement</w:t>
      </w:r>
      <w:r w:rsidR="00492983">
        <w:t>, 102 F.C.C.2d</w:t>
      </w:r>
      <w:r w:rsidR="00492983">
        <w:rPr>
          <w:i/>
          <w:iCs/>
        </w:rPr>
        <w:t xml:space="preserve"> </w:t>
      </w:r>
      <w:r w:rsidR="00492983">
        <w:t xml:space="preserve">at 1195, para. 35.  </w:t>
      </w:r>
      <w:r w:rsidR="00492983">
        <w:rPr>
          <w:szCs w:val="22"/>
        </w:rPr>
        <w:t xml:space="preserve">An applicant or licensee’s </w:t>
      </w:r>
      <w:r w:rsidRPr="006637B2" w:rsidR="00492983">
        <w:rPr>
          <w:szCs w:val="22"/>
        </w:rPr>
        <w:t xml:space="preserve">propensity to comply with the law generally is relevant </w:t>
      </w:r>
      <w:r w:rsidR="00492983">
        <w:rPr>
          <w:szCs w:val="22"/>
        </w:rPr>
        <w:t>because a</w:t>
      </w:r>
      <w:r w:rsidRPr="006637B2" w:rsidR="00492983">
        <w:rPr>
          <w:szCs w:val="22"/>
        </w:rPr>
        <w:t xml:space="preserve"> willingness </w:t>
      </w:r>
      <w:r w:rsidR="00492983">
        <w:rPr>
          <w:szCs w:val="22"/>
        </w:rPr>
        <w:t xml:space="preserve">to </w:t>
      </w:r>
      <w:r w:rsidRPr="006637B2" w:rsidR="00492983">
        <w:rPr>
          <w:szCs w:val="22"/>
        </w:rPr>
        <w:t xml:space="preserve">be less than truthful with other government agencies, to violate other laws, and, in particular, to commit felonies, is </w:t>
      </w:r>
      <w:r w:rsidR="00492983">
        <w:rPr>
          <w:szCs w:val="22"/>
        </w:rPr>
        <w:t xml:space="preserve">potentially </w:t>
      </w:r>
      <w:r w:rsidRPr="006637B2" w:rsidR="00492983">
        <w:rPr>
          <w:szCs w:val="22"/>
        </w:rPr>
        <w:t>indicative of whether the</w:t>
      </w:r>
      <w:r w:rsidR="00492983">
        <w:rPr>
          <w:szCs w:val="22"/>
        </w:rPr>
        <w:t xml:space="preserve"> </w:t>
      </w:r>
      <w:r w:rsidRPr="006637B2" w:rsidR="00492983">
        <w:rPr>
          <w:szCs w:val="22"/>
        </w:rPr>
        <w:t xml:space="preserve">applicant or licensee will </w:t>
      </w:r>
      <w:r w:rsidR="00492983">
        <w:rPr>
          <w:szCs w:val="22"/>
        </w:rPr>
        <w:t xml:space="preserve">in the future </w:t>
      </w:r>
      <w:r w:rsidRPr="006637B2" w:rsidR="00492983">
        <w:rPr>
          <w:szCs w:val="22"/>
        </w:rPr>
        <w:t>conform to the Commission’s rules or policies.</w:t>
      </w:r>
      <w:r w:rsidR="00492983">
        <w:rPr>
          <w:szCs w:val="22"/>
        </w:rPr>
        <w:t xml:space="preserve">  </w:t>
      </w:r>
      <w:r w:rsidRPr="00C61530" w:rsidR="00492983">
        <w:rPr>
          <w:i/>
          <w:iCs/>
        </w:rPr>
        <w:t>See</w:t>
      </w:r>
      <w:r w:rsidR="00492983">
        <w:t xml:space="preserve"> </w:t>
      </w:r>
      <w:r w:rsidR="00492983">
        <w:rPr>
          <w:i/>
          <w:iCs/>
        </w:rPr>
        <w:t>1990 Policy Statement</w:t>
      </w:r>
      <w:r w:rsidR="00492983">
        <w:t xml:space="preserve">, 5 FCC </w:t>
      </w:r>
      <w:r w:rsidR="00492983">
        <w:t>Rcd</w:t>
      </w:r>
      <w:r w:rsidR="00492983">
        <w:t xml:space="preserve"> at 3252, para. 3.</w:t>
      </w:r>
    </w:p>
  </w:footnote>
  <w:footnote w:id="20">
    <w:p w:rsidR="00D825BB" w:rsidP="00A21B01" w14:paraId="2C3282F9" w14:textId="68528248">
      <w:pPr>
        <w:pStyle w:val="FootnoteText"/>
      </w:pPr>
      <w:r>
        <w:rPr>
          <w:rStyle w:val="FootnoteReference"/>
        </w:rPr>
        <w:footnoteRef/>
      </w:r>
      <w:r>
        <w:t xml:space="preserve"> </w:t>
      </w:r>
      <w:r>
        <w:rPr>
          <w:i/>
          <w:iCs/>
        </w:rPr>
        <w:t xml:space="preserve">See </w:t>
      </w:r>
      <w:r w:rsidR="007478D9">
        <w:rPr>
          <w:i/>
          <w:iCs/>
        </w:rPr>
        <w:t>id.</w:t>
      </w:r>
      <w:r>
        <w:t xml:space="preserve"> at para. 4.</w:t>
      </w:r>
    </w:p>
  </w:footnote>
  <w:footnote w:id="21">
    <w:p w:rsidR="00D825BB" w:rsidP="00A21B01" w14:paraId="28D74CEC" w14:textId="77777777">
      <w:pPr>
        <w:pStyle w:val="FootnoteText"/>
        <w:rPr>
          <w:i/>
          <w:iCs/>
        </w:rPr>
      </w:pPr>
      <w:r>
        <w:rPr>
          <w:rStyle w:val="FootnoteReference"/>
        </w:rPr>
        <w:footnoteRef/>
      </w:r>
      <w:r>
        <w:t xml:space="preserve"> </w:t>
      </w:r>
      <w:r>
        <w:rPr>
          <w:i/>
          <w:iCs/>
        </w:rPr>
        <w:t>Id.</w:t>
      </w:r>
    </w:p>
  </w:footnote>
  <w:footnote w:id="22">
    <w:p w:rsidR="00D825BB" w:rsidRPr="00BC2510" w:rsidP="006D6FF4" w14:paraId="37D5A000" w14:textId="317A5B08">
      <w:pPr>
        <w:pStyle w:val="FootnoteText"/>
      </w:pPr>
      <w:r>
        <w:rPr>
          <w:rStyle w:val="FootnoteReference"/>
        </w:rPr>
        <w:footnoteRef/>
      </w:r>
      <w:r>
        <w:t xml:space="preserve"> </w:t>
      </w:r>
      <w:r w:rsidR="009E3FA9">
        <w:rPr>
          <w:i/>
          <w:iCs/>
        </w:rPr>
        <w:t xml:space="preserve">January </w:t>
      </w:r>
      <w:r>
        <w:rPr>
          <w:i/>
          <w:iCs/>
        </w:rPr>
        <w:t>1986 Policy Statement</w:t>
      </w:r>
      <w:r>
        <w:t>, 102 F.C.C.2d at 1196, para. 36.  In establishing this policy, the Commission specifically referenced the significance of misconduct before other federal agencies</w:t>
      </w:r>
      <w:r w:rsidR="0072382A">
        <w:t>,</w:t>
      </w:r>
      <w:r>
        <w:t xml:space="preserve"> including the Internal Revenue Service.  </w:t>
      </w:r>
      <w:r>
        <w:rPr>
          <w:i/>
          <w:iCs/>
        </w:rPr>
        <w:t xml:space="preserve">Id. </w:t>
      </w:r>
      <w:r>
        <w:t>at 1194, para. 32.</w:t>
      </w:r>
    </w:p>
  </w:footnote>
  <w:footnote w:id="23">
    <w:p w:rsidR="00D825BB" w:rsidRPr="00A34917" w:rsidP="00A21B01" w14:paraId="56E15AA8" w14:textId="05925B48">
      <w:pPr>
        <w:pStyle w:val="FootnoteText"/>
      </w:pPr>
      <w:r>
        <w:rPr>
          <w:rStyle w:val="FootnoteReference"/>
        </w:rPr>
        <w:footnoteRef/>
      </w:r>
      <w:r>
        <w:t xml:space="preserve"> </w:t>
      </w:r>
      <w:r>
        <w:rPr>
          <w:i/>
          <w:iCs/>
        </w:rPr>
        <w:t>1990 Policy Statement</w:t>
      </w:r>
      <w:r>
        <w:t xml:space="preserve">, 5 FCC </w:t>
      </w:r>
      <w:r>
        <w:t>Rcd</w:t>
      </w:r>
      <w:r>
        <w:t xml:space="preserve"> at 3252, para. 5 (“</w:t>
      </w:r>
      <w:r>
        <w:rPr>
          <w:color w:val="000000"/>
          <w:shd w:val="clear" w:color="auto" w:fill="FFFFFF"/>
        </w:rPr>
        <w:t>While conviction for a felony raises questions of whether an applicant or licensee has the requisite propensity to obey the law, we continue to believe that there are mitigating factors that must be taken into consideration in our deliberations</w:t>
      </w:r>
      <w:r>
        <w:t>.”);</w:t>
      </w:r>
      <w:r>
        <w:rPr>
          <w:i/>
          <w:iCs/>
        </w:rPr>
        <w:t xml:space="preserve"> January 1986 Policy Statement</w:t>
      </w:r>
      <w:r>
        <w:t>, 102 F.C.C.2d at 1227-29, paras. 102-106 (discussion of mitigating factors).</w:t>
      </w:r>
      <w:r w:rsidR="003921E0">
        <w:t xml:space="preserve">  </w:t>
      </w:r>
    </w:p>
  </w:footnote>
  <w:footnote w:id="24">
    <w:p w:rsidR="00816233" w:rsidRPr="00816233" w14:paraId="69E31E96" w14:textId="193CFB2E">
      <w:pPr>
        <w:pStyle w:val="FootnoteText"/>
      </w:pPr>
      <w:r>
        <w:rPr>
          <w:rStyle w:val="FootnoteReference"/>
        </w:rPr>
        <w:footnoteRef/>
      </w:r>
      <w:r>
        <w:t xml:space="preserve"> </w:t>
      </w:r>
      <w:r>
        <w:rPr>
          <w:i/>
          <w:iCs/>
        </w:rPr>
        <w:t xml:space="preserve">See </w:t>
      </w:r>
      <w:r w:rsidR="004A6E97">
        <w:rPr>
          <w:i/>
          <w:iCs/>
        </w:rPr>
        <w:t>id</w:t>
      </w:r>
      <w:r>
        <w:t>.</w:t>
      </w:r>
    </w:p>
  </w:footnote>
  <w:footnote w:id="25">
    <w:p w:rsidR="00A858E0" w:rsidRPr="0087268F" w:rsidP="00A858E0" w14:paraId="74996ED7" w14:textId="77777777">
      <w:pPr>
        <w:pStyle w:val="FootnoteText"/>
        <w:spacing w:before="60" w:after="60"/>
      </w:pPr>
      <w:r w:rsidRPr="0087268F">
        <w:rPr>
          <w:rStyle w:val="FootnoteReference"/>
        </w:rPr>
        <w:footnoteRef/>
      </w:r>
      <w:r w:rsidRPr="0087268F">
        <w:t xml:space="preserve"> </w:t>
      </w:r>
      <w:r w:rsidRPr="0087268F">
        <w:rPr>
          <w:i/>
        </w:rPr>
        <w:t>Contemporary Media Inc. v. FCC</w:t>
      </w:r>
      <w:r w:rsidRPr="0087268F">
        <w:t>, 214 F.3d 187, 193 (D.C. Cir. 2000) (citation omitted).</w:t>
      </w:r>
    </w:p>
  </w:footnote>
  <w:footnote w:id="26">
    <w:p w:rsidR="00BA1CA5" w:rsidRPr="0087268F" w:rsidP="00BA1CA5" w14:paraId="517404DD" w14:textId="77777777">
      <w:pPr>
        <w:pStyle w:val="FootnoteText"/>
        <w:spacing w:before="60" w:after="60"/>
      </w:pPr>
      <w:r w:rsidRPr="0087268F">
        <w:rPr>
          <w:rStyle w:val="FootnoteReference"/>
        </w:rPr>
        <w:footnoteRef/>
      </w:r>
      <w:r w:rsidRPr="0087268F">
        <w:t xml:space="preserve"> </w:t>
      </w:r>
      <w:r w:rsidRPr="0087268F">
        <w:rPr>
          <w:i/>
        </w:rPr>
        <w:t xml:space="preserve">See </w:t>
      </w:r>
      <w:r>
        <w:rPr>
          <w:i/>
        </w:rPr>
        <w:t xml:space="preserve">January </w:t>
      </w:r>
      <w:r w:rsidRPr="0087268F">
        <w:rPr>
          <w:i/>
        </w:rPr>
        <w:t>1986 Character Policy Statement</w:t>
      </w:r>
      <w:r w:rsidRPr="0087268F">
        <w:t xml:space="preserve">, </w:t>
      </w:r>
      <w:r w:rsidRPr="0087268F">
        <w:rPr>
          <w:rStyle w:val="documentbody"/>
        </w:rPr>
        <w:t xml:space="preserve">102 FCC 2d at 1209-11.  The fundamental importance of truthfulness and candor on the part of applicants and licensees in their dealings with the Commission is well established.  </w:t>
      </w:r>
      <w:r w:rsidRPr="0087268F">
        <w:rPr>
          <w:rStyle w:val="documentbody"/>
          <w:i/>
        </w:rPr>
        <w:t>See</w:t>
      </w:r>
      <w:r w:rsidRPr="0087268F">
        <w:t xml:space="preserve"> </w:t>
      </w:r>
      <w:r w:rsidRPr="0087268F">
        <w:rPr>
          <w:i/>
        </w:rPr>
        <w:t xml:space="preserve">FCC v. WOKO, Inc., </w:t>
      </w:r>
      <w:r w:rsidRPr="0087268F">
        <w:t xml:space="preserve">329 U.S. 223 (1946); </w:t>
      </w:r>
      <w:r w:rsidRPr="0087268F">
        <w:rPr>
          <w:i/>
        </w:rPr>
        <w:t xml:space="preserve">Nick J. </w:t>
      </w:r>
      <w:r w:rsidRPr="0087268F">
        <w:rPr>
          <w:i/>
        </w:rPr>
        <w:t>Chaconas</w:t>
      </w:r>
      <w:r w:rsidRPr="0087268F">
        <w:t>,</w:t>
      </w:r>
      <w:r w:rsidRPr="0087268F">
        <w:rPr>
          <w:i/>
        </w:rPr>
        <w:t xml:space="preserve"> </w:t>
      </w:r>
      <w:r w:rsidRPr="0087268F">
        <w:t xml:space="preserve">Decision, </w:t>
      </w:r>
      <w:hyperlink r:id="rId2" w:tgtFrame="_top" w:history="1">
        <w:r w:rsidRPr="0087268F">
          <w:rPr>
            <w:rStyle w:val="Hyperlink"/>
            <w:color w:val="auto"/>
            <w:u w:val="none"/>
          </w:rPr>
          <w:t>28 FCC 2d 231 (1971)</w:t>
        </w:r>
      </w:hyperlink>
      <w:r w:rsidRPr="0087268F">
        <w:t xml:space="preserve">; </w:t>
      </w:r>
      <w:hyperlink r:id="rId3" w:tgtFrame="_top" w:history="1">
        <w:r w:rsidRPr="0087268F">
          <w:rPr>
            <w:rStyle w:val="Hyperlink"/>
            <w:i/>
            <w:iCs/>
            <w:color w:val="auto"/>
            <w:u w:val="none"/>
          </w:rPr>
          <w:t xml:space="preserve">Lebanon Valley Radio, Inc., </w:t>
        </w:r>
        <w:r w:rsidRPr="0087268F">
          <w:rPr>
            <w:rStyle w:val="Hyperlink"/>
            <w:iCs/>
            <w:color w:val="auto"/>
            <w:u w:val="none"/>
          </w:rPr>
          <w:t>Decision</w:t>
        </w:r>
        <w:r w:rsidRPr="0087268F">
          <w:rPr>
            <w:rStyle w:val="Hyperlink"/>
            <w:color w:val="auto"/>
            <w:u w:val="none"/>
          </w:rPr>
          <w:t>,</w:t>
        </w:r>
        <w:r w:rsidRPr="0087268F">
          <w:rPr>
            <w:rStyle w:val="Hyperlink"/>
            <w:i/>
            <w:color w:val="auto"/>
            <w:u w:val="none"/>
          </w:rPr>
          <w:t xml:space="preserve"> </w:t>
        </w:r>
        <w:r w:rsidRPr="0087268F">
          <w:rPr>
            <w:rStyle w:val="Hyperlink"/>
            <w:color w:val="auto"/>
            <w:u w:val="none"/>
          </w:rPr>
          <w:t>35 FCC 2d 243 (Rev. Bd. 1972)</w:t>
        </w:r>
      </w:hyperlink>
      <w:r w:rsidRPr="0087268F">
        <w:t>.</w:t>
      </w:r>
    </w:p>
  </w:footnote>
  <w:footnote w:id="27">
    <w:p w:rsidR="00D825BB" w:rsidRPr="006835C3" w:rsidP="00A0431E" w14:paraId="673D5820" w14:textId="7F35D787">
      <w:pPr>
        <w:pStyle w:val="FootnoteText"/>
      </w:pPr>
      <w:r w:rsidRPr="006835C3">
        <w:rPr>
          <w:rStyle w:val="FootnoteReference"/>
        </w:rPr>
        <w:footnoteRef/>
      </w:r>
      <w:r w:rsidRPr="006835C3">
        <w:t xml:space="preserve"> </w:t>
      </w:r>
      <w:r w:rsidRPr="000F0CC7">
        <w:rPr>
          <w:i/>
        </w:rPr>
        <w:t>See</w:t>
      </w:r>
      <w:r w:rsidR="00C818DB">
        <w:t xml:space="preserve"> note </w:t>
      </w:r>
      <w:r w:rsidRPr="004540F4" w:rsidR="003056E0">
        <w:t>4</w:t>
      </w:r>
      <w:r w:rsidR="00C818DB">
        <w:t xml:space="preserve"> </w:t>
      </w:r>
      <w:r w:rsidRPr="00C818DB" w:rsidR="00C818DB">
        <w:rPr>
          <w:i/>
          <w:iCs/>
        </w:rPr>
        <w:t>supra</w:t>
      </w:r>
      <w:r>
        <w:t>.</w:t>
      </w:r>
    </w:p>
  </w:footnote>
  <w:footnote w:id="28">
    <w:p w:rsidR="00D825BB" w:rsidP="00C444A8" w14:paraId="7153E792" w14:textId="47A63995">
      <w:pPr>
        <w:pStyle w:val="FootnoteText"/>
      </w:pPr>
      <w:r>
        <w:rPr>
          <w:rStyle w:val="FootnoteReference"/>
        </w:rPr>
        <w:footnoteRef/>
      </w:r>
      <w:r>
        <w:t xml:space="preserve"> </w:t>
      </w:r>
      <w:r>
        <w:t xml:space="preserve">47 U.S.C. § </w:t>
      </w:r>
      <w:r w:rsidR="007871D6">
        <w:t>409</w:t>
      </w:r>
      <w:r>
        <w:t>(a); 47 CFR §§ 1.267, 1.274(c).  That Initial Decision will be subject to review by the Commission pursuant to 47 CFR §§ 1.276-277 under the circumstances described therein.</w:t>
      </w:r>
    </w:p>
  </w:footnote>
  <w:footnote w:id="29">
    <w:p w:rsidR="007871D6" w:rsidRPr="00A76539" w:rsidP="007871D6" w14:paraId="78A91763" w14:textId="70EB299C">
      <w:pPr>
        <w:shd w:val="clear" w:color="auto" w:fill="FFFFFF"/>
        <w:spacing w:after="120"/>
        <w:textAlignment w:val="baseline"/>
        <w:rPr>
          <w:i/>
          <w:iCs/>
          <w:sz w:val="20"/>
        </w:rPr>
      </w:pPr>
      <w:r>
        <w:rPr>
          <w:rStyle w:val="FootnoteReference"/>
        </w:rPr>
        <w:footnoteRef/>
      </w:r>
      <w:r>
        <w:t xml:space="preserve"> </w:t>
      </w:r>
      <w:r>
        <w:rPr>
          <w:i/>
          <w:iCs/>
        </w:rPr>
        <w:t xml:space="preserve">See </w:t>
      </w:r>
      <w:r>
        <w:rPr>
          <w:i/>
          <w:iCs/>
          <w:color w:val="000000"/>
          <w:sz w:val="20"/>
          <w:bdr w:val="none" w:sz="0" w:space="0" w:color="auto" w:frame="1"/>
        </w:rPr>
        <w:t>Auburn Network, Inc</w:t>
      </w:r>
      <w:r w:rsidR="00A76539">
        <w:rPr>
          <w:i/>
          <w:iCs/>
          <w:color w:val="000000"/>
          <w:sz w:val="20"/>
          <w:bdr w:val="none" w:sz="0" w:space="0" w:color="auto" w:frame="1"/>
        </w:rPr>
        <w:t xml:space="preserve">., </w:t>
      </w:r>
      <w:r w:rsidRPr="00A76539" w:rsidR="00A76539">
        <w:rPr>
          <w:color w:val="000000"/>
          <w:sz w:val="20"/>
          <w:shd w:val="clear" w:color="auto" w:fill="FFFFFF"/>
        </w:rPr>
        <w:t>Hearing Designation Order, Order to Show Cause and Notice of Opportunity for Hearing</w:t>
      </w:r>
      <w:r w:rsidRPr="00A76539" w:rsidR="00A76539">
        <w:rPr>
          <w:color w:val="000000"/>
          <w:sz w:val="20"/>
        </w:rPr>
        <w:t xml:space="preserve">, </w:t>
      </w:r>
      <w:r w:rsidR="00A76539">
        <w:rPr>
          <w:color w:val="000000"/>
          <w:sz w:val="20"/>
        </w:rPr>
        <w:t xml:space="preserve">35 FCC </w:t>
      </w:r>
      <w:r w:rsidR="00A76539">
        <w:rPr>
          <w:color w:val="000000"/>
          <w:sz w:val="20"/>
        </w:rPr>
        <w:t>Rcd</w:t>
      </w:r>
      <w:r w:rsidR="00A76539">
        <w:rPr>
          <w:color w:val="000000"/>
          <w:sz w:val="20"/>
        </w:rPr>
        <w:t xml:space="preserve"> 1282, 1288</w:t>
      </w:r>
      <w:r w:rsidR="00D550FB">
        <w:rPr>
          <w:color w:val="000000"/>
          <w:sz w:val="20"/>
        </w:rPr>
        <w:t>, para. 16</w:t>
      </w:r>
      <w:r w:rsidRPr="00FD6EAA" w:rsidR="00A76539">
        <w:rPr>
          <w:color w:val="000000"/>
          <w:bdr w:val="none" w:sz="0" w:space="0" w:color="auto" w:frame="1"/>
        </w:rPr>
        <w:t xml:space="preserve"> </w:t>
      </w:r>
      <w:r w:rsidRPr="00A76539" w:rsidR="00A76539">
        <w:rPr>
          <w:color w:val="000000"/>
          <w:sz w:val="20"/>
        </w:rPr>
        <w:t>(MB 2021)</w:t>
      </w:r>
      <w:r w:rsidRPr="00A76539" w:rsidR="00A76539">
        <w:rPr>
          <w:color w:val="000000" w:themeColor="text1"/>
          <w:sz w:val="20"/>
          <w:shd w:val="clear" w:color="auto" w:fill="FFFFFF"/>
        </w:rPr>
        <w:t xml:space="preserve">.  </w:t>
      </w:r>
    </w:p>
  </w:footnote>
  <w:footnote w:id="30">
    <w:p w:rsidR="00A46DC4" w:rsidP="00A46DC4" w14:paraId="7D6E8997" w14:textId="78DB9E5E">
      <w:pPr>
        <w:pStyle w:val="FootnoteText"/>
      </w:pPr>
      <w:r>
        <w:rPr>
          <w:rStyle w:val="FootnoteReference"/>
        </w:rPr>
        <w:footnoteRef/>
      </w:r>
      <w:r>
        <w:t xml:space="preserve"> </w:t>
      </w:r>
      <w:r>
        <w:t xml:space="preserve">47 CFR § </w:t>
      </w:r>
      <w:r w:rsidRPr="003C4FD9">
        <w:t>1.</w:t>
      </w:r>
      <w:r w:rsidR="00F30EF3">
        <w:t>9</w:t>
      </w:r>
      <w:r w:rsidRPr="003C4FD9">
        <w:t>1(c).</w:t>
      </w:r>
    </w:p>
  </w:footnote>
  <w:footnote w:id="31">
    <w:p w:rsidR="00F30EF3" w14:paraId="1C32E25B" w14:textId="527DBCC9">
      <w:pPr>
        <w:pStyle w:val="FootnoteText"/>
      </w:pPr>
      <w:r>
        <w:rPr>
          <w:rStyle w:val="FootnoteReference"/>
        </w:rPr>
        <w:footnoteRef/>
      </w:r>
      <w:r>
        <w:t xml:space="preserve">  </w:t>
      </w:r>
      <w:r w:rsidR="0086166D">
        <w:rPr>
          <w:i/>
          <w:iCs/>
        </w:rPr>
        <w:t xml:space="preserve">Id. </w:t>
      </w:r>
    </w:p>
  </w:footnote>
  <w:footnote w:id="32">
    <w:p w:rsidR="00B63541" w:rsidP="00B63541" w14:paraId="753D06D5" w14:textId="08A847C0">
      <w:pPr>
        <w:pStyle w:val="FootnoteText"/>
        <w:widowControl w:val="0"/>
      </w:pPr>
      <w:r>
        <w:rPr>
          <w:rStyle w:val="FootnoteReference"/>
        </w:rPr>
        <w:footnoteRef/>
      </w:r>
      <w:r>
        <w:t xml:space="preserve"> </w:t>
      </w:r>
      <w:r>
        <w:t xml:space="preserve">Section 1.294 of the Rules shall determine the deadlines for oppositions (and replies, if permitted) for most interlocutory motions submitted to the presiding officer.  </w:t>
      </w:r>
      <w:r>
        <w:rPr>
          <w:i/>
          <w:iCs/>
        </w:rPr>
        <w:t>See id</w:t>
      </w:r>
      <w:r>
        <w:t xml:space="preserve">. § 1.294.  The filing deadlines for oppositions (and replies, if permitted) to motions to enlarge, change, or delete issues made pursuant to section 1.229 of the </w:t>
      </w:r>
      <w:r w:rsidR="003056E0">
        <w:t>R</w:t>
      </w:r>
      <w:r>
        <w:t xml:space="preserve">ules and motions to intervene made pursuant to section 1.223 of the Rules, for example, shall be at the discretion of the presiding officer. </w:t>
      </w:r>
    </w:p>
  </w:footnote>
  <w:footnote w:id="33">
    <w:p w:rsidR="00B63541" w:rsidP="00B63541" w14:paraId="413C22DF" w14:textId="77777777">
      <w:pPr>
        <w:pStyle w:val="FootnoteText"/>
        <w:widowControl w:val="0"/>
      </w:pPr>
      <w:r>
        <w:rPr>
          <w:rStyle w:val="FootnoteReference"/>
        </w:rPr>
        <w:footnoteRef/>
      </w:r>
      <w:r>
        <w:t xml:space="preserve"> </w:t>
      </w:r>
      <w:r>
        <w:rPr>
          <w:i/>
          <w:iCs/>
        </w:rPr>
        <w:t>See</w:t>
      </w:r>
      <w:r>
        <w:t xml:space="preserve"> </w:t>
      </w:r>
      <w:r>
        <w:rPr>
          <w:i/>
          <w:iCs/>
        </w:rPr>
        <w:t>id</w:t>
      </w:r>
      <w:r>
        <w:t>. §§ 1.371-1.375.</w:t>
      </w:r>
    </w:p>
  </w:footnote>
  <w:footnote w:id="34">
    <w:p w:rsidR="00B63541" w:rsidP="00B63541" w14:paraId="3B12AAD7" w14:textId="77777777">
      <w:pPr>
        <w:pStyle w:val="FootnoteText"/>
      </w:pPr>
      <w:r>
        <w:rPr>
          <w:rStyle w:val="FootnoteReference"/>
        </w:rPr>
        <w:footnoteRef/>
      </w:r>
      <w:r>
        <w:t xml:space="preserve"> </w:t>
      </w:r>
      <w:r>
        <w:rPr>
          <w:i/>
          <w:iCs/>
        </w:rPr>
        <w:t>See</w:t>
      </w:r>
      <w:r>
        <w:t xml:space="preserve"> </w:t>
      </w:r>
      <w:r>
        <w:rPr>
          <w:i/>
          <w:iCs/>
        </w:rPr>
        <w:t>id</w:t>
      </w:r>
      <w:r>
        <w:t>. § 1.248(b).</w:t>
      </w:r>
    </w:p>
  </w:footnote>
  <w:footnote w:id="35">
    <w:p w:rsidR="003C4039" w:rsidRPr="00D73845" w:rsidP="003C4039" w14:paraId="1FA331CF" w14:textId="2694381A">
      <w:pPr>
        <w:pStyle w:val="FootnoteText"/>
      </w:pPr>
      <w:r w:rsidRPr="006835C3">
        <w:rPr>
          <w:rStyle w:val="FootnoteReference"/>
        </w:rPr>
        <w:footnoteRef/>
      </w:r>
      <w:r w:rsidRPr="006835C3">
        <w:t xml:space="preserve"> </w:t>
      </w:r>
      <w:r w:rsidRPr="006835C3">
        <w:rPr>
          <w:i/>
          <w:iCs/>
        </w:rPr>
        <w:t>See</w:t>
      </w:r>
      <w:r w:rsidRPr="00D73845">
        <w:t xml:space="preserve"> </w:t>
      </w:r>
      <w:r w:rsidR="00695D9E">
        <w:rPr>
          <w:i/>
          <w:iCs/>
        </w:rPr>
        <w:t>id</w:t>
      </w:r>
      <w:r w:rsidR="00695D9E">
        <w:t>.</w:t>
      </w:r>
      <w:r w:rsidRPr="00D73845">
        <w:t xml:space="preserve"> § 1.248.</w:t>
      </w:r>
    </w:p>
  </w:footnote>
  <w:footnote w:id="36">
    <w:p w:rsidR="00D825BB" w:rsidP="00A0431E" w14:paraId="239C3C6C" w14:textId="1F3902FB">
      <w:pPr>
        <w:pStyle w:val="FootnoteText"/>
      </w:pPr>
      <w:r>
        <w:rPr>
          <w:rStyle w:val="FootnoteReference"/>
        </w:rPr>
        <w:footnoteRef/>
      </w:r>
      <w:r>
        <w:t xml:space="preserve"> </w:t>
      </w:r>
      <w:r w:rsidRPr="00D73845">
        <w:rPr>
          <w:i/>
          <w:iCs/>
        </w:rPr>
        <w:t>See</w:t>
      </w:r>
      <w:r w:rsidRPr="00D73845">
        <w:t xml:space="preserve"> </w:t>
      </w:r>
      <w:r w:rsidR="00695D9E">
        <w:rPr>
          <w:i/>
          <w:iCs/>
        </w:rPr>
        <w:t>id</w:t>
      </w:r>
      <w:r w:rsidR="00695D9E">
        <w:t>.</w:t>
      </w:r>
      <w:r w:rsidRPr="00D73845">
        <w:t xml:space="preserve"> § 1.246.</w:t>
      </w:r>
    </w:p>
  </w:footnote>
  <w:footnote w:id="37">
    <w:p w:rsidR="00D825BB" w:rsidRPr="00D73845" w:rsidP="00A0431E" w14:paraId="3BC6C9FC" w14:textId="77777777">
      <w:pPr>
        <w:pStyle w:val="FootnoteText"/>
      </w:pPr>
      <w:r w:rsidRPr="006835C3">
        <w:rPr>
          <w:rStyle w:val="FootnoteReference"/>
        </w:rPr>
        <w:footnoteRef/>
      </w:r>
      <w:r w:rsidRPr="006835C3">
        <w:t xml:space="preserve"> </w:t>
      </w:r>
      <w:r w:rsidRPr="00D73845">
        <w:rPr>
          <w:i/>
          <w:iCs/>
        </w:rPr>
        <w:t>See</w:t>
      </w:r>
      <w:r w:rsidRPr="00D73845">
        <w:t xml:space="preserve"> </w:t>
      </w:r>
      <w:r w:rsidRPr="0041613F">
        <w:rPr>
          <w:i/>
          <w:iCs/>
        </w:rPr>
        <w:t>id</w:t>
      </w:r>
      <w:r w:rsidRPr="00D73845">
        <w:t>.</w:t>
      </w:r>
    </w:p>
  </w:footnote>
  <w:footnote w:id="38">
    <w:p w:rsidR="005B6CD1" w:rsidP="005B6CD1" w14:paraId="737720F3" w14:textId="5A4CBF0B">
      <w:pPr>
        <w:pStyle w:val="FootnoteText"/>
      </w:pPr>
      <w:r>
        <w:rPr>
          <w:rStyle w:val="FootnoteReference"/>
        </w:rPr>
        <w:footnoteRef/>
      </w:r>
      <w:r>
        <w:t xml:space="preserve"> </w:t>
      </w:r>
      <w:r>
        <w:rPr>
          <w:i/>
          <w:iCs/>
        </w:rPr>
        <w:t>See id</w:t>
      </w:r>
      <w:r>
        <w:t>. §§ 1.311</w:t>
      </w:r>
      <w:r w:rsidR="008A17B0">
        <w:t>-</w:t>
      </w:r>
      <w:r w:rsidR="00E71853">
        <w:t>1.325</w:t>
      </w:r>
      <w:r>
        <w:t>.</w:t>
      </w:r>
    </w:p>
  </w:footnote>
  <w:footnote w:id="39">
    <w:p w:rsidR="005B6CD1" w:rsidP="005B6CD1" w14:paraId="3C37FE7E" w14:textId="77777777">
      <w:pPr>
        <w:pStyle w:val="FootnoteText"/>
      </w:pPr>
      <w:r>
        <w:rPr>
          <w:rStyle w:val="FootnoteReference"/>
        </w:rPr>
        <w:footnoteRef/>
      </w:r>
      <w:r>
        <w:t xml:space="preserve"> </w:t>
      </w:r>
      <w:r>
        <w:rPr>
          <w:i/>
          <w:iCs/>
        </w:rPr>
        <w:t>See</w:t>
      </w:r>
      <w:r>
        <w:t xml:space="preserve">, </w:t>
      </w:r>
      <w:r>
        <w:rPr>
          <w:i/>
          <w:iCs/>
        </w:rPr>
        <w:t>e.g</w:t>
      </w:r>
      <w:r>
        <w:t>.,</w:t>
      </w:r>
      <w:r>
        <w:rPr>
          <w:i/>
          <w:iCs/>
        </w:rPr>
        <w:t xml:space="preserve"> id</w:t>
      </w:r>
      <w:r>
        <w:t xml:space="preserve">. §§ 1.315, 1.323, and 1.325. </w:t>
      </w:r>
    </w:p>
  </w:footnote>
  <w:footnote w:id="40">
    <w:p w:rsidR="00D825BB" w:rsidRPr="00D73845" w:rsidP="00A0431E" w14:paraId="0C46659A" w14:textId="3AD550D0">
      <w:pPr>
        <w:pStyle w:val="FootnoteText"/>
      </w:pPr>
      <w:r w:rsidRPr="006835C3">
        <w:rPr>
          <w:rStyle w:val="FootnoteReference"/>
        </w:rPr>
        <w:footnoteRef/>
      </w:r>
      <w:r w:rsidRPr="006835C3">
        <w:t xml:space="preserve"> </w:t>
      </w:r>
      <w:r w:rsidRPr="000603F9" w:rsidR="000603F9">
        <w:rPr>
          <w:i/>
          <w:iCs/>
        </w:rPr>
        <w:t>Id.</w:t>
      </w:r>
      <w:r w:rsidRPr="006835C3">
        <w:t xml:space="preserve"> § 1.351. </w:t>
      </w:r>
    </w:p>
  </w:footnote>
  <w:footnote w:id="41">
    <w:p w:rsidR="00D825BB" w:rsidRPr="00D73845" w:rsidP="00A0431E" w14:paraId="03B47D85" w14:textId="248A2104">
      <w:pPr>
        <w:pStyle w:val="FootnoteText"/>
      </w:pPr>
      <w:r w:rsidRPr="006835C3">
        <w:rPr>
          <w:rStyle w:val="FootnoteReference"/>
        </w:rPr>
        <w:footnoteRef/>
      </w:r>
      <w:r w:rsidRPr="006835C3">
        <w:t xml:space="preserve"> </w:t>
      </w:r>
      <w:r w:rsidRPr="006835C3">
        <w:rPr>
          <w:i/>
        </w:rPr>
        <w:t xml:space="preserve">See </w:t>
      </w:r>
      <w:r w:rsidR="000603F9">
        <w:rPr>
          <w:i/>
        </w:rPr>
        <w:t>id.</w:t>
      </w:r>
      <w:r w:rsidRPr="00D73845">
        <w:t xml:space="preserve"> § 1.223(a).  </w:t>
      </w:r>
    </w:p>
  </w:footnote>
  <w:footnote w:id="42">
    <w:p w:rsidR="00D825BB" w:rsidRPr="00D73845" w:rsidP="00A0431E" w14:paraId="3E40101D" w14:textId="62216E0B">
      <w:pPr>
        <w:pStyle w:val="FootnoteText"/>
      </w:pPr>
      <w:r w:rsidRPr="006835C3">
        <w:rPr>
          <w:rStyle w:val="FootnoteReference"/>
        </w:rPr>
        <w:footnoteRef/>
      </w:r>
      <w:r w:rsidRPr="006835C3">
        <w:t xml:space="preserve"> </w:t>
      </w:r>
      <w:r w:rsidRPr="006835C3">
        <w:rPr>
          <w:i/>
        </w:rPr>
        <w:t xml:space="preserve">See </w:t>
      </w:r>
      <w:r w:rsidR="000603F9">
        <w:rPr>
          <w:i/>
        </w:rPr>
        <w:t>id.</w:t>
      </w:r>
      <w:r w:rsidRPr="00D73845">
        <w:t xml:space="preserve"> § 1.223(b).</w:t>
      </w:r>
    </w:p>
  </w:footnote>
  <w:footnote w:id="43">
    <w:p w:rsidR="00D825BB" w:rsidRPr="00D73845" w:rsidP="00A0431E" w14:paraId="3AB6F63D" w14:textId="378782CC">
      <w:pPr>
        <w:pStyle w:val="FootnoteText"/>
      </w:pPr>
      <w:r w:rsidRPr="006835C3">
        <w:rPr>
          <w:rStyle w:val="FootnoteReference"/>
        </w:rPr>
        <w:footnoteRef/>
      </w:r>
      <w:r w:rsidRPr="006835C3">
        <w:t xml:space="preserve"> </w:t>
      </w:r>
      <w:r w:rsidRPr="006835C3">
        <w:rPr>
          <w:i/>
        </w:rPr>
        <w:t>See</w:t>
      </w:r>
      <w:r w:rsidRPr="00D73845">
        <w:t xml:space="preserve"> </w:t>
      </w:r>
      <w:r w:rsidR="000603F9">
        <w:rPr>
          <w:i/>
          <w:iCs/>
        </w:rPr>
        <w:t>id.</w:t>
      </w:r>
      <w:r w:rsidRPr="00D73845">
        <w:t xml:space="preserve"> § 1.229.  </w:t>
      </w:r>
    </w:p>
  </w:footnote>
  <w:footnote w:id="44">
    <w:p w:rsidR="00D825BB" w:rsidRPr="006970E0" w:rsidP="00A0431E" w14:paraId="18114380" w14:textId="0F6E9EFC">
      <w:pPr>
        <w:pStyle w:val="FootnoteText"/>
      </w:pPr>
      <w:r w:rsidRPr="006835C3">
        <w:rPr>
          <w:rStyle w:val="FootnoteReference"/>
        </w:rPr>
        <w:footnoteRef/>
      </w:r>
      <w:r w:rsidRPr="006835C3">
        <w:t xml:space="preserve"> </w:t>
      </w:r>
      <w:r w:rsidRPr="006835C3">
        <w:rPr>
          <w:i/>
        </w:rPr>
        <w:t>See</w:t>
      </w:r>
      <w:r w:rsidRPr="00D73845">
        <w:t xml:space="preserve"> </w:t>
      </w:r>
      <w:r w:rsidR="000603F9">
        <w:rPr>
          <w:i/>
          <w:iCs/>
        </w:rPr>
        <w:t>id.</w:t>
      </w:r>
      <w:r w:rsidRPr="00D73845">
        <w:t xml:space="preserve"> § 1.1208 (“Proceedings in which </w:t>
      </w:r>
      <w:r w:rsidRPr="009B05AB">
        <w:rPr>
          <w:i/>
          <w:iCs/>
        </w:rPr>
        <w:t xml:space="preserve">ex </w:t>
      </w:r>
      <w:r w:rsidRPr="009B05AB">
        <w:rPr>
          <w:i/>
          <w:iCs/>
        </w:rPr>
        <w:t>parte</w:t>
      </w:r>
      <w:r w:rsidRPr="00D73845">
        <w:t xml:space="preserve"> presentations are prohibited, referred to as ‘restricted’ proceedings, include . . . all proceedings that have been designated for hearing</w:t>
      </w:r>
      <w:r w:rsidRPr="0049079F">
        <w:t xml:space="preserve"> .</w:t>
      </w:r>
      <w:r w:rsidRPr="00F61B8F">
        <w:t xml:space="preserve"> . .”).  </w:t>
      </w:r>
      <w:r w:rsidRPr="00B57EC5">
        <w:rPr>
          <w:i/>
        </w:rPr>
        <w:t>See also</w:t>
      </w:r>
      <w:r w:rsidRPr="00B57EC5">
        <w:t xml:space="preserve"> </w:t>
      </w:r>
      <w:r w:rsidRPr="000603F9" w:rsidR="000603F9">
        <w:rPr>
          <w:i/>
          <w:iCs/>
        </w:rPr>
        <w:t>id.</w:t>
      </w:r>
      <w:r w:rsidRPr="00B57EC5">
        <w:t xml:space="preserve"> §§ 1.1202(b) (describing what constitutes an </w:t>
      </w:r>
      <w:r w:rsidRPr="00782630">
        <w:rPr>
          <w:i/>
        </w:rPr>
        <w:t xml:space="preserve">ex </w:t>
      </w:r>
      <w:r w:rsidRPr="00782630">
        <w:rPr>
          <w:i/>
        </w:rPr>
        <w:t>parte</w:t>
      </w:r>
      <w:r w:rsidRPr="00782630">
        <w:t xml:space="preserve"> presentation)</w:t>
      </w:r>
      <w:r>
        <w:t>, 1.1204 (exceptions)</w:t>
      </w:r>
      <w:r w:rsidRPr="00782630">
        <w:t>.</w:t>
      </w:r>
    </w:p>
  </w:footnote>
  <w:footnote w:id="45">
    <w:p w:rsidR="008F5A89" w:rsidP="008F5A89" w14:paraId="09E0400A" w14:textId="77777777">
      <w:pPr>
        <w:pStyle w:val="FootnoteText"/>
        <w:widowControl w:val="0"/>
      </w:pPr>
      <w:r>
        <w:rPr>
          <w:rStyle w:val="FootnoteReference"/>
        </w:rPr>
        <w:footnoteRef/>
      </w:r>
      <w:r>
        <w:t xml:space="preserve"> </w:t>
      </w:r>
      <w:r>
        <w:rPr>
          <w:i/>
          <w:iCs/>
        </w:rPr>
        <w:t>See</w:t>
      </w:r>
      <w:r>
        <w:t xml:space="preserve"> </w:t>
      </w:r>
      <w:r>
        <w:rPr>
          <w:i/>
          <w:iCs/>
        </w:rPr>
        <w:t>id</w:t>
      </w:r>
      <w:r>
        <w:t>. § 1.51.</w:t>
      </w:r>
    </w:p>
  </w:footnote>
  <w:footnote w:id="46">
    <w:p w:rsidR="00D825BB" w:rsidRPr="00D73845" w:rsidP="00A0431E" w14:paraId="547086A0" w14:textId="21D5EBDC">
      <w:pPr>
        <w:pStyle w:val="FootnoteText"/>
      </w:pPr>
      <w:r w:rsidRPr="006835C3">
        <w:rPr>
          <w:rStyle w:val="FootnoteReference"/>
        </w:rPr>
        <w:footnoteRef/>
      </w:r>
      <w:r w:rsidRPr="006835C3">
        <w:t xml:space="preserve"> </w:t>
      </w:r>
      <w:r w:rsidRPr="006835C3">
        <w:rPr>
          <w:i/>
          <w:iCs/>
        </w:rPr>
        <w:t>See</w:t>
      </w:r>
      <w:r w:rsidRPr="00D73845">
        <w:t xml:space="preserve"> </w:t>
      </w:r>
      <w:r w:rsidR="000603F9">
        <w:rPr>
          <w:i/>
          <w:iCs/>
        </w:rPr>
        <w:t>id.</w:t>
      </w:r>
      <w:r w:rsidRPr="00D73845">
        <w:t xml:space="preserve"> § 1.209.</w:t>
      </w:r>
    </w:p>
  </w:footnote>
  <w:footnote w:id="47">
    <w:p w:rsidR="00D825BB" w:rsidRPr="00D73845" w:rsidP="00A0431E" w14:paraId="7BE9954B" w14:textId="26C6273F">
      <w:pPr>
        <w:pStyle w:val="FootnoteText"/>
      </w:pPr>
      <w:r w:rsidRPr="006835C3">
        <w:rPr>
          <w:rStyle w:val="FootnoteReference"/>
        </w:rPr>
        <w:footnoteRef/>
      </w:r>
      <w:r w:rsidRPr="006835C3">
        <w:t xml:space="preserve"> </w:t>
      </w:r>
      <w:r w:rsidRPr="006835C3">
        <w:rPr>
          <w:i/>
        </w:rPr>
        <w:t>See</w:t>
      </w:r>
      <w:r w:rsidRPr="00D73845">
        <w:t xml:space="preserve"> </w:t>
      </w:r>
      <w:r w:rsidR="000603F9">
        <w:rPr>
          <w:i/>
          <w:iCs/>
        </w:rPr>
        <w:t>id.</w:t>
      </w:r>
      <w:r w:rsidRPr="00D73845">
        <w:t xml:space="preserve"> § 1.314.</w:t>
      </w:r>
    </w:p>
  </w:footnote>
  <w:footnote w:id="48">
    <w:p w:rsidR="00D825BB" w:rsidRPr="00CB2AC5" w:rsidP="00C444A8" w14:paraId="69E75DE7" w14:textId="1ADC6AF0">
      <w:pPr>
        <w:pStyle w:val="FootnoteText"/>
      </w:pPr>
      <w:r w:rsidRPr="00CB2AC5">
        <w:rPr>
          <w:rStyle w:val="FootnoteReference"/>
        </w:rPr>
        <w:footnoteRef/>
      </w:r>
      <w:r w:rsidRPr="00CB2AC5">
        <w:t xml:space="preserve"> </w:t>
      </w:r>
      <w:r w:rsidRPr="00CB2AC5">
        <w:rPr>
          <w:i/>
        </w:rPr>
        <w:t>See</w:t>
      </w:r>
      <w:r w:rsidRPr="00CB2AC5">
        <w:t xml:space="preserve"> </w:t>
      </w:r>
      <w:r w:rsidR="000603F9">
        <w:rPr>
          <w:i/>
          <w:iCs/>
        </w:rPr>
        <w:t>id.</w:t>
      </w:r>
      <w:r w:rsidRPr="00CB2AC5">
        <w:t xml:space="preserve"> §</w:t>
      </w:r>
      <w:r>
        <w:t>§</w:t>
      </w:r>
      <w:r w:rsidRPr="00CB2AC5">
        <w:t xml:space="preserve"> 1.</w:t>
      </w:r>
      <w:r>
        <w:t>267, 1.274(c)</w:t>
      </w:r>
      <w:r w:rsidRPr="00CB2AC5">
        <w:t>.</w:t>
      </w:r>
      <w:r>
        <w:t xml:space="preserve">  </w:t>
      </w:r>
      <w:bookmarkStart w:id="27" w:name="_Hlk61946835"/>
      <w:r>
        <w:t xml:space="preserve">The Initial Decision shall be subject to Commission review as set forth </w:t>
      </w:r>
      <w:r w:rsidRPr="00A51C37">
        <w:rPr>
          <w:i/>
          <w:iCs/>
        </w:rPr>
        <w:t>id.</w:t>
      </w:r>
      <w:r>
        <w:t xml:space="preserve"> at 1.276-277.</w:t>
      </w:r>
    </w:p>
    <w:bookmarkEnd w:id="27"/>
  </w:footnote>
  <w:footnote w:id="49">
    <w:p w:rsidR="00B2084B" w:rsidP="00B2084B" w14:paraId="38688D55" w14:textId="5099053D">
      <w:pPr>
        <w:pStyle w:val="FootnoteText"/>
      </w:pPr>
      <w:r>
        <w:rPr>
          <w:rStyle w:val="FootnoteReference"/>
        </w:rPr>
        <w:footnoteRef/>
      </w:r>
      <w:r>
        <w:t xml:space="preserve"> </w:t>
      </w:r>
      <w:r>
        <w:t>47 U.S.C. §§ 312(a)(2), 312(c).</w:t>
      </w:r>
    </w:p>
  </w:footnote>
  <w:footnote w:id="50">
    <w:p w:rsidR="00CA7329" w:rsidP="00CA7329" w14:paraId="240282C1" w14:textId="77777777">
      <w:pPr>
        <w:pStyle w:val="FootnoteText"/>
      </w:pPr>
      <w:r>
        <w:rPr>
          <w:rStyle w:val="FootnoteReference"/>
        </w:rPr>
        <w:footnoteRef/>
      </w:r>
      <w:r>
        <w:t xml:space="preserve"> </w:t>
      </w:r>
      <w:r>
        <w:t>47 CFR § 1.91(a).</w:t>
      </w:r>
    </w:p>
  </w:footnote>
  <w:footnote w:id="51">
    <w:p w:rsidR="00B2084B" w:rsidP="00B2084B" w14:paraId="6ACB2FD4" w14:textId="3E03426F">
      <w:pPr>
        <w:pStyle w:val="FootnoteText"/>
        <w:widowControl w:val="0"/>
      </w:pPr>
      <w:r>
        <w:rPr>
          <w:rStyle w:val="FootnoteReference"/>
        </w:rPr>
        <w:footnoteRef/>
      </w:r>
      <w:r>
        <w:t xml:space="preserve"> </w:t>
      </w:r>
      <w:r>
        <w:rPr>
          <w:i/>
          <w:iCs/>
        </w:rPr>
        <w:t xml:space="preserve">See </w:t>
      </w:r>
      <w:r>
        <w:t>47 CFR §§ 0.61, 0.283</w:t>
      </w:r>
      <w:r>
        <w:rPr>
          <w:szCs w:val="22"/>
        </w:rPr>
        <w:t>.</w:t>
      </w:r>
    </w:p>
  </w:footnote>
  <w:footnote w:id="52">
    <w:p w:rsidR="00D825BB" w:rsidP="00A0431E" w14:paraId="14A05D3B" w14:textId="05F71BD3">
      <w:pPr>
        <w:pStyle w:val="FootnoteText"/>
      </w:pPr>
      <w:r>
        <w:rPr>
          <w:rStyle w:val="FootnoteReference"/>
        </w:rPr>
        <w:footnoteRef/>
      </w:r>
      <w:r>
        <w:t xml:space="preserve"> </w:t>
      </w:r>
      <w:r w:rsidRPr="00C61530">
        <w:rPr>
          <w:i/>
          <w:iCs/>
        </w:rPr>
        <w:t>See</w:t>
      </w:r>
      <w:r>
        <w:t xml:space="preserve"> </w:t>
      </w:r>
      <w:r w:rsidR="00D75089">
        <w:rPr>
          <w:i/>
          <w:iCs/>
        </w:rPr>
        <w:t xml:space="preserve">id. </w:t>
      </w:r>
      <w:r>
        <w:t>§</w:t>
      </w:r>
      <w:r w:rsidR="003C4FAD">
        <w:t xml:space="preserve"> </w:t>
      </w:r>
      <w:r>
        <w:t>1.</w:t>
      </w:r>
      <w:r w:rsidR="00D41B2F">
        <w:t>91</w:t>
      </w:r>
      <w:r w:rsidR="00D41B2F">
        <w:t xml:space="preserve"> </w:t>
      </w:r>
      <w:r>
        <w:t>(c).</w:t>
      </w:r>
    </w:p>
  </w:footnote>
  <w:footnote w:id="53">
    <w:p w:rsidR="00D825BB" w:rsidP="00A0431E" w14:paraId="7C328B63" w14:textId="73F31F2D">
      <w:pPr>
        <w:pStyle w:val="FootnoteText"/>
      </w:pPr>
      <w:r>
        <w:rPr>
          <w:rStyle w:val="FootnoteReference"/>
        </w:rPr>
        <w:footnoteRef/>
      </w:r>
      <w:r>
        <w:t xml:space="preserve"> </w:t>
      </w:r>
      <w:r w:rsidR="0062084A">
        <w:rPr>
          <w:i/>
          <w:iCs/>
        </w:rPr>
        <w:t xml:space="preserve">See </w:t>
      </w:r>
      <w:r w:rsidR="0062084A">
        <w:t>47 CFR §§ 1.92(a) and (c)</w:t>
      </w:r>
      <w:r>
        <w:t>.</w:t>
      </w:r>
    </w:p>
  </w:footnote>
  <w:footnote w:id="54">
    <w:p w:rsidR="00D825BB" w:rsidP="00A0431E" w14:paraId="3ABB973E" w14:textId="62F8FEFF">
      <w:pPr>
        <w:pStyle w:val="FootnoteText"/>
      </w:pPr>
      <w:r>
        <w:rPr>
          <w:rStyle w:val="FootnoteReference"/>
        </w:rPr>
        <w:footnoteRef/>
      </w:r>
      <w:r>
        <w:t xml:space="preserve"> </w:t>
      </w:r>
      <w:r w:rsidRPr="00C61530">
        <w:rPr>
          <w:i/>
          <w:iCs/>
        </w:rPr>
        <w:t xml:space="preserve">See </w:t>
      </w:r>
      <w:r>
        <w:t>47 U.S.C. § 3</w:t>
      </w:r>
      <w:r w:rsidR="0000206E">
        <w:t>12(d)</w:t>
      </w:r>
      <w:r w:rsidR="000749C0">
        <w:t>; 47 CFR § 1.91(d)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BB" w:rsidP="00810B6F" w14:paraId="74D303D6" w14:textId="18B4EFA1">
    <w:pPr>
      <w:pStyle w:val="Header"/>
      <w:rPr>
        <w:b w:val="0"/>
      </w:rPr>
    </w:pPr>
    <w:r>
      <w:tab/>
    </w:r>
    <w:r>
      <w:t>Federal Communications Commission</w:t>
    </w:r>
    <w:r>
      <w:tab/>
      <w:t>DA 2</w:t>
    </w:r>
    <w:r w:rsidR="005D456C">
      <w:t>2</w:t>
    </w:r>
    <w:r>
      <w:t>-</w:t>
    </w:r>
    <w:r w:rsidR="00F04A83">
      <w:t>285</w:t>
    </w:r>
  </w:p>
  <w:p w:rsidR="00D825BB" w14:paraId="5E471995" w14:textId="470536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825BB" w14:paraId="68AD583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5BB" w:rsidP="00810B6F" w14:paraId="4ACA10FA" w14:textId="0FF5BA9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074FAA">
      <w:t>DA 2</w:t>
    </w:r>
    <w:r w:rsidR="005D456C">
      <w:t>2</w:t>
    </w:r>
    <w:r w:rsidR="00074FAA">
      <w:t>-</w:t>
    </w:r>
    <w:r w:rsidR="00F04A83">
      <w:t>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A34A73C"/>
    <w:lvl w:ilvl="0">
      <w:start w:val="1"/>
      <w:numFmt w:val="decimal"/>
      <w:pStyle w:val="ParaNum"/>
      <w:lvlText w:val="%1."/>
      <w:lvlJc w:val="left"/>
      <w:pPr>
        <w:tabs>
          <w:tab w:val="num" w:pos="990"/>
        </w:tabs>
        <w:ind w:left="-90" w:firstLine="720"/>
      </w:pPr>
      <w:rPr>
        <w:b w:val="0"/>
        <w:bCs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2"/>
    <w:rsid w:val="0000077D"/>
    <w:rsid w:val="0000080F"/>
    <w:rsid w:val="000016AF"/>
    <w:rsid w:val="00001D30"/>
    <w:rsid w:val="0000206E"/>
    <w:rsid w:val="0000251F"/>
    <w:rsid w:val="0000257E"/>
    <w:rsid w:val="000038C4"/>
    <w:rsid w:val="00004303"/>
    <w:rsid w:val="00006C4C"/>
    <w:rsid w:val="0000754C"/>
    <w:rsid w:val="00011185"/>
    <w:rsid w:val="00011B4E"/>
    <w:rsid w:val="00011F0D"/>
    <w:rsid w:val="00014860"/>
    <w:rsid w:val="0001532C"/>
    <w:rsid w:val="0001546C"/>
    <w:rsid w:val="000163CD"/>
    <w:rsid w:val="00016FA1"/>
    <w:rsid w:val="000209E0"/>
    <w:rsid w:val="000233EB"/>
    <w:rsid w:val="00027C99"/>
    <w:rsid w:val="000307F0"/>
    <w:rsid w:val="000310EB"/>
    <w:rsid w:val="00032058"/>
    <w:rsid w:val="00036039"/>
    <w:rsid w:val="00036B86"/>
    <w:rsid w:val="00037F90"/>
    <w:rsid w:val="00037FAA"/>
    <w:rsid w:val="00040326"/>
    <w:rsid w:val="0004226E"/>
    <w:rsid w:val="00044DE9"/>
    <w:rsid w:val="0005013F"/>
    <w:rsid w:val="00052C6A"/>
    <w:rsid w:val="00053D0E"/>
    <w:rsid w:val="000554A2"/>
    <w:rsid w:val="000601EE"/>
    <w:rsid w:val="000603F9"/>
    <w:rsid w:val="0006296F"/>
    <w:rsid w:val="00063344"/>
    <w:rsid w:val="000635CF"/>
    <w:rsid w:val="0006386A"/>
    <w:rsid w:val="00064AFB"/>
    <w:rsid w:val="00064CE9"/>
    <w:rsid w:val="000651A2"/>
    <w:rsid w:val="000661E6"/>
    <w:rsid w:val="000675F3"/>
    <w:rsid w:val="0006762B"/>
    <w:rsid w:val="00070090"/>
    <w:rsid w:val="00070581"/>
    <w:rsid w:val="00072718"/>
    <w:rsid w:val="000728D9"/>
    <w:rsid w:val="00072CB3"/>
    <w:rsid w:val="00072FF0"/>
    <w:rsid w:val="00072FF3"/>
    <w:rsid w:val="00073D80"/>
    <w:rsid w:val="00073FF3"/>
    <w:rsid w:val="000741FA"/>
    <w:rsid w:val="00074843"/>
    <w:rsid w:val="000749C0"/>
    <w:rsid w:val="00074FAA"/>
    <w:rsid w:val="00075E5F"/>
    <w:rsid w:val="000762CE"/>
    <w:rsid w:val="00077A55"/>
    <w:rsid w:val="00077DE6"/>
    <w:rsid w:val="000800EA"/>
    <w:rsid w:val="00081A3D"/>
    <w:rsid w:val="00085C7B"/>
    <w:rsid w:val="00086755"/>
    <w:rsid w:val="000875BF"/>
    <w:rsid w:val="0009096A"/>
    <w:rsid w:val="00091696"/>
    <w:rsid w:val="00095275"/>
    <w:rsid w:val="00095530"/>
    <w:rsid w:val="0009601E"/>
    <w:rsid w:val="00096122"/>
    <w:rsid w:val="00096CD5"/>
    <w:rsid w:val="00096D8C"/>
    <w:rsid w:val="000A0828"/>
    <w:rsid w:val="000A0A5F"/>
    <w:rsid w:val="000A1C30"/>
    <w:rsid w:val="000A1E41"/>
    <w:rsid w:val="000A271C"/>
    <w:rsid w:val="000A2C6A"/>
    <w:rsid w:val="000A2C8A"/>
    <w:rsid w:val="000A310A"/>
    <w:rsid w:val="000A5BFA"/>
    <w:rsid w:val="000A60BF"/>
    <w:rsid w:val="000A6622"/>
    <w:rsid w:val="000A66BC"/>
    <w:rsid w:val="000B05C0"/>
    <w:rsid w:val="000B0FF6"/>
    <w:rsid w:val="000B2F70"/>
    <w:rsid w:val="000B307D"/>
    <w:rsid w:val="000B4580"/>
    <w:rsid w:val="000B5E96"/>
    <w:rsid w:val="000B6A25"/>
    <w:rsid w:val="000B6B07"/>
    <w:rsid w:val="000B6D74"/>
    <w:rsid w:val="000B72D4"/>
    <w:rsid w:val="000B7943"/>
    <w:rsid w:val="000B7CD3"/>
    <w:rsid w:val="000C0B65"/>
    <w:rsid w:val="000C182D"/>
    <w:rsid w:val="000C1EC2"/>
    <w:rsid w:val="000C26F9"/>
    <w:rsid w:val="000C40ED"/>
    <w:rsid w:val="000C52B4"/>
    <w:rsid w:val="000C5EE7"/>
    <w:rsid w:val="000D1993"/>
    <w:rsid w:val="000D1FF1"/>
    <w:rsid w:val="000D28C9"/>
    <w:rsid w:val="000D677C"/>
    <w:rsid w:val="000D7DB3"/>
    <w:rsid w:val="000E047D"/>
    <w:rsid w:val="000E05FE"/>
    <w:rsid w:val="000E328E"/>
    <w:rsid w:val="000E3D42"/>
    <w:rsid w:val="000E514E"/>
    <w:rsid w:val="000E6704"/>
    <w:rsid w:val="000E7A2D"/>
    <w:rsid w:val="000E7C72"/>
    <w:rsid w:val="000F003F"/>
    <w:rsid w:val="000F076D"/>
    <w:rsid w:val="000F0CC7"/>
    <w:rsid w:val="000F1C13"/>
    <w:rsid w:val="000F28B6"/>
    <w:rsid w:val="000F3121"/>
    <w:rsid w:val="000F4589"/>
    <w:rsid w:val="000F48A5"/>
    <w:rsid w:val="000F6966"/>
    <w:rsid w:val="000F7967"/>
    <w:rsid w:val="000F7F0B"/>
    <w:rsid w:val="00100056"/>
    <w:rsid w:val="001004BE"/>
    <w:rsid w:val="001011EE"/>
    <w:rsid w:val="00102F76"/>
    <w:rsid w:val="00104593"/>
    <w:rsid w:val="001061D5"/>
    <w:rsid w:val="001071A4"/>
    <w:rsid w:val="00112454"/>
    <w:rsid w:val="00112BA5"/>
    <w:rsid w:val="00114288"/>
    <w:rsid w:val="001153BA"/>
    <w:rsid w:val="00115C8E"/>
    <w:rsid w:val="00115CF6"/>
    <w:rsid w:val="00116538"/>
    <w:rsid w:val="00116F0F"/>
    <w:rsid w:val="001177B3"/>
    <w:rsid w:val="00117BC5"/>
    <w:rsid w:val="00120376"/>
    <w:rsid w:val="0012079C"/>
    <w:rsid w:val="00120CA4"/>
    <w:rsid w:val="00122B70"/>
    <w:rsid w:val="00122BD5"/>
    <w:rsid w:val="00124464"/>
    <w:rsid w:val="00125AB2"/>
    <w:rsid w:val="00125D7C"/>
    <w:rsid w:val="00126A79"/>
    <w:rsid w:val="00130D0D"/>
    <w:rsid w:val="00133F79"/>
    <w:rsid w:val="00134218"/>
    <w:rsid w:val="0013779D"/>
    <w:rsid w:val="0014017D"/>
    <w:rsid w:val="001405BD"/>
    <w:rsid w:val="001413D5"/>
    <w:rsid w:val="00141532"/>
    <w:rsid w:val="001418C7"/>
    <w:rsid w:val="001438B8"/>
    <w:rsid w:val="001438CE"/>
    <w:rsid w:val="001449C8"/>
    <w:rsid w:val="00146A33"/>
    <w:rsid w:val="0015053C"/>
    <w:rsid w:val="00151004"/>
    <w:rsid w:val="001532BE"/>
    <w:rsid w:val="001547FB"/>
    <w:rsid w:val="00154B29"/>
    <w:rsid w:val="0015648C"/>
    <w:rsid w:val="00163FE4"/>
    <w:rsid w:val="001673C9"/>
    <w:rsid w:val="00172200"/>
    <w:rsid w:val="001724D7"/>
    <w:rsid w:val="00173436"/>
    <w:rsid w:val="00173A01"/>
    <w:rsid w:val="00177431"/>
    <w:rsid w:val="001816EB"/>
    <w:rsid w:val="00181B7F"/>
    <w:rsid w:val="001828DE"/>
    <w:rsid w:val="00183D31"/>
    <w:rsid w:val="00184784"/>
    <w:rsid w:val="00184AFD"/>
    <w:rsid w:val="001853AC"/>
    <w:rsid w:val="0018754E"/>
    <w:rsid w:val="0019274C"/>
    <w:rsid w:val="00192B3C"/>
    <w:rsid w:val="00193C96"/>
    <w:rsid w:val="0019486C"/>
    <w:rsid w:val="00194909"/>
    <w:rsid w:val="00194A66"/>
    <w:rsid w:val="00197483"/>
    <w:rsid w:val="00197768"/>
    <w:rsid w:val="001A0B20"/>
    <w:rsid w:val="001A15AF"/>
    <w:rsid w:val="001A19C7"/>
    <w:rsid w:val="001A216A"/>
    <w:rsid w:val="001A25C8"/>
    <w:rsid w:val="001A3085"/>
    <w:rsid w:val="001A4EE1"/>
    <w:rsid w:val="001A5327"/>
    <w:rsid w:val="001A55FE"/>
    <w:rsid w:val="001A567A"/>
    <w:rsid w:val="001A6F79"/>
    <w:rsid w:val="001B02DA"/>
    <w:rsid w:val="001B2D79"/>
    <w:rsid w:val="001B32B5"/>
    <w:rsid w:val="001B4AF6"/>
    <w:rsid w:val="001B5C97"/>
    <w:rsid w:val="001B5F85"/>
    <w:rsid w:val="001B684F"/>
    <w:rsid w:val="001B71DF"/>
    <w:rsid w:val="001B794E"/>
    <w:rsid w:val="001B7DF6"/>
    <w:rsid w:val="001C068B"/>
    <w:rsid w:val="001C0F20"/>
    <w:rsid w:val="001C10C3"/>
    <w:rsid w:val="001C1621"/>
    <w:rsid w:val="001C33A3"/>
    <w:rsid w:val="001C3B51"/>
    <w:rsid w:val="001C4448"/>
    <w:rsid w:val="001C56D9"/>
    <w:rsid w:val="001C5E6E"/>
    <w:rsid w:val="001C6E02"/>
    <w:rsid w:val="001D0D4A"/>
    <w:rsid w:val="001D3604"/>
    <w:rsid w:val="001D363F"/>
    <w:rsid w:val="001D4673"/>
    <w:rsid w:val="001D59D4"/>
    <w:rsid w:val="001D6AB5"/>
    <w:rsid w:val="001D6BCF"/>
    <w:rsid w:val="001D71D7"/>
    <w:rsid w:val="001D74C4"/>
    <w:rsid w:val="001E01CA"/>
    <w:rsid w:val="001E1195"/>
    <w:rsid w:val="001E1397"/>
    <w:rsid w:val="001E2F0C"/>
    <w:rsid w:val="001E3A84"/>
    <w:rsid w:val="001E3D04"/>
    <w:rsid w:val="001E3E85"/>
    <w:rsid w:val="001E5F99"/>
    <w:rsid w:val="001F108F"/>
    <w:rsid w:val="001F125F"/>
    <w:rsid w:val="001F1D77"/>
    <w:rsid w:val="001F2404"/>
    <w:rsid w:val="001F2C75"/>
    <w:rsid w:val="001F361C"/>
    <w:rsid w:val="001F55FA"/>
    <w:rsid w:val="001F61BC"/>
    <w:rsid w:val="001F6CD8"/>
    <w:rsid w:val="00201024"/>
    <w:rsid w:val="002013E3"/>
    <w:rsid w:val="00204523"/>
    <w:rsid w:val="002055CF"/>
    <w:rsid w:val="00206A51"/>
    <w:rsid w:val="00206C54"/>
    <w:rsid w:val="002117D5"/>
    <w:rsid w:val="0021251A"/>
    <w:rsid w:val="0021264A"/>
    <w:rsid w:val="00212F96"/>
    <w:rsid w:val="002131B4"/>
    <w:rsid w:val="00213CC0"/>
    <w:rsid w:val="002144C8"/>
    <w:rsid w:val="00216175"/>
    <w:rsid w:val="002165DC"/>
    <w:rsid w:val="002210D1"/>
    <w:rsid w:val="00221BA4"/>
    <w:rsid w:val="00222EA6"/>
    <w:rsid w:val="0022369A"/>
    <w:rsid w:val="00224AF5"/>
    <w:rsid w:val="00225C34"/>
    <w:rsid w:val="00225E5F"/>
    <w:rsid w:val="00226D4B"/>
    <w:rsid w:val="00230582"/>
    <w:rsid w:val="00231686"/>
    <w:rsid w:val="00234851"/>
    <w:rsid w:val="00234BDE"/>
    <w:rsid w:val="00234C5C"/>
    <w:rsid w:val="00234CA0"/>
    <w:rsid w:val="00234F3D"/>
    <w:rsid w:val="00235D41"/>
    <w:rsid w:val="002360A2"/>
    <w:rsid w:val="0024019F"/>
    <w:rsid w:val="00240520"/>
    <w:rsid w:val="00242DE6"/>
    <w:rsid w:val="0024388F"/>
    <w:rsid w:val="002440BE"/>
    <w:rsid w:val="00244E65"/>
    <w:rsid w:val="00246A65"/>
    <w:rsid w:val="00247284"/>
    <w:rsid w:val="00247728"/>
    <w:rsid w:val="00251380"/>
    <w:rsid w:val="00251FD7"/>
    <w:rsid w:val="00252E3E"/>
    <w:rsid w:val="0025459F"/>
    <w:rsid w:val="00254CE0"/>
    <w:rsid w:val="002563CE"/>
    <w:rsid w:val="00257CA6"/>
    <w:rsid w:val="002608AF"/>
    <w:rsid w:val="00262B2D"/>
    <w:rsid w:val="00262FC6"/>
    <w:rsid w:val="00263120"/>
    <w:rsid w:val="00265133"/>
    <w:rsid w:val="00266F77"/>
    <w:rsid w:val="00267C5E"/>
    <w:rsid w:val="00271262"/>
    <w:rsid w:val="002733AC"/>
    <w:rsid w:val="00274E7D"/>
    <w:rsid w:val="00275CF5"/>
    <w:rsid w:val="00275F19"/>
    <w:rsid w:val="00276017"/>
    <w:rsid w:val="002766F9"/>
    <w:rsid w:val="00280588"/>
    <w:rsid w:val="002810ED"/>
    <w:rsid w:val="00281BFF"/>
    <w:rsid w:val="00281E66"/>
    <w:rsid w:val="002824C2"/>
    <w:rsid w:val="0028301F"/>
    <w:rsid w:val="0028475D"/>
    <w:rsid w:val="00285017"/>
    <w:rsid w:val="00285B19"/>
    <w:rsid w:val="002871A7"/>
    <w:rsid w:val="0029004D"/>
    <w:rsid w:val="00290376"/>
    <w:rsid w:val="00292602"/>
    <w:rsid w:val="0029312B"/>
    <w:rsid w:val="00295654"/>
    <w:rsid w:val="002A29A0"/>
    <w:rsid w:val="002A2D2E"/>
    <w:rsid w:val="002A4985"/>
    <w:rsid w:val="002A69F7"/>
    <w:rsid w:val="002A726A"/>
    <w:rsid w:val="002B20E1"/>
    <w:rsid w:val="002B2A5A"/>
    <w:rsid w:val="002B45AB"/>
    <w:rsid w:val="002B6B76"/>
    <w:rsid w:val="002B7541"/>
    <w:rsid w:val="002B7F99"/>
    <w:rsid w:val="002C00E8"/>
    <w:rsid w:val="002C02DE"/>
    <w:rsid w:val="002C2714"/>
    <w:rsid w:val="002C2DD3"/>
    <w:rsid w:val="002C3092"/>
    <w:rsid w:val="002C3802"/>
    <w:rsid w:val="002C4188"/>
    <w:rsid w:val="002C588D"/>
    <w:rsid w:val="002C6390"/>
    <w:rsid w:val="002C7389"/>
    <w:rsid w:val="002D01FD"/>
    <w:rsid w:val="002D096C"/>
    <w:rsid w:val="002D0BA7"/>
    <w:rsid w:val="002D0E90"/>
    <w:rsid w:val="002D279B"/>
    <w:rsid w:val="002D3C99"/>
    <w:rsid w:val="002D676D"/>
    <w:rsid w:val="002D6B01"/>
    <w:rsid w:val="002E238F"/>
    <w:rsid w:val="002E2EDC"/>
    <w:rsid w:val="002E3F82"/>
    <w:rsid w:val="002E4ACD"/>
    <w:rsid w:val="002E544D"/>
    <w:rsid w:val="002E5B0A"/>
    <w:rsid w:val="002E6826"/>
    <w:rsid w:val="002E745F"/>
    <w:rsid w:val="002F0CA0"/>
    <w:rsid w:val="002F22A2"/>
    <w:rsid w:val="002F2D31"/>
    <w:rsid w:val="002F4672"/>
    <w:rsid w:val="002F606C"/>
    <w:rsid w:val="002F6EB2"/>
    <w:rsid w:val="002F6EC9"/>
    <w:rsid w:val="002F7DE6"/>
    <w:rsid w:val="003000A8"/>
    <w:rsid w:val="00301792"/>
    <w:rsid w:val="00301A90"/>
    <w:rsid w:val="00302990"/>
    <w:rsid w:val="003032C6"/>
    <w:rsid w:val="00304F01"/>
    <w:rsid w:val="003056E0"/>
    <w:rsid w:val="00307113"/>
    <w:rsid w:val="00307B84"/>
    <w:rsid w:val="00310AD4"/>
    <w:rsid w:val="00311B66"/>
    <w:rsid w:val="00312D16"/>
    <w:rsid w:val="00312DBA"/>
    <w:rsid w:val="0031550C"/>
    <w:rsid w:val="0032282B"/>
    <w:rsid w:val="0032446D"/>
    <w:rsid w:val="00324F9C"/>
    <w:rsid w:val="00330B74"/>
    <w:rsid w:val="003315CA"/>
    <w:rsid w:val="00331A24"/>
    <w:rsid w:val="00331D1B"/>
    <w:rsid w:val="00333A1E"/>
    <w:rsid w:val="00334185"/>
    <w:rsid w:val="0033531E"/>
    <w:rsid w:val="00335539"/>
    <w:rsid w:val="003359A7"/>
    <w:rsid w:val="003365DF"/>
    <w:rsid w:val="003369A3"/>
    <w:rsid w:val="00337AE1"/>
    <w:rsid w:val="00340E45"/>
    <w:rsid w:val="00341ACD"/>
    <w:rsid w:val="003425C1"/>
    <w:rsid w:val="00342BB5"/>
    <w:rsid w:val="00342FA9"/>
    <w:rsid w:val="00343749"/>
    <w:rsid w:val="0034553C"/>
    <w:rsid w:val="003465A1"/>
    <w:rsid w:val="0034739D"/>
    <w:rsid w:val="003506B1"/>
    <w:rsid w:val="00351E38"/>
    <w:rsid w:val="00352602"/>
    <w:rsid w:val="00355DE5"/>
    <w:rsid w:val="00356659"/>
    <w:rsid w:val="00362AB7"/>
    <w:rsid w:val="00364847"/>
    <w:rsid w:val="0036516C"/>
    <w:rsid w:val="003660ED"/>
    <w:rsid w:val="00366E66"/>
    <w:rsid w:val="0036705A"/>
    <w:rsid w:val="00367152"/>
    <w:rsid w:val="0036780B"/>
    <w:rsid w:val="003717C1"/>
    <w:rsid w:val="0037228E"/>
    <w:rsid w:val="003724B1"/>
    <w:rsid w:val="00372FAB"/>
    <w:rsid w:val="003730F2"/>
    <w:rsid w:val="00373E61"/>
    <w:rsid w:val="00374FE2"/>
    <w:rsid w:val="00375ABF"/>
    <w:rsid w:val="00375CC4"/>
    <w:rsid w:val="00375FB6"/>
    <w:rsid w:val="00376EB5"/>
    <w:rsid w:val="00377019"/>
    <w:rsid w:val="00381961"/>
    <w:rsid w:val="0038279F"/>
    <w:rsid w:val="00390042"/>
    <w:rsid w:val="0039094C"/>
    <w:rsid w:val="003917B2"/>
    <w:rsid w:val="00391E13"/>
    <w:rsid w:val="003921E0"/>
    <w:rsid w:val="003924CF"/>
    <w:rsid w:val="00394DB6"/>
    <w:rsid w:val="00394DB7"/>
    <w:rsid w:val="00396714"/>
    <w:rsid w:val="003968D7"/>
    <w:rsid w:val="00397E91"/>
    <w:rsid w:val="003A0F1A"/>
    <w:rsid w:val="003A12C3"/>
    <w:rsid w:val="003A13F9"/>
    <w:rsid w:val="003A1559"/>
    <w:rsid w:val="003A1C23"/>
    <w:rsid w:val="003A65A7"/>
    <w:rsid w:val="003A6F89"/>
    <w:rsid w:val="003A7501"/>
    <w:rsid w:val="003A7F39"/>
    <w:rsid w:val="003B0550"/>
    <w:rsid w:val="003B2262"/>
    <w:rsid w:val="003B2F09"/>
    <w:rsid w:val="003B6453"/>
    <w:rsid w:val="003B694F"/>
    <w:rsid w:val="003C0362"/>
    <w:rsid w:val="003C2F26"/>
    <w:rsid w:val="003C39F2"/>
    <w:rsid w:val="003C3E22"/>
    <w:rsid w:val="003C4039"/>
    <w:rsid w:val="003C462D"/>
    <w:rsid w:val="003C4ACD"/>
    <w:rsid w:val="003C4CC8"/>
    <w:rsid w:val="003C4DD2"/>
    <w:rsid w:val="003C4FAD"/>
    <w:rsid w:val="003C4FD9"/>
    <w:rsid w:val="003C5108"/>
    <w:rsid w:val="003C569B"/>
    <w:rsid w:val="003C578A"/>
    <w:rsid w:val="003D38EC"/>
    <w:rsid w:val="003D4874"/>
    <w:rsid w:val="003D4C00"/>
    <w:rsid w:val="003D53CF"/>
    <w:rsid w:val="003D5F6E"/>
    <w:rsid w:val="003D7F7B"/>
    <w:rsid w:val="003E005D"/>
    <w:rsid w:val="003E0D7A"/>
    <w:rsid w:val="003E2531"/>
    <w:rsid w:val="003E3F19"/>
    <w:rsid w:val="003E5CB1"/>
    <w:rsid w:val="003F171C"/>
    <w:rsid w:val="003F219C"/>
    <w:rsid w:val="003F3463"/>
    <w:rsid w:val="003F3C28"/>
    <w:rsid w:val="003F3FDC"/>
    <w:rsid w:val="003F47EF"/>
    <w:rsid w:val="003F5588"/>
    <w:rsid w:val="003F55BE"/>
    <w:rsid w:val="003F7E98"/>
    <w:rsid w:val="003F7F45"/>
    <w:rsid w:val="0040067E"/>
    <w:rsid w:val="00401A37"/>
    <w:rsid w:val="004023EB"/>
    <w:rsid w:val="004031CE"/>
    <w:rsid w:val="00404124"/>
    <w:rsid w:val="00405B5B"/>
    <w:rsid w:val="00411402"/>
    <w:rsid w:val="00411E97"/>
    <w:rsid w:val="00412812"/>
    <w:rsid w:val="00412A8F"/>
    <w:rsid w:val="00412FC5"/>
    <w:rsid w:val="0041372C"/>
    <w:rsid w:val="00413C70"/>
    <w:rsid w:val="004143BC"/>
    <w:rsid w:val="004146B2"/>
    <w:rsid w:val="0041613F"/>
    <w:rsid w:val="004167EA"/>
    <w:rsid w:val="004211A7"/>
    <w:rsid w:val="00422276"/>
    <w:rsid w:val="004227B6"/>
    <w:rsid w:val="004241CD"/>
    <w:rsid w:val="004242F1"/>
    <w:rsid w:val="004246CE"/>
    <w:rsid w:val="00424B36"/>
    <w:rsid w:val="004255B4"/>
    <w:rsid w:val="00430D58"/>
    <w:rsid w:val="00431C18"/>
    <w:rsid w:val="004329EC"/>
    <w:rsid w:val="00432A6E"/>
    <w:rsid w:val="00433A8E"/>
    <w:rsid w:val="00434048"/>
    <w:rsid w:val="00437638"/>
    <w:rsid w:val="00437B0A"/>
    <w:rsid w:val="00437CD5"/>
    <w:rsid w:val="00440846"/>
    <w:rsid w:val="00442E49"/>
    <w:rsid w:val="00444944"/>
    <w:rsid w:val="004450DE"/>
    <w:rsid w:val="00445A00"/>
    <w:rsid w:val="00446971"/>
    <w:rsid w:val="00450A56"/>
    <w:rsid w:val="00451B0F"/>
    <w:rsid w:val="00452541"/>
    <w:rsid w:val="004540F4"/>
    <w:rsid w:val="00454CD7"/>
    <w:rsid w:val="004550B5"/>
    <w:rsid w:val="0045575A"/>
    <w:rsid w:val="004560B7"/>
    <w:rsid w:val="00461141"/>
    <w:rsid w:val="00463258"/>
    <w:rsid w:val="00464108"/>
    <w:rsid w:val="00464897"/>
    <w:rsid w:val="00464D67"/>
    <w:rsid w:val="00464ED3"/>
    <w:rsid w:val="004654FB"/>
    <w:rsid w:val="00465E5D"/>
    <w:rsid w:val="00467084"/>
    <w:rsid w:val="0047066E"/>
    <w:rsid w:val="00471ADF"/>
    <w:rsid w:val="00471ECC"/>
    <w:rsid w:val="00474BF7"/>
    <w:rsid w:val="0047554B"/>
    <w:rsid w:val="004757AE"/>
    <w:rsid w:val="00475EC5"/>
    <w:rsid w:val="004766E7"/>
    <w:rsid w:val="00477045"/>
    <w:rsid w:val="00477D45"/>
    <w:rsid w:val="0048107B"/>
    <w:rsid w:val="00481967"/>
    <w:rsid w:val="00481AC5"/>
    <w:rsid w:val="004822C4"/>
    <w:rsid w:val="00483B3D"/>
    <w:rsid w:val="00483BE2"/>
    <w:rsid w:val="00484089"/>
    <w:rsid w:val="004841E4"/>
    <w:rsid w:val="004848D9"/>
    <w:rsid w:val="0048583A"/>
    <w:rsid w:val="00485FCD"/>
    <w:rsid w:val="0049079F"/>
    <w:rsid w:val="00491310"/>
    <w:rsid w:val="004924D9"/>
    <w:rsid w:val="00492983"/>
    <w:rsid w:val="00492D78"/>
    <w:rsid w:val="00492DFC"/>
    <w:rsid w:val="00493639"/>
    <w:rsid w:val="00493662"/>
    <w:rsid w:val="00493C81"/>
    <w:rsid w:val="00493DE7"/>
    <w:rsid w:val="004963F3"/>
    <w:rsid w:val="00497823"/>
    <w:rsid w:val="004A0146"/>
    <w:rsid w:val="004A0438"/>
    <w:rsid w:val="004A0910"/>
    <w:rsid w:val="004A099F"/>
    <w:rsid w:val="004A1078"/>
    <w:rsid w:val="004A123B"/>
    <w:rsid w:val="004A179C"/>
    <w:rsid w:val="004A1B90"/>
    <w:rsid w:val="004A1C1A"/>
    <w:rsid w:val="004A3275"/>
    <w:rsid w:val="004A3387"/>
    <w:rsid w:val="004A386C"/>
    <w:rsid w:val="004A3AB1"/>
    <w:rsid w:val="004A5083"/>
    <w:rsid w:val="004A6E97"/>
    <w:rsid w:val="004A71D7"/>
    <w:rsid w:val="004A7BD8"/>
    <w:rsid w:val="004B0153"/>
    <w:rsid w:val="004B048F"/>
    <w:rsid w:val="004B083E"/>
    <w:rsid w:val="004B0A69"/>
    <w:rsid w:val="004B112F"/>
    <w:rsid w:val="004B1C71"/>
    <w:rsid w:val="004B2674"/>
    <w:rsid w:val="004B3826"/>
    <w:rsid w:val="004B3F9D"/>
    <w:rsid w:val="004B429E"/>
    <w:rsid w:val="004B4782"/>
    <w:rsid w:val="004B5F5D"/>
    <w:rsid w:val="004B7720"/>
    <w:rsid w:val="004C0E47"/>
    <w:rsid w:val="004C2EE3"/>
    <w:rsid w:val="004C3AF6"/>
    <w:rsid w:val="004D2C01"/>
    <w:rsid w:val="004D58C5"/>
    <w:rsid w:val="004D60EC"/>
    <w:rsid w:val="004E0454"/>
    <w:rsid w:val="004E1330"/>
    <w:rsid w:val="004E345D"/>
    <w:rsid w:val="004E34C2"/>
    <w:rsid w:val="004E4A22"/>
    <w:rsid w:val="004E5067"/>
    <w:rsid w:val="004E5212"/>
    <w:rsid w:val="004F34F2"/>
    <w:rsid w:val="004F3FD2"/>
    <w:rsid w:val="004F5B51"/>
    <w:rsid w:val="004F699C"/>
    <w:rsid w:val="004F762F"/>
    <w:rsid w:val="0050103F"/>
    <w:rsid w:val="0050276C"/>
    <w:rsid w:val="005039EE"/>
    <w:rsid w:val="00503C8F"/>
    <w:rsid w:val="00503FED"/>
    <w:rsid w:val="0050406E"/>
    <w:rsid w:val="00504F13"/>
    <w:rsid w:val="00507693"/>
    <w:rsid w:val="005110F4"/>
    <w:rsid w:val="005117CE"/>
    <w:rsid w:val="00511968"/>
    <w:rsid w:val="005123E0"/>
    <w:rsid w:val="005155AE"/>
    <w:rsid w:val="00515737"/>
    <w:rsid w:val="005163EC"/>
    <w:rsid w:val="00516631"/>
    <w:rsid w:val="00517680"/>
    <w:rsid w:val="00520D05"/>
    <w:rsid w:val="005226CD"/>
    <w:rsid w:val="00525330"/>
    <w:rsid w:val="00526013"/>
    <w:rsid w:val="005273D4"/>
    <w:rsid w:val="00530070"/>
    <w:rsid w:val="0053164E"/>
    <w:rsid w:val="00531F77"/>
    <w:rsid w:val="00532873"/>
    <w:rsid w:val="00533EB0"/>
    <w:rsid w:val="005349E0"/>
    <w:rsid w:val="00534DF7"/>
    <w:rsid w:val="00534F9C"/>
    <w:rsid w:val="00535482"/>
    <w:rsid w:val="005370EB"/>
    <w:rsid w:val="00537711"/>
    <w:rsid w:val="0054104B"/>
    <w:rsid w:val="00541C2F"/>
    <w:rsid w:val="00541F6E"/>
    <w:rsid w:val="00542207"/>
    <w:rsid w:val="0054363A"/>
    <w:rsid w:val="00543E19"/>
    <w:rsid w:val="005462FC"/>
    <w:rsid w:val="00546F0D"/>
    <w:rsid w:val="00551F16"/>
    <w:rsid w:val="0055207A"/>
    <w:rsid w:val="005524A6"/>
    <w:rsid w:val="00552EB8"/>
    <w:rsid w:val="00553D8D"/>
    <w:rsid w:val="0055433F"/>
    <w:rsid w:val="005555DB"/>
    <w:rsid w:val="00555922"/>
    <w:rsid w:val="0055614C"/>
    <w:rsid w:val="00557702"/>
    <w:rsid w:val="00557970"/>
    <w:rsid w:val="005624DD"/>
    <w:rsid w:val="00564639"/>
    <w:rsid w:val="0056490E"/>
    <w:rsid w:val="00566D06"/>
    <w:rsid w:val="005672DE"/>
    <w:rsid w:val="00567524"/>
    <w:rsid w:val="0056774E"/>
    <w:rsid w:val="00571877"/>
    <w:rsid w:val="00571C56"/>
    <w:rsid w:val="00571D9A"/>
    <w:rsid w:val="00572C90"/>
    <w:rsid w:val="005730A7"/>
    <w:rsid w:val="005730E3"/>
    <w:rsid w:val="00574338"/>
    <w:rsid w:val="00574FB0"/>
    <w:rsid w:val="005751A9"/>
    <w:rsid w:val="00576552"/>
    <w:rsid w:val="00577A39"/>
    <w:rsid w:val="0058254C"/>
    <w:rsid w:val="005832C9"/>
    <w:rsid w:val="00583D36"/>
    <w:rsid w:val="0058664B"/>
    <w:rsid w:val="00587447"/>
    <w:rsid w:val="00587551"/>
    <w:rsid w:val="00590E2D"/>
    <w:rsid w:val="00592BF2"/>
    <w:rsid w:val="00593D78"/>
    <w:rsid w:val="0059472D"/>
    <w:rsid w:val="0059481E"/>
    <w:rsid w:val="00596034"/>
    <w:rsid w:val="00597249"/>
    <w:rsid w:val="00597260"/>
    <w:rsid w:val="005A2F3C"/>
    <w:rsid w:val="005A4080"/>
    <w:rsid w:val="005A56CC"/>
    <w:rsid w:val="005A634C"/>
    <w:rsid w:val="005A6E36"/>
    <w:rsid w:val="005A7859"/>
    <w:rsid w:val="005A7DB0"/>
    <w:rsid w:val="005B16CC"/>
    <w:rsid w:val="005B2521"/>
    <w:rsid w:val="005B29C3"/>
    <w:rsid w:val="005B4B57"/>
    <w:rsid w:val="005B6513"/>
    <w:rsid w:val="005B6796"/>
    <w:rsid w:val="005B68EC"/>
    <w:rsid w:val="005B6CD1"/>
    <w:rsid w:val="005B7E59"/>
    <w:rsid w:val="005C1B0B"/>
    <w:rsid w:val="005C331C"/>
    <w:rsid w:val="005C45B3"/>
    <w:rsid w:val="005C607D"/>
    <w:rsid w:val="005C6C84"/>
    <w:rsid w:val="005D054B"/>
    <w:rsid w:val="005D09E6"/>
    <w:rsid w:val="005D0BB6"/>
    <w:rsid w:val="005D0F1D"/>
    <w:rsid w:val="005D1C7F"/>
    <w:rsid w:val="005D208D"/>
    <w:rsid w:val="005D23ED"/>
    <w:rsid w:val="005D2E26"/>
    <w:rsid w:val="005D403C"/>
    <w:rsid w:val="005D456C"/>
    <w:rsid w:val="005D4BB9"/>
    <w:rsid w:val="005D71C4"/>
    <w:rsid w:val="005D77DC"/>
    <w:rsid w:val="005D7C65"/>
    <w:rsid w:val="005E0209"/>
    <w:rsid w:val="005E14C2"/>
    <w:rsid w:val="005E17AE"/>
    <w:rsid w:val="005E1F14"/>
    <w:rsid w:val="005E29CF"/>
    <w:rsid w:val="005E47F4"/>
    <w:rsid w:val="005E5753"/>
    <w:rsid w:val="005E6C1F"/>
    <w:rsid w:val="005E703F"/>
    <w:rsid w:val="005F2627"/>
    <w:rsid w:val="005F54AB"/>
    <w:rsid w:val="005F5B85"/>
    <w:rsid w:val="005F667D"/>
    <w:rsid w:val="006005A4"/>
    <w:rsid w:val="00601003"/>
    <w:rsid w:val="00601AC0"/>
    <w:rsid w:val="00602876"/>
    <w:rsid w:val="00602C98"/>
    <w:rsid w:val="00603CC0"/>
    <w:rsid w:val="006047DB"/>
    <w:rsid w:val="00605F19"/>
    <w:rsid w:val="00607BA5"/>
    <w:rsid w:val="00610984"/>
    <w:rsid w:val="0061180A"/>
    <w:rsid w:val="00613EF5"/>
    <w:rsid w:val="00614A64"/>
    <w:rsid w:val="006155DD"/>
    <w:rsid w:val="00616807"/>
    <w:rsid w:val="0062084A"/>
    <w:rsid w:val="006251FE"/>
    <w:rsid w:val="00625673"/>
    <w:rsid w:val="00626563"/>
    <w:rsid w:val="00626EB6"/>
    <w:rsid w:val="0063005F"/>
    <w:rsid w:val="00631253"/>
    <w:rsid w:val="00631BDF"/>
    <w:rsid w:val="00634828"/>
    <w:rsid w:val="00634ECF"/>
    <w:rsid w:val="006359C4"/>
    <w:rsid w:val="00636D07"/>
    <w:rsid w:val="00642ECE"/>
    <w:rsid w:val="0064313B"/>
    <w:rsid w:val="00643268"/>
    <w:rsid w:val="00644593"/>
    <w:rsid w:val="006446CC"/>
    <w:rsid w:val="00644B71"/>
    <w:rsid w:val="006452D4"/>
    <w:rsid w:val="00646DAD"/>
    <w:rsid w:val="00647EAC"/>
    <w:rsid w:val="00650B87"/>
    <w:rsid w:val="00650CCA"/>
    <w:rsid w:val="00651CEC"/>
    <w:rsid w:val="006530E4"/>
    <w:rsid w:val="006553D8"/>
    <w:rsid w:val="00655AA3"/>
    <w:rsid w:val="00655D03"/>
    <w:rsid w:val="00656D63"/>
    <w:rsid w:val="00656DD3"/>
    <w:rsid w:val="006609C8"/>
    <w:rsid w:val="00660F3A"/>
    <w:rsid w:val="00661446"/>
    <w:rsid w:val="00661A7C"/>
    <w:rsid w:val="00661BCC"/>
    <w:rsid w:val="006621D8"/>
    <w:rsid w:val="006637B2"/>
    <w:rsid w:val="0066596D"/>
    <w:rsid w:val="00665F84"/>
    <w:rsid w:val="006661C8"/>
    <w:rsid w:val="0066709F"/>
    <w:rsid w:val="00672FA9"/>
    <w:rsid w:val="006755CC"/>
    <w:rsid w:val="00676F43"/>
    <w:rsid w:val="006819E9"/>
    <w:rsid w:val="00682F84"/>
    <w:rsid w:val="00682FFC"/>
    <w:rsid w:val="00683388"/>
    <w:rsid w:val="006835C3"/>
    <w:rsid w:val="00683950"/>
    <w:rsid w:val="00683F84"/>
    <w:rsid w:val="006842A5"/>
    <w:rsid w:val="00686038"/>
    <w:rsid w:val="00687E29"/>
    <w:rsid w:val="006901D0"/>
    <w:rsid w:val="00690BBC"/>
    <w:rsid w:val="00690D35"/>
    <w:rsid w:val="00690D4C"/>
    <w:rsid w:val="0069351A"/>
    <w:rsid w:val="00694575"/>
    <w:rsid w:val="00694BA8"/>
    <w:rsid w:val="006951F9"/>
    <w:rsid w:val="00695D9E"/>
    <w:rsid w:val="00696811"/>
    <w:rsid w:val="006970E0"/>
    <w:rsid w:val="00697948"/>
    <w:rsid w:val="006A0EA9"/>
    <w:rsid w:val="006A0F87"/>
    <w:rsid w:val="006A1092"/>
    <w:rsid w:val="006A207E"/>
    <w:rsid w:val="006A2CD7"/>
    <w:rsid w:val="006A3486"/>
    <w:rsid w:val="006A3C6A"/>
    <w:rsid w:val="006A4A95"/>
    <w:rsid w:val="006A6702"/>
    <w:rsid w:val="006A6A81"/>
    <w:rsid w:val="006A78BC"/>
    <w:rsid w:val="006A7AC5"/>
    <w:rsid w:val="006B100A"/>
    <w:rsid w:val="006B1FC5"/>
    <w:rsid w:val="006B3476"/>
    <w:rsid w:val="006B462D"/>
    <w:rsid w:val="006B63FA"/>
    <w:rsid w:val="006B645D"/>
    <w:rsid w:val="006B66D8"/>
    <w:rsid w:val="006B686B"/>
    <w:rsid w:val="006C2774"/>
    <w:rsid w:val="006C293E"/>
    <w:rsid w:val="006C2BE3"/>
    <w:rsid w:val="006C3575"/>
    <w:rsid w:val="006C6285"/>
    <w:rsid w:val="006C7EE9"/>
    <w:rsid w:val="006D02F9"/>
    <w:rsid w:val="006D2597"/>
    <w:rsid w:val="006D43E9"/>
    <w:rsid w:val="006D4891"/>
    <w:rsid w:val="006D649D"/>
    <w:rsid w:val="006D68C8"/>
    <w:rsid w:val="006D6FF4"/>
    <w:rsid w:val="006D7759"/>
    <w:rsid w:val="006E021F"/>
    <w:rsid w:val="006E192B"/>
    <w:rsid w:val="006E2B67"/>
    <w:rsid w:val="006E300D"/>
    <w:rsid w:val="006E54A1"/>
    <w:rsid w:val="006E5B92"/>
    <w:rsid w:val="006E63FC"/>
    <w:rsid w:val="006E669D"/>
    <w:rsid w:val="006E67D2"/>
    <w:rsid w:val="006E7A6D"/>
    <w:rsid w:val="006F0FB9"/>
    <w:rsid w:val="006F2904"/>
    <w:rsid w:val="006F5AA2"/>
    <w:rsid w:val="006F5CC7"/>
    <w:rsid w:val="006F7393"/>
    <w:rsid w:val="006F7626"/>
    <w:rsid w:val="006F7B96"/>
    <w:rsid w:val="007004CF"/>
    <w:rsid w:val="00702091"/>
    <w:rsid w:val="0070224F"/>
    <w:rsid w:val="00703DC4"/>
    <w:rsid w:val="00703EFC"/>
    <w:rsid w:val="007044FD"/>
    <w:rsid w:val="00705040"/>
    <w:rsid w:val="0070519B"/>
    <w:rsid w:val="00705B52"/>
    <w:rsid w:val="00706364"/>
    <w:rsid w:val="00706AEF"/>
    <w:rsid w:val="007115F7"/>
    <w:rsid w:val="00714A29"/>
    <w:rsid w:val="00715337"/>
    <w:rsid w:val="007155C2"/>
    <w:rsid w:val="00716DB8"/>
    <w:rsid w:val="0071718C"/>
    <w:rsid w:val="0072023A"/>
    <w:rsid w:val="007208A4"/>
    <w:rsid w:val="007208D5"/>
    <w:rsid w:val="00720F65"/>
    <w:rsid w:val="007215A7"/>
    <w:rsid w:val="0072275F"/>
    <w:rsid w:val="0072382A"/>
    <w:rsid w:val="00724CE5"/>
    <w:rsid w:val="00725C89"/>
    <w:rsid w:val="00727ED3"/>
    <w:rsid w:val="0073020A"/>
    <w:rsid w:val="00730F4E"/>
    <w:rsid w:val="00733E66"/>
    <w:rsid w:val="007359D5"/>
    <w:rsid w:val="00736587"/>
    <w:rsid w:val="007406FC"/>
    <w:rsid w:val="00741EBF"/>
    <w:rsid w:val="0074211A"/>
    <w:rsid w:val="00743578"/>
    <w:rsid w:val="0074398E"/>
    <w:rsid w:val="00745CCD"/>
    <w:rsid w:val="007474B9"/>
    <w:rsid w:val="007478D9"/>
    <w:rsid w:val="007501C2"/>
    <w:rsid w:val="0075032F"/>
    <w:rsid w:val="007532DE"/>
    <w:rsid w:val="00756397"/>
    <w:rsid w:val="007600EC"/>
    <w:rsid w:val="00762F6C"/>
    <w:rsid w:val="007631B6"/>
    <w:rsid w:val="00763AE3"/>
    <w:rsid w:val="00763F7C"/>
    <w:rsid w:val="007640BE"/>
    <w:rsid w:val="007651E7"/>
    <w:rsid w:val="00765611"/>
    <w:rsid w:val="00765FBD"/>
    <w:rsid w:val="007662FD"/>
    <w:rsid w:val="007663C5"/>
    <w:rsid w:val="007677F4"/>
    <w:rsid w:val="0076782A"/>
    <w:rsid w:val="00767962"/>
    <w:rsid w:val="00770146"/>
    <w:rsid w:val="00771E8E"/>
    <w:rsid w:val="00772B00"/>
    <w:rsid w:val="00773C29"/>
    <w:rsid w:val="00775045"/>
    <w:rsid w:val="0077504C"/>
    <w:rsid w:val="0077564B"/>
    <w:rsid w:val="00775FD7"/>
    <w:rsid w:val="00776030"/>
    <w:rsid w:val="00776FBA"/>
    <w:rsid w:val="007777B5"/>
    <w:rsid w:val="00782630"/>
    <w:rsid w:val="00783650"/>
    <w:rsid w:val="0078384E"/>
    <w:rsid w:val="00785689"/>
    <w:rsid w:val="00785C9E"/>
    <w:rsid w:val="007866F4"/>
    <w:rsid w:val="0078684E"/>
    <w:rsid w:val="0078691F"/>
    <w:rsid w:val="007871D6"/>
    <w:rsid w:val="007916DB"/>
    <w:rsid w:val="0079321D"/>
    <w:rsid w:val="0079332B"/>
    <w:rsid w:val="0079546C"/>
    <w:rsid w:val="007955FC"/>
    <w:rsid w:val="00795F6B"/>
    <w:rsid w:val="00796E74"/>
    <w:rsid w:val="0079754B"/>
    <w:rsid w:val="007A1E6D"/>
    <w:rsid w:val="007A26E4"/>
    <w:rsid w:val="007A2CE2"/>
    <w:rsid w:val="007A3AA1"/>
    <w:rsid w:val="007A5B7F"/>
    <w:rsid w:val="007B0345"/>
    <w:rsid w:val="007B0EB2"/>
    <w:rsid w:val="007B0EF3"/>
    <w:rsid w:val="007B136B"/>
    <w:rsid w:val="007B3C66"/>
    <w:rsid w:val="007B3E06"/>
    <w:rsid w:val="007B4185"/>
    <w:rsid w:val="007B480E"/>
    <w:rsid w:val="007B642F"/>
    <w:rsid w:val="007B7E46"/>
    <w:rsid w:val="007C1462"/>
    <w:rsid w:val="007C1E57"/>
    <w:rsid w:val="007C275B"/>
    <w:rsid w:val="007C315A"/>
    <w:rsid w:val="007C62CF"/>
    <w:rsid w:val="007D054F"/>
    <w:rsid w:val="007D0A8D"/>
    <w:rsid w:val="007D10EC"/>
    <w:rsid w:val="007D2330"/>
    <w:rsid w:val="007D4703"/>
    <w:rsid w:val="007D5E9E"/>
    <w:rsid w:val="007D61B6"/>
    <w:rsid w:val="007D7864"/>
    <w:rsid w:val="007E132F"/>
    <w:rsid w:val="007E1613"/>
    <w:rsid w:val="007E20AA"/>
    <w:rsid w:val="007E346A"/>
    <w:rsid w:val="007E3F64"/>
    <w:rsid w:val="007E4C54"/>
    <w:rsid w:val="007E5872"/>
    <w:rsid w:val="007E6A8D"/>
    <w:rsid w:val="007E6F14"/>
    <w:rsid w:val="007E75C4"/>
    <w:rsid w:val="007E7A7A"/>
    <w:rsid w:val="007E7BE4"/>
    <w:rsid w:val="007F0287"/>
    <w:rsid w:val="00800B35"/>
    <w:rsid w:val="00805BBF"/>
    <w:rsid w:val="00806ECF"/>
    <w:rsid w:val="00810302"/>
    <w:rsid w:val="0081060E"/>
    <w:rsid w:val="00810B6F"/>
    <w:rsid w:val="00812650"/>
    <w:rsid w:val="00813DFE"/>
    <w:rsid w:val="0081586A"/>
    <w:rsid w:val="00815E3D"/>
    <w:rsid w:val="0081602A"/>
    <w:rsid w:val="00816233"/>
    <w:rsid w:val="00816263"/>
    <w:rsid w:val="0081683D"/>
    <w:rsid w:val="0081769E"/>
    <w:rsid w:val="0081774A"/>
    <w:rsid w:val="0082183C"/>
    <w:rsid w:val="00822C46"/>
    <w:rsid w:val="00822CE0"/>
    <w:rsid w:val="008236F9"/>
    <w:rsid w:val="00823869"/>
    <w:rsid w:val="008252DD"/>
    <w:rsid w:val="00827AB0"/>
    <w:rsid w:val="00827E6D"/>
    <w:rsid w:val="00831A86"/>
    <w:rsid w:val="0083200B"/>
    <w:rsid w:val="008329A8"/>
    <w:rsid w:val="00832A37"/>
    <w:rsid w:val="0083481A"/>
    <w:rsid w:val="0083609F"/>
    <w:rsid w:val="008365A4"/>
    <w:rsid w:val="0083663A"/>
    <w:rsid w:val="00836849"/>
    <w:rsid w:val="00840B35"/>
    <w:rsid w:val="008417A4"/>
    <w:rsid w:val="00841AB1"/>
    <w:rsid w:val="00842077"/>
    <w:rsid w:val="0084318C"/>
    <w:rsid w:val="008431B9"/>
    <w:rsid w:val="008437AE"/>
    <w:rsid w:val="00844B2A"/>
    <w:rsid w:val="00844C2E"/>
    <w:rsid w:val="00845ADA"/>
    <w:rsid w:val="00847DFE"/>
    <w:rsid w:val="00850DED"/>
    <w:rsid w:val="00854D8A"/>
    <w:rsid w:val="00855ACE"/>
    <w:rsid w:val="008563FF"/>
    <w:rsid w:val="00856B83"/>
    <w:rsid w:val="00856BC8"/>
    <w:rsid w:val="0086166D"/>
    <w:rsid w:val="00861865"/>
    <w:rsid w:val="00862092"/>
    <w:rsid w:val="00865373"/>
    <w:rsid w:val="00867803"/>
    <w:rsid w:val="00867AD9"/>
    <w:rsid w:val="00867AFD"/>
    <w:rsid w:val="00867B5D"/>
    <w:rsid w:val="008701E7"/>
    <w:rsid w:val="008712BD"/>
    <w:rsid w:val="00871C11"/>
    <w:rsid w:val="00871CD4"/>
    <w:rsid w:val="0087268F"/>
    <w:rsid w:val="00874A79"/>
    <w:rsid w:val="00875B63"/>
    <w:rsid w:val="008760B6"/>
    <w:rsid w:val="008761AA"/>
    <w:rsid w:val="008778F9"/>
    <w:rsid w:val="008804F3"/>
    <w:rsid w:val="00881FF8"/>
    <w:rsid w:val="008820B0"/>
    <w:rsid w:val="008875BE"/>
    <w:rsid w:val="008876F9"/>
    <w:rsid w:val="008915D0"/>
    <w:rsid w:val="00891DF1"/>
    <w:rsid w:val="00892367"/>
    <w:rsid w:val="00892D04"/>
    <w:rsid w:val="008934B4"/>
    <w:rsid w:val="00893DD5"/>
    <w:rsid w:val="00896086"/>
    <w:rsid w:val="00896493"/>
    <w:rsid w:val="00897D56"/>
    <w:rsid w:val="008A133B"/>
    <w:rsid w:val="008A17B0"/>
    <w:rsid w:val="008A1916"/>
    <w:rsid w:val="008A1B28"/>
    <w:rsid w:val="008A21D1"/>
    <w:rsid w:val="008A5D1B"/>
    <w:rsid w:val="008A6067"/>
    <w:rsid w:val="008A777B"/>
    <w:rsid w:val="008B01BE"/>
    <w:rsid w:val="008B09EB"/>
    <w:rsid w:val="008B5CB8"/>
    <w:rsid w:val="008C02E6"/>
    <w:rsid w:val="008C15AB"/>
    <w:rsid w:val="008C1AED"/>
    <w:rsid w:val="008C3A65"/>
    <w:rsid w:val="008C4DB3"/>
    <w:rsid w:val="008C5CB7"/>
    <w:rsid w:val="008C6394"/>
    <w:rsid w:val="008C63D9"/>
    <w:rsid w:val="008C68F1"/>
    <w:rsid w:val="008C69DB"/>
    <w:rsid w:val="008C7B86"/>
    <w:rsid w:val="008D1215"/>
    <w:rsid w:val="008D1365"/>
    <w:rsid w:val="008D1B50"/>
    <w:rsid w:val="008D4BF5"/>
    <w:rsid w:val="008D616A"/>
    <w:rsid w:val="008E1D3D"/>
    <w:rsid w:val="008E2D09"/>
    <w:rsid w:val="008E57C7"/>
    <w:rsid w:val="008E624A"/>
    <w:rsid w:val="008E6271"/>
    <w:rsid w:val="008E7D6B"/>
    <w:rsid w:val="008E7E93"/>
    <w:rsid w:val="008F0D2E"/>
    <w:rsid w:val="008F1F7C"/>
    <w:rsid w:val="008F2C3D"/>
    <w:rsid w:val="008F51CE"/>
    <w:rsid w:val="008F5A89"/>
    <w:rsid w:val="008F5A9B"/>
    <w:rsid w:val="008F709C"/>
    <w:rsid w:val="009001A7"/>
    <w:rsid w:val="00902695"/>
    <w:rsid w:val="00904F81"/>
    <w:rsid w:val="00906C8C"/>
    <w:rsid w:val="009070AB"/>
    <w:rsid w:val="0090764C"/>
    <w:rsid w:val="00911ECD"/>
    <w:rsid w:val="00911F72"/>
    <w:rsid w:val="009129CC"/>
    <w:rsid w:val="009138AC"/>
    <w:rsid w:val="00915989"/>
    <w:rsid w:val="0091655E"/>
    <w:rsid w:val="00916941"/>
    <w:rsid w:val="00917BBC"/>
    <w:rsid w:val="00917CC8"/>
    <w:rsid w:val="00920C54"/>
    <w:rsid w:val="0092104E"/>
    <w:rsid w:val="00921803"/>
    <w:rsid w:val="00926503"/>
    <w:rsid w:val="00926A77"/>
    <w:rsid w:val="00926E6E"/>
    <w:rsid w:val="00930137"/>
    <w:rsid w:val="00930511"/>
    <w:rsid w:val="00931536"/>
    <w:rsid w:val="00931C01"/>
    <w:rsid w:val="0093231E"/>
    <w:rsid w:val="00933F16"/>
    <w:rsid w:val="00934E5D"/>
    <w:rsid w:val="00936A26"/>
    <w:rsid w:val="009400A1"/>
    <w:rsid w:val="00940531"/>
    <w:rsid w:val="00940E87"/>
    <w:rsid w:val="009417F0"/>
    <w:rsid w:val="00942B1A"/>
    <w:rsid w:val="00947670"/>
    <w:rsid w:val="00947AF4"/>
    <w:rsid w:val="00952730"/>
    <w:rsid w:val="00953160"/>
    <w:rsid w:val="00953754"/>
    <w:rsid w:val="00953E52"/>
    <w:rsid w:val="00954666"/>
    <w:rsid w:val="00954C54"/>
    <w:rsid w:val="009562E8"/>
    <w:rsid w:val="0095653B"/>
    <w:rsid w:val="00956C37"/>
    <w:rsid w:val="0095702A"/>
    <w:rsid w:val="00957B64"/>
    <w:rsid w:val="00957D1B"/>
    <w:rsid w:val="00960A50"/>
    <w:rsid w:val="00962312"/>
    <w:rsid w:val="00964745"/>
    <w:rsid w:val="00964B05"/>
    <w:rsid w:val="0096670A"/>
    <w:rsid w:val="009669D5"/>
    <w:rsid w:val="00966C51"/>
    <w:rsid w:val="00967890"/>
    <w:rsid w:val="00967D26"/>
    <w:rsid w:val="009702CD"/>
    <w:rsid w:val="009704E7"/>
    <w:rsid w:val="009726D8"/>
    <w:rsid w:val="00973689"/>
    <w:rsid w:val="00973D56"/>
    <w:rsid w:val="009757A9"/>
    <w:rsid w:val="00975F3D"/>
    <w:rsid w:val="009775DD"/>
    <w:rsid w:val="00986B2A"/>
    <w:rsid w:val="0098713E"/>
    <w:rsid w:val="0098758C"/>
    <w:rsid w:val="009909FC"/>
    <w:rsid w:val="0099179C"/>
    <w:rsid w:val="009942FD"/>
    <w:rsid w:val="009963C9"/>
    <w:rsid w:val="00997019"/>
    <w:rsid w:val="00997199"/>
    <w:rsid w:val="0099731E"/>
    <w:rsid w:val="00997DA8"/>
    <w:rsid w:val="009A06BE"/>
    <w:rsid w:val="009A1D96"/>
    <w:rsid w:val="009A2B1F"/>
    <w:rsid w:val="009A3272"/>
    <w:rsid w:val="009A3F79"/>
    <w:rsid w:val="009A50A7"/>
    <w:rsid w:val="009A53EB"/>
    <w:rsid w:val="009A5B10"/>
    <w:rsid w:val="009A65F7"/>
    <w:rsid w:val="009A78DB"/>
    <w:rsid w:val="009B05AB"/>
    <w:rsid w:val="009B247C"/>
    <w:rsid w:val="009B2503"/>
    <w:rsid w:val="009B38DE"/>
    <w:rsid w:val="009B3E57"/>
    <w:rsid w:val="009B6A14"/>
    <w:rsid w:val="009C1AA0"/>
    <w:rsid w:val="009C2578"/>
    <w:rsid w:val="009C6FB5"/>
    <w:rsid w:val="009C71B2"/>
    <w:rsid w:val="009D0A63"/>
    <w:rsid w:val="009D163B"/>
    <w:rsid w:val="009D2477"/>
    <w:rsid w:val="009D44B4"/>
    <w:rsid w:val="009D5C92"/>
    <w:rsid w:val="009D7308"/>
    <w:rsid w:val="009E0CC2"/>
    <w:rsid w:val="009E11A4"/>
    <w:rsid w:val="009E1BE6"/>
    <w:rsid w:val="009E2EDF"/>
    <w:rsid w:val="009E3FA9"/>
    <w:rsid w:val="009E4702"/>
    <w:rsid w:val="009E4F6B"/>
    <w:rsid w:val="009E4FD4"/>
    <w:rsid w:val="009E504D"/>
    <w:rsid w:val="009E55D4"/>
    <w:rsid w:val="009E658A"/>
    <w:rsid w:val="009F202E"/>
    <w:rsid w:val="009F213D"/>
    <w:rsid w:val="009F250B"/>
    <w:rsid w:val="009F32F5"/>
    <w:rsid w:val="009F55A2"/>
    <w:rsid w:val="009F57B4"/>
    <w:rsid w:val="009F76DB"/>
    <w:rsid w:val="00A00930"/>
    <w:rsid w:val="00A030D0"/>
    <w:rsid w:val="00A0399A"/>
    <w:rsid w:val="00A0422A"/>
    <w:rsid w:val="00A0431E"/>
    <w:rsid w:val="00A04B32"/>
    <w:rsid w:val="00A05436"/>
    <w:rsid w:val="00A066C9"/>
    <w:rsid w:val="00A067CB"/>
    <w:rsid w:val="00A1132C"/>
    <w:rsid w:val="00A1232D"/>
    <w:rsid w:val="00A13A25"/>
    <w:rsid w:val="00A13F3F"/>
    <w:rsid w:val="00A1479E"/>
    <w:rsid w:val="00A15800"/>
    <w:rsid w:val="00A15852"/>
    <w:rsid w:val="00A17BCF"/>
    <w:rsid w:val="00A20779"/>
    <w:rsid w:val="00A2130D"/>
    <w:rsid w:val="00A21B01"/>
    <w:rsid w:val="00A2436D"/>
    <w:rsid w:val="00A247A0"/>
    <w:rsid w:val="00A25774"/>
    <w:rsid w:val="00A25DC8"/>
    <w:rsid w:val="00A32C3B"/>
    <w:rsid w:val="00A33C38"/>
    <w:rsid w:val="00A34917"/>
    <w:rsid w:val="00A35E30"/>
    <w:rsid w:val="00A36054"/>
    <w:rsid w:val="00A37EC6"/>
    <w:rsid w:val="00A400AE"/>
    <w:rsid w:val="00A4193B"/>
    <w:rsid w:val="00A43BFB"/>
    <w:rsid w:val="00A4407B"/>
    <w:rsid w:val="00A44A1C"/>
    <w:rsid w:val="00A45F4F"/>
    <w:rsid w:val="00A463DF"/>
    <w:rsid w:val="00A46DC4"/>
    <w:rsid w:val="00A46FFE"/>
    <w:rsid w:val="00A47321"/>
    <w:rsid w:val="00A51C1B"/>
    <w:rsid w:val="00A51C37"/>
    <w:rsid w:val="00A51D71"/>
    <w:rsid w:val="00A52248"/>
    <w:rsid w:val="00A55354"/>
    <w:rsid w:val="00A55DDD"/>
    <w:rsid w:val="00A55F82"/>
    <w:rsid w:val="00A5619D"/>
    <w:rsid w:val="00A573AC"/>
    <w:rsid w:val="00A5754B"/>
    <w:rsid w:val="00A57A1D"/>
    <w:rsid w:val="00A57E2F"/>
    <w:rsid w:val="00A600A9"/>
    <w:rsid w:val="00A60102"/>
    <w:rsid w:val="00A61684"/>
    <w:rsid w:val="00A616AA"/>
    <w:rsid w:val="00A62588"/>
    <w:rsid w:val="00A638F1"/>
    <w:rsid w:val="00A65BBE"/>
    <w:rsid w:val="00A66071"/>
    <w:rsid w:val="00A66613"/>
    <w:rsid w:val="00A676B5"/>
    <w:rsid w:val="00A6785D"/>
    <w:rsid w:val="00A70024"/>
    <w:rsid w:val="00A71142"/>
    <w:rsid w:val="00A725D4"/>
    <w:rsid w:val="00A738B8"/>
    <w:rsid w:val="00A74A15"/>
    <w:rsid w:val="00A760AC"/>
    <w:rsid w:val="00A76539"/>
    <w:rsid w:val="00A76993"/>
    <w:rsid w:val="00A77175"/>
    <w:rsid w:val="00A775C1"/>
    <w:rsid w:val="00A77E22"/>
    <w:rsid w:val="00A80725"/>
    <w:rsid w:val="00A8127C"/>
    <w:rsid w:val="00A81B34"/>
    <w:rsid w:val="00A8229A"/>
    <w:rsid w:val="00A84030"/>
    <w:rsid w:val="00A844B8"/>
    <w:rsid w:val="00A858E0"/>
    <w:rsid w:val="00A863E5"/>
    <w:rsid w:val="00A86DBC"/>
    <w:rsid w:val="00A86FC3"/>
    <w:rsid w:val="00A87681"/>
    <w:rsid w:val="00A905C4"/>
    <w:rsid w:val="00A92285"/>
    <w:rsid w:val="00A92775"/>
    <w:rsid w:val="00A93709"/>
    <w:rsid w:val="00A946FB"/>
    <w:rsid w:val="00A94D63"/>
    <w:rsid w:val="00A95284"/>
    <w:rsid w:val="00A95311"/>
    <w:rsid w:val="00A955C2"/>
    <w:rsid w:val="00A95F96"/>
    <w:rsid w:val="00A973E3"/>
    <w:rsid w:val="00AA0902"/>
    <w:rsid w:val="00AA0F87"/>
    <w:rsid w:val="00AA155B"/>
    <w:rsid w:val="00AA1A36"/>
    <w:rsid w:val="00AA2E80"/>
    <w:rsid w:val="00AA55B7"/>
    <w:rsid w:val="00AA5B9E"/>
    <w:rsid w:val="00AA6C8E"/>
    <w:rsid w:val="00AA7774"/>
    <w:rsid w:val="00AA7C8C"/>
    <w:rsid w:val="00AB04FA"/>
    <w:rsid w:val="00AB0782"/>
    <w:rsid w:val="00AB169C"/>
    <w:rsid w:val="00AB19B6"/>
    <w:rsid w:val="00AB2407"/>
    <w:rsid w:val="00AB3052"/>
    <w:rsid w:val="00AB3287"/>
    <w:rsid w:val="00AB3768"/>
    <w:rsid w:val="00AB3DC8"/>
    <w:rsid w:val="00AB4329"/>
    <w:rsid w:val="00AB4DB0"/>
    <w:rsid w:val="00AB53DF"/>
    <w:rsid w:val="00AB540B"/>
    <w:rsid w:val="00AB657E"/>
    <w:rsid w:val="00AB67D5"/>
    <w:rsid w:val="00AB76DF"/>
    <w:rsid w:val="00AC0A84"/>
    <w:rsid w:val="00AC0C6A"/>
    <w:rsid w:val="00AC102C"/>
    <w:rsid w:val="00AC24AC"/>
    <w:rsid w:val="00AC3D94"/>
    <w:rsid w:val="00AC3DE3"/>
    <w:rsid w:val="00AC59A5"/>
    <w:rsid w:val="00AD03C2"/>
    <w:rsid w:val="00AD0490"/>
    <w:rsid w:val="00AD0A0D"/>
    <w:rsid w:val="00AD0D11"/>
    <w:rsid w:val="00AD1F49"/>
    <w:rsid w:val="00AD2707"/>
    <w:rsid w:val="00AD6034"/>
    <w:rsid w:val="00AD62E8"/>
    <w:rsid w:val="00AD68D9"/>
    <w:rsid w:val="00AD7A72"/>
    <w:rsid w:val="00AE0BBA"/>
    <w:rsid w:val="00AE1C36"/>
    <w:rsid w:val="00AE23D1"/>
    <w:rsid w:val="00AE2530"/>
    <w:rsid w:val="00AE353F"/>
    <w:rsid w:val="00AE401F"/>
    <w:rsid w:val="00AE479D"/>
    <w:rsid w:val="00AE4C9A"/>
    <w:rsid w:val="00AE62B5"/>
    <w:rsid w:val="00AE7DC5"/>
    <w:rsid w:val="00AF196F"/>
    <w:rsid w:val="00AF20B8"/>
    <w:rsid w:val="00AF2192"/>
    <w:rsid w:val="00AF3BDA"/>
    <w:rsid w:val="00AF7E8C"/>
    <w:rsid w:val="00AF7ED6"/>
    <w:rsid w:val="00B00228"/>
    <w:rsid w:val="00B00CB3"/>
    <w:rsid w:val="00B056E2"/>
    <w:rsid w:val="00B06F9A"/>
    <w:rsid w:val="00B07E5C"/>
    <w:rsid w:val="00B1162A"/>
    <w:rsid w:val="00B11B67"/>
    <w:rsid w:val="00B12567"/>
    <w:rsid w:val="00B13165"/>
    <w:rsid w:val="00B133AA"/>
    <w:rsid w:val="00B147C0"/>
    <w:rsid w:val="00B15E90"/>
    <w:rsid w:val="00B16865"/>
    <w:rsid w:val="00B16C91"/>
    <w:rsid w:val="00B2084B"/>
    <w:rsid w:val="00B20F7C"/>
    <w:rsid w:val="00B22116"/>
    <w:rsid w:val="00B24B60"/>
    <w:rsid w:val="00B24BF6"/>
    <w:rsid w:val="00B24CAD"/>
    <w:rsid w:val="00B250C8"/>
    <w:rsid w:val="00B253E2"/>
    <w:rsid w:val="00B258A8"/>
    <w:rsid w:val="00B25E4B"/>
    <w:rsid w:val="00B26166"/>
    <w:rsid w:val="00B26B0C"/>
    <w:rsid w:val="00B30162"/>
    <w:rsid w:val="00B333E9"/>
    <w:rsid w:val="00B33754"/>
    <w:rsid w:val="00B365E6"/>
    <w:rsid w:val="00B367BD"/>
    <w:rsid w:val="00B368EB"/>
    <w:rsid w:val="00B36990"/>
    <w:rsid w:val="00B36EFD"/>
    <w:rsid w:val="00B400CA"/>
    <w:rsid w:val="00B40521"/>
    <w:rsid w:val="00B4151B"/>
    <w:rsid w:val="00B42268"/>
    <w:rsid w:val="00B426BE"/>
    <w:rsid w:val="00B42943"/>
    <w:rsid w:val="00B43244"/>
    <w:rsid w:val="00B43537"/>
    <w:rsid w:val="00B4386C"/>
    <w:rsid w:val="00B4434C"/>
    <w:rsid w:val="00B454A4"/>
    <w:rsid w:val="00B458B1"/>
    <w:rsid w:val="00B4656B"/>
    <w:rsid w:val="00B46765"/>
    <w:rsid w:val="00B50D27"/>
    <w:rsid w:val="00B5140E"/>
    <w:rsid w:val="00B5170B"/>
    <w:rsid w:val="00B51F91"/>
    <w:rsid w:val="00B52B93"/>
    <w:rsid w:val="00B52EE7"/>
    <w:rsid w:val="00B53EFB"/>
    <w:rsid w:val="00B53FAF"/>
    <w:rsid w:val="00B55AEE"/>
    <w:rsid w:val="00B560BD"/>
    <w:rsid w:val="00B569DB"/>
    <w:rsid w:val="00B57C02"/>
    <w:rsid w:val="00B57EC5"/>
    <w:rsid w:val="00B61E75"/>
    <w:rsid w:val="00B63541"/>
    <w:rsid w:val="00B65C57"/>
    <w:rsid w:val="00B65E5B"/>
    <w:rsid w:val="00B6674B"/>
    <w:rsid w:val="00B668D5"/>
    <w:rsid w:val="00B673CE"/>
    <w:rsid w:val="00B72691"/>
    <w:rsid w:val="00B731FE"/>
    <w:rsid w:val="00B747BA"/>
    <w:rsid w:val="00B753D2"/>
    <w:rsid w:val="00B8084A"/>
    <w:rsid w:val="00B809CE"/>
    <w:rsid w:val="00B811F7"/>
    <w:rsid w:val="00B81C58"/>
    <w:rsid w:val="00B8289C"/>
    <w:rsid w:val="00B84BB2"/>
    <w:rsid w:val="00B85D87"/>
    <w:rsid w:val="00B8686D"/>
    <w:rsid w:val="00B8709C"/>
    <w:rsid w:val="00B91194"/>
    <w:rsid w:val="00B91BDB"/>
    <w:rsid w:val="00B92A81"/>
    <w:rsid w:val="00B92F76"/>
    <w:rsid w:val="00BA01D8"/>
    <w:rsid w:val="00BA18AF"/>
    <w:rsid w:val="00BA1CA5"/>
    <w:rsid w:val="00BA34A8"/>
    <w:rsid w:val="00BA3613"/>
    <w:rsid w:val="00BA430A"/>
    <w:rsid w:val="00BA44F4"/>
    <w:rsid w:val="00BA4931"/>
    <w:rsid w:val="00BA4DF1"/>
    <w:rsid w:val="00BA5DC6"/>
    <w:rsid w:val="00BA6196"/>
    <w:rsid w:val="00BA62D2"/>
    <w:rsid w:val="00BA6657"/>
    <w:rsid w:val="00BA6A23"/>
    <w:rsid w:val="00BA7110"/>
    <w:rsid w:val="00BA718E"/>
    <w:rsid w:val="00BA7415"/>
    <w:rsid w:val="00BA7CA5"/>
    <w:rsid w:val="00BB2815"/>
    <w:rsid w:val="00BB47C5"/>
    <w:rsid w:val="00BB4975"/>
    <w:rsid w:val="00BB4DE6"/>
    <w:rsid w:val="00BB60F0"/>
    <w:rsid w:val="00BB7027"/>
    <w:rsid w:val="00BB763D"/>
    <w:rsid w:val="00BB76BF"/>
    <w:rsid w:val="00BB7BC1"/>
    <w:rsid w:val="00BC0804"/>
    <w:rsid w:val="00BC127D"/>
    <w:rsid w:val="00BC13FC"/>
    <w:rsid w:val="00BC2510"/>
    <w:rsid w:val="00BC5170"/>
    <w:rsid w:val="00BC5E12"/>
    <w:rsid w:val="00BC66A9"/>
    <w:rsid w:val="00BC6B55"/>
    <w:rsid w:val="00BC6D8C"/>
    <w:rsid w:val="00BC726E"/>
    <w:rsid w:val="00BC7377"/>
    <w:rsid w:val="00BD0A70"/>
    <w:rsid w:val="00BD2577"/>
    <w:rsid w:val="00BD2587"/>
    <w:rsid w:val="00BD56BD"/>
    <w:rsid w:val="00BD5A0C"/>
    <w:rsid w:val="00BE0F3E"/>
    <w:rsid w:val="00BE1E6B"/>
    <w:rsid w:val="00BE20E7"/>
    <w:rsid w:val="00BE321D"/>
    <w:rsid w:val="00BE340F"/>
    <w:rsid w:val="00BE4FD8"/>
    <w:rsid w:val="00BE5BB6"/>
    <w:rsid w:val="00BF0A84"/>
    <w:rsid w:val="00BF0AFE"/>
    <w:rsid w:val="00BF2540"/>
    <w:rsid w:val="00BF3B7B"/>
    <w:rsid w:val="00BF5CC5"/>
    <w:rsid w:val="00BF662A"/>
    <w:rsid w:val="00BF6D34"/>
    <w:rsid w:val="00BF7B09"/>
    <w:rsid w:val="00BF7D47"/>
    <w:rsid w:val="00C00554"/>
    <w:rsid w:val="00C0188C"/>
    <w:rsid w:val="00C022DE"/>
    <w:rsid w:val="00C026C3"/>
    <w:rsid w:val="00C03CE3"/>
    <w:rsid w:val="00C06373"/>
    <w:rsid w:val="00C0757D"/>
    <w:rsid w:val="00C07871"/>
    <w:rsid w:val="00C1016C"/>
    <w:rsid w:val="00C11595"/>
    <w:rsid w:val="00C12DF7"/>
    <w:rsid w:val="00C14820"/>
    <w:rsid w:val="00C14A2B"/>
    <w:rsid w:val="00C20313"/>
    <w:rsid w:val="00C2095B"/>
    <w:rsid w:val="00C220B2"/>
    <w:rsid w:val="00C2747E"/>
    <w:rsid w:val="00C31765"/>
    <w:rsid w:val="00C32AE2"/>
    <w:rsid w:val="00C32F78"/>
    <w:rsid w:val="00C34006"/>
    <w:rsid w:val="00C34F1D"/>
    <w:rsid w:val="00C36B4C"/>
    <w:rsid w:val="00C37488"/>
    <w:rsid w:val="00C3748C"/>
    <w:rsid w:val="00C37E42"/>
    <w:rsid w:val="00C41B2D"/>
    <w:rsid w:val="00C426B1"/>
    <w:rsid w:val="00C444A8"/>
    <w:rsid w:val="00C45C45"/>
    <w:rsid w:val="00C50C58"/>
    <w:rsid w:val="00C52508"/>
    <w:rsid w:val="00C535D6"/>
    <w:rsid w:val="00C574A8"/>
    <w:rsid w:val="00C57B58"/>
    <w:rsid w:val="00C61530"/>
    <w:rsid w:val="00C62230"/>
    <w:rsid w:val="00C62794"/>
    <w:rsid w:val="00C66160"/>
    <w:rsid w:val="00C7010E"/>
    <w:rsid w:val="00C71537"/>
    <w:rsid w:val="00C721AC"/>
    <w:rsid w:val="00C72400"/>
    <w:rsid w:val="00C72696"/>
    <w:rsid w:val="00C7436B"/>
    <w:rsid w:val="00C752C8"/>
    <w:rsid w:val="00C755A1"/>
    <w:rsid w:val="00C75612"/>
    <w:rsid w:val="00C768B8"/>
    <w:rsid w:val="00C769A2"/>
    <w:rsid w:val="00C7777B"/>
    <w:rsid w:val="00C778D1"/>
    <w:rsid w:val="00C818DB"/>
    <w:rsid w:val="00C81B88"/>
    <w:rsid w:val="00C81FF1"/>
    <w:rsid w:val="00C82BE4"/>
    <w:rsid w:val="00C83B3E"/>
    <w:rsid w:val="00C84791"/>
    <w:rsid w:val="00C86D74"/>
    <w:rsid w:val="00C87054"/>
    <w:rsid w:val="00C8729F"/>
    <w:rsid w:val="00C90CCC"/>
    <w:rsid w:val="00C90D6A"/>
    <w:rsid w:val="00C915A0"/>
    <w:rsid w:val="00C92688"/>
    <w:rsid w:val="00C930F9"/>
    <w:rsid w:val="00C96C00"/>
    <w:rsid w:val="00CA166E"/>
    <w:rsid w:val="00CA218D"/>
    <w:rsid w:val="00CA247E"/>
    <w:rsid w:val="00CA2B47"/>
    <w:rsid w:val="00CA2B7D"/>
    <w:rsid w:val="00CA30E2"/>
    <w:rsid w:val="00CA35B2"/>
    <w:rsid w:val="00CA4662"/>
    <w:rsid w:val="00CA610E"/>
    <w:rsid w:val="00CA6D21"/>
    <w:rsid w:val="00CA7329"/>
    <w:rsid w:val="00CB0765"/>
    <w:rsid w:val="00CB07FA"/>
    <w:rsid w:val="00CB0EEB"/>
    <w:rsid w:val="00CB290C"/>
    <w:rsid w:val="00CB2AC5"/>
    <w:rsid w:val="00CB2F37"/>
    <w:rsid w:val="00CB374F"/>
    <w:rsid w:val="00CB4E74"/>
    <w:rsid w:val="00CB551A"/>
    <w:rsid w:val="00CB622C"/>
    <w:rsid w:val="00CB6E58"/>
    <w:rsid w:val="00CB783B"/>
    <w:rsid w:val="00CB7AED"/>
    <w:rsid w:val="00CB7E20"/>
    <w:rsid w:val="00CB7EFA"/>
    <w:rsid w:val="00CC11A4"/>
    <w:rsid w:val="00CC1C2A"/>
    <w:rsid w:val="00CC3237"/>
    <w:rsid w:val="00CC372A"/>
    <w:rsid w:val="00CC5EA5"/>
    <w:rsid w:val="00CC6174"/>
    <w:rsid w:val="00CC6198"/>
    <w:rsid w:val="00CC6A9B"/>
    <w:rsid w:val="00CC72B6"/>
    <w:rsid w:val="00CC7A85"/>
    <w:rsid w:val="00CC7EBA"/>
    <w:rsid w:val="00CD0530"/>
    <w:rsid w:val="00CD3D83"/>
    <w:rsid w:val="00CD3FFA"/>
    <w:rsid w:val="00CD5B01"/>
    <w:rsid w:val="00CD76F7"/>
    <w:rsid w:val="00CE1097"/>
    <w:rsid w:val="00CE2A76"/>
    <w:rsid w:val="00CE2B10"/>
    <w:rsid w:val="00CE72CC"/>
    <w:rsid w:val="00CE79A9"/>
    <w:rsid w:val="00CE7BD3"/>
    <w:rsid w:val="00CF0A0D"/>
    <w:rsid w:val="00CF23B7"/>
    <w:rsid w:val="00CF47CB"/>
    <w:rsid w:val="00CF47F2"/>
    <w:rsid w:val="00CF525F"/>
    <w:rsid w:val="00CF70ED"/>
    <w:rsid w:val="00CF7333"/>
    <w:rsid w:val="00CF777A"/>
    <w:rsid w:val="00D00790"/>
    <w:rsid w:val="00D00FE6"/>
    <w:rsid w:val="00D01A6C"/>
    <w:rsid w:val="00D01DC7"/>
    <w:rsid w:val="00D02157"/>
    <w:rsid w:val="00D0218D"/>
    <w:rsid w:val="00D0281E"/>
    <w:rsid w:val="00D02FD3"/>
    <w:rsid w:val="00D03664"/>
    <w:rsid w:val="00D0750E"/>
    <w:rsid w:val="00D11F92"/>
    <w:rsid w:val="00D11FD7"/>
    <w:rsid w:val="00D12833"/>
    <w:rsid w:val="00D14C56"/>
    <w:rsid w:val="00D2072C"/>
    <w:rsid w:val="00D20A71"/>
    <w:rsid w:val="00D24386"/>
    <w:rsid w:val="00D24BFF"/>
    <w:rsid w:val="00D2567E"/>
    <w:rsid w:val="00D25C0E"/>
    <w:rsid w:val="00D25FB5"/>
    <w:rsid w:val="00D30CA1"/>
    <w:rsid w:val="00D33194"/>
    <w:rsid w:val="00D34F3C"/>
    <w:rsid w:val="00D36091"/>
    <w:rsid w:val="00D37DCF"/>
    <w:rsid w:val="00D41460"/>
    <w:rsid w:val="00D415A6"/>
    <w:rsid w:val="00D41B2F"/>
    <w:rsid w:val="00D42681"/>
    <w:rsid w:val="00D42FCE"/>
    <w:rsid w:val="00D4337D"/>
    <w:rsid w:val="00D43C0B"/>
    <w:rsid w:val="00D44223"/>
    <w:rsid w:val="00D44846"/>
    <w:rsid w:val="00D451FB"/>
    <w:rsid w:val="00D45889"/>
    <w:rsid w:val="00D5025E"/>
    <w:rsid w:val="00D5155C"/>
    <w:rsid w:val="00D53447"/>
    <w:rsid w:val="00D53AF6"/>
    <w:rsid w:val="00D5460B"/>
    <w:rsid w:val="00D550FB"/>
    <w:rsid w:val="00D552A5"/>
    <w:rsid w:val="00D55A9B"/>
    <w:rsid w:val="00D57173"/>
    <w:rsid w:val="00D57747"/>
    <w:rsid w:val="00D60573"/>
    <w:rsid w:val="00D65B65"/>
    <w:rsid w:val="00D666C7"/>
    <w:rsid w:val="00D66A4F"/>
    <w:rsid w:val="00D671A3"/>
    <w:rsid w:val="00D67833"/>
    <w:rsid w:val="00D70025"/>
    <w:rsid w:val="00D73845"/>
    <w:rsid w:val="00D75089"/>
    <w:rsid w:val="00D7558A"/>
    <w:rsid w:val="00D759E8"/>
    <w:rsid w:val="00D761F8"/>
    <w:rsid w:val="00D7650F"/>
    <w:rsid w:val="00D80F2B"/>
    <w:rsid w:val="00D81E0F"/>
    <w:rsid w:val="00D825BB"/>
    <w:rsid w:val="00D82F64"/>
    <w:rsid w:val="00D83984"/>
    <w:rsid w:val="00D83AF7"/>
    <w:rsid w:val="00D85423"/>
    <w:rsid w:val="00D86829"/>
    <w:rsid w:val="00D86AED"/>
    <w:rsid w:val="00D86CE3"/>
    <w:rsid w:val="00D879C5"/>
    <w:rsid w:val="00D87BE4"/>
    <w:rsid w:val="00D87C73"/>
    <w:rsid w:val="00D87FEE"/>
    <w:rsid w:val="00D9061A"/>
    <w:rsid w:val="00D90D69"/>
    <w:rsid w:val="00D916B6"/>
    <w:rsid w:val="00D91D07"/>
    <w:rsid w:val="00D92234"/>
    <w:rsid w:val="00D92B9B"/>
    <w:rsid w:val="00D9326F"/>
    <w:rsid w:val="00D932F6"/>
    <w:rsid w:val="00D9365C"/>
    <w:rsid w:val="00D938C9"/>
    <w:rsid w:val="00D965D7"/>
    <w:rsid w:val="00D97A53"/>
    <w:rsid w:val="00DA0BD7"/>
    <w:rsid w:val="00DA10A4"/>
    <w:rsid w:val="00DA11A6"/>
    <w:rsid w:val="00DA2529"/>
    <w:rsid w:val="00DA2896"/>
    <w:rsid w:val="00DA2ADE"/>
    <w:rsid w:val="00DA2EE3"/>
    <w:rsid w:val="00DA4A2C"/>
    <w:rsid w:val="00DA613F"/>
    <w:rsid w:val="00DA6717"/>
    <w:rsid w:val="00DA6E32"/>
    <w:rsid w:val="00DB130A"/>
    <w:rsid w:val="00DB293C"/>
    <w:rsid w:val="00DB2B30"/>
    <w:rsid w:val="00DB2C98"/>
    <w:rsid w:val="00DB2E7C"/>
    <w:rsid w:val="00DB2EBB"/>
    <w:rsid w:val="00DB5689"/>
    <w:rsid w:val="00DB5B32"/>
    <w:rsid w:val="00DB5F49"/>
    <w:rsid w:val="00DB65CF"/>
    <w:rsid w:val="00DB7A0C"/>
    <w:rsid w:val="00DC08D7"/>
    <w:rsid w:val="00DC10A1"/>
    <w:rsid w:val="00DC1BBA"/>
    <w:rsid w:val="00DC4C22"/>
    <w:rsid w:val="00DC5BF7"/>
    <w:rsid w:val="00DC5F24"/>
    <w:rsid w:val="00DC60ED"/>
    <w:rsid w:val="00DC655F"/>
    <w:rsid w:val="00DC7670"/>
    <w:rsid w:val="00DC7B06"/>
    <w:rsid w:val="00DD0A60"/>
    <w:rsid w:val="00DD0B59"/>
    <w:rsid w:val="00DD1260"/>
    <w:rsid w:val="00DD17C5"/>
    <w:rsid w:val="00DD1A91"/>
    <w:rsid w:val="00DD1BCE"/>
    <w:rsid w:val="00DD466C"/>
    <w:rsid w:val="00DD5D65"/>
    <w:rsid w:val="00DD5DA9"/>
    <w:rsid w:val="00DD5ED8"/>
    <w:rsid w:val="00DD5F84"/>
    <w:rsid w:val="00DD63B6"/>
    <w:rsid w:val="00DD6F79"/>
    <w:rsid w:val="00DD7EBD"/>
    <w:rsid w:val="00DE2190"/>
    <w:rsid w:val="00DE31B7"/>
    <w:rsid w:val="00DE3FEA"/>
    <w:rsid w:val="00DE468B"/>
    <w:rsid w:val="00DE5213"/>
    <w:rsid w:val="00DF13DB"/>
    <w:rsid w:val="00DF17B5"/>
    <w:rsid w:val="00DF3631"/>
    <w:rsid w:val="00DF3C66"/>
    <w:rsid w:val="00DF439D"/>
    <w:rsid w:val="00DF490D"/>
    <w:rsid w:val="00DF5172"/>
    <w:rsid w:val="00DF5C21"/>
    <w:rsid w:val="00DF5FF5"/>
    <w:rsid w:val="00DF62B6"/>
    <w:rsid w:val="00DF6F5F"/>
    <w:rsid w:val="00DF7141"/>
    <w:rsid w:val="00DF73DF"/>
    <w:rsid w:val="00E02D1B"/>
    <w:rsid w:val="00E058C3"/>
    <w:rsid w:val="00E06C6C"/>
    <w:rsid w:val="00E06E3F"/>
    <w:rsid w:val="00E07225"/>
    <w:rsid w:val="00E074C5"/>
    <w:rsid w:val="00E07DDA"/>
    <w:rsid w:val="00E11131"/>
    <w:rsid w:val="00E1121F"/>
    <w:rsid w:val="00E1147A"/>
    <w:rsid w:val="00E12F39"/>
    <w:rsid w:val="00E130A4"/>
    <w:rsid w:val="00E13399"/>
    <w:rsid w:val="00E13A5A"/>
    <w:rsid w:val="00E142E1"/>
    <w:rsid w:val="00E1591C"/>
    <w:rsid w:val="00E1608B"/>
    <w:rsid w:val="00E16DBA"/>
    <w:rsid w:val="00E1711E"/>
    <w:rsid w:val="00E1767C"/>
    <w:rsid w:val="00E206B5"/>
    <w:rsid w:val="00E209D1"/>
    <w:rsid w:val="00E20A89"/>
    <w:rsid w:val="00E22FAA"/>
    <w:rsid w:val="00E2341A"/>
    <w:rsid w:val="00E235C3"/>
    <w:rsid w:val="00E23AD2"/>
    <w:rsid w:val="00E23ECF"/>
    <w:rsid w:val="00E24D20"/>
    <w:rsid w:val="00E25D67"/>
    <w:rsid w:val="00E261B6"/>
    <w:rsid w:val="00E31363"/>
    <w:rsid w:val="00E315B3"/>
    <w:rsid w:val="00E33189"/>
    <w:rsid w:val="00E33690"/>
    <w:rsid w:val="00E3395B"/>
    <w:rsid w:val="00E33DD3"/>
    <w:rsid w:val="00E34AE8"/>
    <w:rsid w:val="00E35C04"/>
    <w:rsid w:val="00E36F6F"/>
    <w:rsid w:val="00E4003B"/>
    <w:rsid w:val="00E42EB1"/>
    <w:rsid w:val="00E4363D"/>
    <w:rsid w:val="00E44636"/>
    <w:rsid w:val="00E4468E"/>
    <w:rsid w:val="00E46746"/>
    <w:rsid w:val="00E46FA4"/>
    <w:rsid w:val="00E474A3"/>
    <w:rsid w:val="00E51B22"/>
    <w:rsid w:val="00E5217D"/>
    <w:rsid w:val="00E5284E"/>
    <w:rsid w:val="00E52C8A"/>
    <w:rsid w:val="00E5380A"/>
    <w:rsid w:val="00E5409F"/>
    <w:rsid w:val="00E544E2"/>
    <w:rsid w:val="00E54E57"/>
    <w:rsid w:val="00E554A0"/>
    <w:rsid w:val="00E55D2E"/>
    <w:rsid w:val="00E5759B"/>
    <w:rsid w:val="00E61962"/>
    <w:rsid w:val="00E624BC"/>
    <w:rsid w:val="00E63312"/>
    <w:rsid w:val="00E64818"/>
    <w:rsid w:val="00E65BDB"/>
    <w:rsid w:val="00E65E64"/>
    <w:rsid w:val="00E66BD3"/>
    <w:rsid w:val="00E66C9D"/>
    <w:rsid w:val="00E70D2B"/>
    <w:rsid w:val="00E71815"/>
    <w:rsid w:val="00E71853"/>
    <w:rsid w:val="00E72303"/>
    <w:rsid w:val="00E72BEC"/>
    <w:rsid w:val="00E764AF"/>
    <w:rsid w:val="00E7768D"/>
    <w:rsid w:val="00E77AC2"/>
    <w:rsid w:val="00E81284"/>
    <w:rsid w:val="00E81859"/>
    <w:rsid w:val="00E818A1"/>
    <w:rsid w:val="00E845A3"/>
    <w:rsid w:val="00E85754"/>
    <w:rsid w:val="00E862E5"/>
    <w:rsid w:val="00E865E7"/>
    <w:rsid w:val="00E9000B"/>
    <w:rsid w:val="00E93660"/>
    <w:rsid w:val="00E947A3"/>
    <w:rsid w:val="00E947B6"/>
    <w:rsid w:val="00E94A34"/>
    <w:rsid w:val="00E9621F"/>
    <w:rsid w:val="00E97E17"/>
    <w:rsid w:val="00EA09EB"/>
    <w:rsid w:val="00EA6316"/>
    <w:rsid w:val="00EA6BBD"/>
    <w:rsid w:val="00EA785B"/>
    <w:rsid w:val="00EB02DD"/>
    <w:rsid w:val="00EB13A7"/>
    <w:rsid w:val="00EB2863"/>
    <w:rsid w:val="00EB41F2"/>
    <w:rsid w:val="00EB4C03"/>
    <w:rsid w:val="00EB6C78"/>
    <w:rsid w:val="00EB7471"/>
    <w:rsid w:val="00EC081E"/>
    <w:rsid w:val="00EC1CB1"/>
    <w:rsid w:val="00EC1EDD"/>
    <w:rsid w:val="00EC5097"/>
    <w:rsid w:val="00EC64A6"/>
    <w:rsid w:val="00EC67D3"/>
    <w:rsid w:val="00ED1719"/>
    <w:rsid w:val="00ED1B00"/>
    <w:rsid w:val="00ED3809"/>
    <w:rsid w:val="00ED50D6"/>
    <w:rsid w:val="00ED7C31"/>
    <w:rsid w:val="00EE29C4"/>
    <w:rsid w:val="00EE44E9"/>
    <w:rsid w:val="00EE554F"/>
    <w:rsid w:val="00EE5D81"/>
    <w:rsid w:val="00EE5EA5"/>
    <w:rsid w:val="00EE6488"/>
    <w:rsid w:val="00EE7219"/>
    <w:rsid w:val="00EE7C06"/>
    <w:rsid w:val="00EF08A7"/>
    <w:rsid w:val="00EF2321"/>
    <w:rsid w:val="00EF282F"/>
    <w:rsid w:val="00EF36EA"/>
    <w:rsid w:val="00EF4DF6"/>
    <w:rsid w:val="00EF4ECF"/>
    <w:rsid w:val="00EF53F0"/>
    <w:rsid w:val="00F01E13"/>
    <w:rsid w:val="00F021FA"/>
    <w:rsid w:val="00F0327A"/>
    <w:rsid w:val="00F03ED3"/>
    <w:rsid w:val="00F04A83"/>
    <w:rsid w:val="00F055E4"/>
    <w:rsid w:val="00F113C8"/>
    <w:rsid w:val="00F13A8E"/>
    <w:rsid w:val="00F15F2D"/>
    <w:rsid w:val="00F16D0C"/>
    <w:rsid w:val="00F17058"/>
    <w:rsid w:val="00F1740F"/>
    <w:rsid w:val="00F208DD"/>
    <w:rsid w:val="00F21566"/>
    <w:rsid w:val="00F2272F"/>
    <w:rsid w:val="00F236B8"/>
    <w:rsid w:val="00F23F32"/>
    <w:rsid w:val="00F25329"/>
    <w:rsid w:val="00F25DCC"/>
    <w:rsid w:val="00F26643"/>
    <w:rsid w:val="00F27967"/>
    <w:rsid w:val="00F30EF3"/>
    <w:rsid w:val="00F314AA"/>
    <w:rsid w:val="00F31A8B"/>
    <w:rsid w:val="00F31AF7"/>
    <w:rsid w:val="00F34EF0"/>
    <w:rsid w:val="00F3617D"/>
    <w:rsid w:val="00F37825"/>
    <w:rsid w:val="00F4027E"/>
    <w:rsid w:val="00F40D4F"/>
    <w:rsid w:val="00F44B9E"/>
    <w:rsid w:val="00F44DC8"/>
    <w:rsid w:val="00F465D4"/>
    <w:rsid w:val="00F47744"/>
    <w:rsid w:val="00F47D55"/>
    <w:rsid w:val="00F504CC"/>
    <w:rsid w:val="00F50B64"/>
    <w:rsid w:val="00F517BA"/>
    <w:rsid w:val="00F5289F"/>
    <w:rsid w:val="00F52F15"/>
    <w:rsid w:val="00F543BA"/>
    <w:rsid w:val="00F55F58"/>
    <w:rsid w:val="00F565F2"/>
    <w:rsid w:val="00F56632"/>
    <w:rsid w:val="00F56FEB"/>
    <w:rsid w:val="00F57925"/>
    <w:rsid w:val="00F57A22"/>
    <w:rsid w:val="00F61243"/>
    <w:rsid w:val="00F618F1"/>
    <w:rsid w:val="00F61B8F"/>
    <w:rsid w:val="00F61C72"/>
    <w:rsid w:val="00F62E97"/>
    <w:rsid w:val="00F6331E"/>
    <w:rsid w:val="00F64209"/>
    <w:rsid w:val="00F67931"/>
    <w:rsid w:val="00F70D41"/>
    <w:rsid w:val="00F71D66"/>
    <w:rsid w:val="00F73AAB"/>
    <w:rsid w:val="00F7606C"/>
    <w:rsid w:val="00F76B6E"/>
    <w:rsid w:val="00F81730"/>
    <w:rsid w:val="00F835EA"/>
    <w:rsid w:val="00F84851"/>
    <w:rsid w:val="00F8688C"/>
    <w:rsid w:val="00F86B4C"/>
    <w:rsid w:val="00F9058A"/>
    <w:rsid w:val="00F92810"/>
    <w:rsid w:val="00F92ED3"/>
    <w:rsid w:val="00F93BF5"/>
    <w:rsid w:val="00F94715"/>
    <w:rsid w:val="00F94781"/>
    <w:rsid w:val="00F94921"/>
    <w:rsid w:val="00F94C21"/>
    <w:rsid w:val="00F950BD"/>
    <w:rsid w:val="00F96D93"/>
    <w:rsid w:val="00F97D0E"/>
    <w:rsid w:val="00FA19EA"/>
    <w:rsid w:val="00FA2392"/>
    <w:rsid w:val="00FA38D5"/>
    <w:rsid w:val="00FA3A6B"/>
    <w:rsid w:val="00FA55EA"/>
    <w:rsid w:val="00FA55EF"/>
    <w:rsid w:val="00FA5A7E"/>
    <w:rsid w:val="00FA6798"/>
    <w:rsid w:val="00FA694E"/>
    <w:rsid w:val="00FA75A8"/>
    <w:rsid w:val="00FB10F4"/>
    <w:rsid w:val="00FB2046"/>
    <w:rsid w:val="00FB3DD0"/>
    <w:rsid w:val="00FB4272"/>
    <w:rsid w:val="00FB67B8"/>
    <w:rsid w:val="00FB696F"/>
    <w:rsid w:val="00FB7A1F"/>
    <w:rsid w:val="00FB7C33"/>
    <w:rsid w:val="00FB7D2D"/>
    <w:rsid w:val="00FB7DB4"/>
    <w:rsid w:val="00FC05FC"/>
    <w:rsid w:val="00FC159D"/>
    <w:rsid w:val="00FC2200"/>
    <w:rsid w:val="00FC2BFC"/>
    <w:rsid w:val="00FC2E21"/>
    <w:rsid w:val="00FC379A"/>
    <w:rsid w:val="00FC4341"/>
    <w:rsid w:val="00FC591B"/>
    <w:rsid w:val="00FD1789"/>
    <w:rsid w:val="00FD242D"/>
    <w:rsid w:val="00FD26C3"/>
    <w:rsid w:val="00FD4089"/>
    <w:rsid w:val="00FD593B"/>
    <w:rsid w:val="00FD6826"/>
    <w:rsid w:val="00FD6EAA"/>
    <w:rsid w:val="00FD7B78"/>
    <w:rsid w:val="00FD7FE5"/>
    <w:rsid w:val="00FE124C"/>
    <w:rsid w:val="00FE3304"/>
    <w:rsid w:val="00FE43F6"/>
    <w:rsid w:val="00FE4948"/>
    <w:rsid w:val="00FE57F4"/>
    <w:rsid w:val="00FE6BA6"/>
    <w:rsid w:val="00FE7A1F"/>
    <w:rsid w:val="00FE7B43"/>
    <w:rsid w:val="00FF15D5"/>
    <w:rsid w:val="00FF2C7B"/>
    <w:rsid w:val="00FF2F8E"/>
    <w:rsid w:val="00FF4BAE"/>
    <w:rsid w:val="00FF73A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72DADC6"/>
  <w15:chartTrackingRefBased/>
  <w15:docId w15:val="{A7E12AE7-0730-4977-A54D-F1159779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qFormat/>
    <w:rsid w:val="000E3D42"/>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E4468E"/>
    <w:rPr>
      <w:snapToGrid w:val="0"/>
      <w:kern w:val="28"/>
      <w:sz w:val="22"/>
    </w:rPr>
  </w:style>
  <w:style w:type="paragraph" w:styleId="BalloonText">
    <w:name w:val="Balloon Text"/>
    <w:basedOn w:val="Normal"/>
    <w:link w:val="BalloonTextChar"/>
    <w:rsid w:val="00590E2D"/>
    <w:rPr>
      <w:rFonts w:ascii="Segoe UI" w:hAnsi="Segoe UI" w:cs="Segoe UI"/>
      <w:sz w:val="18"/>
      <w:szCs w:val="18"/>
    </w:rPr>
  </w:style>
  <w:style w:type="character" w:customStyle="1" w:styleId="BalloonTextChar">
    <w:name w:val="Balloon Text Char"/>
    <w:basedOn w:val="DefaultParagraphFont"/>
    <w:link w:val="BalloonText"/>
    <w:rsid w:val="00590E2D"/>
    <w:rPr>
      <w:rFonts w:ascii="Segoe UI" w:hAnsi="Segoe UI" w:cs="Segoe UI"/>
      <w:snapToGrid w:val="0"/>
      <w:kern w:val="28"/>
      <w:sz w:val="18"/>
      <w:szCs w:val="18"/>
    </w:rPr>
  </w:style>
  <w:style w:type="character" w:styleId="CommentReference">
    <w:name w:val="annotation reference"/>
    <w:basedOn w:val="DefaultParagraphFont"/>
    <w:rsid w:val="003506B1"/>
    <w:rPr>
      <w:sz w:val="16"/>
      <w:szCs w:val="16"/>
    </w:rPr>
  </w:style>
  <w:style w:type="paragraph" w:styleId="CommentText">
    <w:name w:val="annotation text"/>
    <w:basedOn w:val="Normal"/>
    <w:link w:val="CommentTextChar"/>
    <w:rsid w:val="003506B1"/>
    <w:rPr>
      <w:sz w:val="20"/>
    </w:rPr>
  </w:style>
  <w:style w:type="character" w:customStyle="1" w:styleId="CommentTextChar">
    <w:name w:val="Comment Text Char"/>
    <w:basedOn w:val="DefaultParagraphFont"/>
    <w:link w:val="CommentText"/>
    <w:rsid w:val="003506B1"/>
    <w:rPr>
      <w:snapToGrid w:val="0"/>
      <w:kern w:val="28"/>
    </w:rPr>
  </w:style>
  <w:style w:type="paragraph" w:styleId="CommentSubject">
    <w:name w:val="annotation subject"/>
    <w:basedOn w:val="CommentText"/>
    <w:next w:val="CommentText"/>
    <w:link w:val="CommentSubjectChar"/>
    <w:rsid w:val="003506B1"/>
    <w:rPr>
      <w:b/>
      <w:bCs/>
    </w:rPr>
  </w:style>
  <w:style w:type="character" w:customStyle="1" w:styleId="CommentSubjectChar">
    <w:name w:val="Comment Subject Char"/>
    <w:basedOn w:val="CommentTextChar"/>
    <w:link w:val="CommentSubject"/>
    <w:rsid w:val="003506B1"/>
    <w:rPr>
      <w:b/>
      <w:bCs/>
      <w:snapToGrid w:val="0"/>
      <w:kern w:val="28"/>
    </w:rPr>
  </w:style>
  <w:style w:type="character" w:customStyle="1" w:styleId="cosearchterm">
    <w:name w:val="co_searchterm"/>
    <w:basedOn w:val="DefaultParagraphFont"/>
    <w:rsid w:val="00AB4DB0"/>
  </w:style>
  <w:style w:type="character" w:styleId="Emphasis">
    <w:name w:val="Emphasis"/>
    <w:basedOn w:val="DefaultParagraphFont"/>
    <w:uiPriority w:val="20"/>
    <w:qFormat/>
    <w:rsid w:val="00AB4DB0"/>
    <w:rPr>
      <w:i/>
      <w:iCs/>
    </w:rPr>
  </w:style>
  <w:style w:type="character" w:customStyle="1" w:styleId="copinpointicon">
    <w:name w:val="co_pinpointicon"/>
    <w:basedOn w:val="DefaultParagraphFont"/>
    <w:rsid w:val="00AB4DB0"/>
  </w:style>
  <w:style w:type="paragraph" w:styleId="NoSpacing">
    <w:name w:val="No Spacing"/>
    <w:uiPriority w:val="1"/>
    <w:qFormat/>
    <w:rsid w:val="008C7B86"/>
    <w:rPr>
      <w:rFonts w:asciiTheme="minorHAnsi" w:eastAsiaTheme="minorHAnsi" w:hAnsiTheme="minorHAnsi" w:cstheme="minorBidi"/>
      <w:sz w:val="22"/>
      <w:szCs w:val="22"/>
    </w:rPr>
  </w:style>
  <w:style w:type="paragraph" w:styleId="Revision">
    <w:name w:val="Revision"/>
    <w:hidden/>
    <w:uiPriority w:val="99"/>
    <w:semiHidden/>
    <w:rsid w:val="00FF73AF"/>
    <w:rPr>
      <w:snapToGrid w:val="0"/>
      <w:kern w:val="28"/>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AE4C9A"/>
  </w:style>
  <w:style w:type="character" w:customStyle="1" w:styleId="Heading1Char">
    <w:name w:val="Heading 1 Char"/>
    <w:basedOn w:val="DefaultParagraphFont"/>
    <w:link w:val="Heading1"/>
    <w:rsid w:val="00DF439D"/>
    <w:rPr>
      <w:rFonts w:ascii="Times New Roman Bold" w:hAnsi="Times New Roman Bold"/>
      <w:b/>
      <w:caps/>
      <w:snapToGrid w:val="0"/>
      <w:kern w:val="28"/>
      <w:sz w:val="22"/>
    </w:rPr>
  </w:style>
  <w:style w:type="paragraph" w:styleId="NormalWeb">
    <w:name w:val="Normal (Web)"/>
    <w:basedOn w:val="Normal"/>
    <w:uiPriority w:val="99"/>
    <w:unhideWhenUsed/>
    <w:rsid w:val="007E132F"/>
    <w:pPr>
      <w:widowControl/>
      <w:spacing w:before="100" w:beforeAutospacing="1" w:after="100" w:afterAutospacing="1"/>
    </w:pPr>
    <w:rPr>
      <w:snapToGrid/>
      <w:kern w:val="0"/>
      <w:sz w:val="24"/>
      <w:szCs w:val="24"/>
    </w:rPr>
  </w:style>
  <w:style w:type="character" w:customStyle="1" w:styleId="costarpage">
    <w:name w:val="co_starpage"/>
    <w:basedOn w:val="DefaultParagraphFont"/>
    <w:rsid w:val="000163CD"/>
  </w:style>
  <w:style w:type="character" w:customStyle="1" w:styleId="UnresolvedMention">
    <w:name w:val="Unresolved Mention"/>
    <w:basedOn w:val="DefaultParagraphFont"/>
    <w:uiPriority w:val="99"/>
    <w:semiHidden/>
    <w:unhideWhenUsed/>
    <w:rsid w:val="003A13F9"/>
    <w:rPr>
      <w:color w:val="605E5C"/>
      <w:shd w:val="clear" w:color="auto" w:fill="E1DFDD"/>
    </w:rPr>
  </w:style>
  <w:style w:type="character" w:customStyle="1" w:styleId="cohl">
    <w:name w:val="co_hl"/>
    <w:basedOn w:val="DefaultParagraphFont"/>
    <w:rsid w:val="00E42EB1"/>
  </w:style>
  <w:style w:type="character" w:customStyle="1" w:styleId="documentbody">
    <w:name w:val="documentbody"/>
    <w:basedOn w:val="DefaultParagraphFont"/>
    <w:rsid w:val="00A858E0"/>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0749C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00372136&amp;pubNum=0000506&amp;originatingDoc=If816a9b8187611e5a807ad48145ed9f1&amp;refType=RP&amp;fi=co_pp_sp_506_193&amp;originationContext=document&amp;transitionType=DocumentItem&amp;ppcid=3d17316027b54dd6a6e19d093c02ec3e&amp;contextData=(sc.Search)" TargetMode="External" /><Relationship Id="rId2" Type="http://schemas.openxmlformats.org/officeDocument/2006/relationships/hyperlink" Target="http://web2.westlaw.com/find/default.wl?serialnum=1971024261&amp;tc=-1&amp;rp=%2ffind%2fdefault.wl&amp;sv=Split&amp;rs=WLW10.10&amp;db=1017&amp;tf=-1&amp;findtype=Y&amp;fn=_top&amp;mt=Westlaw&amp;vr=2.0&amp;pbc=BE289969&amp;ordoc=1975029412" TargetMode="External" /><Relationship Id="rId3" Type="http://schemas.openxmlformats.org/officeDocument/2006/relationships/hyperlink" Target="http://web2.westlaw.com/find/default.wl?serialnum=1972024130&amp;tc=-1&amp;rp=%2ffind%2fdefault.wl&amp;sv=Split&amp;rs=WLW10.10&amp;db=1017&amp;tf=-1&amp;findtype=Y&amp;fn=_top&amp;mt=Westlaw&amp;vr=2.0&amp;pbc=BE289969&amp;ordoc=19750294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