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09EF8C62" w14:textId="77777777">
      <w:pPr>
        <w:pStyle w:val="Header"/>
        <w:tabs>
          <w:tab w:val="clear" w:pos="4320"/>
          <w:tab w:val="clear" w:pos="8640"/>
        </w:tabs>
        <w:rPr>
          <w:szCs w:val="22"/>
        </w:rPr>
        <w:sectPr>
          <w:footerReference w:type="even"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p>
    <w:p w:rsidR="00E7033D" w:rsidRPr="00AF2955" w14:paraId="45E93BA1" w14:textId="1CDE8D12">
      <w:pPr>
        <w:jc w:val="right"/>
        <w:rPr>
          <w:b/>
          <w:szCs w:val="22"/>
        </w:rPr>
      </w:pPr>
      <w:bookmarkStart w:id="1" w:name="_Hlk26280526"/>
      <w:bookmarkStart w:id="2" w:name="_Hlk75331933"/>
      <w:r w:rsidRPr="00AF2955">
        <w:rPr>
          <w:b/>
          <w:szCs w:val="22"/>
        </w:rPr>
        <w:t>DA 2</w:t>
      </w:r>
      <w:r w:rsidR="002456C2">
        <w:rPr>
          <w:b/>
          <w:szCs w:val="22"/>
        </w:rPr>
        <w:t>2</w:t>
      </w:r>
      <w:r w:rsidRPr="00AF2955" w:rsidR="002D09E2">
        <w:rPr>
          <w:b/>
          <w:szCs w:val="22"/>
        </w:rPr>
        <w:t>-</w:t>
      </w:r>
      <w:r w:rsidR="00EA3ED4">
        <w:rPr>
          <w:b/>
          <w:szCs w:val="22"/>
        </w:rPr>
        <w:t>289</w:t>
      </w:r>
    </w:p>
    <w:p w:rsidR="00E7033D" w14:paraId="1FA179E4" w14:textId="1AE6AD54">
      <w:pPr>
        <w:spacing w:before="60"/>
        <w:jc w:val="right"/>
        <w:rPr>
          <w:b/>
          <w:szCs w:val="22"/>
        </w:rPr>
      </w:pPr>
      <w:r>
        <w:rPr>
          <w:b/>
          <w:szCs w:val="22"/>
        </w:rPr>
        <w:t xml:space="preserve">March </w:t>
      </w:r>
      <w:r w:rsidR="00F03389">
        <w:rPr>
          <w:b/>
          <w:szCs w:val="22"/>
        </w:rPr>
        <w:t>17</w:t>
      </w:r>
      <w:r w:rsidR="00830743">
        <w:rPr>
          <w:b/>
          <w:szCs w:val="22"/>
        </w:rPr>
        <w:t>, 202</w:t>
      </w:r>
      <w:r>
        <w:rPr>
          <w:b/>
          <w:szCs w:val="22"/>
        </w:rPr>
        <w:t>2</w:t>
      </w:r>
    </w:p>
    <w:p w:rsidR="00E7033D" w:rsidP="00AB5112" w14:paraId="10CDD09C" w14:textId="77777777">
      <w:pPr>
        <w:tabs>
          <w:tab w:val="left" w:pos="5900"/>
        </w:tabs>
        <w:rPr>
          <w:szCs w:val="22"/>
        </w:rPr>
      </w:pPr>
      <w:r>
        <w:rPr>
          <w:szCs w:val="22"/>
        </w:rPr>
        <w:tab/>
      </w:r>
    </w:p>
    <w:p w:rsidR="00F03389" w:rsidP="00AB5112" w14:paraId="75461E91" w14:textId="77777777">
      <w:pPr>
        <w:ind w:right="144"/>
        <w:jc w:val="center"/>
        <w:rPr>
          <w:b/>
          <w:bCs/>
          <w:szCs w:val="22"/>
        </w:rPr>
      </w:pPr>
      <w:bookmarkStart w:id="3" w:name="_Hlk519509475"/>
      <w:bookmarkStart w:id="4" w:name="_Hlk502044717"/>
      <w:bookmarkStart w:id="5" w:name="_Hlk516578398"/>
      <w:r>
        <w:rPr>
          <w:b/>
          <w:bCs/>
          <w:szCs w:val="22"/>
        </w:rPr>
        <w:t xml:space="preserve">DOMESTIC SECTION 214 </w:t>
      </w:r>
      <w:r w:rsidRPr="00D96301" w:rsidR="00830743">
        <w:rPr>
          <w:b/>
          <w:bCs/>
          <w:szCs w:val="22"/>
        </w:rPr>
        <w:t xml:space="preserve">APPLICATION FILED FOR THE </w:t>
      </w:r>
    </w:p>
    <w:p w:rsidR="00F03389" w:rsidP="00AB5112" w14:paraId="569640C3" w14:textId="77777777">
      <w:pPr>
        <w:ind w:right="144"/>
        <w:jc w:val="center"/>
        <w:rPr>
          <w:b/>
          <w:bCs/>
          <w:szCs w:val="22"/>
        </w:rPr>
      </w:pPr>
      <w:r>
        <w:rPr>
          <w:b/>
          <w:bCs/>
          <w:szCs w:val="22"/>
        </w:rPr>
        <w:t>TRA</w:t>
      </w:r>
      <w:r w:rsidR="001B66CB">
        <w:rPr>
          <w:b/>
          <w:bCs/>
          <w:szCs w:val="22"/>
        </w:rPr>
        <w:t>NS</w:t>
      </w:r>
      <w:r>
        <w:rPr>
          <w:b/>
          <w:bCs/>
          <w:szCs w:val="22"/>
        </w:rPr>
        <w:t xml:space="preserve">FER OF CERTAIN AUTHORIZATIONS </w:t>
      </w:r>
    </w:p>
    <w:p w:rsidR="00E7033D" w:rsidP="00F03389" w14:paraId="27BB270E" w14:textId="6794E0F9">
      <w:pPr>
        <w:ind w:right="144"/>
        <w:jc w:val="center"/>
        <w:rPr>
          <w:b/>
          <w:bCs/>
          <w:szCs w:val="22"/>
        </w:rPr>
      </w:pPr>
      <w:r>
        <w:rPr>
          <w:b/>
          <w:bCs/>
          <w:szCs w:val="22"/>
        </w:rPr>
        <w:t xml:space="preserve">OF </w:t>
      </w:r>
      <w:r w:rsidRPr="002456C2" w:rsidR="002456C2">
        <w:rPr>
          <w:b/>
          <w:bCs/>
          <w:szCs w:val="22"/>
        </w:rPr>
        <w:t>REDWIRE, INC.</w:t>
      </w:r>
      <w:r w:rsidR="002456C2">
        <w:rPr>
          <w:b/>
          <w:bCs/>
          <w:szCs w:val="22"/>
        </w:rPr>
        <w:t xml:space="preserve"> </w:t>
      </w:r>
      <w:r w:rsidR="00C1428C">
        <w:rPr>
          <w:b/>
          <w:bCs/>
          <w:szCs w:val="22"/>
        </w:rPr>
        <w:t>T</w:t>
      </w:r>
      <w:r>
        <w:rPr>
          <w:b/>
          <w:bCs/>
          <w:szCs w:val="22"/>
        </w:rPr>
        <w:t>O</w:t>
      </w:r>
      <w:r w:rsidR="005145DC">
        <w:rPr>
          <w:b/>
          <w:bCs/>
          <w:szCs w:val="22"/>
        </w:rPr>
        <w:t xml:space="preserve"> ATLINK SERVICES, LLC</w:t>
      </w:r>
      <w:bookmarkEnd w:id="3"/>
      <w:bookmarkEnd w:id="4"/>
      <w:bookmarkEnd w:id="5"/>
    </w:p>
    <w:p w:rsidR="001F67E3" w14:paraId="51D604D3" w14:textId="77777777">
      <w:pPr>
        <w:jc w:val="center"/>
        <w:rPr>
          <w:b/>
          <w:bCs/>
          <w:szCs w:val="22"/>
        </w:rPr>
      </w:pPr>
    </w:p>
    <w:p w:rsidR="00E7033D" w14:paraId="1A83EA19" w14:textId="77777777">
      <w:pPr>
        <w:jc w:val="center"/>
        <w:rPr>
          <w:b/>
          <w:szCs w:val="22"/>
        </w:rPr>
      </w:pPr>
      <w:r w:rsidRPr="00A464DC">
        <w:rPr>
          <w:b/>
          <w:bCs/>
          <w:szCs w:val="22"/>
        </w:rPr>
        <w:t>NON-</w:t>
      </w:r>
      <w:r w:rsidRPr="00A464DC" w:rsidR="00066D12">
        <w:rPr>
          <w:b/>
          <w:bCs/>
          <w:szCs w:val="22"/>
        </w:rPr>
        <w:t>STREA</w:t>
      </w:r>
      <w:r w:rsidRPr="00A464DC" w:rsidR="00066D12">
        <w:rPr>
          <w:b/>
          <w:szCs w:val="22"/>
        </w:rPr>
        <w:t>MLINED</w:t>
      </w:r>
      <w:r w:rsidR="00066D12">
        <w:rPr>
          <w:b/>
          <w:szCs w:val="22"/>
        </w:rPr>
        <w:t xml:space="preserve"> PLEADING CYCLE ESTABLISHED</w:t>
      </w:r>
    </w:p>
    <w:p w:rsidR="00E7033D" w14:paraId="51B87395" w14:textId="77777777">
      <w:pPr>
        <w:jc w:val="center"/>
        <w:rPr>
          <w:b/>
          <w:szCs w:val="22"/>
        </w:rPr>
      </w:pPr>
    </w:p>
    <w:p w:rsidR="00E7033D" w14:paraId="2C37054E" w14:textId="705F21A7">
      <w:pPr>
        <w:jc w:val="center"/>
        <w:rPr>
          <w:b/>
          <w:szCs w:val="22"/>
        </w:rPr>
      </w:pPr>
      <w:r w:rsidRPr="00AB369C">
        <w:rPr>
          <w:b/>
          <w:szCs w:val="22"/>
        </w:rPr>
        <w:t>WC Docket No. 2</w:t>
      </w:r>
      <w:r w:rsidR="002456C2">
        <w:rPr>
          <w:b/>
          <w:szCs w:val="22"/>
        </w:rPr>
        <w:t>2</w:t>
      </w:r>
      <w:r w:rsidRPr="00AB369C">
        <w:rPr>
          <w:b/>
          <w:szCs w:val="22"/>
        </w:rPr>
        <w:t>-</w:t>
      </w:r>
      <w:r w:rsidR="002456C2">
        <w:rPr>
          <w:b/>
          <w:szCs w:val="22"/>
        </w:rPr>
        <w:t>55</w:t>
      </w:r>
    </w:p>
    <w:p w:rsidR="00E7033D" w14:paraId="55D34392" w14:textId="77777777">
      <w:pPr>
        <w:jc w:val="center"/>
        <w:rPr>
          <w:szCs w:val="22"/>
        </w:rPr>
      </w:pPr>
    </w:p>
    <w:bookmarkEnd w:id="1"/>
    <w:p w:rsidR="00AB369C" w:rsidRPr="006F586C" w:rsidP="00AB369C" w14:paraId="24D427C2" w14:textId="414A6BAF">
      <w:pPr>
        <w:tabs>
          <w:tab w:val="left" w:pos="6221"/>
        </w:tabs>
        <w:autoSpaceDE w:val="0"/>
        <w:autoSpaceDN w:val="0"/>
        <w:adjustRightInd w:val="0"/>
        <w:rPr>
          <w:b/>
          <w:szCs w:val="22"/>
        </w:rPr>
      </w:pPr>
      <w:r w:rsidRPr="006F586C">
        <w:rPr>
          <w:b/>
          <w:szCs w:val="22"/>
        </w:rPr>
        <w:t xml:space="preserve">Comments Due:  </w:t>
      </w:r>
      <w:r w:rsidR="002456C2">
        <w:rPr>
          <w:b/>
          <w:szCs w:val="22"/>
        </w:rPr>
        <w:t xml:space="preserve">March </w:t>
      </w:r>
      <w:r w:rsidR="00F03389">
        <w:rPr>
          <w:b/>
          <w:szCs w:val="22"/>
        </w:rPr>
        <w:t>31</w:t>
      </w:r>
      <w:r w:rsidRPr="006F586C">
        <w:rPr>
          <w:b/>
          <w:szCs w:val="22"/>
        </w:rPr>
        <w:t>, 202</w:t>
      </w:r>
      <w:r w:rsidR="002456C2">
        <w:rPr>
          <w:b/>
          <w:szCs w:val="22"/>
        </w:rPr>
        <w:t>2</w:t>
      </w:r>
    </w:p>
    <w:p w:rsidR="00C869E8" w:rsidP="00AB369C" w14:paraId="7A0610A5" w14:textId="6571D452">
      <w:pPr>
        <w:tabs>
          <w:tab w:val="left" w:pos="6221"/>
        </w:tabs>
        <w:autoSpaceDE w:val="0"/>
        <w:autoSpaceDN w:val="0"/>
        <w:adjustRightInd w:val="0"/>
        <w:rPr>
          <w:b/>
          <w:szCs w:val="22"/>
        </w:rPr>
      </w:pPr>
      <w:r w:rsidRPr="006F586C">
        <w:rPr>
          <w:b/>
          <w:szCs w:val="22"/>
        </w:rPr>
        <w:t xml:space="preserve">Reply Comments Due:  </w:t>
      </w:r>
      <w:r w:rsidR="00F03389">
        <w:rPr>
          <w:b/>
          <w:szCs w:val="22"/>
        </w:rPr>
        <w:t>April 7</w:t>
      </w:r>
      <w:r w:rsidR="00FD3D14">
        <w:rPr>
          <w:b/>
          <w:szCs w:val="22"/>
        </w:rPr>
        <w:t>,</w:t>
      </w:r>
      <w:r w:rsidRPr="006F586C">
        <w:rPr>
          <w:b/>
          <w:szCs w:val="22"/>
        </w:rPr>
        <w:t xml:space="preserve"> 202</w:t>
      </w:r>
      <w:r w:rsidR="002456C2">
        <w:rPr>
          <w:b/>
          <w:szCs w:val="22"/>
        </w:rPr>
        <w:t>2</w:t>
      </w:r>
    </w:p>
    <w:bookmarkEnd w:id="2"/>
    <w:p w:rsidR="00760269" w:rsidRPr="005B2105" w:rsidP="00AB369C" w14:paraId="55B97B9B" w14:textId="77777777">
      <w:pPr>
        <w:tabs>
          <w:tab w:val="left" w:pos="6221"/>
        </w:tabs>
        <w:autoSpaceDE w:val="0"/>
        <w:autoSpaceDN w:val="0"/>
        <w:adjustRightInd w:val="0"/>
        <w:rPr>
          <w:szCs w:val="22"/>
        </w:rPr>
      </w:pPr>
      <w:r w:rsidRPr="005B2105">
        <w:rPr>
          <w:szCs w:val="22"/>
        </w:rPr>
        <w:tab/>
      </w:r>
    </w:p>
    <w:p w:rsidR="007934F5" w:rsidRPr="00AB5112" w:rsidP="00AB5112" w14:paraId="47C7D847" w14:textId="4C1366AB">
      <w:pPr>
        <w:autoSpaceDE w:val="0"/>
        <w:autoSpaceDN w:val="0"/>
        <w:adjustRightInd w:val="0"/>
        <w:spacing w:after="120"/>
        <w:ind w:firstLine="720"/>
        <w:rPr>
          <w:szCs w:val="22"/>
        </w:rPr>
      </w:pPr>
      <w:r w:rsidRPr="00AB5112">
        <w:rPr>
          <w:szCs w:val="22"/>
        </w:rPr>
        <w:t>By this Public Notice, the Wireline Competition Bureau</w:t>
      </w:r>
      <w:r w:rsidRPr="00AB5112" w:rsidR="008A5E3E">
        <w:rPr>
          <w:szCs w:val="22"/>
        </w:rPr>
        <w:t xml:space="preserve"> </w:t>
      </w:r>
      <w:r w:rsidR="00C9420B">
        <w:rPr>
          <w:szCs w:val="22"/>
        </w:rPr>
        <w:t xml:space="preserve">(Bureau) </w:t>
      </w:r>
      <w:r w:rsidRPr="00AB5112">
        <w:rPr>
          <w:szCs w:val="22"/>
        </w:rPr>
        <w:t>seek</w:t>
      </w:r>
      <w:r w:rsidRPr="00AB5112" w:rsidR="00E82CF0">
        <w:rPr>
          <w:szCs w:val="22"/>
        </w:rPr>
        <w:t>s</w:t>
      </w:r>
      <w:r w:rsidRPr="00AB5112">
        <w:rPr>
          <w:szCs w:val="22"/>
        </w:rPr>
        <w:t xml:space="preserve"> comment from interested parties</w:t>
      </w:r>
      <w:r w:rsidRPr="00AB5112" w:rsidR="007572E5">
        <w:rPr>
          <w:szCs w:val="22"/>
        </w:rPr>
        <w:t xml:space="preserve"> </w:t>
      </w:r>
      <w:r w:rsidRPr="00AB5112" w:rsidR="00EA6114">
        <w:rPr>
          <w:szCs w:val="22"/>
        </w:rPr>
        <w:t>on an application,</w:t>
      </w:r>
      <w:r>
        <w:rPr>
          <w:rStyle w:val="FootnoteReference"/>
          <w:szCs w:val="22"/>
        </w:rPr>
        <w:footnoteReference w:id="3"/>
      </w:r>
      <w:r w:rsidRPr="00AB5112" w:rsidR="00EA6114">
        <w:rPr>
          <w:szCs w:val="22"/>
        </w:rPr>
        <w:t xml:space="preserve"> </w:t>
      </w:r>
      <w:r w:rsidRPr="00AB5112" w:rsidR="00876514">
        <w:rPr>
          <w:szCs w:val="22"/>
        </w:rPr>
        <w:t xml:space="preserve">filed </w:t>
      </w:r>
      <w:r w:rsidRPr="00AB5112" w:rsidR="008F2C68">
        <w:rPr>
          <w:szCs w:val="22"/>
        </w:rPr>
        <w:t xml:space="preserve">by </w:t>
      </w:r>
      <w:r w:rsidRPr="0049797A" w:rsidR="0049797A">
        <w:rPr>
          <w:szCs w:val="22"/>
        </w:rPr>
        <w:t xml:space="preserve">Redwire, Inc. (Redwire) </w:t>
      </w:r>
      <w:r w:rsidRPr="00AB5112" w:rsidR="008F2C68">
        <w:rPr>
          <w:szCs w:val="22"/>
        </w:rPr>
        <w:t xml:space="preserve">and AtLink Services, LLC (AtLink) (together, Applicants), </w:t>
      </w:r>
      <w:r w:rsidRPr="00AB5112" w:rsidR="00EC10D1">
        <w:rPr>
          <w:szCs w:val="22"/>
        </w:rPr>
        <w:t xml:space="preserve">pursuant to </w:t>
      </w:r>
      <w:r w:rsidRPr="00AB5112" w:rsidR="008036BB">
        <w:rPr>
          <w:szCs w:val="22"/>
        </w:rPr>
        <w:t>s</w:t>
      </w:r>
      <w:r w:rsidRPr="00AB5112" w:rsidR="00EC10D1">
        <w:rPr>
          <w:szCs w:val="22"/>
        </w:rPr>
        <w:t>ection 214 of the Communications Act of 1934, as amended, and sections 63.03-04</w:t>
      </w:r>
      <w:r w:rsidRPr="00AB5112" w:rsidR="008B4FC7">
        <w:rPr>
          <w:szCs w:val="22"/>
        </w:rPr>
        <w:t xml:space="preserve"> </w:t>
      </w:r>
      <w:r w:rsidRPr="00AB5112" w:rsidR="00EC10D1">
        <w:rPr>
          <w:szCs w:val="22"/>
        </w:rPr>
        <w:t xml:space="preserve">of the Commission’s rules, </w:t>
      </w:r>
      <w:r w:rsidRPr="00AB5112">
        <w:rPr>
          <w:szCs w:val="22"/>
        </w:rPr>
        <w:t>request</w:t>
      </w:r>
      <w:r w:rsidRPr="00AB5112" w:rsidR="008F2C68">
        <w:rPr>
          <w:szCs w:val="22"/>
        </w:rPr>
        <w:t>ing</w:t>
      </w:r>
      <w:r w:rsidRPr="00AB5112">
        <w:rPr>
          <w:szCs w:val="22"/>
        </w:rPr>
        <w:t xml:space="preserve"> consent </w:t>
      </w:r>
      <w:r w:rsidR="003E34DD">
        <w:rPr>
          <w:szCs w:val="22"/>
        </w:rPr>
        <w:t xml:space="preserve">to transfer </w:t>
      </w:r>
      <w:r w:rsidRPr="0049797A" w:rsidR="0049797A">
        <w:rPr>
          <w:szCs w:val="22"/>
        </w:rPr>
        <w:t>Redwire</w:t>
      </w:r>
      <w:r w:rsidRPr="00AB5112">
        <w:rPr>
          <w:szCs w:val="22"/>
        </w:rPr>
        <w:t xml:space="preserve">’s Connect America Fund (CAF) Phase II </w:t>
      </w:r>
      <w:r w:rsidR="00680982">
        <w:rPr>
          <w:szCs w:val="22"/>
        </w:rPr>
        <w:t xml:space="preserve">Auction (Auction 903) (CAF Phase II) </w:t>
      </w:r>
      <w:r w:rsidRPr="00AB5112">
        <w:rPr>
          <w:szCs w:val="22"/>
        </w:rPr>
        <w:t xml:space="preserve">support obligations for </w:t>
      </w:r>
      <w:r w:rsidR="00B46A03">
        <w:rPr>
          <w:szCs w:val="22"/>
        </w:rPr>
        <w:t>a portion of its</w:t>
      </w:r>
      <w:r w:rsidRPr="00AB5112">
        <w:rPr>
          <w:szCs w:val="22"/>
        </w:rPr>
        <w:t xml:space="preserve"> census blocks in Oklahoma (</w:t>
      </w:r>
      <w:r w:rsidRPr="00AB5112" w:rsidR="005145DC">
        <w:rPr>
          <w:szCs w:val="22"/>
        </w:rPr>
        <w:t xml:space="preserve">Assigned </w:t>
      </w:r>
      <w:r w:rsidRPr="00AB5112">
        <w:rPr>
          <w:szCs w:val="22"/>
        </w:rPr>
        <w:t>Census Blocks)</w:t>
      </w:r>
      <w:r>
        <w:rPr>
          <w:rStyle w:val="FootnoteReference"/>
          <w:szCs w:val="22"/>
        </w:rPr>
        <w:footnoteReference w:id="4"/>
      </w:r>
      <w:r w:rsidRPr="00AB5112" w:rsidR="008F2C68">
        <w:rPr>
          <w:szCs w:val="22"/>
        </w:rPr>
        <w:t xml:space="preserve"> </w:t>
      </w:r>
      <w:r w:rsidR="003E34DD">
        <w:rPr>
          <w:szCs w:val="22"/>
        </w:rPr>
        <w:t>to</w:t>
      </w:r>
      <w:r w:rsidRPr="00AB5112" w:rsidR="008F2C68">
        <w:rPr>
          <w:szCs w:val="22"/>
        </w:rPr>
        <w:t xml:space="preserve"> AtLink</w:t>
      </w:r>
      <w:r w:rsidRPr="00AB5112" w:rsidR="007572E5">
        <w:rPr>
          <w:szCs w:val="22"/>
        </w:rPr>
        <w:t>.</w:t>
      </w:r>
      <w:r>
        <w:rPr>
          <w:rStyle w:val="FootnoteReference"/>
          <w:szCs w:val="22"/>
        </w:rPr>
        <w:footnoteReference w:id="5"/>
      </w:r>
      <w:r w:rsidRPr="00AB5112" w:rsidR="005320B5">
        <w:rPr>
          <w:szCs w:val="22"/>
        </w:rPr>
        <w:t xml:space="preserve"> </w:t>
      </w:r>
      <w:r w:rsidRPr="00AB5112" w:rsidR="0028555C">
        <w:rPr>
          <w:szCs w:val="22"/>
        </w:rPr>
        <w:t xml:space="preserve"> </w:t>
      </w:r>
      <w:r w:rsidR="00FD4D14">
        <w:rPr>
          <w:szCs w:val="22"/>
        </w:rPr>
        <w:t xml:space="preserve">Applicants also request </w:t>
      </w:r>
      <w:r w:rsidR="00755C5E">
        <w:rPr>
          <w:szCs w:val="22"/>
        </w:rPr>
        <w:t xml:space="preserve">in the Application </w:t>
      </w:r>
      <w:r w:rsidR="00FD4D14">
        <w:rPr>
          <w:szCs w:val="22"/>
        </w:rPr>
        <w:t xml:space="preserve">a waiver of Redwire’s </w:t>
      </w:r>
      <w:r w:rsidR="00E46A38">
        <w:rPr>
          <w:szCs w:val="22"/>
        </w:rPr>
        <w:t xml:space="preserve">CAF </w:t>
      </w:r>
      <w:r w:rsidR="00680982">
        <w:rPr>
          <w:szCs w:val="22"/>
        </w:rPr>
        <w:t xml:space="preserve">Phase II </w:t>
      </w:r>
      <w:r w:rsidR="00E46A38">
        <w:rPr>
          <w:szCs w:val="22"/>
        </w:rPr>
        <w:t xml:space="preserve">40 </w:t>
      </w:r>
      <w:r w:rsidR="00B46A03">
        <w:rPr>
          <w:szCs w:val="22"/>
        </w:rPr>
        <w:t xml:space="preserve">percent </w:t>
      </w:r>
      <w:r w:rsidR="00E46A38">
        <w:rPr>
          <w:szCs w:val="22"/>
        </w:rPr>
        <w:t xml:space="preserve">and 60 percent </w:t>
      </w:r>
      <w:r w:rsidR="00BD156B">
        <w:rPr>
          <w:szCs w:val="22"/>
        </w:rPr>
        <w:t xml:space="preserve">buildout </w:t>
      </w:r>
      <w:r w:rsidR="00E46A38">
        <w:rPr>
          <w:szCs w:val="22"/>
        </w:rPr>
        <w:t>milestones.</w:t>
      </w:r>
      <w:r>
        <w:rPr>
          <w:rStyle w:val="FootnoteReference"/>
          <w:szCs w:val="22"/>
        </w:rPr>
        <w:footnoteReference w:id="6"/>
      </w:r>
    </w:p>
    <w:p w:rsidR="003576FE" w:rsidP="003576FE" w14:paraId="51AE6ACC" w14:textId="45837451">
      <w:pPr>
        <w:autoSpaceDE w:val="0"/>
        <w:autoSpaceDN w:val="0"/>
        <w:adjustRightInd w:val="0"/>
        <w:spacing w:after="120"/>
        <w:ind w:firstLine="720"/>
        <w:rPr>
          <w:szCs w:val="22"/>
        </w:rPr>
      </w:pPr>
      <w:r>
        <w:rPr>
          <w:szCs w:val="22"/>
        </w:rPr>
        <w:t>Redwire</w:t>
      </w:r>
      <w:r w:rsidRPr="00AB5112" w:rsidR="008F2C68">
        <w:rPr>
          <w:szCs w:val="22"/>
        </w:rPr>
        <w:t xml:space="preserve">, </w:t>
      </w:r>
      <w:r w:rsidRPr="00AB5112" w:rsidR="005145DC">
        <w:rPr>
          <w:szCs w:val="22"/>
        </w:rPr>
        <w:t>an Oklahoma corporation</w:t>
      </w:r>
      <w:r w:rsidRPr="00AB5112" w:rsidR="00E55BDD">
        <w:rPr>
          <w:szCs w:val="22"/>
        </w:rPr>
        <w:t>,</w:t>
      </w:r>
      <w:r w:rsidRPr="00AB5112" w:rsidR="005145DC">
        <w:rPr>
          <w:szCs w:val="22"/>
        </w:rPr>
        <w:t xml:space="preserve"> </w:t>
      </w:r>
      <w:r w:rsidRPr="006E0150" w:rsidR="006E0150">
        <w:rPr>
          <w:szCs w:val="22"/>
        </w:rPr>
        <w:t xml:space="preserve">is owned by </w:t>
      </w:r>
      <w:r w:rsidR="006E0150">
        <w:rPr>
          <w:szCs w:val="22"/>
        </w:rPr>
        <w:t xml:space="preserve">the </w:t>
      </w:r>
      <w:r w:rsidRPr="006E0150" w:rsidR="006E0150">
        <w:rPr>
          <w:szCs w:val="22"/>
        </w:rPr>
        <w:t xml:space="preserve">Otoe-Missouria Development Authority, Inc., the economic development arm of the </w:t>
      </w:r>
      <w:r w:rsidR="00C9420B">
        <w:rPr>
          <w:szCs w:val="22"/>
        </w:rPr>
        <w:t xml:space="preserve">federally recognized </w:t>
      </w:r>
      <w:r w:rsidRPr="006E0150" w:rsidR="006E0150">
        <w:rPr>
          <w:szCs w:val="22"/>
        </w:rPr>
        <w:t>Otoe-Misso</w:t>
      </w:r>
      <w:r w:rsidR="00C9420B">
        <w:rPr>
          <w:szCs w:val="22"/>
        </w:rPr>
        <w:t>u</w:t>
      </w:r>
      <w:r w:rsidRPr="006E0150" w:rsidR="006E0150">
        <w:rPr>
          <w:szCs w:val="22"/>
        </w:rPr>
        <w:t>ria Tribe</w:t>
      </w:r>
      <w:r w:rsidR="00C9420B">
        <w:rPr>
          <w:szCs w:val="22"/>
        </w:rPr>
        <w:t xml:space="preserve"> of Oklahoma</w:t>
      </w:r>
      <w:r w:rsidRPr="006E0150" w:rsidR="006E0150">
        <w:rPr>
          <w:szCs w:val="22"/>
        </w:rPr>
        <w:t>.</w:t>
      </w:r>
      <w:r>
        <w:rPr>
          <w:rStyle w:val="FootnoteReference"/>
          <w:szCs w:val="22"/>
        </w:rPr>
        <w:footnoteReference w:id="7"/>
      </w:r>
      <w:r w:rsidRPr="006E0150" w:rsidR="006E0150">
        <w:rPr>
          <w:szCs w:val="22"/>
        </w:rPr>
        <w:t xml:space="preserve"> </w:t>
      </w:r>
      <w:r w:rsidR="00F54505">
        <w:rPr>
          <w:szCs w:val="22"/>
        </w:rPr>
        <w:t xml:space="preserve"> </w:t>
      </w:r>
      <w:r w:rsidR="003C405E">
        <w:rPr>
          <w:szCs w:val="22"/>
        </w:rPr>
        <w:t xml:space="preserve">On June 12, 2020, the Bureau authorized Redwire </w:t>
      </w:r>
      <w:r w:rsidR="002D2BA1">
        <w:rPr>
          <w:szCs w:val="22"/>
        </w:rPr>
        <w:t xml:space="preserve">to receive CAF </w:t>
      </w:r>
      <w:r w:rsidRPr="00AB5112" w:rsidR="002D2BA1">
        <w:rPr>
          <w:szCs w:val="22"/>
        </w:rPr>
        <w:t xml:space="preserve">Phase II </w:t>
      </w:r>
      <w:r w:rsidR="003C405E">
        <w:rPr>
          <w:szCs w:val="22"/>
        </w:rPr>
        <w:t xml:space="preserve">support for </w:t>
      </w:r>
      <w:r w:rsidR="003C405E">
        <w:rPr>
          <w:szCs w:val="22"/>
        </w:rPr>
        <w:t>1,541 census blocks (8,041 locations) in Oklahoma</w:t>
      </w:r>
      <w:r w:rsidR="009A7404">
        <w:rPr>
          <w:szCs w:val="22"/>
        </w:rPr>
        <w:t xml:space="preserve"> </w:t>
      </w:r>
      <w:r w:rsidR="00C9420B">
        <w:rPr>
          <w:szCs w:val="22"/>
        </w:rPr>
        <w:t xml:space="preserve">with an assigned support amount over 10 years </w:t>
      </w:r>
      <w:r w:rsidR="009A7404">
        <w:rPr>
          <w:szCs w:val="22"/>
        </w:rPr>
        <w:t>of $4,766,845.60</w:t>
      </w:r>
      <w:r w:rsidR="00DB002B">
        <w:rPr>
          <w:szCs w:val="22"/>
        </w:rPr>
        <w:t>.</w:t>
      </w:r>
      <w:r>
        <w:rPr>
          <w:rStyle w:val="FootnoteReference"/>
          <w:szCs w:val="22"/>
        </w:rPr>
        <w:footnoteReference w:id="8"/>
      </w:r>
      <w:r w:rsidR="00DB002B">
        <w:rPr>
          <w:szCs w:val="22"/>
        </w:rPr>
        <w:t xml:space="preserve"> </w:t>
      </w:r>
      <w:r w:rsidR="003C405E">
        <w:rPr>
          <w:szCs w:val="22"/>
        </w:rPr>
        <w:t xml:space="preserve"> </w:t>
      </w:r>
      <w:r w:rsidR="009A7404">
        <w:rPr>
          <w:szCs w:val="22"/>
        </w:rPr>
        <w:t xml:space="preserve">Applicants state that </w:t>
      </w:r>
      <w:r w:rsidR="00E46A38">
        <w:rPr>
          <w:szCs w:val="22"/>
        </w:rPr>
        <w:t xml:space="preserve">Redwire </w:t>
      </w:r>
      <w:r w:rsidR="00C1428C">
        <w:rPr>
          <w:szCs w:val="22"/>
        </w:rPr>
        <w:t xml:space="preserve">does not </w:t>
      </w:r>
      <w:r w:rsidR="00E46A38">
        <w:rPr>
          <w:szCs w:val="22"/>
        </w:rPr>
        <w:t>currently</w:t>
      </w:r>
      <w:r w:rsidRPr="006E0150" w:rsidR="006E0150">
        <w:rPr>
          <w:szCs w:val="22"/>
        </w:rPr>
        <w:t xml:space="preserve"> provide telecommunications services</w:t>
      </w:r>
      <w:r w:rsidR="00C9420B">
        <w:rPr>
          <w:szCs w:val="22"/>
        </w:rPr>
        <w:t xml:space="preserve"> and </w:t>
      </w:r>
      <w:r w:rsidR="00680982">
        <w:rPr>
          <w:szCs w:val="22"/>
        </w:rPr>
        <w:t xml:space="preserve">has </w:t>
      </w:r>
      <w:r w:rsidR="00C9420B">
        <w:rPr>
          <w:szCs w:val="22"/>
        </w:rPr>
        <w:t xml:space="preserve">not expended CAF </w:t>
      </w:r>
      <w:r w:rsidR="002D2BA1">
        <w:rPr>
          <w:szCs w:val="22"/>
        </w:rPr>
        <w:t xml:space="preserve">Phase II </w:t>
      </w:r>
      <w:r w:rsidR="00C9420B">
        <w:rPr>
          <w:szCs w:val="22"/>
        </w:rPr>
        <w:t>support with respect to the Assigned Census Blocks</w:t>
      </w:r>
      <w:r w:rsidRPr="006E0150" w:rsidR="006E0150">
        <w:rPr>
          <w:szCs w:val="22"/>
        </w:rPr>
        <w:t>.</w:t>
      </w:r>
      <w:r>
        <w:rPr>
          <w:rStyle w:val="FootnoteReference"/>
          <w:szCs w:val="22"/>
        </w:rPr>
        <w:footnoteReference w:id="9"/>
      </w:r>
      <w:r w:rsidR="00876A46">
        <w:rPr>
          <w:szCs w:val="22"/>
        </w:rPr>
        <w:t xml:space="preserve"> </w:t>
      </w:r>
      <w:r w:rsidR="00E46A38">
        <w:rPr>
          <w:szCs w:val="22"/>
        </w:rPr>
        <w:t xml:space="preserve"> </w:t>
      </w:r>
    </w:p>
    <w:p w:rsidR="00672973" w:rsidP="00672973" w14:paraId="27ABDE5B" w14:textId="01D8FEA1">
      <w:pPr>
        <w:autoSpaceDE w:val="0"/>
        <w:autoSpaceDN w:val="0"/>
        <w:adjustRightInd w:val="0"/>
        <w:spacing w:after="120"/>
        <w:ind w:firstLine="720"/>
        <w:rPr>
          <w:szCs w:val="22"/>
        </w:rPr>
      </w:pPr>
      <w:r w:rsidRPr="00AB5112">
        <w:rPr>
          <w:szCs w:val="22"/>
        </w:rPr>
        <w:t xml:space="preserve">AtLink, an Oklahoma limited liability company, </w:t>
      </w:r>
      <w:r>
        <w:rPr>
          <w:szCs w:val="22"/>
        </w:rPr>
        <w:t xml:space="preserve">is an Internet service provider and </w:t>
      </w:r>
      <w:r w:rsidR="002D2BA1">
        <w:rPr>
          <w:szCs w:val="22"/>
        </w:rPr>
        <w:t>ETC</w:t>
      </w:r>
      <w:r w:rsidRPr="00AB5112">
        <w:rPr>
          <w:szCs w:val="22"/>
        </w:rPr>
        <w:t xml:space="preserve"> </w:t>
      </w:r>
      <w:r>
        <w:rPr>
          <w:szCs w:val="22"/>
        </w:rPr>
        <w:t>in Oklahoma.</w:t>
      </w:r>
      <w:r>
        <w:rPr>
          <w:rStyle w:val="FootnoteReference"/>
          <w:szCs w:val="22"/>
        </w:rPr>
        <w:footnoteReference w:id="10"/>
      </w:r>
      <w:r>
        <w:rPr>
          <w:szCs w:val="22"/>
        </w:rPr>
        <w:t xml:space="preserve">  </w:t>
      </w:r>
      <w:r w:rsidR="00733DCC">
        <w:rPr>
          <w:szCs w:val="22"/>
        </w:rPr>
        <w:t>AtLink currently serves “more than 11,000 Oklahomans in rural communities and urban areas throughout the state using fixed wirel</w:t>
      </w:r>
      <w:r w:rsidR="00B6297D">
        <w:rPr>
          <w:szCs w:val="22"/>
        </w:rPr>
        <w:t>e</w:t>
      </w:r>
      <w:r w:rsidR="00733DCC">
        <w:rPr>
          <w:szCs w:val="22"/>
        </w:rPr>
        <w:t>ss and fiber-to-the-home technologies.”</w:t>
      </w:r>
      <w:r>
        <w:rPr>
          <w:rStyle w:val="FootnoteReference"/>
          <w:szCs w:val="22"/>
        </w:rPr>
        <w:footnoteReference w:id="11"/>
      </w:r>
      <w:r w:rsidR="00733DCC">
        <w:rPr>
          <w:szCs w:val="22"/>
        </w:rPr>
        <w:t xml:space="preserve"> </w:t>
      </w:r>
      <w:r>
        <w:rPr>
          <w:szCs w:val="22"/>
        </w:rPr>
        <w:t xml:space="preserve"> During the CAF Phase II Auction, AtLink won the rights to service </w:t>
      </w:r>
      <w:r w:rsidR="003132D3">
        <w:rPr>
          <w:szCs w:val="22"/>
        </w:rPr>
        <w:t>12,501 locations</w:t>
      </w:r>
      <w:r>
        <w:rPr>
          <w:szCs w:val="22"/>
        </w:rPr>
        <w:t xml:space="preserve"> in Oklahoma</w:t>
      </w:r>
      <w:r w:rsidRPr="009662DC">
        <w:rPr>
          <w:szCs w:val="22"/>
        </w:rPr>
        <w:t>.</w:t>
      </w:r>
      <w:r>
        <w:rPr>
          <w:rStyle w:val="FootnoteReference"/>
          <w:szCs w:val="22"/>
        </w:rPr>
        <w:footnoteReference w:id="12"/>
      </w:r>
      <w:r w:rsidRPr="00BB4337">
        <w:t xml:space="preserve"> </w:t>
      </w:r>
      <w:r>
        <w:t xml:space="preserve"> Applicants state that </w:t>
      </w:r>
      <w:r w:rsidRPr="00BB4337">
        <w:rPr>
          <w:szCs w:val="22"/>
        </w:rPr>
        <w:t xml:space="preserve">“AtLink has expended CAF support funds in connection with deployment in its CAF-supported area, and expects to meet </w:t>
      </w:r>
      <w:r w:rsidR="00FE0319">
        <w:rPr>
          <w:szCs w:val="22"/>
        </w:rPr>
        <w:t xml:space="preserve">its upcoming </w:t>
      </w:r>
      <w:r w:rsidRPr="00BB4337">
        <w:rPr>
          <w:szCs w:val="22"/>
        </w:rPr>
        <w:t>40 percent buildout milestone well ahead of the</w:t>
      </w:r>
      <w:r w:rsidR="003132D3">
        <w:rPr>
          <w:szCs w:val="22"/>
        </w:rPr>
        <w:t xml:space="preserve"> December 31, 2022 milestone deadline</w:t>
      </w:r>
      <w:r w:rsidRPr="00BB4337">
        <w:rPr>
          <w:szCs w:val="22"/>
        </w:rPr>
        <w:t>.”</w:t>
      </w:r>
      <w:r>
        <w:rPr>
          <w:rStyle w:val="FootnoteReference"/>
          <w:szCs w:val="22"/>
        </w:rPr>
        <w:footnoteReference w:id="13"/>
      </w:r>
      <w:r w:rsidRPr="00BB4337">
        <w:rPr>
          <w:szCs w:val="22"/>
        </w:rPr>
        <w:t xml:space="preserve">  </w:t>
      </w:r>
      <w:r>
        <w:rPr>
          <w:szCs w:val="22"/>
        </w:rPr>
        <w:t>The following U.S. citizen and Oklahoma corporations own AtLink:  Samuel T. Curtis (12.53%); the Hinton C A T V Company, Inc. (</w:t>
      </w:r>
      <w:r w:rsidRPr="00B872AB">
        <w:rPr>
          <w:szCs w:val="22"/>
        </w:rPr>
        <w:t>Hinton C A T V</w:t>
      </w:r>
      <w:r>
        <w:rPr>
          <w:szCs w:val="22"/>
        </w:rPr>
        <w:t>)</w:t>
      </w:r>
      <w:r w:rsidRPr="00B872AB">
        <w:rPr>
          <w:szCs w:val="22"/>
        </w:rPr>
        <w:t xml:space="preserve"> </w:t>
      </w:r>
      <w:r>
        <w:rPr>
          <w:szCs w:val="22"/>
        </w:rPr>
        <w:t>(54.39%); and Communications Equipment Corporation (33.08%).</w:t>
      </w:r>
      <w:r>
        <w:rPr>
          <w:rStyle w:val="FootnoteReference"/>
          <w:szCs w:val="22"/>
        </w:rPr>
        <w:footnoteReference w:id="14"/>
      </w:r>
    </w:p>
    <w:p w:rsidR="001F67E3" w:rsidP="00FC3A7B" w14:paraId="0FEC1487" w14:textId="7C3CFD13">
      <w:pPr>
        <w:autoSpaceDE w:val="0"/>
        <w:autoSpaceDN w:val="0"/>
        <w:adjustRightInd w:val="0"/>
        <w:spacing w:after="120"/>
        <w:ind w:firstLine="720"/>
        <w:rPr>
          <w:szCs w:val="22"/>
        </w:rPr>
      </w:pPr>
      <w:r w:rsidRPr="00AB5112">
        <w:rPr>
          <w:szCs w:val="22"/>
        </w:rPr>
        <w:t>Pursuant to the terms</w:t>
      </w:r>
      <w:r w:rsidRPr="00AB5112" w:rsidR="005C680F">
        <w:rPr>
          <w:szCs w:val="22"/>
        </w:rPr>
        <w:t xml:space="preserve"> </w:t>
      </w:r>
      <w:r w:rsidRPr="00AB5112">
        <w:rPr>
          <w:szCs w:val="22"/>
        </w:rPr>
        <w:t>o</w:t>
      </w:r>
      <w:r w:rsidRPr="00AB5112" w:rsidR="005C680F">
        <w:rPr>
          <w:szCs w:val="22"/>
        </w:rPr>
        <w:t>f</w:t>
      </w:r>
      <w:r w:rsidRPr="00AB5112">
        <w:rPr>
          <w:szCs w:val="22"/>
        </w:rPr>
        <w:t xml:space="preserve"> the proposed transaction, </w:t>
      </w:r>
      <w:r w:rsidRPr="00AB5112" w:rsidR="009E0877">
        <w:rPr>
          <w:szCs w:val="22"/>
        </w:rPr>
        <w:t>AtLink will acquire the interests of</w:t>
      </w:r>
      <w:r w:rsidR="00DF7273">
        <w:rPr>
          <w:szCs w:val="22"/>
        </w:rPr>
        <w:t>,</w:t>
      </w:r>
      <w:r w:rsidRPr="00AB5112" w:rsidR="009E0877">
        <w:rPr>
          <w:szCs w:val="22"/>
        </w:rPr>
        <w:t xml:space="preserve"> and assume </w:t>
      </w:r>
      <w:r w:rsidR="00E24E81">
        <w:rPr>
          <w:szCs w:val="22"/>
        </w:rPr>
        <w:t>Redwire</w:t>
      </w:r>
      <w:r w:rsidRPr="00AB5112" w:rsidR="009E0877">
        <w:rPr>
          <w:szCs w:val="22"/>
        </w:rPr>
        <w:t xml:space="preserve">’s CAF </w:t>
      </w:r>
      <w:r w:rsidR="00BD156B">
        <w:rPr>
          <w:szCs w:val="22"/>
        </w:rPr>
        <w:t xml:space="preserve">support and </w:t>
      </w:r>
      <w:r w:rsidRPr="00AB5112" w:rsidR="009E0877">
        <w:rPr>
          <w:szCs w:val="22"/>
        </w:rPr>
        <w:t>obligations</w:t>
      </w:r>
      <w:r w:rsidR="001C0C29">
        <w:rPr>
          <w:szCs w:val="22"/>
        </w:rPr>
        <w:t xml:space="preserve"> for</w:t>
      </w:r>
      <w:r w:rsidR="00DF7273">
        <w:rPr>
          <w:szCs w:val="22"/>
        </w:rPr>
        <w:t>,</w:t>
      </w:r>
      <w:r w:rsidR="001C0C29">
        <w:rPr>
          <w:szCs w:val="22"/>
        </w:rPr>
        <w:t xml:space="preserve"> the Assigned Census Blocks</w:t>
      </w:r>
      <w:r w:rsidRPr="00AB5112" w:rsidR="009E0877">
        <w:rPr>
          <w:szCs w:val="22"/>
        </w:rPr>
        <w:t>.</w:t>
      </w:r>
      <w:r>
        <w:rPr>
          <w:rStyle w:val="FootnoteReference"/>
          <w:szCs w:val="22"/>
        </w:rPr>
        <w:footnoteReference w:id="15"/>
      </w:r>
      <w:r w:rsidR="005F7B14">
        <w:rPr>
          <w:szCs w:val="22"/>
        </w:rPr>
        <w:t xml:space="preserve"> </w:t>
      </w:r>
      <w:r w:rsidR="001C0C29">
        <w:rPr>
          <w:szCs w:val="22"/>
        </w:rPr>
        <w:t xml:space="preserve"> </w:t>
      </w:r>
      <w:r w:rsidRPr="006E0150" w:rsidR="00FC3A7B">
        <w:rPr>
          <w:szCs w:val="22"/>
        </w:rPr>
        <w:t xml:space="preserve">Redwire has </w:t>
      </w:r>
      <w:r w:rsidRPr="006E0150" w:rsidR="00FC3A7B">
        <w:rPr>
          <w:szCs w:val="22"/>
        </w:rPr>
        <w:t>agreed to</w:t>
      </w:r>
      <w:r w:rsidR="00FC3A7B">
        <w:rPr>
          <w:szCs w:val="22"/>
        </w:rPr>
        <w:t xml:space="preserve"> </w:t>
      </w:r>
      <w:r w:rsidRPr="006E0150" w:rsidR="00FC3A7B">
        <w:rPr>
          <w:szCs w:val="22"/>
        </w:rPr>
        <w:t xml:space="preserve">assign its CAF </w:t>
      </w:r>
      <w:r w:rsidR="00BD156B">
        <w:rPr>
          <w:szCs w:val="22"/>
        </w:rPr>
        <w:t xml:space="preserve">support and </w:t>
      </w:r>
      <w:r w:rsidRPr="006E0150" w:rsidR="00FC3A7B">
        <w:rPr>
          <w:szCs w:val="22"/>
        </w:rPr>
        <w:t>obligations in the Assigned Census Blocks to AtLink</w:t>
      </w:r>
      <w:r w:rsidR="00FC3A7B">
        <w:rPr>
          <w:szCs w:val="22"/>
        </w:rPr>
        <w:t>.</w:t>
      </w:r>
      <w:r>
        <w:rPr>
          <w:rStyle w:val="FootnoteReference"/>
          <w:szCs w:val="22"/>
        </w:rPr>
        <w:footnoteReference w:id="16"/>
      </w:r>
      <w:r w:rsidR="00FC3A7B">
        <w:rPr>
          <w:szCs w:val="22"/>
        </w:rPr>
        <w:t xml:space="preserve"> </w:t>
      </w:r>
      <w:r w:rsidR="005F7B14">
        <w:rPr>
          <w:szCs w:val="22"/>
        </w:rPr>
        <w:t xml:space="preserve"> After consummation of the proposed transaction,</w:t>
      </w:r>
      <w:r w:rsidR="005D7B81">
        <w:rPr>
          <w:szCs w:val="22"/>
        </w:rPr>
        <w:t xml:space="preserve"> </w:t>
      </w:r>
      <w:r w:rsidR="00BD156B">
        <w:rPr>
          <w:szCs w:val="22"/>
        </w:rPr>
        <w:t>in the Assigned Census Blocks</w:t>
      </w:r>
      <w:r w:rsidR="00D91785">
        <w:rPr>
          <w:szCs w:val="22"/>
        </w:rPr>
        <w:t xml:space="preserve">, </w:t>
      </w:r>
      <w:r w:rsidR="005D7B81">
        <w:rPr>
          <w:szCs w:val="22"/>
        </w:rPr>
        <w:t>“AtLink will undertake the deployment of the CAF-supported network and integrate such activities and operations into its own ongoing operations and its CAF deployment.”</w:t>
      </w:r>
      <w:r>
        <w:rPr>
          <w:rStyle w:val="FootnoteReference"/>
          <w:szCs w:val="22"/>
        </w:rPr>
        <w:footnoteReference w:id="17"/>
      </w:r>
      <w:r w:rsidR="005D7B81">
        <w:rPr>
          <w:szCs w:val="22"/>
        </w:rPr>
        <w:t xml:space="preserve">  </w:t>
      </w:r>
    </w:p>
    <w:p w:rsidR="001F67E3" w:rsidP="00FC61CE" w14:paraId="6EDC28ED" w14:textId="06270FB1">
      <w:pPr>
        <w:autoSpaceDE w:val="0"/>
        <w:autoSpaceDN w:val="0"/>
        <w:adjustRightInd w:val="0"/>
        <w:spacing w:after="120"/>
        <w:ind w:firstLine="720"/>
      </w:pPr>
      <w:r w:rsidRPr="001F67E3">
        <w:rPr>
          <w:bCs/>
          <w:szCs w:val="22"/>
        </w:rPr>
        <w:t>Applicants assert that a grant of the Application would serve the public interest, convenience, and necessity.</w:t>
      </w:r>
      <w:r>
        <w:rPr>
          <w:bCs/>
          <w:szCs w:val="22"/>
          <w:vertAlign w:val="superscript"/>
        </w:rPr>
        <w:footnoteReference w:id="18"/>
      </w:r>
      <w:r w:rsidRPr="001F67E3">
        <w:rPr>
          <w:bCs/>
          <w:szCs w:val="22"/>
        </w:rPr>
        <w:t xml:space="preserve">  </w:t>
      </w:r>
      <w:r w:rsidRPr="001F67E3" w:rsidR="00276749">
        <w:rPr>
          <w:szCs w:val="22"/>
        </w:rPr>
        <w:t xml:space="preserve">Applicants </w:t>
      </w:r>
      <w:r w:rsidR="00276749">
        <w:rPr>
          <w:szCs w:val="22"/>
        </w:rPr>
        <w:t xml:space="preserve">state </w:t>
      </w:r>
      <w:r w:rsidRPr="001F67E3" w:rsidR="00276749">
        <w:rPr>
          <w:szCs w:val="22"/>
        </w:rPr>
        <w:t>that “</w:t>
      </w:r>
      <w:r w:rsidR="00276749">
        <w:rPr>
          <w:szCs w:val="22"/>
        </w:rPr>
        <w:t>Redwire has continuously but unsuccessfully attempted to obtain a letter of credit for its CAF obligations from the Bank of Oklahoma, and its bank covenants prevent Redwire from obtaining a letter of credit from a bank other than the Bank of Oklahoma.”</w:t>
      </w:r>
      <w:r>
        <w:rPr>
          <w:rStyle w:val="FootnoteReference"/>
          <w:szCs w:val="22"/>
        </w:rPr>
        <w:footnoteReference w:id="19"/>
      </w:r>
      <w:r w:rsidRPr="001F67E3" w:rsidR="00276749">
        <w:rPr>
          <w:szCs w:val="22"/>
        </w:rPr>
        <w:t xml:space="preserve">  </w:t>
      </w:r>
      <w:r w:rsidR="00276749">
        <w:rPr>
          <w:szCs w:val="22"/>
        </w:rPr>
        <w:t xml:space="preserve">Thus, Redwire is </w:t>
      </w:r>
      <w:r w:rsidR="00F2527E">
        <w:rPr>
          <w:szCs w:val="22"/>
        </w:rPr>
        <w:t xml:space="preserve">currently </w:t>
      </w:r>
      <w:r w:rsidR="00276749">
        <w:rPr>
          <w:szCs w:val="22"/>
        </w:rPr>
        <w:t xml:space="preserve">unable to meet its </w:t>
      </w:r>
      <w:r w:rsidR="001B01D3">
        <w:rPr>
          <w:szCs w:val="22"/>
        </w:rPr>
        <w:t xml:space="preserve">requirement to obtain a letter of credit or to meet its </w:t>
      </w:r>
      <w:r w:rsidR="00276749">
        <w:rPr>
          <w:szCs w:val="22"/>
        </w:rPr>
        <w:t>CAF buildout obligations.</w:t>
      </w:r>
      <w:r>
        <w:rPr>
          <w:rStyle w:val="FootnoteReference"/>
          <w:szCs w:val="22"/>
        </w:rPr>
        <w:footnoteReference w:id="20"/>
      </w:r>
      <w:r w:rsidR="00276749">
        <w:rPr>
          <w:szCs w:val="22"/>
        </w:rPr>
        <w:t xml:space="preserve">  </w:t>
      </w:r>
      <w:r w:rsidRPr="001F67E3" w:rsidR="00276749">
        <w:rPr>
          <w:bCs/>
          <w:szCs w:val="22"/>
        </w:rPr>
        <w:t xml:space="preserve">Following the consummation of the proposed transaction, </w:t>
      </w:r>
      <w:r w:rsidR="00276749">
        <w:rPr>
          <w:szCs w:val="22"/>
        </w:rPr>
        <w:t xml:space="preserve">Applicants assert </w:t>
      </w:r>
      <w:r w:rsidRPr="001F67E3" w:rsidR="00276749">
        <w:rPr>
          <w:szCs w:val="22"/>
        </w:rPr>
        <w:t>that “</w:t>
      </w:r>
      <w:r w:rsidR="00276749">
        <w:rPr>
          <w:szCs w:val="22"/>
        </w:rPr>
        <w:t>with the financial and human resources and operational efficiencies AtLink will provide, consumers will be able to receive CAF services in the Assigned Census Blocks with much greater certainty than Redwire.</w:t>
      </w:r>
      <w:r w:rsidRPr="001F67E3" w:rsidR="00276749">
        <w:rPr>
          <w:szCs w:val="22"/>
        </w:rPr>
        <w:t>”</w:t>
      </w:r>
      <w:r>
        <w:rPr>
          <w:rStyle w:val="FootnoteReference"/>
          <w:szCs w:val="22"/>
        </w:rPr>
        <w:footnoteReference w:id="21"/>
      </w:r>
      <w:r w:rsidRPr="001F67E3" w:rsidR="00276749">
        <w:rPr>
          <w:szCs w:val="22"/>
        </w:rPr>
        <w:t xml:space="preserve"> </w:t>
      </w:r>
      <w:r w:rsidR="00276749">
        <w:rPr>
          <w:szCs w:val="22"/>
        </w:rPr>
        <w:t xml:space="preserve"> </w:t>
      </w:r>
      <w:r w:rsidRPr="001F67E3" w:rsidR="00935DC9">
        <w:rPr>
          <w:bCs/>
          <w:szCs w:val="22"/>
        </w:rPr>
        <w:t xml:space="preserve">Applicants state that </w:t>
      </w:r>
      <w:r w:rsidRPr="001F67E3" w:rsidR="00A5795E">
        <w:rPr>
          <w:bCs/>
          <w:szCs w:val="22"/>
        </w:rPr>
        <w:t>“</w:t>
      </w:r>
      <w:r w:rsidRPr="001F67E3" w:rsidR="00A5795E">
        <w:rPr>
          <w:szCs w:val="22"/>
        </w:rPr>
        <w:t xml:space="preserve">AtLink has both the necessary industry experience and requisite financial means to take on the responsibility of deploying CAF-supported voice and broadband service in the Assigned Census Blocks it proposes to assume from </w:t>
      </w:r>
      <w:r w:rsidR="00C4758C">
        <w:rPr>
          <w:szCs w:val="22"/>
        </w:rPr>
        <w:t>Redwire</w:t>
      </w:r>
      <w:r w:rsidRPr="001F67E3" w:rsidR="00A5795E">
        <w:rPr>
          <w:szCs w:val="22"/>
        </w:rPr>
        <w:t>,</w:t>
      </w:r>
      <w:r w:rsidR="006F2D07">
        <w:rPr>
          <w:szCs w:val="22"/>
        </w:rPr>
        <w:t xml:space="preserve"> many of which are adjacent to AtLink’s own CAF census blocks.</w:t>
      </w:r>
      <w:r w:rsidRPr="001F67E3" w:rsidR="00A5795E">
        <w:rPr>
          <w:szCs w:val="22"/>
        </w:rPr>
        <w:t>”</w:t>
      </w:r>
      <w:r>
        <w:rPr>
          <w:rStyle w:val="FootnoteReference"/>
          <w:szCs w:val="22"/>
        </w:rPr>
        <w:footnoteReference w:id="22"/>
      </w:r>
      <w:r w:rsidRPr="001F67E3" w:rsidR="00A5795E">
        <w:rPr>
          <w:szCs w:val="22"/>
        </w:rPr>
        <w:t xml:space="preserve">  </w:t>
      </w:r>
      <w:r w:rsidR="00263023">
        <w:rPr>
          <w:szCs w:val="22"/>
        </w:rPr>
        <w:t>A</w:t>
      </w:r>
      <w:r w:rsidR="00C40CDF">
        <w:rPr>
          <w:szCs w:val="22"/>
        </w:rPr>
        <w:t>tLink</w:t>
      </w:r>
      <w:r w:rsidR="00263023">
        <w:rPr>
          <w:szCs w:val="22"/>
        </w:rPr>
        <w:t xml:space="preserve"> commits to </w:t>
      </w:r>
      <w:r w:rsidR="00C40CDF">
        <w:rPr>
          <w:szCs w:val="22"/>
        </w:rPr>
        <w:t>“</w:t>
      </w:r>
      <w:r w:rsidR="00263023">
        <w:rPr>
          <w:szCs w:val="22"/>
        </w:rPr>
        <w:t xml:space="preserve">meeting the 80 percent and 100 percent buildout milestones as specified in the </w:t>
      </w:r>
      <w:r w:rsidRPr="00263023" w:rsidR="00263023">
        <w:rPr>
          <w:i/>
          <w:iCs/>
          <w:szCs w:val="22"/>
        </w:rPr>
        <w:t>Redwire Authorization PN</w:t>
      </w:r>
      <w:r w:rsidR="00263023">
        <w:rPr>
          <w:szCs w:val="22"/>
        </w:rPr>
        <w:t xml:space="preserve"> and performance obligations established for the Assigned Census Blocks.”</w:t>
      </w:r>
      <w:r>
        <w:rPr>
          <w:rStyle w:val="FootnoteReference"/>
          <w:szCs w:val="22"/>
        </w:rPr>
        <w:footnoteReference w:id="23"/>
      </w:r>
      <w:r w:rsidR="00C40CDF">
        <w:rPr>
          <w:szCs w:val="22"/>
        </w:rPr>
        <w:t xml:space="preserve">  Finally, Applicants assert that the proposed transaction would not result in a reduction of competition, rather it would </w:t>
      </w:r>
      <w:r w:rsidR="00A56A25">
        <w:rPr>
          <w:szCs w:val="22"/>
        </w:rPr>
        <w:t xml:space="preserve">result </w:t>
      </w:r>
      <w:r w:rsidR="00C40CDF">
        <w:rPr>
          <w:szCs w:val="22"/>
        </w:rPr>
        <w:t>in AtLink becoming a stronger competitor</w:t>
      </w:r>
      <w:r w:rsidR="006F0D73">
        <w:rPr>
          <w:szCs w:val="22"/>
        </w:rPr>
        <w:t>.</w:t>
      </w:r>
      <w:r>
        <w:rPr>
          <w:rStyle w:val="FootnoteReference"/>
          <w:szCs w:val="22"/>
        </w:rPr>
        <w:footnoteReference w:id="24"/>
      </w:r>
    </w:p>
    <w:p w:rsidR="006F2D07" w:rsidP="006F2D07" w14:paraId="2E73CC94" w14:textId="71919251">
      <w:pPr>
        <w:autoSpaceDE w:val="0"/>
        <w:autoSpaceDN w:val="0"/>
        <w:adjustRightInd w:val="0"/>
        <w:spacing w:after="120"/>
        <w:ind w:firstLine="720"/>
        <w:rPr>
          <w:bCs/>
        </w:rPr>
      </w:pPr>
      <w:r w:rsidRPr="00FC61CE">
        <w:t>Because the proposed transaction would involve the exchange and assumption of Universal Service Fund high-cost mechanism obligations, in order to sufficiently analyze whether the proposed transaction would serve the public interest, we accept the Application for non-streamlined processing</w:t>
      </w:r>
      <w:r w:rsidRPr="00FC61CE">
        <w:rPr>
          <w:bCs/>
        </w:rPr>
        <w:t>.</w:t>
      </w:r>
      <w:r>
        <w:rPr>
          <w:bCs/>
          <w:vertAlign w:val="superscript"/>
        </w:rPr>
        <w:footnoteReference w:id="25"/>
      </w:r>
      <w:r w:rsidRPr="00FC61CE">
        <w:rPr>
          <w:bCs/>
        </w:rPr>
        <w:t xml:space="preserve">  </w:t>
      </w:r>
    </w:p>
    <w:p w:rsidR="00301515" w:rsidP="006F2D07" w14:paraId="6932A0F0" w14:textId="77777777">
      <w:pPr>
        <w:autoSpaceDE w:val="0"/>
        <w:autoSpaceDN w:val="0"/>
        <w:adjustRightInd w:val="0"/>
        <w:spacing w:after="120"/>
        <w:rPr>
          <w:b/>
          <w:u w:val="single"/>
        </w:rPr>
      </w:pPr>
    </w:p>
    <w:p w:rsidR="00301515" w:rsidP="006F2D07" w14:paraId="15B4D3F0" w14:textId="77777777">
      <w:pPr>
        <w:autoSpaceDE w:val="0"/>
        <w:autoSpaceDN w:val="0"/>
        <w:adjustRightInd w:val="0"/>
        <w:spacing w:after="120"/>
        <w:rPr>
          <w:b/>
          <w:u w:val="single"/>
        </w:rPr>
      </w:pPr>
    </w:p>
    <w:p w:rsidR="006F2D07" w:rsidP="006F2D07" w14:paraId="52FBF3AA" w14:textId="5654FE83">
      <w:pPr>
        <w:autoSpaceDE w:val="0"/>
        <w:autoSpaceDN w:val="0"/>
        <w:adjustRightInd w:val="0"/>
        <w:spacing w:after="120"/>
        <w:rPr>
          <w:b/>
          <w:u w:val="single"/>
        </w:rPr>
      </w:pPr>
      <w:r w:rsidRPr="00D77B29">
        <w:rPr>
          <w:b/>
          <w:u w:val="single"/>
        </w:rPr>
        <w:t>W</w:t>
      </w:r>
      <w:r w:rsidR="00D77B29">
        <w:rPr>
          <w:b/>
          <w:u w:val="single"/>
        </w:rPr>
        <w:t>AIVER REQUEST</w:t>
      </w:r>
    </w:p>
    <w:p w:rsidR="00D77B29" w:rsidRPr="00D77B29" w:rsidP="006F2D07" w14:paraId="0DA37BEF" w14:textId="421B59B2">
      <w:pPr>
        <w:autoSpaceDE w:val="0"/>
        <w:autoSpaceDN w:val="0"/>
        <w:adjustRightInd w:val="0"/>
        <w:spacing w:after="120"/>
      </w:pPr>
      <w:r>
        <w:tab/>
        <w:t xml:space="preserve">Applicants </w:t>
      </w:r>
      <w:r w:rsidR="00D003F0">
        <w:t xml:space="preserve">also </w:t>
      </w:r>
      <w:r>
        <w:t xml:space="preserve">filed a </w:t>
      </w:r>
      <w:r w:rsidR="005B0E6E">
        <w:t xml:space="preserve">request for </w:t>
      </w:r>
      <w:r>
        <w:t xml:space="preserve">waiver of </w:t>
      </w:r>
      <w:r w:rsidR="005B0E6E">
        <w:t>R</w:t>
      </w:r>
      <w:r w:rsidR="00986D53">
        <w:t>edwire’s</w:t>
      </w:r>
      <w:r>
        <w:t xml:space="preserve"> current requirement to “deploy service to 40 percent of locations in its CAF-supported census blocks by the end of this year and to 60 percent of its CAF-supported census by December 31, 2023.”</w:t>
      </w:r>
      <w:r>
        <w:rPr>
          <w:rStyle w:val="FootnoteReference"/>
        </w:rPr>
        <w:footnoteReference w:id="26"/>
      </w:r>
      <w:r w:rsidR="00902336">
        <w:t xml:space="preserve"> </w:t>
      </w:r>
      <w:r>
        <w:t xml:space="preserve"> </w:t>
      </w:r>
      <w:r w:rsidR="00902336">
        <w:t>Applicants state that</w:t>
      </w:r>
      <w:r w:rsidR="005C7B46">
        <w:t>, post-consummation of the proposed transaction,</w:t>
      </w:r>
      <w:r w:rsidR="00902336">
        <w:t xml:space="preserve"> AtLink would have less than a year to meet the 40 percent milestone and less than two years to meet the 60 percent milestone, which it will not be able to meet.</w:t>
      </w:r>
      <w:r>
        <w:rPr>
          <w:rStyle w:val="FootnoteReference"/>
        </w:rPr>
        <w:footnoteReference w:id="27"/>
      </w:r>
      <w:r w:rsidR="00902336">
        <w:t xml:space="preserve">  Applicants further state that a grant of the waiver is “a condition to consummation of AtLink’s acquisition and assumption of Redwire’s CAF obligations in the Assigned Census Blocks.”</w:t>
      </w:r>
      <w:r>
        <w:rPr>
          <w:rStyle w:val="FootnoteReference"/>
        </w:rPr>
        <w:footnoteReference w:id="28"/>
      </w:r>
      <w:r w:rsidR="00902336">
        <w:t xml:space="preserve">  </w:t>
      </w:r>
      <w:r w:rsidR="0051292E">
        <w:t>Applicants assert that</w:t>
      </w:r>
      <w:r w:rsidR="005C7B46">
        <w:t>,</w:t>
      </w:r>
      <w:r w:rsidR="0051292E">
        <w:t xml:space="preserve"> absent a grant of the waiver, Oklahomans, including </w:t>
      </w:r>
      <w:r w:rsidR="00C1428C">
        <w:t>T</w:t>
      </w:r>
      <w:r w:rsidR="0051292E">
        <w:t xml:space="preserve">ribal members, </w:t>
      </w:r>
      <w:r w:rsidR="005C7B46">
        <w:t xml:space="preserve">would </w:t>
      </w:r>
      <w:r w:rsidR="0051292E">
        <w:t>continue to lack access to broadband services</w:t>
      </w:r>
      <w:r w:rsidR="001B01D3">
        <w:t>, contrary to the Commission’s goals</w:t>
      </w:r>
      <w:r w:rsidR="0051292E">
        <w:t>.</w:t>
      </w:r>
      <w:r>
        <w:rPr>
          <w:rStyle w:val="FootnoteReference"/>
        </w:rPr>
        <w:footnoteReference w:id="29"/>
      </w:r>
      <w:r w:rsidR="0051292E">
        <w:t xml:space="preserve">  Applicants maintain that </w:t>
      </w:r>
      <w:r w:rsidR="005C7B46">
        <w:t xml:space="preserve">granting the waiver is in the public interest because </w:t>
      </w:r>
      <w:r w:rsidR="0051292E">
        <w:t>AtLink</w:t>
      </w:r>
      <w:r w:rsidR="005C7B46">
        <w:t>: 1) has</w:t>
      </w:r>
      <w:r w:rsidR="0051292E">
        <w:t xml:space="preserve"> the “technical, managerial and operational expertise” to construct the network</w:t>
      </w:r>
      <w:r w:rsidR="005C7B46">
        <w:t>; 2)</w:t>
      </w:r>
      <w:r w:rsidR="0051292E">
        <w:t xml:space="preserve"> has a track record of meeting its own CAF obligations</w:t>
      </w:r>
      <w:r w:rsidR="006F0D73">
        <w:t>,</w:t>
      </w:r>
      <w:r w:rsidR="0051292E">
        <w:t xml:space="preserve"> and </w:t>
      </w:r>
      <w:r w:rsidR="005C7B46">
        <w:t xml:space="preserve">3) </w:t>
      </w:r>
      <w:r w:rsidR="0051292E">
        <w:t xml:space="preserve">will “meet the ultimate requirement to serve 100 percent of the </w:t>
      </w:r>
      <w:r w:rsidR="005C7B46">
        <w:t>locations by the end of 2025</w:t>
      </w:r>
      <w:r w:rsidR="0051292E">
        <w:rPr>
          <w:szCs w:val="22"/>
        </w:rPr>
        <w:t>.</w:t>
      </w:r>
      <w:r w:rsidR="005C7B46">
        <w:rPr>
          <w:szCs w:val="22"/>
        </w:rPr>
        <w:t>”</w:t>
      </w:r>
      <w:r>
        <w:rPr>
          <w:rStyle w:val="FootnoteReference"/>
          <w:szCs w:val="22"/>
        </w:rPr>
        <w:footnoteReference w:id="30"/>
      </w:r>
    </w:p>
    <w:p w:rsidR="00FC61CE" w:rsidP="002329BA" w14:paraId="416EC5FC" w14:textId="07A5B9B6">
      <w:pPr>
        <w:autoSpaceDE w:val="0"/>
        <w:autoSpaceDN w:val="0"/>
        <w:adjustRightInd w:val="0"/>
        <w:ind w:left="720"/>
        <w:rPr>
          <w:szCs w:val="22"/>
        </w:rPr>
      </w:pPr>
      <w:r w:rsidRPr="00FC61CE">
        <w:rPr>
          <w:szCs w:val="22"/>
        </w:rPr>
        <w:t>Domestic Section 214 Application Filed for the</w:t>
      </w:r>
      <w:r w:rsidRPr="002329BA" w:rsidR="002329BA">
        <w:t xml:space="preserve"> </w:t>
      </w:r>
      <w:r w:rsidRPr="002329BA" w:rsidR="002329BA">
        <w:rPr>
          <w:szCs w:val="22"/>
        </w:rPr>
        <w:t xml:space="preserve">Transfer </w:t>
      </w:r>
      <w:r w:rsidR="002329BA">
        <w:rPr>
          <w:szCs w:val="22"/>
        </w:rPr>
        <w:t>o</w:t>
      </w:r>
      <w:r w:rsidRPr="002329BA" w:rsidR="002329BA">
        <w:rPr>
          <w:szCs w:val="22"/>
        </w:rPr>
        <w:t>f</w:t>
      </w:r>
      <w:r w:rsidRPr="00FC61CE">
        <w:rPr>
          <w:szCs w:val="22"/>
        </w:rPr>
        <w:t xml:space="preserve"> </w:t>
      </w:r>
      <w:r w:rsidRPr="002329BA" w:rsidR="002329BA">
        <w:rPr>
          <w:szCs w:val="22"/>
        </w:rPr>
        <w:t xml:space="preserve">Certain Authorizations </w:t>
      </w:r>
      <w:r w:rsidR="002329BA">
        <w:rPr>
          <w:szCs w:val="22"/>
        </w:rPr>
        <w:t>o</w:t>
      </w:r>
      <w:r w:rsidRPr="002329BA" w:rsidR="002329BA">
        <w:rPr>
          <w:szCs w:val="22"/>
        </w:rPr>
        <w:t xml:space="preserve">f Redwire, Inc. </w:t>
      </w:r>
      <w:r w:rsidR="00AE3EE2">
        <w:rPr>
          <w:szCs w:val="22"/>
        </w:rPr>
        <w:t>t</w:t>
      </w:r>
      <w:r w:rsidRPr="002329BA" w:rsidR="002329BA">
        <w:rPr>
          <w:szCs w:val="22"/>
        </w:rPr>
        <w:t>o At</w:t>
      </w:r>
      <w:r w:rsidR="006F0D73">
        <w:rPr>
          <w:szCs w:val="22"/>
        </w:rPr>
        <w:t>L</w:t>
      </w:r>
      <w:r w:rsidRPr="002329BA" w:rsidR="002329BA">
        <w:rPr>
          <w:szCs w:val="22"/>
        </w:rPr>
        <w:t>ink Services, L</w:t>
      </w:r>
      <w:r w:rsidR="002329BA">
        <w:rPr>
          <w:szCs w:val="22"/>
        </w:rPr>
        <w:t>LC</w:t>
      </w:r>
      <w:r>
        <w:rPr>
          <w:szCs w:val="22"/>
        </w:rPr>
        <w:t>,</w:t>
      </w:r>
      <w:r w:rsidRPr="00FC61CE">
        <w:rPr>
          <w:szCs w:val="22"/>
        </w:rPr>
        <w:t xml:space="preserve"> WC Docket No. 2</w:t>
      </w:r>
      <w:r w:rsidR="002329BA">
        <w:rPr>
          <w:szCs w:val="22"/>
        </w:rPr>
        <w:t>2</w:t>
      </w:r>
      <w:r w:rsidRPr="00FC61CE">
        <w:rPr>
          <w:szCs w:val="22"/>
        </w:rPr>
        <w:t>-</w:t>
      </w:r>
      <w:r w:rsidR="002329BA">
        <w:rPr>
          <w:szCs w:val="22"/>
        </w:rPr>
        <w:t>55</w:t>
      </w:r>
      <w:r w:rsidRPr="00FC61CE">
        <w:rPr>
          <w:szCs w:val="22"/>
        </w:rPr>
        <w:t xml:space="preserve"> </w:t>
      </w:r>
    </w:p>
    <w:p w:rsidR="009E0877" w:rsidP="002329BA" w14:paraId="51AE34D4" w14:textId="318F6269">
      <w:pPr>
        <w:autoSpaceDE w:val="0"/>
        <w:autoSpaceDN w:val="0"/>
        <w:adjustRightInd w:val="0"/>
        <w:spacing w:after="120"/>
        <w:ind w:left="720"/>
        <w:jc w:val="both"/>
        <w:rPr>
          <w:szCs w:val="22"/>
        </w:rPr>
      </w:pPr>
      <w:r w:rsidRPr="00FC61CE">
        <w:rPr>
          <w:szCs w:val="22"/>
        </w:rPr>
        <w:t xml:space="preserve">(filed </w:t>
      </w:r>
      <w:r w:rsidR="002329BA">
        <w:rPr>
          <w:szCs w:val="22"/>
        </w:rPr>
        <w:t>Jan</w:t>
      </w:r>
      <w:r w:rsidRPr="00FC61CE">
        <w:rPr>
          <w:szCs w:val="22"/>
        </w:rPr>
        <w:t xml:space="preserve">. </w:t>
      </w:r>
      <w:r w:rsidR="002329BA">
        <w:rPr>
          <w:szCs w:val="22"/>
        </w:rPr>
        <w:t>31</w:t>
      </w:r>
      <w:r w:rsidRPr="00FC61CE">
        <w:rPr>
          <w:szCs w:val="22"/>
        </w:rPr>
        <w:t>, 202</w:t>
      </w:r>
      <w:r w:rsidR="002329BA">
        <w:rPr>
          <w:szCs w:val="22"/>
        </w:rPr>
        <w:t>2</w:t>
      </w:r>
      <w:r w:rsidRPr="00FC61CE">
        <w:rPr>
          <w:szCs w:val="22"/>
        </w:rPr>
        <w:t>).</w:t>
      </w:r>
    </w:p>
    <w:p w:rsidR="00332884" w:rsidP="0063457E" w14:paraId="232D9284" w14:textId="77777777">
      <w:pPr>
        <w:autoSpaceDE w:val="0"/>
        <w:autoSpaceDN w:val="0"/>
        <w:adjustRightInd w:val="0"/>
        <w:spacing w:after="120"/>
        <w:rPr>
          <w:szCs w:val="22"/>
        </w:rPr>
      </w:pPr>
      <w:r w:rsidRPr="00B713DE">
        <w:rPr>
          <w:b/>
          <w:szCs w:val="22"/>
          <w:u w:val="single"/>
        </w:rPr>
        <w:t>GENERAL INFORMATION</w:t>
      </w:r>
    </w:p>
    <w:p w:rsidR="00332884" w:rsidRPr="00EC66CA" w:rsidP="00332884" w14:paraId="7E0D6CF8"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332884" w:rsidRPr="00EC66CA" w:rsidP="00332884" w14:paraId="641A5C41" w14:textId="57592496">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sidR="00E24E81">
        <w:rPr>
          <w:b/>
          <w:szCs w:val="22"/>
        </w:rPr>
        <w:t xml:space="preserve">March </w:t>
      </w:r>
      <w:r w:rsidR="00F03389">
        <w:rPr>
          <w:b/>
          <w:szCs w:val="22"/>
        </w:rPr>
        <w:t>31</w:t>
      </w:r>
      <w:r w:rsidRPr="006F586C">
        <w:rPr>
          <w:b/>
          <w:szCs w:val="22"/>
        </w:rPr>
        <w:t>, 202</w:t>
      </w:r>
      <w:r w:rsidR="00F03389">
        <w:rPr>
          <w:b/>
          <w:szCs w:val="22"/>
        </w:rPr>
        <w:t>2</w:t>
      </w:r>
      <w:r w:rsidRPr="006F586C">
        <w:rPr>
          <w:szCs w:val="22"/>
        </w:rPr>
        <w:t xml:space="preserve">, and reply comments </w:t>
      </w:r>
      <w:r w:rsidRPr="006F586C">
        <w:rPr>
          <w:b/>
          <w:szCs w:val="22"/>
        </w:rPr>
        <w:t xml:space="preserve">on or before </w:t>
      </w:r>
      <w:r w:rsidR="00F03389">
        <w:rPr>
          <w:b/>
          <w:szCs w:val="22"/>
        </w:rPr>
        <w:t>April 7</w:t>
      </w:r>
      <w:r w:rsidRPr="006F586C">
        <w:rPr>
          <w:b/>
          <w:szCs w:val="22"/>
        </w:rPr>
        <w:t>, 202</w:t>
      </w:r>
      <w:r w:rsidR="00F03389">
        <w:rPr>
          <w:b/>
          <w:szCs w:val="22"/>
        </w:rPr>
        <w:t>2</w:t>
      </w:r>
      <w:r w:rsidRPr="006F586C">
        <w:rPr>
          <w:szCs w:val="22"/>
        </w:rPr>
        <w:t>.</w:t>
      </w:r>
      <w:r w:rsidRPr="00CB2908">
        <w:rPr>
          <w:szCs w:val="22"/>
        </w:rPr>
        <w:t xml:space="preserve">  </w:t>
      </w:r>
      <w:r w:rsidRPr="00EC66CA" w:rsidR="008D79D6">
        <w:rPr>
          <w:szCs w:val="22"/>
        </w:rPr>
        <w:t>Comments may be filed using the Commission’s Electronic Comment Filing System (ECFS) or by paper.  </w:t>
      </w:r>
    </w:p>
    <w:p w:rsidR="00332884" w:rsidP="00332884" w14:paraId="625214AF"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9" w:history="1">
        <w:r w:rsidRPr="00EC66CA">
          <w:rPr>
            <w:rStyle w:val="Hyperlink"/>
            <w:szCs w:val="22"/>
          </w:rPr>
          <w:t>http://apps.fcc.gov/ecfs/</w:t>
        </w:r>
      </w:hyperlink>
      <w:r w:rsidR="00CF7885">
        <w:rPr>
          <w:rStyle w:val="Hyperlink"/>
          <w:szCs w:val="22"/>
        </w:rPr>
        <w:t xml:space="preserve"> </w:t>
      </w:r>
      <w:r w:rsidR="00E2075B">
        <w:rPr>
          <w:szCs w:val="22"/>
        </w:rPr>
        <w:t>.</w:t>
      </w:r>
    </w:p>
    <w:p w:rsidR="00332884" w:rsidRPr="00EC66CA" w:rsidP="00332884" w14:paraId="01F06D12" w14:textId="77777777">
      <w:pPr>
        <w:autoSpaceDE w:val="0"/>
        <w:autoSpaceDN w:val="0"/>
        <w:adjustRightInd w:val="0"/>
        <w:ind w:left="720"/>
        <w:rPr>
          <w:szCs w:val="22"/>
        </w:rPr>
      </w:pPr>
    </w:p>
    <w:p w:rsidR="00332884" w:rsidP="00332884" w14:paraId="7F9509CD"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32884" w:rsidRPr="004D7912" w:rsidP="00332884" w14:paraId="13A5FB82" w14:textId="77777777">
      <w:pPr>
        <w:autoSpaceDE w:val="0"/>
        <w:autoSpaceDN w:val="0"/>
        <w:adjustRightInd w:val="0"/>
        <w:ind w:left="720"/>
        <w:rPr>
          <w:szCs w:val="22"/>
        </w:rPr>
      </w:pPr>
    </w:p>
    <w:p w:rsidR="00332884" w:rsidRPr="004D7912" w:rsidP="00332884" w14:paraId="61AE6259"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31"/>
      </w:r>
      <w:r w:rsidRPr="004D7912">
        <w:rPr>
          <w:szCs w:val="22"/>
        </w:rPr>
        <w:t xml:space="preserve">  All filings must be addressed to the Commission’s Secretary, Office of the Secretary, Federal Communications Commission.</w:t>
      </w:r>
    </w:p>
    <w:p w:rsidR="00332884" w:rsidRPr="0011311D" w14:paraId="79FFCC0B"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sidR="0011311D">
        <w:rPr>
          <w:szCs w:val="22"/>
        </w:rPr>
        <w:t xml:space="preserve">  </w:t>
      </w:r>
      <w:r w:rsidRPr="0011311D" w:rsidR="0011311D">
        <w:rPr>
          <w:szCs w:val="22"/>
        </w:rPr>
        <w:t>U.S. Postal Service first-class, Express, and Priority mail must be addressed to 45 L Street, NE, Washington, DC 20554.</w:t>
      </w:r>
    </w:p>
    <w:p w:rsidR="00910140" w:rsidRPr="0075291B" w:rsidP="006F586C" w14:paraId="6543A86C" w14:textId="77777777">
      <w:pPr>
        <w:autoSpaceDE w:val="0"/>
        <w:autoSpaceDN w:val="0"/>
        <w:adjustRightInd w:val="0"/>
        <w:rPr>
          <w:szCs w:val="22"/>
        </w:rPr>
      </w:pPr>
    </w:p>
    <w:p w:rsidR="00C86D25" w:rsidP="00C86D25" w14:paraId="6FA11CC2"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0" w:tgtFrame="_blank" w:history="1">
        <w:r w:rsidRPr="009B1CCF">
          <w:rPr>
            <w:rStyle w:val="Hyperlink"/>
            <w:szCs w:val="22"/>
          </w:rPr>
          <w:t>fcc504@fcc.gov</w:t>
        </w:r>
      </w:hyperlink>
      <w:r w:rsidRPr="009B1CCF">
        <w:rPr>
          <w:szCs w:val="22"/>
        </w:rPr>
        <w:t> or call the Consumer and Governmental Affairs Bureau at (202) 418-0530.</w:t>
      </w:r>
    </w:p>
    <w:p w:rsidR="00332884" w:rsidRPr="00EC66CA" w:rsidP="00332884" w14:paraId="12D94367" w14:textId="77777777">
      <w:pPr>
        <w:autoSpaceDE w:val="0"/>
        <w:autoSpaceDN w:val="0"/>
        <w:adjustRightInd w:val="0"/>
        <w:ind w:firstLine="720"/>
        <w:rPr>
          <w:b/>
          <w:szCs w:val="22"/>
        </w:rPr>
      </w:pPr>
    </w:p>
    <w:p w:rsidR="00332884" w:rsidRPr="00EC66CA" w:rsidP="00332884" w14:paraId="33FB82E3" w14:textId="77777777">
      <w:pPr>
        <w:autoSpaceDE w:val="0"/>
        <w:autoSpaceDN w:val="0"/>
        <w:adjustRightInd w:val="0"/>
        <w:ind w:firstLine="720"/>
        <w:rPr>
          <w:b/>
          <w:szCs w:val="22"/>
        </w:rPr>
      </w:pPr>
      <w:r w:rsidRPr="00EC66CA">
        <w:rPr>
          <w:b/>
          <w:szCs w:val="22"/>
        </w:rPr>
        <w:t>In addition, e-mail one copy of each pleading to each of the following:</w:t>
      </w:r>
    </w:p>
    <w:p w:rsidR="00332884" w:rsidRPr="00EC66CA" w:rsidP="00332884" w14:paraId="52D90858" w14:textId="77777777">
      <w:pPr>
        <w:autoSpaceDE w:val="0"/>
        <w:autoSpaceDN w:val="0"/>
        <w:adjustRightInd w:val="0"/>
        <w:ind w:firstLine="720"/>
        <w:rPr>
          <w:b/>
          <w:szCs w:val="22"/>
        </w:rPr>
      </w:pPr>
    </w:p>
    <w:p w:rsidR="000A3BF0" w:rsidRPr="000A3BF0" w:rsidP="000A3BF0" w14:paraId="6B21F58D" w14:textId="42885C64">
      <w:pPr>
        <w:numPr>
          <w:ilvl w:val="0"/>
          <w:numId w:val="18"/>
        </w:numPr>
        <w:autoSpaceDE w:val="0"/>
        <w:autoSpaceDN w:val="0"/>
        <w:adjustRightInd w:val="0"/>
        <w:spacing w:after="220"/>
        <w:rPr>
          <w:szCs w:val="22"/>
        </w:rPr>
      </w:pPr>
      <w:r>
        <w:rPr>
          <w:szCs w:val="22"/>
        </w:rPr>
        <w:t>Myrva Charles</w:t>
      </w:r>
      <w:r w:rsidRPr="000A3BF0" w:rsidR="00830743">
        <w:rPr>
          <w:szCs w:val="22"/>
        </w:rPr>
        <w:t xml:space="preserve">, Competition Policy Division, Wireline Competition Bureau, </w:t>
      </w:r>
      <w:hyperlink r:id="rId11" w:history="1">
        <w:r w:rsidRPr="00A20E22">
          <w:rPr>
            <w:rStyle w:val="Hyperlink"/>
            <w:szCs w:val="22"/>
          </w:rPr>
          <w:t>myrva.charles@fcc.gov</w:t>
        </w:r>
      </w:hyperlink>
      <w:r w:rsidRPr="000A3BF0" w:rsidR="00830743">
        <w:rPr>
          <w:szCs w:val="22"/>
        </w:rPr>
        <w:t>;</w:t>
      </w:r>
    </w:p>
    <w:p w:rsidR="000A3BF0" w:rsidP="000A3BF0" w14:paraId="10D61D68" w14:textId="2EE7D264">
      <w:pPr>
        <w:numPr>
          <w:ilvl w:val="0"/>
          <w:numId w:val="18"/>
        </w:numPr>
        <w:autoSpaceDE w:val="0"/>
        <w:autoSpaceDN w:val="0"/>
        <w:adjustRightInd w:val="0"/>
        <w:spacing w:after="220"/>
        <w:rPr>
          <w:szCs w:val="22"/>
        </w:rPr>
      </w:pPr>
      <w:r>
        <w:rPr>
          <w:szCs w:val="22"/>
        </w:rPr>
        <w:t>Dennis Johnson</w:t>
      </w:r>
      <w:r w:rsidRPr="000A3BF0" w:rsidR="00830743">
        <w:rPr>
          <w:szCs w:val="22"/>
        </w:rPr>
        <w:t>, Competition Policy Divisio</w:t>
      </w:r>
      <w:r w:rsidR="009409DD">
        <w:rPr>
          <w:szCs w:val="22"/>
        </w:rPr>
        <w:t xml:space="preserve">n, Wireline Competition Bureau, </w:t>
      </w:r>
      <w:hyperlink r:id="rId12" w:history="1">
        <w:r w:rsidRPr="00A20E22">
          <w:rPr>
            <w:rStyle w:val="Hyperlink"/>
            <w:szCs w:val="22"/>
          </w:rPr>
          <w:t>dennis.johnson@fcc.gov</w:t>
        </w:r>
      </w:hyperlink>
      <w:r w:rsidRPr="000A3BF0" w:rsidR="00830743">
        <w:rPr>
          <w:szCs w:val="22"/>
        </w:rPr>
        <w:t>;</w:t>
      </w:r>
      <w:r w:rsidR="00BF291C">
        <w:rPr>
          <w:szCs w:val="22"/>
        </w:rPr>
        <w:t xml:space="preserve"> </w:t>
      </w:r>
      <w:r w:rsidR="00A23A09">
        <w:rPr>
          <w:szCs w:val="22"/>
        </w:rPr>
        <w:t>and</w:t>
      </w:r>
    </w:p>
    <w:p w:rsidR="00332884" w:rsidP="000A3BF0" w14:paraId="0132E9F0" w14:textId="394465AA">
      <w:pPr>
        <w:numPr>
          <w:ilvl w:val="0"/>
          <w:numId w:val="18"/>
        </w:numPr>
        <w:autoSpaceDE w:val="0"/>
        <w:autoSpaceDN w:val="0"/>
        <w:adjustRightInd w:val="0"/>
        <w:spacing w:after="220"/>
        <w:rPr>
          <w:szCs w:val="22"/>
        </w:rPr>
      </w:pPr>
      <w:r w:rsidRPr="000A3BF0">
        <w:rPr>
          <w:szCs w:val="22"/>
        </w:rPr>
        <w:t xml:space="preserve">Jim Bird, Office of General Counsel, </w:t>
      </w:r>
      <w:hyperlink r:id="rId13" w:history="1">
        <w:r w:rsidRPr="000A3BF0">
          <w:rPr>
            <w:rStyle w:val="Hyperlink"/>
            <w:szCs w:val="22"/>
          </w:rPr>
          <w:t>jim.bird@fcc.gov</w:t>
        </w:r>
      </w:hyperlink>
      <w:r w:rsidR="00A23A09">
        <w:rPr>
          <w:rStyle w:val="Hyperlink"/>
          <w:szCs w:val="22"/>
        </w:rPr>
        <w:t>.</w:t>
      </w:r>
    </w:p>
    <w:p w:rsidR="00332884" w:rsidRPr="00EC66CA" w:rsidP="00332884" w14:paraId="194556C9"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332884" w:rsidRPr="00EB5F81" w:rsidP="00332884" w14:paraId="141F1226"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32"/>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32884" w:rsidRPr="006B7F06" w:rsidP="00332884" w14:paraId="0707F278" w14:textId="0E194C9F">
      <w:pPr>
        <w:autoSpaceDE w:val="0"/>
        <w:autoSpaceDN w:val="0"/>
        <w:adjustRightInd w:val="0"/>
        <w:spacing w:after="120"/>
        <w:ind w:firstLine="720"/>
        <w:rPr>
          <w:szCs w:val="22"/>
        </w:rPr>
      </w:pPr>
      <w:r w:rsidRPr="009753C0">
        <w:rPr>
          <w:szCs w:val="22"/>
        </w:rPr>
        <w:t xml:space="preserve">For further information, please contact </w:t>
      </w:r>
      <w:r w:rsidR="00E24E81">
        <w:rPr>
          <w:szCs w:val="22"/>
        </w:rPr>
        <w:t>Myrva Charles</w:t>
      </w:r>
      <w:r w:rsidRPr="009753C0">
        <w:rPr>
          <w:szCs w:val="22"/>
        </w:rPr>
        <w:t xml:space="preserve"> at (202) 418-1</w:t>
      </w:r>
      <w:r w:rsidR="00E24E81">
        <w:rPr>
          <w:szCs w:val="22"/>
        </w:rPr>
        <w:t>506</w:t>
      </w:r>
      <w:r w:rsidRPr="009753C0">
        <w:rPr>
          <w:szCs w:val="22"/>
        </w:rPr>
        <w:t xml:space="preserve"> or </w:t>
      </w:r>
      <w:r w:rsidR="00E24E81">
        <w:rPr>
          <w:szCs w:val="22"/>
        </w:rPr>
        <w:t>Dennis Johnson</w:t>
      </w:r>
      <w:r w:rsidR="00F12D7D">
        <w:rPr>
          <w:szCs w:val="22"/>
        </w:rPr>
        <w:t xml:space="preserve"> </w:t>
      </w:r>
      <w:r w:rsidR="00541FF2">
        <w:rPr>
          <w:szCs w:val="22"/>
        </w:rPr>
        <w:t xml:space="preserve">at </w:t>
      </w:r>
      <w:r w:rsidR="005C5165">
        <w:rPr>
          <w:szCs w:val="22"/>
        </w:rPr>
        <w:t>(202) 418-</w:t>
      </w:r>
      <w:r w:rsidR="00E24E81">
        <w:rPr>
          <w:szCs w:val="22"/>
        </w:rPr>
        <w:t>0809</w:t>
      </w:r>
      <w:r w:rsidR="007C3551">
        <w:rPr>
          <w:szCs w:val="22"/>
        </w:rPr>
        <w:t>, Wireline Competition Bureau</w:t>
      </w:r>
      <w:r w:rsidR="00BF291C">
        <w:rPr>
          <w:szCs w:val="22"/>
        </w:rPr>
        <w:t>.</w:t>
      </w:r>
    </w:p>
    <w:p w:rsidR="00332884" w:rsidRPr="008C564D" w:rsidP="00332884" w14:paraId="56ED9955" w14:textId="77777777">
      <w:pPr>
        <w:autoSpaceDE w:val="0"/>
        <w:autoSpaceDN w:val="0"/>
        <w:adjustRightInd w:val="0"/>
        <w:rPr>
          <w:szCs w:val="22"/>
        </w:rPr>
      </w:pPr>
    </w:p>
    <w:p w:rsidR="00CF704F" w:rsidP="00AD45FC" w14:paraId="742028C1" w14:textId="77777777">
      <w:pPr>
        <w:autoSpaceDE w:val="0"/>
        <w:autoSpaceDN w:val="0"/>
        <w:adjustRightInd w:val="0"/>
        <w:jc w:val="center"/>
        <w:rPr>
          <w:b/>
          <w:szCs w:val="22"/>
        </w:rPr>
      </w:pPr>
      <w:r>
        <w:rPr>
          <w:b/>
          <w:szCs w:val="22"/>
        </w:rPr>
        <w:t>-FCC-</w:t>
      </w:r>
    </w:p>
    <w:tbl>
      <w:tblPr>
        <w:tblW w:w="9744" w:type="dxa"/>
        <w:tblLook w:val="01E0"/>
      </w:tblPr>
      <w:tblGrid>
        <w:gridCol w:w="2882"/>
        <w:gridCol w:w="3890"/>
        <w:gridCol w:w="2972"/>
      </w:tblGrid>
      <w:tr w14:paraId="2BB7A4E4" w14:textId="77777777" w:rsidTr="00712888">
        <w:tblPrEx>
          <w:tblW w:w="9744" w:type="dxa"/>
          <w:tblLook w:val="01E0"/>
        </w:tblPrEx>
        <w:trPr>
          <w:trHeight w:val="297"/>
        </w:trPr>
        <w:tc>
          <w:tcPr>
            <w:tcW w:w="2882" w:type="dxa"/>
          </w:tcPr>
          <w:p w:rsidR="00CF704F" w:rsidRPr="0022664E" w:rsidP="00712888" w14:paraId="10C87897" w14:textId="77777777">
            <w:pPr>
              <w:rPr>
                <w:color w:val="000000"/>
                <w:szCs w:val="22"/>
              </w:rPr>
            </w:pPr>
            <w:r w:rsidRPr="00B62EDB">
              <w:rPr>
                <w:color w:val="000000"/>
                <w:szCs w:val="22"/>
              </w:rPr>
              <w:t xml:space="preserve"> </w:t>
            </w:r>
          </w:p>
        </w:tc>
        <w:tc>
          <w:tcPr>
            <w:tcW w:w="3890" w:type="dxa"/>
          </w:tcPr>
          <w:p w:rsidR="00CF704F" w:rsidRPr="0022664E" w:rsidP="00712888" w14:paraId="75C6F1B9" w14:textId="77777777">
            <w:pPr>
              <w:rPr>
                <w:color w:val="000000"/>
                <w:szCs w:val="22"/>
              </w:rPr>
            </w:pPr>
          </w:p>
        </w:tc>
        <w:tc>
          <w:tcPr>
            <w:tcW w:w="2972" w:type="dxa"/>
          </w:tcPr>
          <w:p w:rsidR="00CF704F" w:rsidRPr="0022664E" w:rsidP="00712888" w14:paraId="6C34413D" w14:textId="77777777">
            <w:pPr>
              <w:rPr>
                <w:color w:val="000000"/>
                <w:szCs w:val="22"/>
              </w:rPr>
            </w:pPr>
          </w:p>
        </w:tc>
      </w:tr>
    </w:tbl>
    <w:p w:rsidR="00CF704F" w:rsidRPr="0022664E" w:rsidP="005C680F" w14:paraId="3F3D8FAD" w14:textId="77777777">
      <w:pPr>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184A874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61DF1" w14:paraId="7E354F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362F49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1DF1" w14:paraId="4F2061C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2867BCD2" w14:textId="77777777">
    <w:pPr>
      <w:pStyle w:val="Footer"/>
      <w:jc w:val="center"/>
    </w:pPr>
    <w:r>
      <w:fldChar w:fldCharType="begin"/>
    </w:r>
    <w:r>
      <w:instrText xml:space="preserve"> PAGE   \* MERGEFORMAT </w:instrText>
    </w:r>
    <w:r>
      <w:fldChar w:fldCharType="separate"/>
    </w:r>
    <w:r w:rsidR="00CB0C66">
      <w:rPr>
        <w:noProof/>
      </w:rPr>
      <w:t>1</w:t>
    </w:r>
    <w:r>
      <w:rPr>
        <w:noProof/>
      </w:rPr>
      <w:fldChar w:fldCharType="end"/>
    </w:r>
  </w:p>
  <w:p w:rsidR="00361DF1" w14:paraId="2EC37C6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4102EEF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CB0C6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6BB5" w14:paraId="59AC1F19" w14:textId="77777777">
      <w:r>
        <w:separator/>
      </w:r>
    </w:p>
  </w:footnote>
  <w:footnote w:type="continuationSeparator" w:id="1">
    <w:p w:rsidR="00116BB5" w14:paraId="039DB519" w14:textId="77777777">
      <w:r>
        <w:continuationSeparator/>
      </w:r>
    </w:p>
  </w:footnote>
  <w:footnote w:type="continuationNotice" w:id="2">
    <w:p w:rsidR="00116BB5" w14:paraId="32F175CF" w14:textId="77777777"/>
  </w:footnote>
  <w:footnote w:id="3">
    <w:p w:rsidR="00361DF1" w:rsidRPr="00BD156B" w:rsidP="00595ECF" w14:paraId="565A0A3D" w14:textId="4A9A9DBE">
      <w:pPr>
        <w:pStyle w:val="FootnoteText"/>
        <w:spacing w:after="120"/>
        <w:rPr>
          <w:sz w:val="20"/>
        </w:rPr>
      </w:pPr>
      <w:r w:rsidRPr="00BD156B">
        <w:rPr>
          <w:rStyle w:val="FootnoteReference"/>
          <w:sz w:val="20"/>
        </w:rPr>
        <w:footnoteRef/>
      </w:r>
      <w:r w:rsidRPr="00BD156B">
        <w:rPr>
          <w:sz w:val="20"/>
        </w:rPr>
        <w:t xml:space="preserve"> </w:t>
      </w:r>
      <w:r w:rsidRPr="00BD156B">
        <w:rPr>
          <w:i/>
          <w:sz w:val="20"/>
        </w:rPr>
        <w:t xml:space="preserve">See </w:t>
      </w:r>
      <w:r w:rsidRPr="00BD156B" w:rsidR="0005438B">
        <w:rPr>
          <w:sz w:val="20"/>
        </w:rPr>
        <w:t>Domestic</w:t>
      </w:r>
      <w:r w:rsidRPr="00BD156B">
        <w:rPr>
          <w:sz w:val="20"/>
        </w:rPr>
        <w:t xml:space="preserve"> </w:t>
      </w:r>
      <w:r w:rsidRPr="00BD156B" w:rsidR="0005438B">
        <w:rPr>
          <w:sz w:val="20"/>
        </w:rPr>
        <w:t xml:space="preserve">Section 214 </w:t>
      </w:r>
      <w:r w:rsidRPr="00BD156B">
        <w:rPr>
          <w:sz w:val="20"/>
        </w:rPr>
        <w:t xml:space="preserve">Application of </w:t>
      </w:r>
      <w:bookmarkStart w:id="6" w:name="_Hlk97565758"/>
      <w:r w:rsidRPr="00BD156B" w:rsidR="0049797A">
        <w:rPr>
          <w:sz w:val="20"/>
        </w:rPr>
        <w:t>Redwire, Inc</w:t>
      </w:r>
      <w:bookmarkEnd w:id="6"/>
      <w:r w:rsidRPr="00BD156B" w:rsidR="0049797A">
        <w:rPr>
          <w:sz w:val="20"/>
        </w:rPr>
        <w:t>.</w:t>
      </w:r>
      <w:r w:rsidRPr="00BD156B">
        <w:rPr>
          <w:sz w:val="20"/>
        </w:rPr>
        <w:t xml:space="preserve">, </w:t>
      </w:r>
      <w:r w:rsidRPr="00BD156B" w:rsidR="0005438B">
        <w:rPr>
          <w:sz w:val="20"/>
        </w:rPr>
        <w:t>Assignor</w:t>
      </w:r>
      <w:r w:rsidRPr="00BD156B">
        <w:rPr>
          <w:sz w:val="20"/>
        </w:rPr>
        <w:t xml:space="preserve">, and </w:t>
      </w:r>
      <w:r w:rsidRPr="00BD156B" w:rsidR="0005438B">
        <w:rPr>
          <w:sz w:val="20"/>
        </w:rPr>
        <w:t>AtLink Services, LLC</w:t>
      </w:r>
      <w:r w:rsidRPr="00BD156B">
        <w:rPr>
          <w:sz w:val="20"/>
        </w:rPr>
        <w:t xml:space="preserve">, </w:t>
      </w:r>
      <w:r w:rsidRPr="00BD156B" w:rsidR="0005438B">
        <w:rPr>
          <w:sz w:val="20"/>
        </w:rPr>
        <w:t>Assignee</w:t>
      </w:r>
      <w:r w:rsidRPr="00BD156B">
        <w:rPr>
          <w:sz w:val="20"/>
        </w:rPr>
        <w:t xml:space="preserve">, For Consent </w:t>
      </w:r>
      <w:r w:rsidRPr="00BD156B" w:rsidR="0005438B">
        <w:rPr>
          <w:sz w:val="20"/>
        </w:rPr>
        <w:t xml:space="preserve">for the Assignment of Certain Assets of </w:t>
      </w:r>
      <w:r w:rsidRPr="00BD156B" w:rsidR="0049797A">
        <w:rPr>
          <w:sz w:val="20"/>
        </w:rPr>
        <w:t>Redwire, Inc.</w:t>
      </w:r>
      <w:r w:rsidRPr="00BD156B" w:rsidR="0005438B">
        <w:rPr>
          <w:sz w:val="20"/>
        </w:rPr>
        <w:t xml:space="preserve"> to AtLink Services, LLC</w:t>
      </w:r>
      <w:r w:rsidR="00AE3EE2">
        <w:rPr>
          <w:sz w:val="20"/>
        </w:rPr>
        <w:t xml:space="preserve"> </w:t>
      </w:r>
      <w:r w:rsidRPr="00BD156B">
        <w:rPr>
          <w:sz w:val="20"/>
        </w:rPr>
        <w:t>Pursuant to Section 214 of the Communications Act of 1934, as Amended, WC Docket No. 2</w:t>
      </w:r>
      <w:r w:rsidRPr="00BD156B" w:rsidR="0049797A">
        <w:rPr>
          <w:sz w:val="20"/>
        </w:rPr>
        <w:t>2</w:t>
      </w:r>
      <w:r w:rsidRPr="00BD156B">
        <w:rPr>
          <w:sz w:val="20"/>
        </w:rPr>
        <w:t>-</w:t>
      </w:r>
      <w:r w:rsidRPr="00BD156B" w:rsidR="0049797A">
        <w:rPr>
          <w:sz w:val="20"/>
        </w:rPr>
        <w:t>55</w:t>
      </w:r>
      <w:r w:rsidRPr="00BD156B">
        <w:rPr>
          <w:sz w:val="20"/>
        </w:rPr>
        <w:t xml:space="preserve"> (filed </w:t>
      </w:r>
      <w:r w:rsidRPr="00BD156B" w:rsidR="0049797A">
        <w:rPr>
          <w:sz w:val="20"/>
        </w:rPr>
        <w:t>Jan</w:t>
      </w:r>
      <w:r w:rsidRPr="00BD156B">
        <w:rPr>
          <w:sz w:val="20"/>
        </w:rPr>
        <w:t xml:space="preserve">. </w:t>
      </w:r>
      <w:r w:rsidRPr="00BD156B" w:rsidR="0049797A">
        <w:rPr>
          <w:sz w:val="20"/>
        </w:rPr>
        <w:t>31</w:t>
      </w:r>
      <w:r w:rsidRPr="00BD156B">
        <w:rPr>
          <w:sz w:val="20"/>
        </w:rPr>
        <w:t>, 202</w:t>
      </w:r>
      <w:r w:rsidRPr="00BD156B" w:rsidR="0049797A">
        <w:rPr>
          <w:sz w:val="20"/>
        </w:rPr>
        <w:t>2</w:t>
      </w:r>
      <w:r w:rsidRPr="00BD156B" w:rsidR="0005438B">
        <w:rPr>
          <w:sz w:val="20"/>
        </w:rPr>
        <w:t>)</w:t>
      </w:r>
      <w:r w:rsidRPr="00BD156B" w:rsidR="008F2C68">
        <w:rPr>
          <w:sz w:val="20"/>
        </w:rPr>
        <w:t xml:space="preserve">, </w:t>
      </w:r>
      <w:hyperlink r:id="rId1" w:history="1">
        <w:r w:rsidRPr="00BD156B" w:rsidR="0049797A">
          <w:rPr>
            <w:rStyle w:val="Hyperlink"/>
            <w:sz w:val="20"/>
          </w:rPr>
          <w:t>https://ecfsapi.fcc.gov/file/10131299931816/Redwire%20214%20Application.pdf</w:t>
        </w:r>
      </w:hyperlink>
      <w:r w:rsidRPr="00BD156B" w:rsidR="0049797A">
        <w:rPr>
          <w:sz w:val="20"/>
        </w:rPr>
        <w:t xml:space="preserve"> </w:t>
      </w:r>
      <w:r w:rsidRPr="00BD156B">
        <w:rPr>
          <w:sz w:val="20"/>
        </w:rPr>
        <w:t>(Application).</w:t>
      </w:r>
      <w:r w:rsidRPr="00BD156B" w:rsidR="004957D5">
        <w:rPr>
          <w:sz w:val="20"/>
        </w:rPr>
        <w:t xml:space="preserve">  Applicants filed a supplement to their Application on March </w:t>
      </w:r>
      <w:r w:rsidR="00F32821">
        <w:rPr>
          <w:sz w:val="20"/>
        </w:rPr>
        <w:t>9</w:t>
      </w:r>
      <w:r w:rsidRPr="00BD156B" w:rsidR="004957D5">
        <w:rPr>
          <w:sz w:val="20"/>
        </w:rPr>
        <w:t xml:space="preserve">, 2022.  Letter from Stephen E. Coran, Counsel to Applicants, to Marlene H. Dortch, Secretary, FCC, WC Docket No. 22-55 (filed Mar. </w:t>
      </w:r>
      <w:r w:rsidRPr="00BD156B" w:rsidR="00831BC8">
        <w:rPr>
          <w:sz w:val="20"/>
        </w:rPr>
        <w:t>9</w:t>
      </w:r>
      <w:r w:rsidRPr="00BD156B" w:rsidR="004957D5">
        <w:rPr>
          <w:sz w:val="20"/>
        </w:rPr>
        <w:t>, 2022) (Supplement).</w:t>
      </w:r>
    </w:p>
  </w:footnote>
  <w:footnote w:id="4">
    <w:p w:rsidR="006C1B95" w:rsidRPr="00BD156B" w:rsidP="00AE3EE2" w14:paraId="780FA2FB" w14:textId="7E9EC79C">
      <w:pPr>
        <w:pStyle w:val="FootnoteText"/>
        <w:spacing w:after="120"/>
        <w:rPr>
          <w:sz w:val="20"/>
        </w:rPr>
      </w:pPr>
      <w:r w:rsidRPr="00BD156B">
        <w:rPr>
          <w:rStyle w:val="FootnoteReference"/>
          <w:sz w:val="20"/>
        </w:rPr>
        <w:footnoteRef/>
      </w:r>
      <w:r w:rsidRPr="00BD156B">
        <w:rPr>
          <w:sz w:val="20"/>
        </w:rPr>
        <w:t xml:space="preserve"> </w:t>
      </w:r>
      <w:r w:rsidRPr="00BD156B">
        <w:rPr>
          <w:i/>
          <w:iCs/>
          <w:sz w:val="20"/>
        </w:rPr>
        <w:t>See</w:t>
      </w:r>
      <w:r w:rsidRPr="00BD156B">
        <w:rPr>
          <w:sz w:val="20"/>
        </w:rPr>
        <w:t xml:space="preserve"> Application at Exh</w:t>
      </w:r>
      <w:r w:rsidR="00AE3EE2">
        <w:rPr>
          <w:sz w:val="20"/>
        </w:rPr>
        <w:t>.</w:t>
      </w:r>
      <w:r w:rsidRPr="00BD156B">
        <w:rPr>
          <w:sz w:val="20"/>
        </w:rPr>
        <w:t>1 (Assigned Census Blocks) and Exh</w:t>
      </w:r>
      <w:r w:rsidR="00AE3EE2">
        <w:rPr>
          <w:sz w:val="20"/>
        </w:rPr>
        <w:t>.</w:t>
      </w:r>
      <w:r w:rsidRPr="00BD156B">
        <w:rPr>
          <w:sz w:val="20"/>
        </w:rPr>
        <w:t xml:space="preserve"> 2 (Legend and Map).</w:t>
      </w:r>
    </w:p>
  </w:footnote>
  <w:footnote w:id="5">
    <w:p w:rsidR="00361DF1" w:rsidRPr="00BD156B" w:rsidP="00595ECF" w14:paraId="7480F2C3" w14:textId="7BDAD28C">
      <w:pPr>
        <w:spacing w:after="120"/>
        <w:rPr>
          <w:sz w:val="20"/>
        </w:rPr>
      </w:pPr>
      <w:r w:rsidRPr="00BD156B">
        <w:rPr>
          <w:rStyle w:val="FootnoteReference"/>
          <w:sz w:val="20"/>
        </w:rPr>
        <w:footnoteRef/>
      </w:r>
      <w:r w:rsidRPr="00BD156B">
        <w:rPr>
          <w:sz w:val="20"/>
        </w:rPr>
        <w:t xml:space="preserve"> </w:t>
      </w:r>
      <w:r w:rsidRPr="00BD156B">
        <w:rPr>
          <w:i/>
          <w:sz w:val="20"/>
        </w:rPr>
        <w:t>See</w:t>
      </w:r>
      <w:r w:rsidRPr="00BD156B">
        <w:rPr>
          <w:sz w:val="20"/>
        </w:rPr>
        <w:t xml:space="preserve"> 47 U.S.C. § 214; 47 CFR §§ 63.03-04.  Any action on this </w:t>
      </w:r>
      <w:r w:rsidRPr="00BD156B" w:rsidR="00F56F5E">
        <w:rPr>
          <w:sz w:val="20"/>
        </w:rPr>
        <w:t xml:space="preserve">domestic </w:t>
      </w:r>
      <w:r w:rsidRPr="00BD156B">
        <w:rPr>
          <w:sz w:val="20"/>
        </w:rPr>
        <w:t>section 214 application is without prejudice to Commission action on other related, pending applications.</w:t>
      </w:r>
      <w:r w:rsidRPr="00BD156B" w:rsidR="00E55BDD">
        <w:rPr>
          <w:sz w:val="20"/>
        </w:rPr>
        <w:t xml:space="preserve">  </w:t>
      </w:r>
    </w:p>
  </w:footnote>
  <w:footnote w:id="6">
    <w:p w:rsidR="00E46A38" w:rsidRPr="00BD156B" w14:paraId="087209A8" w14:textId="0C5B4E72">
      <w:pPr>
        <w:pStyle w:val="FootnoteText"/>
        <w:rPr>
          <w:sz w:val="20"/>
        </w:rPr>
      </w:pPr>
      <w:r w:rsidRPr="00BD156B">
        <w:rPr>
          <w:rStyle w:val="FootnoteReference"/>
          <w:sz w:val="20"/>
        </w:rPr>
        <w:footnoteRef/>
      </w:r>
      <w:r w:rsidRPr="00BD156B">
        <w:rPr>
          <w:sz w:val="20"/>
        </w:rPr>
        <w:t xml:space="preserve"> Application at 9-13.</w:t>
      </w:r>
    </w:p>
  </w:footnote>
  <w:footnote w:id="7">
    <w:p w:rsidR="00E46A38" w:rsidRPr="00BD156B" w14:paraId="3DCA72B7" w14:textId="2CF1BB54">
      <w:pPr>
        <w:pStyle w:val="FootnoteText"/>
        <w:rPr>
          <w:sz w:val="20"/>
        </w:rPr>
      </w:pPr>
      <w:r w:rsidRPr="00BD156B">
        <w:rPr>
          <w:rStyle w:val="FootnoteReference"/>
          <w:sz w:val="20"/>
        </w:rPr>
        <w:footnoteRef/>
      </w:r>
      <w:r w:rsidRPr="00BD156B">
        <w:rPr>
          <w:sz w:val="20"/>
        </w:rPr>
        <w:t xml:space="preserve"> </w:t>
      </w:r>
      <w:r w:rsidRPr="00BD156B">
        <w:rPr>
          <w:i/>
          <w:iCs/>
          <w:sz w:val="20"/>
        </w:rPr>
        <w:t>Id.</w:t>
      </w:r>
      <w:r w:rsidRPr="00BD156B">
        <w:rPr>
          <w:sz w:val="20"/>
        </w:rPr>
        <w:t xml:space="preserve"> at 3. </w:t>
      </w:r>
    </w:p>
  </w:footnote>
  <w:footnote w:id="8">
    <w:p w:rsidR="00DB002B" w:rsidRPr="002D2BA1" w14:paraId="3A718DBA" w14:textId="2C5C9FAA">
      <w:pPr>
        <w:pStyle w:val="FootnoteText"/>
        <w:rPr>
          <w:sz w:val="20"/>
        </w:rPr>
      </w:pPr>
      <w:r w:rsidRPr="00BD156B">
        <w:rPr>
          <w:rStyle w:val="FootnoteReference"/>
          <w:sz w:val="20"/>
        </w:rPr>
        <w:footnoteRef/>
      </w:r>
      <w:r w:rsidRPr="00BD156B">
        <w:rPr>
          <w:sz w:val="20"/>
        </w:rPr>
        <w:t xml:space="preserve"> </w:t>
      </w:r>
      <w:r w:rsidRPr="00BD156B">
        <w:rPr>
          <w:i/>
          <w:iCs/>
          <w:sz w:val="20"/>
        </w:rPr>
        <w:t>Id.</w:t>
      </w:r>
      <w:r w:rsidRPr="00BD156B">
        <w:rPr>
          <w:sz w:val="20"/>
        </w:rPr>
        <w:t xml:space="preserve"> </w:t>
      </w:r>
      <w:r w:rsidRPr="0043241E">
        <w:rPr>
          <w:sz w:val="20"/>
        </w:rPr>
        <w:t xml:space="preserve">(citing </w:t>
      </w:r>
      <w:r w:rsidRPr="0043241E" w:rsidR="00F206FB">
        <w:rPr>
          <w:i/>
          <w:iCs/>
          <w:sz w:val="20"/>
        </w:rPr>
        <w:t>Connect America Fund Phase II Auction Support Aut</w:t>
      </w:r>
      <w:r w:rsidRPr="0043241E" w:rsidR="0043241E">
        <w:rPr>
          <w:i/>
          <w:iCs/>
          <w:sz w:val="20"/>
        </w:rPr>
        <w:t>h</w:t>
      </w:r>
      <w:r w:rsidRPr="0043241E" w:rsidR="00F206FB">
        <w:rPr>
          <w:i/>
          <w:iCs/>
          <w:sz w:val="20"/>
        </w:rPr>
        <w:t>orized for 169 Winning Bids</w:t>
      </w:r>
      <w:r w:rsidRPr="0043241E" w:rsidR="00F206FB">
        <w:rPr>
          <w:sz w:val="20"/>
        </w:rPr>
        <w:t xml:space="preserve">, </w:t>
      </w:r>
      <w:r w:rsidRPr="0043241E" w:rsidR="0043241E">
        <w:rPr>
          <w:sz w:val="20"/>
        </w:rPr>
        <w:t>Public Notice, 35 FCC Rcd 5849, 5851</w:t>
      </w:r>
      <w:r w:rsidR="005B0E6E">
        <w:rPr>
          <w:sz w:val="20"/>
        </w:rPr>
        <w:t>, 5855</w:t>
      </w:r>
      <w:r w:rsidRPr="0043241E" w:rsidR="0043241E">
        <w:rPr>
          <w:sz w:val="20"/>
        </w:rPr>
        <w:t xml:space="preserve"> (WCB 2020) (</w:t>
      </w:r>
      <w:r w:rsidRPr="0043241E">
        <w:rPr>
          <w:i/>
          <w:iCs/>
          <w:sz w:val="20"/>
        </w:rPr>
        <w:t>Redwire Authorization PN</w:t>
      </w:r>
      <w:r w:rsidRPr="0043241E" w:rsidR="0043241E">
        <w:rPr>
          <w:sz w:val="20"/>
        </w:rPr>
        <w:t>)</w:t>
      </w:r>
      <w:r w:rsidR="005B0E6E">
        <w:rPr>
          <w:sz w:val="20"/>
        </w:rPr>
        <w:t xml:space="preserve"> (stating that </w:t>
      </w:r>
      <w:r w:rsidR="00FF3343">
        <w:rPr>
          <w:sz w:val="20"/>
        </w:rPr>
        <w:t>eligible telecommunications carriers (</w:t>
      </w:r>
      <w:r w:rsidRPr="005B0E6E" w:rsidR="005B0E6E">
        <w:rPr>
          <w:color w:val="3D3D3D"/>
          <w:sz w:val="20"/>
          <w:shd w:val="clear" w:color="auto" w:fill="FFFFFF"/>
        </w:rPr>
        <w:t>ETCs</w:t>
      </w:r>
      <w:r w:rsidR="00FF3343">
        <w:rPr>
          <w:color w:val="3D3D3D"/>
          <w:sz w:val="20"/>
          <w:shd w:val="clear" w:color="auto" w:fill="FFFFFF"/>
        </w:rPr>
        <w:t>)</w:t>
      </w:r>
      <w:r w:rsidRPr="005B0E6E" w:rsidR="005B0E6E">
        <w:rPr>
          <w:color w:val="3D3D3D"/>
          <w:sz w:val="20"/>
          <w:shd w:val="clear" w:color="auto" w:fill="FFFFFF"/>
        </w:rPr>
        <w:t xml:space="preserve">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sidR="005B0E6E">
        <w:rPr>
          <w:color w:val="3D3D3D"/>
          <w:sz w:val="20"/>
          <w:shd w:val="clear" w:color="auto" w:fill="FFFFFF"/>
        </w:rPr>
        <w:t>)</w:t>
      </w:r>
      <w:r w:rsidR="005B0E6E">
        <w:rPr>
          <w:sz w:val="20"/>
        </w:rPr>
        <w:t xml:space="preserve">.  </w:t>
      </w:r>
      <w:r w:rsidR="00C9420B">
        <w:rPr>
          <w:sz w:val="20"/>
        </w:rPr>
        <w:t xml:space="preserve">Redwire is an </w:t>
      </w:r>
      <w:r w:rsidR="002D2BA1">
        <w:rPr>
          <w:sz w:val="20"/>
        </w:rPr>
        <w:t>ETC</w:t>
      </w:r>
      <w:r w:rsidR="00C9420B">
        <w:rPr>
          <w:sz w:val="20"/>
        </w:rPr>
        <w:t xml:space="preserve"> for the Assigned </w:t>
      </w:r>
      <w:r w:rsidR="002D2BA1">
        <w:rPr>
          <w:sz w:val="20"/>
        </w:rPr>
        <w:t>C</w:t>
      </w:r>
      <w:r w:rsidR="00C9420B">
        <w:rPr>
          <w:sz w:val="20"/>
        </w:rPr>
        <w:t xml:space="preserve">ensus Blocks.  </w:t>
      </w:r>
      <w:r w:rsidR="00263700">
        <w:rPr>
          <w:sz w:val="20"/>
        </w:rPr>
        <w:t>Application at 3</w:t>
      </w:r>
      <w:r w:rsidR="002D2BA1">
        <w:rPr>
          <w:sz w:val="20"/>
        </w:rPr>
        <w:t xml:space="preserve"> (citing Cause No. 201900009, Order No. 705772 (Oklahoma Corp Com’n) 2019)).</w:t>
      </w:r>
    </w:p>
  </w:footnote>
  <w:footnote w:id="9">
    <w:p w:rsidR="00E46A38" w:rsidRPr="00EF0465" w:rsidP="00AE3EE2" w14:paraId="4C9309C3" w14:textId="7AC67391">
      <w:pPr>
        <w:pStyle w:val="FootnoteText"/>
        <w:spacing w:after="120"/>
        <w:rPr>
          <w:sz w:val="20"/>
        </w:rPr>
      </w:pPr>
      <w:r w:rsidRPr="00BD156B">
        <w:rPr>
          <w:rStyle w:val="FootnoteReference"/>
          <w:sz w:val="20"/>
        </w:rPr>
        <w:footnoteRef/>
      </w:r>
      <w:r w:rsidRPr="00BD156B">
        <w:rPr>
          <w:sz w:val="20"/>
        </w:rPr>
        <w:t xml:space="preserve"> </w:t>
      </w:r>
      <w:r w:rsidR="00C9420B">
        <w:rPr>
          <w:sz w:val="20"/>
        </w:rPr>
        <w:t>Application at 3.</w:t>
      </w:r>
      <w:r w:rsidR="00EF0465">
        <w:rPr>
          <w:sz w:val="20"/>
        </w:rPr>
        <w:t xml:space="preserve"> </w:t>
      </w:r>
      <w:r w:rsidR="00680982">
        <w:rPr>
          <w:sz w:val="20"/>
        </w:rPr>
        <w:t xml:space="preserve"> </w:t>
      </w:r>
      <w:r w:rsidRPr="00EF0465" w:rsidR="00EF0465">
        <w:rPr>
          <w:sz w:val="20"/>
        </w:rPr>
        <w:t>Redwire received support for one year</w:t>
      </w:r>
      <w:r w:rsidR="00680982">
        <w:rPr>
          <w:sz w:val="20"/>
        </w:rPr>
        <w:t xml:space="preserve">, and </w:t>
      </w:r>
      <w:r w:rsidRPr="00E07152" w:rsidR="00680982">
        <w:rPr>
          <w:sz w:val="20"/>
        </w:rPr>
        <w:t>the</w:t>
      </w:r>
      <w:r w:rsidRPr="00E07152" w:rsidR="00EF0465">
        <w:rPr>
          <w:sz w:val="20"/>
        </w:rPr>
        <w:t xml:space="preserve"> Bureau </w:t>
      </w:r>
      <w:r w:rsidRPr="00E07152" w:rsidR="00680982">
        <w:rPr>
          <w:sz w:val="20"/>
        </w:rPr>
        <w:t xml:space="preserve">has </w:t>
      </w:r>
      <w:r w:rsidRPr="00E07152" w:rsidR="00EF0465">
        <w:rPr>
          <w:sz w:val="20"/>
        </w:rPr>
        <w:t xml:space="preserve">suspended </w:t>
      </w:r>
      <w:r w:rsidRPr="00E07152" w:rsidR="00CC218C">
        <w:rPr>
          <w:sz w:val="20"/>
        </w:rPr>
        <w:t xml:space="preserve">further </w:t>
      </w:r>
      <w:r w:rsidRPr="00E07152" w:rsidR="00EF0465">
        <w:rPr>
          <w:sz w:val="20"/>
        </w:rPr>
        <w:t xml:space="preserve">support. </w:t>
      </w:r>
      <w:r w:rsidR="00E07152">
        <w:rPr>
          <w:i/>
          <w:iCs/>
          <w:sz w:val="20"/>
        </w:rPr>
        <w:t xml:space="preserve">See </w:t>
      </w:r>
      <w:r w:rsidRPr="00E07152" w:rsidR="005B0E6E">
        <w:rPr>
          <w:i/>
          <w:iCs/>
          <w:sz w:val="20"/>
        </w:rPr>
        <w:t>Connect America Fund</w:t>
      </w:r>
      <w:r w:rsidRPr="00E07152" w:rsidR="005B0E6E">
        <w:rPr>
          <w:sz w:val="20"/>
        </w:rPr>
        <w:t xml:space="preserve">, Order, </w:t>
      </w:r>
      <w:bookmarkStart w:id="7" w:name="_Hlk97824740"/>
      <w:r w:rsidRPr="00E07152" w:rsidR="005B0E6E">
        <w:rPr>
          <w:sz w:val="20"/>
        </w:rPr>
        <w:t>35 FCC Rcd 5844</w:t>
      </w:r>
      <w:r w:rsidRPr="00E07152" w:rsidR="00E07152">
        <w:rPr>
          <w:sz w:val="20"/>
        </w:rPr>
        <w:t xml:space="preserve"> (WCB 2020)</w:t>
      </w:r>
      <w:r w:rsidRPr="00E07152" w:rsidR="005B0E6E">
        <w:rPr>
          <w:sz w:val="20"/>
        </w:rPr>
        <w:t xml:space="preserve"> </w:t>
      </w:r>
      <w:bookmarkEnd w:id="7"/>
      <w:r w:rsidRPr="00E07152" w:rsidR="005B0E6E">
        <w:rPr>
          <w:sz w:val="20"/>
        </w:rPr>
        <w:t>(</w:t>
      </w:r>
      <w:r w:rsidRPr="00E07152" w:rsidR="005B0E6E">
        <w:rPr>
          <w:i/>
          <w:iCs/>
          <w:sz w:val="20"/>
        </w:rPr>
        <w:t>Redwire Waiver Order</w:t>
      </w:r>
      <w:r w:rsidRPr="00E07152" w:rsidR="005B0E6E">
        <w:rPr>
          <w:sz w:val="20"/>
        </w:rPr>
        <w:t>) (</w:t>
      </w:r>
      <w:r w:rsidRPr="00E07152" w:rsidR="00E07152">
        <w:rPr>
          <w:sz w:val="20"/>
        </w:rPr>
        <w:t xml:space="preserve">partially granting Redwire’s petition for waiver of the letter of credit </w:t>
      </w:r>
      <w:r w:rsidR="00E07152">
        <w:rPr>
          <w:sz w:val="20"/>
        </w:rPr>
        <w:t>requirements</w:t>
      </w:r>
      <w:r w:rsidRPr="00E07152" w:rsidR="00E07152">
        <w:rPr>
          <w:sz w:val="20"/>
        </w:rPr>
        <w:t xml:space="preserve"> to the Universal Service Administrative Company</w:t>
      </w:r>
      <w:r w:rsidR="00AE3EE2">
        <w:rPr>
          <w:sz w:val="20"/>
        </w:rPr>
        <w:t>,</w:t>
      </w:r>
      <w:r w:rsidRPr="00E07152" w:rsidR="00E07152">
        <w:rPr>
          <w:sz w:val="20"/>
        </w:rPr>
        <w:t xml:space="preserve"> and limiting the waiver to the first 12 months of Redwire’s support term);</w:t>
      </w:r>
      <w:r w:rsidRPr="00E07152" w:rsidR="005B0E6E">
        <w:rPr>
          <w:sz w:val="20"/>
        </w:rPr>
        <w:t xml:space="preserve"> </w:t>
      </w:r>
      <w:r w:rsidRPr="00E07152" w:rsidR="00EF0465">
        <w:rPr>
          <w:i/>
          <w:iCs/>
          <w:sz w:val="20"/>
        </w:rPr>
        <w:t>Connect America Fund</w:t>
      </w:r>
      <w:r w:rsidRPr="00E07152" w:rsidR="00CC218C">
        <w:rPr>
          <w:i/>
          <w:iCs/>
          <w:sz w:val="20"/>
        </w:rPr>
        <w:t>,</w:t>
      </w:r>
      <w:r w:rsidRPr="00E07152" w:rsidR="00EF0465">
        <w:rPr>
          <w:i/>
          <w:iCs/>
          <w:sz w:val="20"/>
        </w:rPr>
        <w:t xml:space="preserve"> Connect America Fund Phase II Auction</w:t>
      </w:r>
      <w:r w:rsidRPr="00E07152" w:rsidR="00EF0465">
        <w:rPr>
          <w:sz w:val="20"/>
        </w:rPr>
        <w:t>, WC Docket No. 10-90, AU Docket No. 17-182, Order, DA 21-1097</w:t>
      </w:r>
      <w:r w:rsidRPr="00E07152" w:rsidR="00986D53">
        <w:rPr>
          <w:sz w:val="20"/>
        </w:rPr>
        <w:t>, para. 5, 9-15</w:t>
      </w:r>
      <w:r w:rsidRPr="00E07152" w:rsidR="00EF0465">
        <w:rPr>
          <w:sz w:val="20"/>
        </w:rPr>
        <w:t xml:space="preserve"> (WCB 2021) </w:t>
      </w:r>
      <w:r w:rsidRPr="00E07152" w:rsidR="0024447E">
        <w:rPr>
          <w:sz w:val="20"/>
        </w:rPr>
        <w:t>(</w:t>
      </w:r>
      <w:r w:rsidRPr="00E07152" w:rsidR="0024447E">
        <w:rPr>
          <w:i/>
          <w:iCs/>
          <w:sz w:val="20"/>
        </w:rPr>
        <w:t>Redwire Second Waiver Order</w:t>
      </w:r>
      <w:r w:rsidRPr="00E07152" w:rsidR="0024447E">
        <w:rPr>
          <w:sz w:val="20"/>
        </w:rPr>
        <w:t xml:space="preserve">) </w:t>
      </w:r>
      <w:r w:rsidRPr="00E07152" w:rsidR="00EF0465">
        <w:rPr>
          <w:sz w:val="20"/>
        </w:rPr>
        <w:t xml:space="preserve">(extending Redwire’s waiver petition for </w:t>
      </w:r>
      <w:r w:rsidRPr="00E07152" w:rsidR="00680982">
        <w:rPr>
          <w:sz w:val="20"/>
        </w:rPr>
        <w:t xml:space="preserve">the </w:t>
      </w:r>
      <w:r w:rsidRPr="00E07152" w:rsidR="00EF0465">
        <w:rPr>
          <w:sz w:val="20"/>
        </w:rPr>
        <w:t>letter of credit</w:t>
      </w:r>
      <w:r w:rsidR="00E07152">
        <w:rPr>
          <w:sz w:val="20"/>
        </w:rPr>
        <w:t xml:space="preserve"> </w:t>
      </w:r>
      <w:r w:rsidRPr="00E07152" w:rsidR="00EF0465">
        <w:rPr>
          <w:sz w:val="20"/>
        </w:rPr>
        <w:t>requirement for one year</w:t>
      </w:r>
      <w:r w:rsidRPr="00E07152" w:rsidR="00BF2480">
        <w:rPr>
          <w:sz w:val="20"/>
        </w:rPr>
        <w:t xml:space="preserve"> subject to conditions</w:t>
      </w:r>
      <w:r w:rsidRPr="00E07152" w:rsidR="00986D53">
        <w:rPr>
          <w:sz w:val="20"/>
        </w:rPr>
        <w:t xml:space="preserve"> and stating that the Bureaus suspended further Auction</w:t>
      </w:r>
      <w:r w:rsidRPr="00986D53" w:rsidR="00986D53">
        <w:rPr>
          <w:sz w:val="20"/>
        </w:rPr>
        <w:t xml:space="preserve"> 903 payments and will not resume these payments until an acceptable letter of credit is in place that will protect the funds moving forward</w:t>
      </w:r>
      <w:r w:rsidRPr="00986D53" w:rsidR="00EF0465">
        <w:rPr>
          <w:sz w:val="20"/>
        </w:rPr>
        <w:t>).</w:t>
      </w:r>
    </w:p>
  </w:footnote>
  <w:footnote w:id="10">
    <w:p w:rsidR="00672973" w:rsidRPr="00BD156B" w:rsidP="00AE3EE2" w14:paraId="4352153A" w14:textId="63AC443D">
      <w:pPr>
        <w:pStyle w:val="FootnoteText"/>
        <w:spacing w:after="120"/>
        <w:rPr>
          <w:sz w:val="20"/>
        </w:rPr>
      </w:pPr>
      <w:r w:rsidRPr="00BD156B">
        <w:rPr>
          <w:rStyle w:val="FootnoteReference"/>
          <w:sz w:val="20"/>
        </w:rPr>
        <w:footnoteRef/>
      </w:r>
      <w:r w:rsidRPr="00BD156B">
        <w:rPr>
          <w:sz w:val="20"/>
        </w:rPr>
        <w:t xml:space="preserve"> </w:t>
      </w:r>
      <w:r w:rsidR="00144932">
        <w:rPr>
          <w:sz w:val="20"/>
        </w:rPr>
        <w:t xml:space="preserve">Application at 3 </w:t>
      </w:r>
      <w:r w:rsidRPr="00BD156B">
        <w:rPr>
          <w:sz w:val="20"/>
        </w:rPr>
        <w:t xml:space="preserve">(citing Oklahoma Corporation Commission, Cause No. 201800107, Order No. 690248 (Jan. 24, 2019) (designating AtLink as an ETC)). </w:t>
      </w:r>
    </w:p>
  </w:footnote>
  <w:footnote w:id="11">
    <w:p w:rsidR="00733DCC" w:rsidRPr="00BD156B" w:rsidP="00AE3EE2" w14:paraId="63E592DE" w14:textId="3227DF10">
      <w:pPr>
        <w:pStyle w:val="FootnoteText"/>
        <w:spacing w:after="120"/>
        <w:rPr>
          <w:sz w:val="20"/>
        </w:rPr>
      </w:pPr>
      <w:r w:rsidRPr="00BD156B">
        <w:rPr>
          <w:rStyle w:val="FootnoteReference"/>
          <w:sz w:val="20"/>
        </w:rPr>
        <w:footnoteRef/>
      </w:r>
      <w:r w:rsidRPr="00BD156B">
        <w:rPr>
          <w:sz w:val="20"/>
        </w:rPr>
        <w:t xml:space="preserve"> </w:t>
      </w:r>
      <w:r w:rsidR="00144932">
        <w:rPr>
          <w:sz w:val="20"/>
        </w:rPr>
        <w:t>Application at 3-4</w:t>
      </w:r>
      <w:r w:rsidRPr="00BD156B">
        <w:rPr>
          <w:sz w:val="20"/>
        </w:rPr>
        <w:t>.</w:t>
      </w:r>
      <w:r w:rsidR="00BD156B">
        <w:rPr>
          <w:sz w:val="20"/>
        </w:rPr>
        <w:t xml:space="preserve"> </w:t>
      </w:r>
    </w:p>
  </w:footnote>
  <w:footnote w:id="12">
    <w:p w:rsidR="00672973" w:rsidRPr="00BD156B" w:rsidP="00672973" w14:paraId="3F05259E" w14:textId="6DE766C2">
      <w:pPr>
        <w:pStyle w:val="FootnoteText"/>
        <w:spacing w:after="120"/>
        <w:rPr>
          <w:sz w:val="20"/>
        </w:rPr>
      </w:pPr>
      <w:r w:rsidRPr="00BD156B">
        <w:rPr>
          <w:rStyle w:val="FootnoteReference"/>
          <w:sz w:val="20"/>
        </w:rPr>
        <w:footnoteRef/>
      </w:r>
      <w:r w:rsidRPr="00BD156B">
        <w:rPr>
          <w:sz w:val="20"/>
        </w:rPr>
        <w:t xml:space="preserve"> </w:t>
      </w:r>
      <w:r w:rsidRPr="00BD156B" w:rsidR="003132D3">
        <w:rPr>
          <w:i/>
          <w:iCs/>
          <w:sz w:val="20"/>
        </w:rPr>
        <w:t>Id.</w:t>
      </w:r>
      <w:r w:rsidRPr="00BD156B">
        <w:rPr>
          <w:i/>
          <w:iCs/>
          <w:sz w:val="20"/>
        </w:rPr>
        <w:t xml:space="preserve"> </w:t>
      </w:r>
      <w:r w:rsidRPr="00BD156B">
        <w:rPr>
          <w:sz w:val="20"/>
        </w:rPr>
        <w:t xml:space="preserve">at </w:t>
      </w:r>
      <w:r w:rsidRPr="00BD156B" w:rsidR="003132D3">
        <w:rPr>
          <w:sz w:val="20"/>
        </w:rPr>
        <w:t>4</w:t>
      </w:r>
      <w:r w:rsidRPr="00BD156B">
        <w:rPr>
          <w:sz w:val="20"/>
        </w:rPr>
        <w:t xml:space="preserve">.  </w:t>
      </w:r>
      <w:r w:rsidRPr="00BD156B">
        <w:rPr>
          <w:i/>
          <w:iCs/>
          <w:sz w:val="20"/>
        </w:rPr>
        <w:t>See Connect America Fund Phase II Auction Support Authorized for 2,413 Winning Bids</w:t>
      </w:r>
      <w:r w:rsidRPr="00BD156B">
        <w:rPr>
          <w:sz w:val="20"/>
        </w:rPr>
        <w:t xml:space="preserve">, AU Docket No. 17-182, WC Docket No. 10-90, Public Notice, 34 FCC Rcd 5966, Attach. A (Authorized Long Form Applicants and Winning Bids) (WCB/OEA 2019).  AtLink’s assigned CAF II support amount over 10 years is $4,762,674.20.  Application at </w:t>
      </w:r>
      <w:r w:rsidR="00144932">
        <w:rPr>
          <w:sz w:val="20"/>
        </w:rPr>
        <w:t>4</w:t>
      </w:r>
      <w:r w:rsidRPr="00BD156B">
        <w:rPr>
          <w:sz w:val="20"/>
        </w:rPr>
        <w:t>.</w:t>
      </w:r>
      <w:r w:rsidR="00B63700">
        <w:rPr>
          <w:sz w:val="20"/>
        </w:rPr>
        <w:t xml:space="preserve">  </w:t>
      </w:r>
      <w:r w:rsidR="00FE0319">
        <w:rPr>
          <w:sz w:val="20"/>
        </w:rPr>
        <w:t xml:space="preserve">On January 27, 2022, the Bureau granted the domestic 214 application to </w:t>
      </w:r>
      <w:r w:rsidR="00263700">
        <w:rPr>
          <w:sz w:val="20"/>
        </w:rPr>
        <w:t xml:space="preserve">transfer Cherokee Telephone Company’s CAF Phase II obligations and support for certain census blocks in Oklahoma to </w:t>
      </w:r>
      <w:r w:rsidR="00B63700">
        <w:rPr>
          <w:sz w:val="20"/>
        </w:rPr>
        <w:t>AtLink</w:t>
      </w:r>
      <w:r w:rsidR="00263700">
        <w:rPr>
          <w:sz w:val="20"/>
        </w:rPr>
        <w:t xml:space="preserve">.  </w:t>
      </w:r>
      <w:r w:rsidRPr="00263700" w:rsidR="00263700">
        <w:rPr>
          <w:i/>
          <w:iCs/>
          <w:sz w:val="20"/>
        </w:rPr>
        <w:t xml:space="preserve">Domestic Section 214 Application </w:t>
      </w:r>
      <w:r w:rsidR="00263700">
        <w:rPr>
          <w:i/>
          <w:iCs/>
          <w:sz w:val="20"/>
        </w:rPr>
        <w:t>G</w:t>
      </w:r>
      <w:r w:rsidRPr="00263700" w:rsidR="00263700">
        <w:rPr>
          <w:i/>
          <w:iCs/>
          <w:sz w:val="20"/>
        </w:rPr>
        <w:t>ranted for the Transfer of Certain Authorizations of Cherokee Telephone Company to AtLink Services, LLC</w:t>
      </w:r>
      <w:r w:rsidR="00263700">
        <w:rPr>
          <w:sz w:val="20"/>
        </w:rPr>
        <w:t>, WC</w:t>
      </w:r>
      <w:r w:rsidR="00B63700">
        <w:rPr>
          <w:sz w:val="20"/>
        </w:rPr>
        <w:t xml:space="preserve"> Docket No. 21-423, Public Notice, DA 22-90 (WCB 2022).</w:t>
      </w:r>
    </w:p>
  </w:footnote>
  <w:footnote w:id="13">
    <w:p w:rsidR="00672973" w:rsidRPr="00BD156B" w:rsidP="00672973" w14:paraId="4380E62E" w14:textId="162FB865">
      <w:pPr>
        <w:pStyle w:val="FootnoteText"/>
        <w:spacing w:after="120"/>
        <w:rPr>
          <w:sz w:val="20"/>
        </w:rPr>
      </w:pPr>
      <w:r w:rsidRPr="00BD156B">
        <w:rPr>
          <w:rStyle w:val="FootnoteReference"/>
          <w:sz w:val="20"/>
        </w:rPr>
        <w:footnoteRef/>
      </w:r>
      <w:r w:rsidRPr="00BD156B">
        <w:rPr>
          <w:sz w:val="20"/>
        </w:rPr>
        <w:t xml:space="preserve"> Application at </w:t>
      </w:r>
      <w:r w:rsidRPr="00BD156B" w:rsidR="0052001C">
        <w:rPr>
          <w:sz w:val="20"/>
        </w:rPr>
        <w:t>4</w:t>
      </w:r>
      <w:r w:rsidRPr="00BD156B">
        <w:rPr>
          <w:i/>
          <w:iCs/>
          <w:sz w:val="20"/>
        </w:rPr>
        <w:t xml:space="preserve">.  </w:t>
      </w:r>
    </w:p>
  </w:footnote>
  <w:footnote w:id="14">
    <w:p w:rsidR="00672973" w:rsidRPr="00BD156B" w:rsidP="00672973" w14:paraId="430B4D00" w14:textId="17E0E95F">
      <w:pPr>
        <w:pStyle w:val="FootnoteText"/>
        <w:spacing w:after="120"/>
        <w:rPr>
          <w:sz w:val="20"/>
        </w:rPr>
      </w:pPr>
      <w:r w:rsidRPr="00BD156B">
        <w:rPr>
          <w:rStyle w:val="FootnoteReference"/>
          <w:sz w:val="20"/>
        </w:rPr>
        <w:footnoteRef/>
      </w:r>
      <w:r w:rsidRPr="00BD156B">
        <w:rPr>
          <w:sz w:val="20"/>
        </w:rPr>
        <w:t xml:space="preserve"> </w:t>
      </w:r>
      <w:r w:rsidRPr="00BD156B">
        <w:rPr>
          <w:i/>
          <w:iCs/>
          <w:sz w:val="20"/>
        </w:rPr>
        <w:t xml:space="preserve">Id. </w:t>
      </w:r>
      <w:r w:rsidRPr="00BD156B">
        <w:rPr>
          <w:sz w:val="20"/>
        </w:rPr>
        <w:t xml:space="preserve">at </w:t>
      </w:r>
      <w:r w:rsidRPr="00BD156B" w:rsidR="0052001C">
        <w:rPr>
          <w:sz w:val="20"/>
        </w:rPr>
        <w:t>14</w:t>
      </w:r>
      <w:r w:rsidRPr="00BD156B">
        <w:rPr>
          <w:sz w:val="20"/>
        </w:rPr>
        <w:t>-1</w:t>
      </w:r>
      <w:r w:rsidRPr="00BD156B" w:rsidR="0052001C">
        <w:rPr>
          <w:sz w:val="20"/>
        </w:rPr>
        <w:t>5</w:t>
      </w:r>
      <w:r w:rsidRPr="00BD156B">
        <w:rPr>
          <w:sz w:val="20"/>
        </w:rPr>
        <w:t xml:space="preserve">.  Applicants list four U.S. trusts, and their beneficiaries, each a U.S. citizen, which hold interests in Hinton C A T V, as well as four shareholders of Communications Equipment Corporation, each also a U.S. citizen.  </w:t>
      </w:r>
      <w:r w:rsidRPr="00BD156B">
        <w:rPr>
          <w:i/>
          <w:iCs/>
          <w:sz w:val="20"/>
        </w:rPr>
        <w:t>Id.</w:t>
      </w:r>
      <w:r w:rsidRPr="00BD156B">
        <w:rPr>
          <w:sz w:val="20"/>
        </w:rPr>
        <w:t xml:space="preserve"> at 1</w:t>
      </w:r>
      <w:r w:rsidRPr="00BD156B" w:rsidR="00054DFA">
        <w:rPr>
          <w:sz w:val="20"/>
        </w:rPr>
        <w:t>5</w:t>
      </w:r>
      <w:r w:rsidRPr="00BD156B">
        <w:rPr>
          <w:sz w:val="20"/>
        </w:rPr>
        <w:t>.  Applicants state that Hinton C A T V holds a 25% interest in Terral Telephone Company, a rural incumbent local exchange carrier serving a single exchange in Terral, Oklahoma</w:t>
      </w:r>
      <w:r w:rsidR="00FE0319">
        <w:rPr>
          <w:sz w:val="20"/>
        </w:rPr>
        <w:t>.</w:t>
      </w:r>
      <w:r w:rsidRPr="00BD156B">
        <w:rPr>
          <w:sz w:val="20"/>
        </w:rPr>
        <w:t xml:space="preserve">  </w:t>
      </w:r>
      <w:r w:rsidRPr="00EE5EA8">
        <w:rPr>
          <w:sz w:val="20"/>
        </w:rPr>
        <w:t>Supplement at 2.</w:t>
      </w:r>
    </w:p>
  </w:footnote>
  <w:footnote w:id="15">
    <w:p w:rsidR="000F37BD" w:rsidRPr="00BD156B" w14:paraId="0B9DCD88" w14:textId="4FC04F71">
      <w:pPr>
        <w:pStyle w:val="FootnoteText"/>
        <w:rPr>
          <w:sz w:val="20"/>
        </w:rPr>
      </w:pPr>
      <w:r w:rsidRPr="00BD156B">
        <w:rPr>
          <w:rStyle w:val="FootnoteReference"/>
          <w:sz w:val="20"/>
        </w:rPr>
        <w:footnoteRef/>
      </w:r>
      <w:r w:rsidRPr="00BD156B">
        <w:rPr>
          <w:sz w:val="20"/>
        </w:rPr>
        <w:t xml:space="preserve"> </w:t>
      </w:r>
      <w:r w:rsidR="00AE3EE2">
        <w:rPr>
          <w:sz w:val="20"/>
        </w:rPr>
        <w:t>Application</w:t>
      </w:r>
      <w:r w:rsidRPr="00BD156B" w:rsidR="00D30C25">
        <w:rPr>
          <w:sz w:val="20"/>
        </w:rPr>
        <w:t xml:space="preserve"> at 4</w:t>
      </w:r>
      <w:r w:rsidR="00EE5EA8">
        <w:rPr>
          <w:sz w:val="20"/>
        </w:rPr>
        <w:t>; Supplement at 1.</w:t>
      </w:r>
    </w:p>
  </w:footnote>
  <w:footnote w:id="16">
    <w:p w:rsidR="00FC3A7B" w:rsidRPr="0024447E" w:rsidP="00FC3A7B" w14:paraId="1B6872E1" w14:textId="63A49047">
      <w:pPr>
        <w:pStyle w:val="FootnoteText"/>
        <w:rPr>
          <w:sz w:val="20"/>
        </w:rPr>
      </w:pPr>
      <w:r w:rsidRPr="00BD156B">
        <w:rPr>
          <w:rStyle w:val="FootnoteReference"/>
          <w:sz w:val="20"/>
        </w:rPr>
        <w:footnoteRef/>
      </w:r>
      <w:r w:rsidRPr="00BD156B">
        <w:rPr>
          <w:sz w:val="20"/>
        </w:rPr>
        <w:t xml:space="preserve"> </w:t>
      </w:r>
      <w:r w:rsidR="00AE3EE2">
        <w:rPr>
          <w:sz w:val="20"/>
        </w:rPr>
        <w:t>Application</w:t>
      </w:r>
      <w:r w:rsidRPr="00BD156B">
        <w:rPr>
          <w:sz w:val="20"/>
        </w:rPr>
        <w:t xml:space="preserve"> </w:t>
      </w:r>
      <w:r w:rsidR="00EF0465">
        <w:rPr>
          <w:sz w:val="20"/>
        </w:rPr>
        <w:t xml:space="preserve">at 5.  </w:t>
      </w:r>
      <w:r w:rsidRPr="0024447E" w:rsidR="00EF0465">
        <w:rPr>
          <w:sz w:val="20"/>
        </w:rPr>
        <w:t xml:space="preserve">Applicants state that the Assigned Census Blocks include a portion of the census blocks for which Redwire was authorized to receive support, and that Redwire would convey the pro rata portion of the support it has received for the Assigned Census Blocks to AtLink, and AtLink would be entitled to receive pro rata support going forward.  </w:t>
      </w:r>
      <w:r w:rsidRPr="0024447E" w:rsidR="00EF0465">
        <w:rPr>
          <w:i/>
          <w:iCs/>
          <w:sz w:val="20"/>
        </w:rPr>
        <w:t>Id</w:t>
      </w:r>
      <w:r w:rsidRPr="0024447E" w:rsidR="00EF0465">
        <w:rPr>
          <w:sz w:val="20"/>
        </w:rPr>
        <w:t>.  They state that pro rata portion of both received and future support, including the pro rata portion of Redwire’s suspended support, represents approximately 41</w:t>
      </w:r>
      <w:r w:rsidR="00144932">
        <w:rPr>
          <w:sz w:val="20"/>
        </w:rPr>
        <w:t>%</w:t>
      </w:r>
      <w:r w:rsidRPr="0024447E" w:rsidR="00EF0465">
        <w:rPr>
          <w:sz w:val="20"/>
        </w:rPr>
        <w:t xml:space="preserve"> of the total Redwire support.</w:t>
      </w:r>
      <w:r w:rsidR="0024447E">
        <w:rPr>
          <w:sz w:val="20"/>
        </w:rPr>
        <w:t xml:space="preserve">  </w:t>
      </w:r>
      <w:r w:rsidR="0024447E">
        <w:rPr>
          <w:i/>
          <w:iCs/>
          <w:sz w:val="20"/>
        </w:rPr>
        <w:t>Id</w:t>
      </w:r>
      <w:r w:rsidR="0024447E">
        <w:rPr>
          <w:sz w:val="20"/>
        </w:rPr>
        <w:t>.</w:t>
      </w:r>
    </w:p>
  </w:footnote>
  <w:footnote w:id="17">
    <w:p w:rsidR="005D7B81" w:rsidRPr="00BD156B" w:rsidP="00AE3EE2" w14:paraId="558FFB30" w14:textId="0873FA68">
      <w:pPr>
        <w:pStyle w:val="FootnoteText"/>
        <w:spacing w:after="120"/>
        <w:rPr>
          <w:sz w:val="20"/>
        </w:rPr>
      </w:pPr>
      <w:r w:rsidRPr="00BD156B">
        <w:rPr>
          <w:rStyle w:val="FootnoteReference"/>
          <w:sz w:val="20"/>
        </w:rPr>
        <w:footnoteRef/>
      </w:r>
      <w:r w:rsidRPr="00BD156B">
        <w:rPr>
          <w:sz w:val="20"/>
        </w:rPr>
        <w:t xml:space="preserve"> </w:t>
      </w:r>
      <w:r w:rsidRPr="0024447E" w:rsidR="0024447E">
        <w:rPr>
          <w:i/>
          <w:iCs/>
          <w:sz w:val="20"/>
        </w:rPr>
        <w:t>Id</w:t>
      </w:r>
      <w:r w:rsidR="0024447E">
        <w:rPr>
          <w:sz w:val="20"/>
        </w:rPr>
        <w:t xml:space="preserve">. at 6.  </w:t>
      </w:r>
      <w:r w:rsidRPr="0024447E">
        <w:rPr>
          <w:sz w:val="20"/>
        </w:rPr>
        <w:t>Applicants</w:t>
      </w:r>
      <w:r w:rsidRPr="00BD156B">
        <w:rPr>
          <w:sz w:val="20"/>
        </w:rPr>
        <w:t xml:space="preserve"> explain that Redwire will also file for approval with the Oklahoma </w:t>
      </w:r>
      <w:r w:rsidR="006F0D73">
        <w:rPr>
          <w:sz w:val="20"/>
        </w:rPr>
        <w:t xml:space="preserve">Corporation Commission </w:t>
      </w:r>
      <w:r w:rsidRPr="00BD156B">
        <w:rPr>
          <w:sz w:val="20"/>
        </w:rPr>
        <w:t xml:space="preserve">to relinquish its Oklahoma ETC designation for the Assigned Census Blocks and for AtLink to expand its ETC designation to cover the Assigned Census Blocks.  </w:t>
      </w:r>
      <w:r w:rsidRPr="00BD156B">
        <w:rPr>
          <w:i/>
          <w:iCs/>
          <w:sz w:val="20"/>
        </w:rPr>
        <w:t>Id.</w:t>
      </w:r>
      <w:r w:rsidRPr="00BD156B">
        <w:rPr>
          <w:sz w:val="20"/>
        </w:rPr>
        <w:t>.</w:t>
      </w:r>
    </w:p>
  </w:footnote>
  <w:footnote w:id="18">
    <w:p w:rsidR="00F90E90" w:rsidRPr="00BD156B" w:rsidP="00595ECF" w14:paraId="3DE6F302" w14:textId="44BEEE29">
      <w:pPr>
        <w:pStyle w:val="FootnoteText"/>
        <w:spacing w:after="120"/>
        <w:rPr>
          <w:sz w:val="20"/>
        </w:rPr>
      </w:pPr>
      <w:r w:rsidRPr="00BD156B">
        <w:rPr>
          <w:rStyle w:val="FootnoteReference"/>
          <w:sz w:val="20"/>
        </w:rPr>
        <w:footnoteRef/>
      </w:r>
      <w:r w:rsidRPr="00BD156B">
        <w:rPr>
          <w:sz w:val="20"/>
        </w:rPr>
        <w:t xml:space="preserve"> </w:t>
      </w:r>
      <w:r w:rsidRPr="00BD156B" w:rsidR="0024719B">
        <w:rPr>
          <w:i/>
          <w:iCs/>
          <w:sz w:val="20"/>
        </w:rPr>
        <w:t xml:space="preserve">Id. </w:t>
      </w:r>
      <w:r w:rsidRPr="00BD156B">
        <w:rPr>
          <w:sz w:val="20"/>
        </w:rPr>
        <w:t xml:space="preserve">at </w:t>
      </w:r>
      <w:r w:rsidRPr="00BD156B" w:rsidR="00107F77">
        <w:rPr>
          <w:sz w:val="20"/>
        </w:rPr>
        <w:t>6</w:t>
      </w:r>
      <w:r w:rsidRPr="00BD156B">
        <w:rPr>
          <w:sz w:val="20"/>
        </w:rPr>
        <w:t>-</w:t>
      </w:r>
      <w:r w:rsidRPr="00BD156B" w:rsidR="00107F77">
        <w:rPr>
          <w:sz w:val="20"/>
        </w:rPr>
        <w:t>9</w:t>
      </w:r>
      <w:r w:rsidRPr="00BD156B">
        <w:rPr>
          <w:sz w:val="20"/>
        </w:rPr>
        <w:t>.</w:t>
      </w:r>
    </w:p>
  </w:footnote>
  <w:footnote w:id="19">
    <w:p w:rsidR="00276749" w:rsidRPr="00F2527E" w:rsidP="00AE3EE2" w14:paraId="142F3873" w14:textId="57D3BE63">
      <w:pPr>
        <w:pStyle w:val="FootnoteText"/>
        <w:spacing w:after="120"/>
        <w:rPr>
          <w:sz w:val="20"/>
        </w:rPr>
      </w:pPr>
      <w:r w:rsidRPr="00F2527E">
        <w:rPr>
          <w:rStyle w:val="FootnoteReference"/>
          <w:sz w:val="20"/>
        </w:rPr>
        <w:footnoteRef/>
      </w:r>
      <w:r w:rsidRPr="00F2527E">
        <w:rPr>
          <w:sz w:val="20"/>
        </w:rPr>
        <w:t xml:space="preserve"> </w:t>
      </w:r>
      <w:r w:rsidRPr="00F2527E">
        <w:rPr>
          <w:i/>
          <w:iCs/>
          <w:sz w:val="20"/>
        </w:rPr>
        <w:t>Id.</w:t>
      </w:r>
      <w:r w:rsidRPr="00F2527E">
        <w:rPr>
          <w:sz w:val="20"/>
        </w:rPr>
        <w:t xml:space="preserve"> at 8</w:t>
      </w:r>
      <w:r w:rsidR="000F3889">
        <w:rPr>
          <w:sz w:val="20"/>
        </w:rPr>
        <w:t>;</w:t>
      </w:r>
      <w:r w:rsidRPr="00F2527E" w:rsidR="00F2527E">
        <w:rPr>
          <w:sz w:val="20"/>
        </w:rPr>
        <w:t xml:space="preserve"> </w:t>
      </w:r>
      <w:bookmarkStart w:id="8" w:name="_Hlk97831364"/>
      <w:r w:rsidR="000F3889">
        <w:rPr>
          <w:i/>
          <w:iCs/>
          <w:sz w:val="20"/>
        </w:rPr>
        <w:t>s</w:t>
      </w:r>
      <w:r w:rsidRPr="00F2527E" w:rsidR="00F2527E">
        <w:rPr>
          <w:i/>
          <w:iCs/>
          <w:sz w:val="20"/>
        </w:rPr>
        <w:t>ee Redwire Waiver Order</w:t>
      </w:r>
      <w:r w:rsidRPr="00F2527E" w:rsidR="00F2527E">
        <w:rPr>
          <w:sz w:val="20"/>
        </w:rPr>
        <w:t xml:space="preserve">, 35 FCC Rcd </w:t>
      </w:r>
      <w:r w:rsidR="0024447E">
        <w:rPr>
          <w:sz w:val="20"/>
        </w:rPr>
        <w:t xml:space="preserve">at </w:t>
      </w:r>
      <w:r w:rsidRPr="00F2527E" w:rsidR="00F2527E">
        <w:rPr>
          <w:sz w:val="20"/>
        </w:rPr>
        <w:t>584</w:t>
      </w:r>
      <w:bookmarkEnd w:id="8"/>
      <w:r w:rsidR="000F3889">
        <w:rPr>
          <w:sz w:val="20"/>
        </w:rPr>
        <w:t>5-46</w:t>
      </w:r>
      <w:r w:rsidR="007E32C2">
        <w:rPr>
          <w:sz w:val="20"/>
        </w:rPr>
        <w:t xml:space="preserve"> </w:t>
      </w:r>
      <w:bookmarkStart w:id="9" w:name="_Hlk97833375"/>
      <w:r w:rsidR="007E32C2">
        <w:rPr>
          <w:sz w:val="20"/>
        </w:rPr>
        <w:t>(granting, in part, Redwire’s first waiver petition for a letter of credit for the first twelve months of its support term)</w:t>
      </w:r>
      <w:bookmarkEnd w:id="9"/>
      <w:r w:rsidR="001A016A">
        <w:rPr>
          <w:sz w:val="20"/>
        </w:rPr>
        <w:t xml:space="preserve">; </w:t>
      </w:r>
      <w:bookmarkStart w:id="10" w:name="_Hlk98339353"/>
      <w:r w:rsidRPr="0024447E" w:rsidR="0024447E">
        <w:rPr>
          <w:i/>
          <w:iCs/>
          <w:sz w:val="20"/>
        </w:rPr>
        <w:t>Redwire Second Waiver Order</w:t>
      </w:r>
      <w:r w:rsidR="00BF2480">
        <w:rPr>
          <w:sz w:val="20"/>
        </w:rPr>
        <w:t xml:space="preserve"> at paras. 5-6.  </w:t>
      </w:r>
      <w:bookmarkEnd w:id="10"/>
    </w:p>
  </w:footnote>
  <w:footnote w:id="20">
    <w:p w:rsidR="00F2527E" w:rsidRPr="00144932" w:rsidP="00AE3EE2" w14:paraId="552C968C" w14:textId="4F929FC7">
      <w:pPr>
        <w:pStyle w:val="FootnoteText"/>
        <w:spacing w:after="120"/>
        <w:rPr>
          <w:sz w:val="20"/>
        </w:rPr>
      </w:pPr>
      <w:r>
        <w:rPr>
          <w:rStyle w:val="FootnoteReference"/>
        </w:rPr>
        <w:footnoteRef/>
      </w:r>
      <w:r>
        <w:t xml:space="preserve"> </w:t>
      </w:r>
      <w:r w:rsidRPr="00144932" w:rsidR="00144932">
        <w:rPr>
          <w:sz w:val="20"/>
        </w:rPr>
        <w:t>Application at 8</w:t>
      </w:r>
      <w:r w:rsidRPr="00144932">
        <w:rPr>
          <w:i/>
          <w:iCs/>
          <w:sz w:val="20"/>
        </w:rPr>
        <w:t>.</w:t>
      </w:r>
    </w:p>
  </w:footnote>
  <w:footnote w:id="21">
    <w:p w:rsidR="00276749" w:rsidRPr="00BD156B" w:rsidP="00AE3EE2" w14:paraId="729549A6" w14:textId="77777777">
      <w:pPr>
        <w:pStyle w:val="FootnoteText"/>
        <w:spacing w:after="120"/>
        <w:rPr>
          <w:sz w:val="20"/>
        </w:rPr>
      </w:pPr>
      <w:r w:rsidRPr="00BD156B">
        <w:rPr>
          <w:rStyle w:val="FootnoteReference"/>
          <w:sz w:val="20"/>
        </w:rPr>
        <w:footnoteRef/>
      </w:r>
      <w:r w:rsidRPr="00BD156B">
        <w:rPr>
          <w:sz w:val="20"/>
        </w:rPr>
        <w:t xml:space="preserve"> </w:t>
      </w:r>
      <w:r w:rsidRPr="00BD156B">
        <w:rPr>
          <w:i/>
          <w:iCs/>
          <w:sz w:val="20"/>
        </w:rPr>
        <w:t>Id</w:t>
      </w:r>
      <w:r w:rsidRPr="00BD156B">
        <w:rPr>
          <w:sz w:val="20"/>
        </w:rPr>
        <w:t xml:space="preserve">. at 8. </w:t>
      </w:r>
    </w:p>
  </w:footnote>
  <w:footnote w:id="22">
    <w:p w:rsidR="00A5795E" w:rsidRPr="00BD156B" w:rsidP="00595ECF" w14:paraId="4B744368" w14:textId="25CDE698">
      <w:pPr>
        <w:pStyle w:val="FootnoteText"/>
        <w:spacing w:after="120"/>
        <w:rPr>
          <w:sz w:val="20"/>
        </w:rPr>
      </w:pPr>
      <w:r w:rsidRPr="00BD156B">
        <w:rPr>
          <w:rStyle w:val="FootnoteReference"/>
          <w:sz w:val="20"/>
        </w:rPr>
        <w:footnoteRef/>
      </w:r>
      <w:r w:rsidRPr="00BD156B">
        <w:rPr>
          <w:sz w:val="20"/>
        </w:rPr>
        <w:t xml:space="preserve"> </w:t>
      </w:r>
      <w:r w:rsidRPr="00BD156B">
        <w:rPr>
          <w:i/>
          <w:iCs/>
          <w:sz w:val="20"/>
        </w:rPr>
        <w:t>Id.</w:t>
      </w:r>
      <w:r w:rsidRPr="00BD156B">
        <w:rPr>
          <w:sz w:val="20"/>
        </w:rPr>
        <w:t xml:space="preserve"> at</w:t>
      </w:r>
      <w:r w:rsidRPr="00BD156B" w:rsidR="001F67E3">
        <w:rPr>
          <w:sz w:val="20"/>
        </w:rPr>
        <w:t xml:space="preserve"> </w:t>
      </w:r>
      <w:r w:rsidRPr="00BD156B" w:rsidR="00C4758C">
        <w:rPr>
          <w:sz w:val="20"/>
        </w:rPr>
        <w:t>7</w:t>
      </w:r>
      <w:r w:rsidRPr="00BD156B" w:rsidR="001F67E3">
        <w:rPr>
          <w:sz w:val="20"/>
        </w:rPr>
        <w:t>.</w:t>
      </w:r>
      <w:r w:rsidRPr="00BD156B">
        <w:rPr>
          <w:sz w:val="20"/>
        </w:rPr>
        <w:t xml:space="preserve"> </w:t>
      </w:r>
    </w:p>
  </w:footnote>
  <w:footnote w:id="23">
    <w:p w:rsidR="00C40CDF" w:rsidRPr="00BD156B" w:rsidP="00AE3EE2" w14:paraId="5E6378D9" w14:textId="68C5FA24">
      <w:pPr>
        <w:pStyle w:val="FootnoteText"/>
        <w:spacing w:after="120"/>
        <w:rPr>
          <w:sz w:val="20"/>
        </w:rPr>
      </w:pPr>
      <w:r w:rsidRPr="00BD156B">
        <w:rPr>
          <w:rStyle w:val="FootnoteReference"/>
          <w:sz w:val="20"/>
        </w:rPr>
        <w:footnoteRef/>
      </w:r>
      <w:r w:rsidRPr="00BD156B">
        <w:rPr>
          <w:sz w:val="20"/>
        </w:rPr>
        <w:t xml:space="preserve"> </w:t>
      </w:r>
      <w:r w:rsidRPr="00BD156B">
        <w:rPr>
          <w:i/>
          <w:iCs/>
          <w:sz w:val="20"/>
        </w:rPr>
        <w:t>Id</w:t>
      </w:r>
      <w:r w:rsidRPr="00BD156B">
        <w:rPr>
          <w:sz w:val="20"/>
        </w:rPr>
        <w:t>.</w:t>
      </w:r>
      <w:r w:rsidR="006F0D73">
        <w:rPr>
          <w:sz w:val="20"/>
        </w:rPr>
        <w:t xml:space="preserve"> at 8-9, 16.</w:t>
      </w:r>
    </w:p>
  </w:footnote>
  <w:footnote w:id="24">
    <w:p w:rsidR="00C40CDF" w:rsidRPr="00BD156B" w:rsidP="00AE3EE2" w14:paraId="566DEDFA" w14:textId="34D1D87C">
      <w:pPr>
        <w:pStyle w:val="FootnoteText"/>
        <w:spacing w:after="120"/>
        <w:rPr>
          <w:sz w:val="20"/>
        </w:rPr>
      </w:pPr>
      <w:r w:rsidRPr="00BD156B">
        <w:rPr>
          <w:rStyle w:val="FootnoteReference"/>
          <w:sz w:val="20"/>
        </w:rPr>
        <w:footnoteRef/>
      </w:r>
      <w:r w:rsidRPr="00BD156B">
        <w:rPr>
          <w:sz w:val="20"/>
        </w:rPr>
        <w:t xml:space="preserve"> </w:t>
      </w:r>
      <w:r w:rsidRPr="00BD156B">
        <w:rPr>
          <w:i/>
          <w:iCs/>
          <w:sz w:val="20"/>
        </w:rPr>
        <w:t>Id.</w:t>
      </w:r>
      <w:r w:rsidRPr="00BD156B">
        <w:rPr>
          <w:sz w:val="20"/>
        </w:rPr>
        <w:t xml:space="preserve"> at 9.</w:t>
      </w:r>
    </w:p>
  </w:footnote>
  <w:footnote w:id="25">
    <w:p w:rsidR="00FC61CE" w:rsidRPr="00BD156B" w:rsidP="00595ECF" w14:paraId="4664CBD7" w14:textId="77777777">
      <w:pPr>
        <w:pStyle w:val="FootnoteText"/>
        <w:spacing w:after="120"/>
        <w:rPr>
          <w:sz w:val="20"/>
        </w:rPr>
      </w:pPr>
      <w:r w:rsidRPr="00BD156B">
        <w:rPr>
          <w:rStyle w:val="FootnoteReference"/>
          <w:sz w:val="20"/>
        </w:rPr>
        <w:footnoteRef/>
      </w:r>
      <w:r w:rsidRPr="00BD156B">
        <w:rPr>
          <w:sz w:val="20"/>
        </w:rPr>
        <w:t xml:space="preserve"> 47 CFR § 63.03(c)(1)(v).</w:t>
      </w:r>
    </w:p>
  </w:footnote>
  <w:footnote w:id="26">
    <w:p w:rsidR="00D77B29" w:rsidRPr="00BD156B" w:rsidP="00AE3EE2" w14:paraId="3EFAE54A" w14:textId="18E7442F">
      <w:pPr>
        <w:pStyle w:val="FootnoteText"/>
        <w:spacing w:after="120"/>
        <w:rPr>
          <w:sz w:val="20"/>
        </w:rPr>
      </w:pPr>
      <w:r w:rsidRPr="00BD156B">
        <w:rPr>
          <w:rStyle w:val="FootnoteReference"/>
          <w:sz w:val="20"/>
        </w:rPr>
        <w:footnoteRef/>
      </w:r>
      <w:r w:rsidRPr="00BD156B">
        <w:rPr>
          <w:sz w:val="20"/>
        </w:rPr>
        <w:t xml:space="preserve"> </w:t>
      </w:r>
      <w:r w:rsidR="005B0E6E">
        <w:rPr>
          <w:sz w:val="20"/>
        </w:rPr>
        <w:t>Application at</w:t>
      </w:r>
      <w:r w:rsidRPr="00BD156B">
        <w:rPr>
          <w:sz w:val="20"/>
        </w:rPr>
        <w:t xml:space="preserve"> 9</w:t>
      </w:r>
      <w:r w:rsidR="005B0E6E">
        <w:rPr>
          <w:sz w:val="20"/>
        </w:rPr>
        <w:t xml:space="preserve">; </w:t>
      </w:r>
      <w:r w:rsidRPr="0043241E" w:rsidR="005B0E6E">
        <w:rPr>
          <w:i/>
          <w:iCs/>
          <w:sz w:val="20"/>
        </w:rPr>
        <w:t>Redwire Authorization PN</w:t>
      </w:r>
      <w:r w:rsidR="005B0E6E">
        <w:rPr>
          <w:sz w:val="20"/>
        </w:rPr>
        <w:t>, 35 FCC Rcd at 5851.</w:t>
      </w:r>
    </w:p>
  </w:footnote>
  <w:footnote w:id="27">
    <w:p w:rsidR="00902336" w:rsidRPr="00BD156B" w:rsidP="00AE3EE2" w14:paraId="31760E32" w14:textId="116952CF">
      <w:pPr>
        <w:pStyle w:val="FootnoteText"/>
        <w:spacing w:after="120"/>
        <w:rPr>
          <w:sz w:val="20"/>
        </w:rPr>
      </w:pPr>
      <w:r w:rsidRPr="00BD156B">
        <w:rPr>
          <w:rStyle w:val="FootnoteReference"/>
          <w:sz w:val="20"/>
        </w:rPr>
        <w:footnoteRef/>
      </w:r>
      <w:r w:rsidRPr="00BD156B">
        <w:rPr>
          <w:sz w:val="20"/>
        </w:rPr>
        <w:t xml:space="preserve"> </w:t>
      </w:r>
      <w:r w:rsidR="005B0E6E">
        <w:rPr>
          <w:sz w:val="20"/>
        </w:rPr>
        <w:t>Application</w:t>
      </w:r>
      <w:r w:rsidRPr="00BD156B">
        <w:rPr>
          <w:sz w:val="20"/>
        </w:rPr>
        <w:t xml:space="preserve"> at 10</w:t>
      </w:r>
      <w:r w:rsidR="005B0E6E">
        <w:rPr>
          <w:sz w:val="20"/>
        </w:rPr>
        <w:t>.</w:t>
      </w:r>
    </w:p>
  </w:footnote>
  <w:footnote w:id="28">
    <w:p w:rsidR="00902336" w:rsidRPr="00BD156B" w:rsidP="00AE3EE2" w14:paraId="7F1FDF17" w14:textId="40CC4749">
      <w:pPr>
        <w:pStyle w:val="FootnoteText"/>
        <w:spacing w:after="120"/>
        <w:rPr>
          <w:sz w:val="20"/>
        </w:rPr>
      </w:pPr>
      <w:r w:rsidRPr="00BD156B">
        <w:rPr>
          <w:rStyle w:val="FootnoteReference"/>
          <w:sz w:val="20"/>
        </w:rPr>
        <w:footnoteRef/>
      </w:r>
      <w:r w:rsidRPr="00BD156B">
        <w:rPr>
          <w:sz w:val="20"/>
        </w:rPr>
        <w:t xml:space="preserve"> </w:t>
      </w:r>
      <w:r w:rsidRPr="00BD156B">
        <w:rPr>
          <w:i/>
          <w:iCs/>
          <w:sz w:val="20"/>
        </w:rPr>
        <w:t>Id</w:t>
      </w:r>
      <w:r w:rsidRPr="00BD156B">
        <w:rPr>
          <w:sz w:val="20"/>
        </w:rPr>
        <w:t>. at 11.</w:t>
      </w:r>
    </w:p>
  </w:footnote>
  <w:footnote w:id="29">
    <w:p w:rsidR="0051292E" w:rsidRPr="00BD156B" w:rsidP="00AE3EE2" w14:paraId="08BBD5DD" w14:textId="72723D06">
      <w:pPr>
        <w:pStyle w:val="FootnoteText"/>
        <w:spacing w:after="120"/>
        <w:rPr>
          <w:sz w:val="20"/>
        </w:rPr>
      </w:pPr>
      <w:r w:rsidRPr="00BD156B">
        <w:rPr>
          <w:rStyle w:val="FootnoteReference"/>
          <w:sz w:val="20"/>
        </w:rPr>
        <w:footnoteRef/>
      </w:r>
      <w:r w:rsidRPr="00BD156B">
        <w:rPr>
          <w:sz w:val="20"/>
        </w:rPr>
        <w:t xml:space="preserve"> </w:t>
      </w:r>
      <w:r w:rsidRPr="00BD156B">
        <w:rPr>
          <w:i/>
          <w:iCs/>
          <w:sz w:val="20"/>
        </w:rPr>
        <w:t>Id.</w:t>
      </w:r>
    </w:p>
  </w:footnote>
  <w:footnote w:id="30">
    <w:p w:rsidR="005C7B46" w:rsidRPr="00BD156B" w:rsidP="00AE3EE2" w14:paraId="5684E227" w14:textId="60FF1D0F">
      <w:pPr>
        <w:pStyle w:val="FootnoteText"/>
        <w:spacing w:after="120"/>
        <w:rPr>
          <w:sz w:val="20"/>
        </w:rPr>
      </w:pPr>
      <w:r w:rsidRPr="00BD156B">
        <w:rPr>
          <w:rStyle w:val="FootnoteReference"/>
          <w:sz w:val="20"/>
        </w:rPr>
        <w:footnoteRef/>
      </w:r>
      <w:r w:rsidRPr="00BD156B">
        <w:rPr>
          <w:sz w:val="20"/>
        </w:rPr>
        <w:t xml:space="preserve"> </w:t>
      </w:r>
      <w:r w:rsidRPr="00BD156B">
        <w:rPr>
          <w:i/>
          <w:iCs/>
          <w:sz w:val="20"/>
        </w:rPr>
        <w:t>Id.</w:t>
      </w:r>
      <w:r w:rsidRPr="00BD156B">
        <w:rPr>
          <w:sz w:val="20"/>
        </w:rPr>
        <w:t xml:space="preserve"> at 13.</w:t>
      </w:r>
    </w:p>
  </w:footnote>
  <w:footnote w:id="31">
    <w:p w:rsidR="00361DF1" w:rsidRPr="00BD156B" w:rsidP="00595ECF" w14:paraId="23ECCDBA" w14:textId="77777777">
      <w:pPr>
        <w:pStyle w:val="FootnoteText"/>
        <w:spacing w:after="120"/>
        <w:rPr>
          <w:sz w:val="20"/>
        </w:rPr>
      </w:pPr>
      <w:r w:rsidRPr="00BD156B">
        <w:rPr>
          <w:rStyle w:val="FootnoteReference"/>
          <w:sz w:val="20"/>
        </w:rPr>
        <w:footnoteRef/>
      </w:r>
      <w:r w:rsidRPr="00BD156B">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w:t>
      </w:r>
      <w:r w:rsidRPr="00BD156B" w:rsidR="005E0BA8">
        <w:rPr>
          <w:sz w:val="20"/>
        </w:rPr>
        <w:t xml:space="preserve"> </w:t>
      </w:r>
      <w:r w:rsidRPr="00BD156B">
        <w:rPr>
          <w:sz w:val="20"/>
        </w:rPr>
        <w:t xml:space="preserve"> </w:t>
      </w:r>
      <w:r w:rsidRPr="00BD156B">
        <w:rPr>
          <w:i/>
          <w:iCs/>
          <w:sz w:val="20"/>
        </w:rPr>
        <w:t>See FCC Announces Closure of FCC Headquarters Open Window and Change in Hand-Delivery Policy</w:t>
      </w:r>
      <w:r w:rsidRPr="00BD156B">
        <w:rPr>
          <w:sz w:val="20"/>
        </w:rPr>
        <w:t xml:space="preserve">, Public Notice, 35 FCC Rcd 2788 (Mar. 19, 2020), </w:t>
      </w:r>
      <w:hyperlink r:id="rId2" w:history="1">
        <w:r w:rsidRPr="00BD156B" w:rsidR="0005438B">
          <w:rPr>
            <w:rStyle w:val="Hyperlink"/>
            <w:sz w:val="20"/>
          </w:rPr>
          <w:t>https://www.fcc.gov/document/fcc-closes-headquarters-open-window-and-changes-hand-delivery-policy</w:t>
        </w:r>
      </w:hyperlink>
      <w:r w:rsidRPr="00BD156B">
        <w:rPr>
          <w:rStyle w:val="Hyperlink"/>
          <w:color w:val="auto"/>
          <w:sz w:val="20"/>
          <w:u w:val="none"/>
        </w:rPr>
        <w:t>.</w:t>
      </w:r>
    </w:p>
  </w:footnote>
  <w:footnote w:id="32">
    <w:p w:rsidR="00361DF1" w:rsidRPr="00BD156B" w:rsidP="00F13E8E" w14:paraId="4E9D0B25" w14:textId="77777777">
      <w:pPr>
        <w:pStyle w:val="FootnoteText"/>
        <w:tabs>
          <w:tab w:val="clear" w:pos="720"/>
        </w:tabs>
        <w:spacing w:after="120"/>
        <w:rPr>
          <w:sz w:val="20"/>
        </w:rPr>
      </w:pPr>
      <w:r w:rsidRPr="00BD156B">
        <w:rPr>
          <w:rStyle w:val="FootnoteReference"/>
          <w:sz w:val="20"/>
        </w:rPr>
        <w:footnoteRef/>
      </w:r>
      <w:r w:rsidRPr="00BD156B">
        <w:rPr>
          <w:sz w:val="20"/>
        </w:rPr>
        <w:t xml:space="preserve"> </w:t>
      </w:r>
      <w:r w:rsidRPr="00BD156B">
        <w:rPr>
          <w:i/>
          <w:sz w:val="20"/>
        </w:rPr>
        <w:t>See</w:t>
      </w:r>
      <w:r w:rsidRPr="00BD156B">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49E6AB69"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361DF1" w14:paraId="0EAEE79C" w14:textId="77777777">
                <w:pPr>
                  <w:rPr>
                    <w:rFonts w:ascii="Arial" w:hAnsi="Arial"/>
                    <w:b/>
                  </w:rPr>
                </w:pPr>
                <w:r>
                  <w:rPr>
                    <w:rFonts w:ascii="Arial" w:hAnsi="Arial"/>
                    <w:b/>
                  </w:rPr>
                  <w:t>Federal Communications Commission</w:t>
                </w:r>
              </w:p>
              <w:p w:rsidR="00361DF1" w14:paraId="66F81579" w14:textId="77777777">
                <w:pPr>
                  <w:rPr>
                    <w:rFonts w:ascii="Arial" w:hAnsi="Arial"/>
                    <w:b/>
                  </w:rPr>
                </w:pPr>
                <w:r>
                  <w:rPr>
                    <w:rFonts w:ascii="Arial" w:hAnsi="Arial"/>
                    <w:b/>
                  </w:rPr>
                  <w:t>45 L St., N.E.</w:t>
                </w:r>
              </w:p>
              <w:p w:rsidR="00361DF1" w14:paraId="565CBFF0" w14:textId="77777777">
                <w:pPr>
                  <w:rPr>
                    <w:rFonts w:ascii="Arial" w:hAnsi="Arial"/>
                    <w:sz w:val="24"/>
                  </w:rPr>
                </w:pPr>
                <w:r>
                  <w:rPr>
                    <w:rFonts w:ascii="Arial" w:hAnsi="Arial"/>
                    <w:b/>
                  </w:rPr>
                  <w:t>Washington, D.C. 20554</w:t>
                </w:r>
              </w:p>
            </w:txbxContent>
          </v:textbox>
        </v:shape>
      </w:pict>
    </w:r>
    <w:r w:rsidRPr="7B6157F7" w:rsidR="009409DD">
      <w:rPr>
        <w:rFonts w:ascii="News Gothic MT" w:hAnsi="News Gothic MT"/>
        <w:b/>
        <w:bCs/>
        <w:kern w:val="28"/>
        <w:sz w:val="96"/>
        <w:szCs w:val="96"/>
      </w:rPr>
      <w:t>PUBLIC NOTICE</w:t>
    </w:r>
  </w:p>
  <w:p w:rsidR="00361DF1" w14:paraId="314AB22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361DF1" w14:paraId="038243C5" w14:textId="77777777">
                <w:pPr>
                  <w:spacing w:before="40"/>
                  <w:jc w:val="right"/>
                  <w:rPr>
                    <w:rFonts w:ascii="Arial" w:hAnsi="Arial"/>
                    <w:b/>
                    <w:sz w:val="16"/>
                  </w:rPr>
                </w:pPr>
                <w:r>
                  <w:rPr>
                    <w:rFonts w:ascii="Arial" w:hAnsi="Arial"/>
                    <w:b/>
                    <w:sz w:val="16"/>
                  </w:rPr>
                  <w:t>News Media Information 202 / 418-0500</w:t>
                </w:r>
              </w:p>
              <w:p w:rsidR="00361DF1" w14:paraId="376E9AA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61DF1" w14:paraId="2930F54E" w14:textId="77777777">
                <w:pPr>
                  <w:jc w:val="right"/>
                </w:pPr>
              </w:p>
            </w:txbxContent>
          </v:textbox>
        </v:shape>
      </w:pict>
    </w:r>
  </w:p>
  <w:p w:rsidR="00361DF1" w14:paraId="19A0BE23"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488D1A97"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0C1"/>
    <w:rsid w:val="00001825"/>
    <w:rsid w:val="0000298C"/>
    <w:rsid w:val="00005F75"/>
    <w:rsid w:val="000064CD"/>
    <w:rsid w:val="00007846"/>
    <w:rsid w:val="00007FDC"/>
    <w:rsid w:val="0001023F"/>
    <w:rsid w:val="0001135F"/>
    <w:rsid w:val="0001280D"/>
    <w:rsid w:val="00017A3A"/>
    <w:rsid w:val="000238EB"/>
    <w:rsid w:val="0002470A"/>
    <w:rsid w:val="00031596"/>
    <w:rsid w:val="00031841"/>
    <w:rsid w:val="00033093"/>
    <w:rsid w:val="00035F32"/>
    <w:rsid w:val="00040610"/>
    <w:rsid w:val="00040BA0"/>
    <w:rsid w:val="00040DAF"/>
    <w:rsid w:val="00041C01"/>
    <w:rsid w:val="00042890"/>
    <w:rsid w:val="000439B6"/>
    <w:rsid w:val="00046881"/>
    <w:rsid w:val="00051E2C"/>
    <w:rsid w:val="000534AC"/>
    <w:rsid w:val="0005438B"/>
    <w:rsid w:val="00054DFA"/>
    <w:rsid w:val="00055109"/>
    <w:rsid w:val="00057E12"/>
    <w:rsid w:val="000629CF"/>
    <w:rsid w:val="00062F7C"/>
    <w:rsid w:val="000656F9"/>
    <w:rsid w:val="00066D12"/>
    <w:rsid w:val="000734F5"/>
    <w:rsid w:val="000735C8"/>
    <w:rsid w:val="0007409B"/>
    <w:rsid w:val="000747F3"/>
    <w:rsid w:val="0007483B"/>
    <w:rsid w:val="00074B7C"/>
    <w:rsid w:val="0007648A"/>
    <w:rsid w:val="000768B9"/>
    <w:rsid w:val="00080D7C"/>
    <w:rsid w:val="0008381D"/>
    <w:rsid w:val="00087205"/>
    <w:rsid w:val="0009496D"/>
    <w:rsid w:val="00095E72"/>
    <w:rsid w:val="000A3BF0"/>
    <w:rsid w:val="000A7F5F"/>
    <w:rsid w:val="000B069D"/>
    <w:rsid w:val="000B4EDD"/>
    <w:rsid w:val="000B6F01"/>
    <w:rsid w:val="000B7587"/>
    <w:rsid w:val="000B7644"/>
    <w:rsid w:val="000C04FD"/>
    <w:rsid w:val="000C28FC"/>
    <w:rsid w:val="000D04B7"/>
    <w:rsid w:val="000D0D16"/>
    <w:rsid w:val="000D6AA4"/>
    <w:rsid w:val="000E3E17"/>
    <w:rsid w:val="000E42F9"/>
    <w:rsid w:val="000E5147"/>
    <w:rsid w:val="000E74F9"/>
    <w:rsid w:val="000F02F7"/>
    <w:rsid w:val="000F034F"/>
    <w:rsid w:val="000F33A7"/>
    <w:rsid w:val="000F37BD"/>
    <w:rsid w:val="000F3889"/>
    <w:rsid w:val="00100310"/>
    <w:rsid w:val="00101D0B"/>
    <w:rsid w:val="001032DD"/>
    <w:rsid w:val="0010521A"/>
    <w:rsid w:val="00107F77"/>
    <w:rsid w:val="0011161C"/>
    <w:rsid w:val="0011192C"/>
    <w:rsid w:val="0011311D"/>
    <w:rsid w:val="001150BA"/>
    <w:rsid w:val="00116BB5"/>
    <w:rsid w:val="00123D1D"/>
    <w:rsid w:val="001264E8"/>
    <w:rsid w:val="00126638"/>
    <w:rsid w:val="0013405D"/>
    <w:rsid w:val="00140814"/>
    <w:rsid w:val="00141388"/>
    <w:rsid w:val="00143484"/>
    <w:rsid w:val="00144932"/>
    <w:rsid w:val="00145BBB"/>
    <w:rsid w:val="001470F0"/>
    <w:rsid w:val="00147B6C"/>
    <w:rsid w:val="0015016B"/>
    <w:rsid w:val="001516AE"/>
    <w:rsid w:val="0015217F"/>
    <w:rsid w:val="00157DBA"/>
    <w:rsid w:val="00157E29"/>
    <w:rsid w:val="0016562C"/>
    <w:rsid w:val="00171000"/>
    <w:rsid w:val="00176A08"/>
    <w:rsid w:val="00180439"/>
    <w:rsid w:val="001827FB"/>
    <w:rsid w:val="00187617"/>
    <w:rsid w:val="001907CA"/>
    <w:rsid w:val="00194E1E"/>
    <w:rsid w:val="001A00A7"/>
    <w:rsid w:val="001A016A"/>
    <w:rsid w:val="001A3813"/>
    <w:rsid w:val="001A4CCE"/>
    <w:rsid w:val="001A5568"/>
    <w:rsid w:val="001B01D3"/>
    <w:rsid w:val="001B15FB"/>
    <w:rsid w:val="001B4C2F"/>
    <w:rsid w:val="001B66CB"/>
    <w:rsid w:val="001B69F9"/>
    <w:rsid w:val="001C0C29"/>
    <w:rsid w:val="001C3177"/>
    <w:rsid w:val="001C3C98"/>
    <w:rsid w:val="001D126E"/>
    <w:rsid w:val="001D19A0"/>
    <w:rsid w:val="001D3505"/>
    <w:rsid w:val="001E382D"/>
    <w:rsid w:val="001E659B"/>
    <w:rsid w:val="001F1939"/>
    <w:rsid w:val="001F28BA"/>
    <w:rsid w:val="001F365F"/>
    <w:rsid w:val="001F4ED3"/>
    <w:rsid w:val="001F5138"/>
    <w:rsid w:val="001F57DE"/>
    <w:rsid w:val="001F6762"/>
    <w:rsid w:val="001F67E3"/>
    <w:rsid w:val="00201FB5"/>
    <w:rsid w:val="00202A79"/>
    <w:rsid w:val="00214B03"/>
    <w:rsid w:val="0021524B"/>
    <w:rsid w:val="0021680F"/>
    <w:rsid w:val="00216E9B"/>
    <w:rsid w:val="00220B67"/>
    <w:rsid w:val="002217F0"/>
    <w:rsid w:val="00221CCF"/>
    <w:rsid w:val="0022449B"/>
    <w:rsid w:val="00225F62"/>
    <w:rsid w:val="0022664E"/>
    <w:rsid w:val="002329BA"/>
    <w:rsid w:val="00233EA3"/>
    <w:rsid w:val="002341CC"/>
    <w:rsid w:val="00234E4F"/>
    <w:rsid w:val="00240B1E"/>
    <w:rsid w:val="0024166D"/>
    <w:rsid w:val="0024447E"/>
    <w:rsid w:val="002448F4"/>
    <w:rsid w:val="002456C2"/>
    <w:rsid w:val="0024606D"/>
    <w:rsid w:val="0024719B"/>
    <w:rsid w:val="00247623"/>
    <w:rsid w:val="00252880"/>
    <w:rsid w:val="0025317E"/>
    <w:rsid w:val="00253247"/>
    <w:rsid w:val="0025743F"/>
    <w:rsid w:val="00262E65"/>
    <w:rsid w:val="00263023"/>
    <w:rsid w:val="00263700"/>
    <w:rsid w:val="002648C6"/>
    <w:rsid w:val="0026619F"/>
    <w:rsid w:val="00275EE0"/>
    <w:rsid w:val="00276749"/>
    <w:rsid w:val="00277E02"/>
    <w:rsid w:val="00280802"/>
    <w:rsid w:val="0028149F"/>
    <w:rsid w:val="002816BF"/>
    <w:rsid w:val="00285535"/>
    <w:rsid w:val="0028555C"/>
    <w:rsid w:val="002906ED"/>
    <w:rsid w:val="00291913"/>
    <w:rsid w:val="00292C84"/>
    <w:rsid w:val="002A1D13"/>
    <w:rsid w:val="002A58FE"/>
    <w:rsid w:val="002A5A6E"/>
    <w:rsid w:val="002B0C57"/>
    <w:rsid w:val="002B16FA"/>
    <w:rsid w:val="002B1A33"/>
    <w:rsid w:val="002B1AFB"/>
    <w:rsid w:val="002B3EB7"/>
    <w:rsid w:val="002B4971"/>
    <w:rsid w:val="002C1DC1"/>
    <w:rsid w:val="002C203E"/>
    <w:rsid w:val="002C22F3"/>
    <w:rsid w:val="002C27F4"/>
    <w:rsid w:val="002C3ADF"/>
    <w:rsid w:val="002C4FAF"/>
    <w:rsid w:val="002D09E2"/>
    <w:rsid w:val="002D1B19"/>
    <w:rsid w:val="002D2251"/>
    <w:rsid w:val="002D2BA1"/>
    <w:rsid w:val="002D430D"/>
    <w:rsid w:val="002D5247"/>
    <w:rsid w:val="002D60A0"/>
    <w:rsid w:val="002D61F8"/>
    <w:rsid w:val="002D65CC"/>
    <w:rsid w:val="002D6F61"/>
    <w:rsid w:val="002E053A"/>
    <w:rsid w:val="002E1E27"/>
    <w:rsid w:val="002F2F2D"/>
    <w:rsid w:val="00301515"/>
    <w:rsid w:val="00302C56"/>
    <w:rsid w:val="00303877"/>
    <w:rsid w:val="003046CE"/>
    <w:rsid w:val="00306670"/>
    <w:rsid w:val="0031156F"/>
    <w:rsid w:val="003132D3"/>
    <w:rsid w:val="00313546"/>
    <w:rsid w:val="00313924"/>
    <w:rsid w:val="00314891"/>
    <w:rsid w:val="00314CD0"/>
    <w:rsid w:val="0031554B"/>
    <w:rsid w:val="0031559D"/>
    <w:rsid w:val="00315D50"/>
    <w:rsid w:val="00315FCD"/>
    <w:rsid w:val="0031636F"/>
    <w:rsid w:val="00316395"/>
    <w:rsid w:val="00317A70"/>
    <w:rsid w:val="00321A17"/>
    <w:rsid w:val="00323153"/>
    <w:rsid w:val="0032625B"/>
    <w:rsid w:val="00332884"/>
    <w:rsid w:val="003335F9"/>
    <w:rsid w:val="00335EC2"/>
    <w:rsid w:val="00340D4E"/>
    <w:rsid w:val="00341BC2"/>
    <w:rsid w:val="0034350C"/>
    <w:rsid w:val="00350329"/>
    <w:rsid w:val="00353CB5"/>
    <w:rsid w:val="003576FE"/>
    <w:rsid w:val="003606C4"/>
    <w:rsid w:val="00361DF1"/>
    <w:rsid w:val="00362CDC"/>
    <w:rsid w:val="003632CF"/>
    <w:rsid w:val="00363960"/>
    <w:rsid w:val="00365194"/>
    <w:rsid w:val="00367E50"/>
    <w:rsid w:val="00370A70"/>
    <w:rsid w:val="00372CA2"/>
    <w:rsid w:val="00374C6B"/>
    <w:rsid w:val="00376094"/>
    <w:rsid w:val="003855A0"/>
    <w:rsid w:val="003856EC"/>
    <w:rsid w:val="00385FF3"/>
    <w:rsid w:val="0038632F"/>
    <w:rsid w:val="003879D0"/>
    <w:rsid w:val="00387BBE"/>
    <w:rsid w:val="00395A7A"/>
    <w:rsid w:val="003A18A0"/>
    <w:rsid w:val="003A32D5"/>
    <w:rsid w:val="003A580D"/>
    <w:rsid w:val="003B1DA0"/>
    <w:rsid w:val="003B43C3"/>
    <w:rsid w:val="003B5CEE"/>
    <w:rsid w:val="003C137A"/>
    <w:rsid w:val="003C405E"/>
    <w:rsid w:val="003C6C90"/>
    <w:rsid w:val="003D0F8F"/>
    <w:rsid w:val="003D27C1"/>
    <w:rsid w:val="003D410C"/>
    <w:rsid w:val="003D43D6"/>
    <w:rsid w:val="003D70A8"/>
    <w:rsid w:val="003D732C"/>
    <w:rsid w:val="003E00F5"/>
    <w:rsid w:val="003E34DD"/>
    <w:rsid w:val="003E40DA"/>
    <w:rsid w:val="003E5491"/>
    <w:rsid w:val="003E58EC"/>
    <w:rsid w:val="003E6571"/>
    <w:rsid w:val="003F01B8"/>
    <w:rsid w:val="003F0BDB"/>
    <w:rsid w:val="003F0ECD"/>
    <w:rsid w:val="003F1004"/>
    <w:rsid w:val="003F1D04"/>
    <w:rsid w:val="003F41B0"/>
    <w:rsid w:val="003F45E5"/>
    <w:rsid w:val="003F7A3F"/>
    <w:rsid w:val="00400AB9"/>
    <w:rsid w:val="0040580F"/>
    <w:rsid w:val="00405815"/>
    <w:rsid w:val="00406679"/>
    <w:rsid w:val="004077D0"/>
    <w:rsid w:val="00415528"/>
    <w:rsid w:val="004174B5"/>
    <w:rsid w:val="00422C91"/>
    <w:rsid w:val="00427277"/>
    <w:rsid w:val="00427654"/>
    <w:rsid w:val="0043241E"/>
    <w:rsid w:val="004331D7"/>
    <w:rsid w:val="00433D8C"/>
    <w:rsid w:val="00434C96"/>
    <w:rsid w:val="004359CE"/>
    <w:rsid w:val="00445CF7"/>
    <w:rsid w:val="0044608C"/>
    <w:rsid w:val="00451193"/>
    <w:rsid w:val="004547DB"/>
    <w:rsid w:val="0046036F"/>
    <w:rsid w:val="00460544"/>
    <w:rsid w:val="00460914"/>
    <w:rsid w:val="004609A4"/>
    <w:rsid w:val="00460BDC"/>
    <w:rsid w:val="00461479"/>
    <w:rsid w:val="00464E8A"/>
    <w:rsid w:val="004670AE"/>
    <w:rsid w:val="00467976"/>
    <w:rsid w:val="00467CD6"/>
    <w:rsid w:val="00476B50"/>
    <w:rsid w:val="00477D20"/>
    <w:rsid w:val="004808FC"/>
    <w:rsid w:val="00480E51"/>
    <w:rsid w:val="00482EB0"/>
    <w:rsid w:val="004842E4"/>
    <w:rsid w:val="0048538B"/>
    <w:rsid w:val="00485D4A"/>
    <w:rsid w:val="00485DD1"/>
    <w:rsid w:val="00490F2D"/>
    <w:rsid w:val="004913A0"/>
    <w:rsid w:val="004913FF"/>
    <w:rsid w:val="004921C9"/>
    <w:rsid w:val="00492290"/>
    <w:rsid w:val="004951AE"/>
    <w:rsid w:val="004957D5"/>
    <w:rsid w:val="0049797A"/>
    <w:rsid w:val="004A2141"/>
    <w:rsid w:val="004A2872"/>
    <w:rsid w:val="004A684C"/>
    <w:rsid w:val="004A7EFC"/>
    <w:rsid w:val="004B0C9D"/>
    <w:rsid w:val="004B1D86"/>
    <w:rsid w:val="004B3EAE"/>
    <w:rsid w:val="004B7520"/>
    <w:rsid w:val="004B78B9"/>
    <w:rsid w:val="004C219F"/>
    <w:rsid w:val="004C22B8"/>
    <w:rsid w:val="004C3DB0"/>
    <w:rsid w:val="004C712F"/>
    <w:rsid w:val="004C73D8"/>
    <w:rsid w:val="004D5A7C"/>
    <w:rsid w:val="004D7912"/>
    <w:rsid w:val="004E0DEC"/>
    <w:rsid w:val="004E49E1"/>
    <w:rsid w:val="004E5A60"/>
    <w:rsid w:val="004F298D"/>
    <w:rsid w:val="004F336F"/>
    <w:rsid w:val="004F3603"/>
    <w:rsid w:val="004F3CEC"/>
    <w:rsid w:val="004F4639"/>
    <w:rsid w:val="004F6F64"/>
    <w:rsid w:val="00501D17"/>
    <w:rsid w:val="0051292E"/>
    <w:rsid w:val="005143F5"/>
    <w:rsid w:val="005145DC"/>
    <w:rsid w:val="0051471D"/>
    <w:rsid w:val="00515979"/>
    <w:rsid w:val="0052001C"/>
    <w:rsid w:val="0052588A"/>
    <w:rsid w:val="00525F17"/>
    <w:rsid w:val="0052638E"/>
    <w:rsid w:val="005273AB"/>
    <w:rsid w:val="0053007F"/>
    <w:rsid w:val="005320B5"/>
    <w:rsid w:val="00533E67"/>
    <w:rsid w:val="0053439A"/>
    <w:rsid w:val="00536ED2"/>
    <w:rsid w:val="00537D6B"/>
    <w:rsid w:val="00541FF2"/>
    <w:rsid w:val="00545B71"/>
    <w:rsid w:val="005524B5"/>
    <w:rsid w:val="00554AAA"/>
    <w:rsid w:val="0056058F"/>
    <w:rsid w:val="00560D99"/>
    <w:rsid w:val="00560E2D"/>
    <w:rsid w:val="00562E0E"/>
    <w:rsid w:val="0056303C"/>
    <w:rsid w:val="0056696A"/>
    <w:rsid w:val="00566B47"/>
    <w:rsid w:val="0057191D"/>
    <w:rsid w:val="0057323B"/>
    <w:rsid w:val="00573808"/>
    <w:rsid w:val="00574EF6"/>
    <w:rsid w:val="00576677"/>
    <w:rsid w:val="00580359"/>
    <w:rsid w:val="00581220"/>
    <w:rsid w:val="005816AC"/>
    <w:rsid w:val="00581792"/>
    <w:rsid w:val="00582DE1"/>
    <w:rsid w:val="005836FB"/>
    <w:rsid w:val="00585361"/>
    <w:rsid w:val="00586E49"/>
    <w:rsid w:val="005875F9"/>
    <w:rsid w:val="005932BA"/>
    <w:rsid w:val="005953B4"/>
    <w:rsid w:val="00595ECF"/>
    <w:rsid w:val="00596D5C"/>
    <w:rsid w:val="005A13D0"/>
    <w:rsid w:val="005A64A7"/>
    <w:rsid w:val="005B0E6E"/>
    <w:rsid w:val="005B2105"/>
    <w:rsid w:val="005B4E08"/>
    <w:rsid w:val="005B57F1"/>
    <w:rsid w:val="005B6764"/>
    <w:rsid w:val="005B758D"/>
    <w:rsid w:val="005C027E"/>
    <w:rsid w:val="005C403A"/>
    <w:rsid w:val="005C5165"/>
    <w:rsid w:val="005C680F"/>
    <w:rsid w:val="005C740F"/>
    <w:rsid w:val="005C7B46"/>
    <w:rsid w:val="005D1134"/>
    <w:rsid w:val="005D6D5C"/>
    <w:rsid w:val="005D7B81"/>
    <w:rsid w:val="005E0BA8"/>
    <w:rsid w:val="005E1380"/>
    <w:rsid w:val="005E370E"/>
    <w:rsid w:val="005E5E11"/>
    <w:rsid w:val="005E6CD1"/>
    <w:rsid w:val="005F3256"/>
    <w:rsid w:val="005F423E"/>
    <w:rsid w:val="005F73CF"/>
    <w:rsid w:val="005F7B14"/>
    <w:rsid w:val="0060105E"/>
    <w:rsid w:val="0060106A"/>
    <w:rsid w:val="00601C1E"/>
    <w:rsid w:val="00603E2B"/>
    <w:rsid w:val="00604A3C"/>
    <w:rsid w:val="00604CFF"/>
    <w:rsid w:val="00607672"/>
    <w:rsid w:val="006079F6"/>
    <w:rsid w:val="0061137C"/>
    <w:rsid w:val="00613D42"/>
    <w:rsid w:val="006144A3"/>
    <w:rsid w:val="00616221"/>
    <w:rsid w:val="00616638"/>
    <w:rsid w:val="0061697F"/>
    <w:rsid w:val="00617185"/>
    <w:rsid w:val="00623FAB"/>
    <w:rsid w:val="006342D4"/>
    <w:rsid w:val="0063457E"/>
    <w:rsid w:val="00641B06"/>
    <w:rsid w:val="00641B1C"/>
    <w:rsid w:val="0064419D"/>
    <w:rsid w:val="00650AA4"/>
    <w:rsid w:val="00652163"/>
    <w:rsid w:val="00652A5F"/>
    <w:rsid w:val="00653610"/>
    <w:rsid w:val="00654447"/>
    <w:rsid w:val="00656777"/>
    <w:rsid w:val="0065693D"/>
    <w:rsid w:val="00663975"/>
    <w:rsid w:val="00670CC1"/>
    <w:rsid w:val="00672973"/>
    <w:rsid w:val="006768CC"/>
    <w:rsid w:val="00680982"/>
    <w:rsid w:val="00680D6E"/>
    <w:rsid w:val="0068188D"/>
    <w:rsid w:val="006823D9"/>
    <w:rsid w:val="00683A96"/>
    <w:rsid w:val="00687959"/>
    <w:rsid w:val="00690EA9"/>
    <w:rsid w:val="00691832"/>
    <w:rsid w:val="00697359"/>
    <w:rsid w:val="006A201E"/>
    <w:rsid w:val="006A2ABE"/>
    <w:rsid w:val="006A7126"/>
    <w:rsid w:val="006B3211"/>
    <w:rsid w:val="006B3590"/>
    <w:rsid w:val="006B36F1"/>
    <w:rsid w:val="006B470C"/>
    <w:rsid w:val="006B5C06"/>
    <w:rsid w:val="006B6AC8"/>
    <w:rsid w:val="006B7F06"/>
    <w:rsid w:val="006C1B95"/>
    <w:rsid w:val="006C32C8"/>
    <w:rsid w:val="006C4019"/>
    <w:rsid w:val="006C591C"/>
    <w:rsid w:val="006C6494"/>
    <w:rsid w:val="006C781A"/>
    <w:rsid w:val="006D1302"/>
    <w:rsid w:val="006D31FF"/>
    <w:rsid w:val="006D6C82"/>
    <w:rsid w:val="006E0150"/>
    <w:rsid w:val="006E0531"/>
    <w:rsid w:val="006E3E11"/>
    <w:rsid w:val="006E61ED"/>
    <w:rsid w:val="006E7452"/>
    <w:rsid w:val="006F0D73"/>
    <w:rsid w:val="006F2832"/>
    <w:rsid w:val="006F2D07"/>
    <w:rsid w:val="006F2F1F"/>
    <w:rsid w:val="006F3441"/>
    <w:rsid w:val="006F44AB"/>
    <w:rsid w:val="006F4D60"/>
    <w:rsid w:val="006F586C"/>
    <w:rsid w:val="00701394"/>
    <w:rsid w:val="007067E2"/>
    <w:rsid w:val="00706D49"/>
    <w:rsid w:val="00706EBF"/>
    <w:rsid w:val="0071041E"/>
    <w:rsid w:val="00711C81"/>
    <w:rsid w:val="007124C8"/>
    <w:rsid w:val="00712888"/>
    <w:rsid w:val="007150A2"/>
    <w:rsid w:val="0071784F"/>
    <w:rsid w:val="00720864"/>
    <w:rsid w:val="00721AA9"/>
    <w:rsid w:val="007220E7"/>
    <w:rsid w:val="00724176"/>
    <w:rsid w:val="00724722"/>
    <w:rsid w:val="00731BA9"/>
    <w:rsid w:val="00732C3A"/>
    <w:rsid w:val="00732F41"/>
    <w:rsid w:val="00733B9B"/>
    <w:rsid w:val="00733DCC"/>
    <w:rsid w:val="007361D6"/>
    <w:rsid w:val="00740AD9"/>
    <w:rsid w:val="00744C57"/>
    <w:rsid w:val="00746759"/>
    <w:rsid w:val="00747FB8"/>
    <w:rsid w:val="00750B9D"/>
    <w:rsid w:val="0075291B"/>
    <w:rsid w:val="00753F3C"/>
    <w:rsid w:val="00754895"/>
    <w:rsid w:val="00755C5E"/>
    <w:rsid w:val="007569C5"/>
    <w:rsid w:val="007572E5"/>
    <w:rsid w:val="0075743F"/>
    <w:rsid w:val="007576F1"/>
    <w:rsid w:val="00760269"/>
    <w:rsid w:val="00760571"/>
    <w:rsid w:val="00762D92"/>
    <w:rsid w:val="007631B9"/>
    <w:rsid w:val="00764109"/>
    <w:rsid w:val="00766672"/>
    <w:rsid w:val="007679F3"/>
    <w:rsid w:val="00771214"/>
    <w:rsid w:val="00772125"/>
    <w:rsid w:val="00773172"/>
    <w:rsid w:val="007744AF"/>
    <w:rsid w:val="00774DB6"/>
    <w:rsid w:val="00775CD4"/>
    <w:rsid w:val="0078057D"/>
    <w:rsid w:val="00780F55"/>
    <w:rsid w:val="0079265D"/>
    <w:rsid w:val="007934F5"/>
    <w:rsid w:val="00795DF8"/>
    <w:rsid w:val="00796E19"/>
    <w:rsid w:val="007A426E"/>
    <w:rsid w:val="007A5130"/>
    <w:rsid w:val="007B0DBD"/>
    <w:rsid w:val="007B0FA7"/>
    <w:rsid w:val="007B1EAE"/>
    <w:rsid w:val="007B2EA3"/>
    <w:rsid w:val="007B3126"/>
    <w:rsid w:val="007B49EE"/>
    <w:rsid w:val="007B4D1E"/>
    <w:rsid w:val="007B7204"/>
    <w:rsid w:val="007C263F"/>
    <w:rsid w:val="007C2F86"/>
    <w:rsid w:val="007C3551"/>
    <w:rsid w:val="007C3B1B"/>
    <w:rsid w:val="007C3E93"/>
    <w:rsid w:val="007C4108"/>
    <w:rsid w:val="007C7F64"/>
    <w:rsid w:val="007D5FA2"/>
    <w:rsid w:val="007D6881"/>
    <w:rsid w:val="007E03E5"/>
    <w:rsid w:val="007E1409"/>
    <w:rsid w:val="007E32C2"/>
    <w:rsid w:val="007E5DAA"/>
    <w:rsid w:val="007F327F"/>
    <w:rsid w:val="007F3C7A"/>
    <w:rsid w:val="007F63BD"/>
    <w:rsid w:val="007F7EE5"/>
    <w:rsid w:val="007F7FCD"/>
    <w:rsid w:val="0080169E"/>
    <w:rsid w:val="008036BB"/>
    <w:rsid w:val="0080674A"/>
    <w:rsid w:val="00811A2F"/>
    <w:rsid w:val="00812369"/>
    <w:rsid w:val="00813C6D"/>
    <w:rsid w:val="00816285"/>
    <w:rsid w:val="00821491"/>
    <w:rsid w:val="00823044"/>
    <w:rsid w:val="008239CE"/>
    <w:rsid w:val="00824E65"/>
    <w:rsid w:val="008272A8"/>
    <w:rsid w:val="00830743"/>
    <w:rsid w:val="00831BC8"/>
    <w:rsid w:val="008325EE"/>
    <w:rsid w:val="008344FD"/>
    <w:rsid w:val="00835CAF"/>
    <w:rsid w:val="008446BC"/>
    <w:rsid w:val="0084778A"/>
    <w:rsid w:val="0085137C"/>
    <w:rsid w:val="00853114"/>
    <w:rsid w:val="0085536D"/>
    <w:rsid w:val="0085579D"/>
    <w:rsid w:val="00856944"/>
    <w:rsid w:val="00860091"/>
    <w:rsid w:val="00860F11"/>
    <w:rsid w:val="00864A89"/>
    <w:rsid w:val="0086688B"/>
    <w:rsid w:val="0086691C"/>
    <w:rsid w:val="008675C7"/>
    <w:rsid w:val="00872454"/>
    <w:rsid w:val="0087554B"/>
    <w:rsid w:val="00876514"/>
    <w:rsid w:val="0087685F"/>
    <w:rsid w:val="00876A46"/>
    <w:rsid w:val="00876E9B"/>
    <w:rsid w:val="00877D35"/>
    <w:rsid w:val="00890541"/>
    <w:rsid w:val="00896EDF"/>
    <w:rsid w:val="00897F74"/>
    <w:rsid w:val="008A2B3A"/>
    <w:rsid w:val="008A2EA4"/>
    <w:rsid w:val="008A3786"/>
    <w:rsid w:val="008A5E3E"/>
    <w:rsid w:val="008B02C0"/>
    <w:rsid w:val="008B241F"/>
    <w:rsid w:val="008B4FC7"/>
    <w:rsid w:val="008C0A81"/>
    <w:rsid w:val="008C27B7"/>
    <w:rsid w:val="008C294A"/>
    <w:rsid w:val="008C31BC"/>
    <w:rsid w:val="008C564D"/>
    <w:rsid w:val="008C6F8E"/>
    <w:rsid w:val="008D0BE6"/>
    <w:rsid w:val="008D0E14"/>
    <w:rsid w:val="008D0F9C"/>
    <w:rsid w:val="008D2804"/>
    <w:rsid w:val="008D5A69"/>
    <w:rsid w:val="008D6492"/>
    <w:rsid w:val="008D79D6"/>
    <w:rsid w:val="008E11C1"/>
    <w:rsid w:val="008E1CB4"/>
    <w:rsid w:val="008E27B4"/>
    <w:rsid w:val="008E282A"/>
    <w:rsid w:val="008E2EB8"/>
    <w:rsid w:val="008E416A"/>
    <w:rsid w:val="008F2C68"/>
    <w:rsid w:val="008F6981"/>
    <w:rsid w:val="00902336"/>
    <w:rsid w:val="00902B5D"/>
    <w:rsid w:val="00903154"/>
    <w:rsid w:val="00903DE0"/>
    <w:rsid w:val="00904B70"/>
    <w:rsid w:val="0090751E"/>
    <w:rsid w:val="009075DA"/>
    <w:rsid w:val="00910140"/>
    <w:rsid w:val="009101A4"/>
    <w:rsid w:val="00910B40"/>
    <w:rsid w:val="009129F7"/>
    <w:rsid w:val="00913852"/>
    <w:rsid w:val="00913DB8"/>
    <w:rsid w:val="00916D50"/>
    <w:rsid w:val="00917076"/>
    <w:rsid w:val="009203A0"/>
    <w:rsid w:val="009211C4"/>
    <w:rsid w:val="009236BF"/>
    <w:rsid w:val="00925F38"/>
    <w:rsid w:val="00931D26"/>
    <w:rsid w:val="00935846"/>
    <w:rsid w:val="00935DC9"/>
    <w:rsid w:val="009362B8"/>
    <w:rsid w:val="009375A4"/>
    <w:rsid w:val="00937CB0"/>
    <w:rsid w:val="009409DD"/>
    <w:rsid w:val="00946662"/>
    <w:rsid w:val="00950639"/>
    <w:rsid w:val="00954C80"/>
    <w:rsid w:val="009558A7"/>
    <w:rsid w:val="00961792"/>
    <w:rsid w:val="00962DA3"/>
    <w:rsid w:val="00962EED"/>
    <w:rsid w:val="00963954"/>
    <w:rsid w:val="0096533D"/>
    <w:rsid w:val="009662DC"/>
    <w:rsid w:val="0096776A"/>
    <w:rsid w:val="009703C9"/>
    <w:rsid w:val="009753C0"/>
    <w:rsid w:val="009757F3"/>
    <w:rsid w:val="00976F0F"/>
    <w:rsid w:val="0098015F"/>
    <w:rsid w:val="00985C24"/>
    <w:rsid w:val="00986584"/>
    <w:rsid w:val="00986A53"/>
    <w:rsid w:val="00986D53"/>
    <w:rsid w:val="009926EB"/>
    <w:rsid w:val="009979D8"/>
    <w:rsid w:val="009A0D7F"/>
    <w:rsid w:val="009A124E"/>
    <w:rsid w:val="009A3285"/>
    <w:rsid w:val="009A5A7F"/>
    <w:rsid w:val="009A7404"/>
    <w:rsid w:val="009B0128"/>
    <w:rsid w:val="009B0BDA"/>
    <w:rsid w:val="009B0FFE"/>
    <w:rsid w:val="009B18C4"/>
    <w:rsid w:val="009B1CCF"/>
    <w:rsid w:val="009B2F69"/>
    <w:rsid w:val="009B6141"/>
    <w:rsid w:val="009B6797"/>
    <w:rsid w:val="009B6AEB"/>
    <w:rsid w:val="009C3242"/>
    <w:rsid w:val="009C3EC2"/>
    <w:rsid w:val="009C4A1C"/>
    <w:rsid w:val="009C66BD"/>
    <w:rsid w:val="009D0731"/>
    <w:rsid w:val="009D1AB7"/>
    <w:rsid w:val="009D21DD"/>
    <w:rsid w:val="009D3236"/>
    <w:rsid w:val="009D34D7"/>
    <w:rsid w:val="009E0877"/>
    <w:rsid w:val="009E1C83"/>
    <w:rsid w:val="009E2CB1"/>
    <w:rsid w:val="009F09EF"/>
    <w:rsid w:val="009F5FC4"/>
    <w:rsid w:val="009F7BAB"/>
    <w:rsid w:val="00A00CAA"/>
    <w:rsid w:val="00A05E78"/>
    <w:rsid w:val="00A06C0A"/>
    <w:rsid w:val="00A07453"/>
    <w:rsid w:val="00A077DA"/>
    <w:rsid w:val="00A07FE8"/>
    <w:rsid w:val="00A11865"/>
    <w:rsid w:val="00A13A23"/>
    <w:rsid w:val="00A14176"/>
    <w:rsid w:val="00A14255"/>
    <w:rsid w:val="00A15248"/>
    <w:rsid w:val="00A1544A"/>
    <w:rsid w:val="00A1692B"/>
    <w:rsid w:val="00A17F96"/>
    <w:rsid w:val="00A20E22"/>
    <w:rsid w:val="00A214C6"/>
    <w:rsid w:val="00A229F0"/>
    <w:rsid w:val="00A23A09"/>
    <w:rsid w:val="00A25AB6"/>
    <w:rsid w:val="00A25C41"/>
    <w:rsid w:val="00A267BC"/>
    <w:rsid w:val="00A323FD"/>
    <w:rsid w:val="00A3545A"/>
    <w:rsid w:val="00A36DEA"/>
    <w:rsid w:val="00A44AD0"/>
    <w:rsid w:val="00A44D63"/>
    <w:rsid w:val="00A464DC"/>
    <w:rsid w:val="00A47815"/>
    <w:rsid w:val="00A54711"/>
    <w:rsid w:val="00A547AE"/>
    <w:rsid w:val="00A54E38"/>
    <w:rsid w:val="00A55468"/>
    <w:rsid w:val="00A55F2F"/>
    <w:rsid w:val="00A569E4"/>
    <w:rsid w:val="00A56A25"/>
    <w:rsid w:val="00A5795E"/>
    <w:rsid w:val="00A65727"/>
    <w:rsid w:val="00A67B9D"/>
    <w:rsid w:val="00A7396F"/>
    <w:rsid w:val="00A75CD7"/>
    <w:rsid w:val="00A77A3C"/>
    <w:rsid w:val="00A809DF"/>
    <w:rsid w:val="00A824AF"/>
    <w:rsid w:val="00A8273F"/>
    <w:rsid w:val="00A8336A"/>
    <w:rsid w:val="00A85B75"/>
    <w:rsid w:val="00A86A03"/>
    <w:rsid w:val="00A922FD"/>
    <w:rsid w:val="00A92C9E"/>
    <w:rsid w:val="00A9377C"/>
    <w:rsid w:val="00AA252A"/>
    <w:rsid w:val="00AA265D"/>
    <w:rsid w:val="00AA3683"/>
    <w:rsid w:val="00AA45EC"/>
    <w:rsid w:val="00AA5B82"/>
    <w:rsid w:val="00AA6AD5"/>
    <w:rsid w:val="00AA79C4"/>
    <w:rsid w:val="00AB35BE"/>
    <w:rsid w:val="00AB369C"/>
    <w:rsid w:val="00AB5112"/>
    <w:rsid w:val="00AB620D"/>
    <w:rsid w:val="00AC4CEF"/>
    <w:rsid w:val="00AC73C8"/>
    <w:rsid w:val="00AD0185"/>
    <w:rsid w:val="00AD0360"/>
    <w:rsid w:val="00AD0CC5"/>
    <w:rsid w:val="00AD15C7"/>
    <w:rsid w:val="00AD45FC"/>
    <w:rsid w:val="00AD7215"/>
    <w:rsid w:val="00AE16BD"/>
    <w:rsid w:val="00AE3EE2"/>
    <w:rsid w:val="00AE4EB4"/>
    <w:rsid w:val="00AE522A"/>
    <w:rsid w:val="00AF04F4"/>
    <w:rsid w:val="00AF1A8C"/>
    <w:rsid w:val="00AF2955"/>
    <w:rsid w:val="00AF35EB"/>
    <w:rsid w:val="00AF6AD7"/>
    <w:rsid w:val="00B00CBF"/>
    <w:rsid w:val="00B02CE4"/>
    <w:rsid w:val="00B02F9E"/>
    <w:rsid w:val="00B0316F"/>
    <w:rsid w:val="00B055D7"/>
    <w:rsid w:val="00B069AF"/>
    <w:rsid w:val="00B06CA1"/>
    <w:rsid w:val="00B07323"/>
    <w:rsid w:val="00B10BA6"/>
    <w:rsid w:val="00B12C5F"/>
    <w:rsid w:val="00B166E3"/>
    <w:rsid w:val="00B23981"/>
    <w:rsid w:val="00B24F56"/>
    <w:rsid w:val="00B25D2D"/>
    <w:rsid w:val="00B26F81"/>
    <w:rsid w:val="00B27794"/>
    <w:rsid w:val="00B27D04"/>
    <w:rsid w:val="00B30941"/>
    <w:rsid w:val="00B335D6"/>
    <w:rsid w:val="00B44E2C"/>
    <w:rsid w:val="00B46833"/>
    <w:rsid w:val="00B46A03"/>
    <w:rsid w:val="00B47E08"/>
    <w:rsid w:val="00B5055F"/>
    <w:rsid w:val="00B52358"/>
    <w:rsid w:val="00B55A93"/>
    <w:rsid w:val="00B56E1B"/>
    <w:rsid w:val="00B6297D"/>
    <w:rsid w:val="00B62EDB"/>
    <w:rsid w:val="00B62F69"/>
    <w:rsid w:val="00B6340B"/>
    <w:rsid w:val="00B63699"/>
    <w:rsid w:val="00B63700"/>
    <w:rsid w:val="00B65FFD"/>
    <w:rsid w:val="00B713DE"/>
    <w:rsid w:val="00B72F45"/>
    <w:rsid w:val="00B73AED"/>
    <w:rsid w:val="00B7557F"/>
    <w:rsid w:val="00B80934"/>
    <w:rsid w:val="00B83A4C"/>
    <w:rsid w:val="00B8520F"/>
    <w:rsid w:val="00B872AB"/>
    <w:rsid w:val="00B908C9"/>
    <w:rsid w:val="00B90FFC"/>
    <w:rsid w:val="00B9333E"/>
    <w:rsid w:val="00B93BD0"/>
    <w:rsid w:val="00B949AD"/>
    <w:rsid w:val="00B958E7"/>
    <w:rsid w:val="00B96969"/>
    <w:rsid w:val="00BA240A"/>
    <w:rsid w:val="00BA3568"/>
    <w:rsid w:val="00BA45FE"/>
    <w:rsid w:val="00BA52B0"/>
    <w:rsid w:val="00BA56E2"/>
    <w:rsid w:val="00BA7CBD"/>
    <w:rsid w:val="00BB005A"/>
    <w:rsid w:val="00BB03BE"/>
    <w:rsid w:val="00BB2512"/>
    <w:rsid w:val="00BB3B90"/>
    <w:rsid w:val="00BB4337"/>
    <w:rsid w:val="00BC0F23"/>
    <w:rsid w:val="00BC7555"/>
    <w:rsid w:val="00BD0A4B"/>
    <w:rsid w:val="00BD156B"/>
    <w:rsid w:val="00BD2520"/>
    <w:rsid w:val="00BD320C"/>
    <w:rsid w:val="00BD3278"/>
    <w:rsid w:val="00BD4CC6"/>
    <w:rsid w:val="00BD5F83"/>
    <w:rsid w:val="00BD6631"/>
    <w:rsid w:val="00BE02A5"/>
    <w:rsid w:val="00BE1FC9"/>
    <w:rsid w:val="00BE2803"/>
    <w:rsid w:val="00BE3B84"/>
    <w:rsid w:val="00BE6021"/>
    <w:rsid w:val="00BF0265"/>
    <w:rsid w:val="00BF07F1"/>
    <w:rsid w:val="00BF0B00"/>
    <w:rsid w:val="00BF2480"/>
    <w:rsid w:val="00BF291C"/>
    <w:rsid w:val="00BF49E0"/>
    <w:rsid w:val="00C03EC3"/>
    <w:rsid w:val="00C100C9"/>
    <w:rsid w:val="00C117C2"/>
    <w:rsid w:val="00C11C1B"/>
    <w:rsid w:val="00C1428C"/>
    <w:rsid w:val="00C16F28"/>
    <w:rsid w:val="00C2032D"/>
    <w:rsid w:val="00C20B0B"/>
    <w:rsid w:val="00C211CB"/>
    <w:rsid w:val="00C219A5"/>
    <w:rsid w:val="00C229D8"/>
    <w:rsid w:val="00C2428C"/>
    <w:rsid w:val="00C2502C"/>
    <w:rsid w:val="00C25666"/>
    <w:rsid w:val="00C25D26"/>
    <w:rsid w:val="00C321CC"/>
    <w:rsid w:val="00C346FA"/>
    <w:rsid w:val="00C40909"/>
    <w:rsid w:val="00C40CDF"/>
    <w:rsid w:val="00C4152D"/>
    <w:rsid w:val="00C430CD"/>
    <w:rsid w:val="00C4446E"/>
    <w:rsid w:val="00C4758C"/>
    <w:rsid w:val="00C47720"/>
    <w:rsid w:val="00C55CF3"/>
    <w:rsid w:val="00C612FD"/>
    <w:rsid w:val="00C62132"/>
    <w:rsid w:val="00C64B14"/>
    <w:rsid w:val="00C657ED"/>
    <w:rsid w:val="00C72163"/>
    <w:rsid w:val="00C749BC"/>
    <w:rsid w:val="00C7599C"/>
    <w:rsid w:val="00C75DF3"/>
    <w:rsid w:val="00C7753F"/>
    <w:rsid w:val="00C80742"/>
    <w:rsid w:val="00C82D34"/>
    <w:rsid w:val="00C869E8"/>
    <w:rsid w:val="00C86D25"/>
    <w:rsid w:val="00C9095A"/>
    <w:rsid w:val="00C9414E"/>
    <w:rsid w:val="00C9420B"/>
    <w:rsid w:val="00C950B4"/>
    <w:rsid w:val="00CA1B8A"/>
    <w:rsid w:val="00CB08EA"/>
    <w:rsid w:val="00CB0C66"/>
    <w:rsid w:val="00CB2908"/>
    <w:rsid w:val="00CB6FCF"/>
    <w:rsid w:val="00CC1386"/>
    <w:rsid w:val="00CC1A9A"/>
    <w:rsid w:val="00CC218C"/>
    <w:rsid w:val="00CC236D"/>
    <w:rsid w:val="00CC31C4"/>
    <w:rsid w:val="00CC70CB"/>
    <w:rsid w:val="00CC7E05"/>
    <w:rsid w:val="00CD363B"/>
    <w:rsid w:val="00CD3CBE"/>
    <w:rsid w:val="00CD615B"/>
    <w:rsid w:val="00CD685D"/>
    <w:rsid w:val="00CE0363"/>
    <w:rsid w:val="00CE03DE"/>
    <w:rsid w:val="00CE49B4"/>
    <w:rsid w:val="00CF101F"/>
    <w:rsid w:val="00CF1452"/>
    <w:rsid w:val="00CF2BE4"/>
    <w:rsid w:val="00CF3254"/>
    <w:rsid w:val="00CF3F2C"/>
    <w:rsid w:val="00CF41C2"/>
    <w:rsid w:val="00CF4A66"/>
    <w:rsid w:val="00CF704F"/>
    <w:rsid w:val="00CF7885"/>
    <w:rsid w:val="00D003F0"/>
    <w:rsid w:val="00D03C70"/>
    <w:rsid w:val="00D04B65"/>
    <w:rsid w:val="00D04DB0"/>
    <w:rsid w:val="00D111DF"/>
    <w:rsid w:val="00D15048"/>
    <w:rsid w:val="00D1618E"/>
    <w:rsid w:val="00D16259"/>
    <w:rsid w:val="00D17873"/>
    <w:rsid w:val="00D20874"/>
    <w:rsid w:val="00D22738"/>
    <w:rsid w:val="00D24A27"/>
    <w:rsid w:val="00D252B2"/>
    <w:rsid w:val="00D30C25"/>
    <w:rsid w:val="00D30DAA"/>
    <w:rsid w:val="00D34BF8"/>
    <w:rsid w:val="00D37AD2"/>
    <w:rsid w:val="00D42D5A"/>
    <w:rsid w:val="00D47918"/>
    <w:rsid w:val="00D51FA5"/>
    <w:rsid w:val="00D553EC"/>
    <w:rsid w:val="00D61B62"/>
    <w:rsid w:val="00D64788"/>
    <w:rsid w:val="00D668AD"/>
    <w:rsid w:val="00D700F0"/>
    <w:rsid w:val="00D71B3A"/>
    <w:rsid w:val="00D727A9"/>
    <w:rsid w:val="00D737DA"/>
    <w:rsid w:val="00D77B29"/>
    <w:rsid w:val="00D8288E"/>
    <w:rsid w:val="00D91785"/>
    <w:rsid w:val="00D93CAC"/>
    <w:rsid w:val="00D94FDC"/>
    <w:rsid w:val="00D96301"/>
    <w:rsid w:val="00DA1392"/>
    <w:rsid w:val="00DA19A0"/>
    <w:rsid w:val="00DA1A77"/>
    <w:rsid w:val="00DA4E06"/>
    <w:rsid w:val="00DB002B"/>
    <w:rsid w:val="00DB59FD"/>
    <w:rsid w:val="00DB5B34"/>
    <w:rsid w:val="00DB6754"/>
    <w:rsid w:val="00DC4291"/>
    <w:rsid w:val="00DC5BDD"/>
    <w:rsid w:val="00DD0968"/>
    <w:rsid w:val="00DD6F2E"/>
    <w:rsid w:val="00DF0192"/>
    <w:rsid w:val="00DF02C0"/>
    <w:rsid w:val="00DF1AD9"/>
    <w:rsid w:val="00DF4031"/>
    <w:rsid w:val="00DF48D4"/>
    <w:rsid w:val="00DF4EB1"/>
    <w:rsid w:val="00DF6B3C"/>
    <w:rsid w:val="00DF7273"/>
    <w:rsid w:val="00DF72FD"/>
    <w:rsid w:val="00E06A60"/>
    <w:rsid w:val="00E07152"/>
    <w:rsid w:val="00E0730C"/>
    <w:rsid w:val="00E11A1D"/>
    <w:rsid w:val="00E14A36"/>
    <w:rsid w:val="00E201EE"/>
    <w:rsid w:val="00E2075B"/>
    <w:rsid w:val="00E20DF3"/>
    <w:rsid w:val="00E21D8E"/>
    <w:rsid w:val="00E24E81"/>
    <w:rsid w:val="00E25CC7"/>
    <w:rsid w:val="00E30140"/>
    <w:rsid w:val="00E30610"/>
    <w:rsid w:val="00E30A5D"/>
    <w:rsid w:val="00E31538"/>
    <w:rsid w:val="00E32AED"/>
    <w:rsid w:val="00E330E0"/>
    <w:rsid w:val="00E36A37"/>
    <w:rsid w:val="00E40C67"/>
    <w:rsid w:val="00E417E3"/>
    <w:rsid w:val="00E42717"/>
    <w:rsid w:val="00E46A38"/>
    <w:rsid w:val="00E53F87"/>
    <w:rsid w:val="00E54722"/>
    <w:rsid w:val="00E554BA"/>
    <w:rsid w:val="00E55A96"/>
    <w:rsid w:val="00E55BDD"/>
    <w:rsid w:val="00E56D1E"/>
    <w:rsid w:val="00E643ED"/>
    <w:rsid w:val="00E6660F"/>
    <w:rsid w:val="00E7033D"/>
    <w:rsid w:val="00E71440"/>
    <w:rsid w:val="00E72F60"/>
    <w:rsid w:val="00E73EF8"/>
    <w:rsid w:val="00E77729"/>
    <w:rsid w:val="00E82CF0"/>
    <w:rsid w:val="00E84DF2"/>
    <w:rsid w:val="00E87A1A"/>
    <w:rsid w:val="00E90A56"/>
    <w:rsid w:val="00E913FE"/>
    <w:rsid w:val="00E9381B"/>
    <w:rsid w:val="00EA2C38"/>
    <w:rsid w:val="00EA3ED4"/>
    <w:rsid w:val="00EA5056"/>
    <w:rsid w:val="00EA5DC9"/>
    <w:rsid w:val="00EA6114"/>
    <w:rsid w:val="00EB2E3F"/>
    <w:rsid w:val="00EB395F"/>
    <w:rsid w:val="00EB4B17"/>
    <w:rsid w:val="00EB5F81"/>
    <w:rsid w:val="00EC0FDA"/>
    <w:rsid w:val="00EC10D1"/>
    <w:rsid w:val="00EC3BF9"/>
    <w:rsid w:val="00EC3CCE"/>
    <w:rsid w:val="00EC3D67"/>
    <w:rsid w:val="00EC510D"/>
    <w:rsid w:val="00EC66CA"/>
    <w:rsid w:val="00ED40B2"/>
    <w:rsid w:val="00EE1321"/>
    <w:rsid w:val="00EE37C8"/>
    <w:rsid w:val="00EE4AD8"/>
    <w:rsid w:val="00EE5EA8"/>
    <w:rsid w:val="00EE74B2"/>
    <w:rsid w:val="00EF0465"/>
    <w:rsid w:val="00EF1EA9"/>
    <w:rsid w:val="00EF4DEA"/>
    <w:rsid w:val="00EF5177"/>
    <w:rsid w:val="00F03389"/>
    <w:rsid w:val="00F04E22"/>
    <w:rsid w:val="00F05755"/>
    <w:rsid w:val="00F111A2"/>
    <w:rsid w:val="00F12D7D"/>
    <w:rsid w:val="00F13432"/>
    <w:rsid w:val="00F13E8E"/>
    <w:rsid w:val="00F206FB"/>
    <w:rsid w:val="00F21285"/>
    <w:rsid w:val="00F24030"/>
    <w:rsid w:val="00F242B0"/>
    <w:rsid w:val="00F24D54"/>
    <w:rsid w:val="00F24FEC"/>
    <w:rsid w:val="00F2527E"/>
    <w:rsid w:val="00F25C6B"/>
    <w:rsid w:val="00F26593"/>
    <w:rsid w:val="00F26F03"/>
    <w:rsid w:val="00F3092F"/>
    <w:rsid w:val="00F32016"/>
    <w:rsid w:val="00F32821"/>
    <w:rsid w:val="00F3410B"/>
    <w:rsid w:val="00F3488D"/>
    <w:rsid w:val="00F43CCF"/>
    <w:rsid w:val="00F4490B"/>
    <w:rsid w:val="00F54505"/>
    <w:rsid w:val="00F56EE2"/>
    <w:rsid w:val="00F56F5E"/>
    <w:rsid w:val="00F63C45"/>
    <w:rsid w:val="00F65523"/>
    <w:rsid w:val="00F6664A"/>
    <w:rsid w:val="00F67744"/>
    <w:rsid w:val="00F70158"/>
    <w:rsid w:val="00F71D80"/>
    <w:rsid w:val="00F71E6A"/>
    <w:rsid w:val="00F735B0"/>
    <w:rsid w:val="00F75E79"/>
    <w:rsid w:val="00F80851"/>
    <w:rsid w:val="00F814E9"/>
    <w:rsid w:val="00F81C0B"/>
    <w:rsid w:val="00F871E9"/>
    <w:rsid w:val="00F90E90"/>
    <w:rsid w:val="00F91EBF"/>
    <w:rsid w:val="00F91F71"/>
    <w:rsid w:val="00F95BCF"/>
    <w:rsid w:val="00FA1643"/>
    <w:rsid w:val="00FA4A52"/>
    <w:rsid w:val="00FA546C"/>
    <w:rsid w:val="00FA5C93"/>
    <w:rsid w:val="00FA7282"/>
    <w:rsid w:val="00FB729A"/>
    <w:rsid w:val="00FB7881"/>
    <w:rsid w:val="00FC3A7B"/>
    <w:rsid w:val="00FC3E30"/>
    <w:rsid w:val="00FC55AB"/>
    <w:rsid w:val="00FC61CE"/>
    <w:rsid w:val="00FC74B1"/>
    <w:rsid w:val="00FD12A3"/>
    <w:rsid w:val="00FD2B53"/>
    <w:rsid w:val="00FD3D14"/>
    <w:rsid w:val="00FD40F2"/>
    <w:rsid w:val="00FD4D14"/>
    <w:rsid w:val="00FD690A"/>
    <w:rsid w:val="00FE0319"/>
    <w:rsid w:val="00FE1E64"/>
    <w:rsid w:val="00FE6F2D"/>
    <w:rsid w:val="00FF1B0B"/>
    <w:rsid w:val="00FF3343"/>
    <w:rsid w:val="00FF451A"/>
    <w:rsid w:val="00FF51E5"/>
    <w:rsid w:val="7B6157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BB2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12">
    <w:name w:val="Unresolved Mention12"/>
    <w:rsid w:val="000A3BF0"/>
    <w:rPr>
      <w:color w:val="605E5C"/>
      <w:shd w:val="clear" w:color="auto" w:fill="E1DFDD"/>
    </w:rPr>
  </w:style>
  <w:style w:type="character" w:customStyle="1" w:styleId="UnresolvedMention13">
    <w:name w:val="Unresolved Mention13"/>
    <w:rsid w:val="00541FF2"/>
    <w:rPr>
      <w:color w:val="605E5C"/>
      <w:shd w:val="clear" w:color="auto" w:fill="E1DFDD"/>
    </w:rPr>
  </w:style>
  <w:style w:type="character" w:customStyle="1" w:styleId="UnresolvedMention14">
    <w:name w:val="Unresolved Mention14"/>
    <w:rsid w:val="006B3211"/>
    <w:rPr>
      <w:color w:val="605E5C"/>
      <w:shd w:val="clear" w:color="auto" w:fill="E1DFDD"/>
    </w:rPr>
  </w:style>
  <w:style w:type="character" w:customStyle="1" w:styleId="UnresolvedMention15">
    <w:name w:val="Unresolved Mention15"/>
    <w:uiPriority w:val="99"/>
    <w:semiHidden/>
    <w:unhideWhenUsed/>
    <w:rsid w:val="00AB620D"/>
    <w:rPr>
      <w:color w:val="605E5C"/>
      <w:shd w:val="clear" w:color="auto" w:fill="E1DFDD"/>
    </w:rPr>
  </w:style>
  <w:style w:type="character" w:customStyle="1" w:styleId="UnresolvedMention">
    <w:name w:val="Unresolved Mention"/>
    <w:rsid w:val="00F12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myrva.charles@fcc.gov" TargetMode="External" /><Relationship Id="rId12" Type="http://schemas.openxmlformats.org/officeDocument/2006/relationships/hyperlink" Target="mailto:dennis.johnson@fcc.gov" TargetMode="External" /><Relationship Id="rId13" Type="http://schemas.openxmlformats.org/officeDocument/2006/relationships/hyperlink" Target="mailto:jim.bird@fcc.gov" TargetMode="External" /><Relationship Id="rId14" Type="http://schemas.openxmlformats.org/officeDocument/2006/relationships/footer" Target="footer4.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http://apps.fcc.gov/ecf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131299931816/Redwire%20214%20Application.pdf" TargetMode="External" /><Relationship Id="rId2"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