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F24C7" w:rsidP="00FF24C7" w14:paraId="7ED592D1" w14:textId="77777777">
      <w:pPr>
        <w:jc w:val="center"/>
        <w:rPr>
          <w:b/>
          <w:snapToGrid/>
        </w:rPr>
      </w:pPr>
      <w:r>
        <w:rPr>
          <w:b/>
        </w:rPr>
        <w:t>Before the</w:t>
      </w:r>
    </w:p>
    <w:p w:rsidR="00FF24C7" w:rsidP="00FF24C7" w14:paraId="626E602C" w14:textId="77777777">
      <w:pPr>
        <w:jc w:val="center"/>
        <w:rPr>
          <w:b/>
          <w:szCs w:val="22"/>
        </w:rPr>
      </w:pPr>
      <w:r>
        <w:rPr>
          <w:b/>
          <w:szCs w:val="22"/>
        </w:rPr>
        <w:t>Federal Communications Commission</w:t>
      </w:r>
    </w:p>
    <w:p w:rsidR="00FF24C7" w:rsidP="00FF24C7" w14:paraId="3F6C68C0" w14:textId="77777777">
      <w:pPr>
        <w:jc w:val="center"/>
        <w:rPr>
          <w:b/>
          <w:szCs w:val="22"/>
        </w:rPr>
      </w:pPr>
      <w:r>
        <w:rPr>
          <w:b/>
          <w:szCs w:val="22"/>
        </w:rPr>
        <w:t>Washington, D.C.  20554</w:t>
      </w:r>
    </w:p>
    <w:p w:rsidR="00FF24C7" w:rsidP="00FF24C7" w14:paraId="3CFB75C0" w14:textId="77777777">
      <w:pPr>
        <w:rPr>
          <w:szCs w:val="22"/>
        </w:rPr>
      </w:pPr>
    </w:p>
    <w:tbl>
      <w:tblPr>
        <w:tblW w:w="9645" w:type="dxa"/>
        <w:tblLayout w:type="fixed"/>
        <w:tblLook w:val="04A0"/>
      </w:tblPr>
      <w:tblGrid>
        <w:gridCol w:w="4696"/>
        <w:gridCol w:w="720"/>
        <w:gridCol w:w="4229"/>
      </w:tblGrid>
      <w:tr w14:paraId="1651103A" w14:textId="77777777" w:rsidTr="006353FE">
        <w:tblPrEx>
          <w:tblW w:w="9645" w:type="dxa"/>
          <w:tblLayout w:type="fixed"/>
          <w:tblLook w:val="04A0"/>
        </w:tblPrEx>
        <w:tc>
          <w:tcPr>
            <w:tcW w:w="4698" w:type="dxa"/>
          </w:tcPr>
          <w:p w:rsidR="00FF24C7" w:rsidP="006353FE" w14:paraId="15E12516" w14:textId="77777777">
            <w:pPr>
              <w:ind w:right="-18"/>
              <w:rPr>
                <w:szCs w:val="22"/>
              </w:rPr>
            </w:pPr>
            <w:r>
              <w:rPr>
                <w:szCs w:val="22"/>
              </w:rPr>
              <w:t xml:space="preserve">In re Application of  </w:t>
            </w:r>
          </w:p>
          <w:p w:rsidR="00FF24C7" w:rsidP="006353FE" w14:paraId="79588AC4" w14:textId="77777777">
            <w:pPr>
              <w:ind w:right="-18"/>
              <w:rPr>
                <w:szCs w:val="22"/>
              </w:rPr>
            </w:pPr>
          </w:p>
          <w:p w:rsidR="00FF24C7" w:rsidP="006353FE" w14:paraId="54D06FDF" w14:textId="52BDCEE8">
            <w:pPr>
              <w:tabs>
                <w:tab w:val="left" w:pos="0"/>
              </w:tabs>
              <w:suppressAutoHyphens/>
              <w:rPr>
                <w:b/>
                <w:bCs/>
                <w:spacing w:val="-2"/>
              </w:rPr>
            </w:pPr>
            <w:r>
              <w:rPr>
                <w:b/>
                <w:bCs/>
                <w:spacing w:val="-2"/>
              </w:rPr>
              <w:t>Capitol</w:t>
            </w:r>
            <w:r w:rsidR="00AF59B4">
              <w:rPr>
                <w:b/>
                <w:bCs/>
                <w:spacing w:val="-2"/>
              </w:rPr>
              <w:t xml:space="preserve"> Broadcasting</w:t>
            </w:r>
            <w:r w:rsidR="002B0C8F">
              <w:rPr>
                <w:b/>
                <w:bCs/>
                <w:spacing w:val="-2"/>
              </w:rPr>
              <w:t>, Inc.</w:t>
            </w:r>
          </w:p>
          <w:p w:rsidR="00FF24C7" w:rsidP="006353FE" w14:paraId="5B60A2CA" w14:textId="77777777">
            <w:pPr>
              <w:tabs>
                <w:tab w:val="left" w:pos="0"/>
              </w:tabs>
              <w:suppressAutoHyphens/>
              <w:rPr>
                <w:b/>
                <w:szCs w:val="22"/>
              </w:rPr>
            </w:pPr>
          </w:p>
          <w:p w:rsidR="00FF24C7" w:rsidP="006353FE" w14:paraId="255204FD" w14:textId="77777777">
            <w:pPr>
              <w:ind w:right="-18"/>
              <w:rPr>
                <w:szCs w:val="22"/>
              </w:rPr>
            </w:pPr>
            <w:r>
              <w:rPr>
                <w:szCs w:val="22"/>
              </w:rPr>
              <w:t>For Renewal of License for</w:t>
            </w:r>
          </w:p>
          <w:p w:rsidR="00FF24C7" w:rsidP="006353FE" w14:paraId="56961D13" w14:textId="2C8D9D02">
            <w:pPr>
              <w:ind w:right="-18"/>
              <w:rPr>
                <w:b/>
                <w:szCs w:val="22"/>
              </w:rPr>
            </w:pPr>
            <w:r>
              <w:rPr>
                <w:szCs w:val="22"/>
              </w:rPr>
              <w:t xml:space="preserve">Station </w:t>
            </w:r>
            <w:r w:rsidR="006D4EE7">
              <w:rPr>
                <w:szCs w:val="22"/>
              </w:rPr>
              <w:t>KBZN</w:t>
            </w:r>
            <w:r w:rsidR="00306ED8">
              <w:rPr>
                <w:szCs w:val="22"/>
              </w:rPr>
              <w:t>(FM)</w:t>
            </w:r>
          </w:p>
          <w:p w:rsidR="00FF24C7" w:rsidP="006353FE" w14:paraId="57E64076" w14:textId="0E33FC8E">
            <w:pPr>
              <w:ind w:right="-18"/>
              <w:rPr>
                <w:szCs w:val="22"/>
              </w:rPr>
            </w:pPr>
            <w:r>
              <w:rPr>
                <w:szCs w:val="22"/>
              </w:rPr>
              <w:t>Ogden</w:t>
            </w:r>
            <w:r w:rsidR="005A475B">
              <w:rPr>
                <w:szCs w:val="22"/>
              </w:rPr>
              <w:t xml:space="preserve">, </w:t>
            </w:r>
            <w:r w:rsidR="00172DAB">
              <w:rPr>
                <w:szCs w:val="22"/>
              </w:rPr>
              <w:t>Utah</w:t>
            </w:r>
            <w:r>
              <w:rPr>
                <w:szCs w:val="22"/>
              </w:rPr>
              <w:t xml:space="preserve">   </w:t>
            </w:r>
          </w:p>
        </w:tc>
        <w:tc>
          <w:tcPr>
            <w:tcW w:w="720" w:type="dxa"/>
            <w:hideMark/>
          </w:tcPr>
          <w:p w:rsidR="00FF24C7" w:rsidP="006353FE" w14:paraId="3743D18C" w14:textId="77777777">
            <w:pPr>
              <w:rPr>
                <w:b/>
                <w:szCs w:val="22"/>
              </w:rPr>
            </w:pPr>
            <w:r>
              <w:rPr>
                <w:b/>
                <w:szCs w:val="22"/>
              </w:rPr>
              <w:t>)</w:t>
            </w:r>
          </w:p>
          <w:p w:rsidR="00FF24C7" w:rsidP="006353FE" w14:paraId="3FCACA2A" w14:textId="77777777">
            <w:pPr>
              <w:rPr>
                <w:b/>
                <w:szCs w:val="22"/>
              </w:rPr>
            </w:pPr>
            <w:r>
              <w:rPr>
                <w:b/>
                <w:szCs w:val="22"/>
              </w:rPr>
              <w:t>)</w:t>
            </w:r>
          </w:p>
          <w:p w:rsidR="00FF24C7" w:rsidP="006353FE" w14:paraId="61BA9315" w14:textId="77777777">
            <w:pPr>
              <w:rPr>
                <w:b/>
                <w:szCs w:val="22"/>
              </w:rPr>
            </w:pPr>
            <w:r>
              <w:rPr>
                <w:b/>
                <w:szCs w:val="22"/>
              </w:rPr>
              <w:t>)</w:t>
            </w:r>
          </w:p>
          <w:p w:rsidR="00FF24C7" w:rsidP="006353FE" w14:paraId="4DA98710" w14:textId="77777777">
            <w:pPr>
              <w:rPr>
                <w:b/>
                <w:szCs w:val="22"/>
              </w:rPr>
            </w:pPr>
            <w:r>
              <w:rPr>
                <w:b/>
                <w:szCs w:val="22"/>
              </w:rPr>
              <w:t>)</w:t>
            </w:r>
          </w:p>
          <w:p w:rsidR="00FF24C7" w:rsidP="006353FE" w14:paraId="7BAF4301" w14:textId="77777777">
            <w:pPr>
              <w:rPr>
                <w:b/>
                <w:szCs w:val="22"/>
              </w:rPr>
            </w:pPr>
            <w:r>
              <w:rPr>
                <w:b/>
                <w:szCs w:val="22"/>
              </w:rPr>
              <w:t>)</w:t>
            </w:r>
          </w:p>
          <w:p w:rsidR="00FF24C7" w:rsidP="006353FE" w14:paraId="0DAA8789" w14:textId="77777777">
            <w:pPr>
              <w:rPr>
                <w:b/>
                <w:szCs w:val="22"/>
              </w:rPr>
            </w:pPr>
            <w:r>
              <w:rPr>
                <w:b/>
                <w:szCs w:val="22"/>
              </w:rPr>
              <w:t>)</w:t>
            </w:r>
          </w:p>
          <w:p w:rsidR="00FF24C7" w:rsidP="006353FE" w14:paraId="621E4425" w14:textId="77777777">
            <w:pPr>
              <w:rPr>
                <w:b/>
                <w:szCs w:val="22"/>
              </w:rPr>
            </w:pPr>
            <w:r>
              <w:rPr>
                <w:b/>
                <w:szCs w:val="22"/>
              </w:rPr>
              <w:t>)</w:t>
            </w:r>
          </w:p>
        </w:tc>
        <w:tc>
          <w:tcPr>
            <w:tcW w:w="4230" w:type="dxa"/>
          </w:tcPr>
          <w:p w:rsidR="00FF24C7" w:rsidP="006353FE" w14:paraId="3E29342E" w14:textId="77777777">
            <w:pPr>
              <w:rPr>
                <w:szCs w:val="22"/>
              </w:rPr>
            </w:pPr>
          </w:p>
          <w:p w:rsidR="00FF24C7" w:rsidP="006353FE" w14:paraId="4DC3A266" w14:textId="77777777">
            <w:pPr>
              <w:rPr>
                <w:szCs w:val="22"/>
              </w:rPr>
            </w:pPr>
          </w:p>
          <w:p w:rsidR="00FF24C7" w:rsidP="006353FE" w14:paraId="653A0D27" w14:textId="708CD521">
            <w:pPr>
              <w:rPr>
                <w:szCs w:val="22"/>
              </w:rPr>
            </w:pPr>
            <w:r>
              <w:rPr>
                <w:szCs w:val="22"/>
              </w:rPr>
              <w:t xml:space="preserve">FRN: </w:t>
            </w:r>
            <w:r w:rsidR="006D4EE7">
              <w:rPr>
                <w:szCs w:val="22"/>
              </w:rPr>
              <w:t>0007705866</w:t>
            </w:r>
          </w:p>
          <w:p w:rsidR="00FF24C7" w:rsidP="006353FE" w14:paraId="7F1772CC" w14:textId="0E04A27C">
            <w:pPr>
              <w:rPr>
                <w:szCs w:val="22"/>
              </w:rPr>
            </w:pPr>
            <w:r>
              <w:rPr>
                <w:szCs w:val="22"/>
              </w:rPr>
              <w:t xml:space="preserve">Facility ID No. </w:t>
            </w:r>
            <w:r w:rsidR="006D4EE7">
              <w:rPr>
                <w:szCs w:val="22"/>
              </w:rPr>
              <w:t>8690</w:t>
            </w:r>
          </w:p>
          <w:p w:rsidR="00FF24C7" w:rsidP="006353FE" w14:paraId="419BEFF3" w14:textId="68C8A82D">
            <w:pPr>
              <w:rPr>
                <w:szCs w:val="22"/>
              </w:rPr>
            </w:pPr>
            <w:r>
              <w:rPr>
                <w:szCs w:val="22"/>
              </w:rPr>
              <w:t xml:space="preserve">File No. </w:t>
            </w:r>
            <w:r w:rsidRPr="00607DAE">
              <w:rPr>
                <w:spacing w:val="-2"/>
              </w:rPr>
              <w:t>000</w:t>
            </w:r>
            <w:r>
              <w:rPr>
                <w:spacing w:val="-2"/>
              </w:rPr>
              <w:t>0</w:t>
            </w:r>
            <w:r w:rsidR="006D4EE7">
              <w:rPr>
                <w:spacing w:val="-2"/>
              </w:rPr>
              <w:t>149079</w:t>
            </w:r>
          </w:p>
        </w:tc>
      </w:tr>
    </w:tbl>
    <w:p w:rsidR="00FF24C7" w:rsidP="00FF24C7" w14:paraId="3EE83778" w14:textId="77777777">
      <w:pPr>
        <w:rPr>
          <w:szCs w:val="22"/>
        </w:rPr>
      </w:pPr>
    </w:p>
    <w:p w:rsidR="00FF24C7" w:rsidP="00FF24C7" w14:paraId="6DA4CB7C" w14:textId="77777777">
      <w:pPr>
        <w:pStyle w:val="Heading1"/>
        <w:numPr>
          <w:ilvl w:val="0"/>
          <w:numId w:val="0"/>
        </w:numPr>
        <w:jc w:val="center"/>
        <w:rPr>
          <w:rFonts w:ascii="Times New Roman" w:hAnsi="Times New Roman"/>
          <w:szCs w:val="22"/>
        </w:rPr>
      </w:pPr>
      <w:r>
        <w:rPr>
          <w:rFonts w:ascii="Times New Roman" w:hAnsi="Times New Roman"/>
          <w:szCs w:val="22"/>
        </w:rPr>
        <w:t>ORDER</w:t>
      </w:r>
    </w:p>
    <w:p w:rsidR="00FF24C7" w:rsidP="00FF24C7" w14:paraId="661F4C88" w14:textId="0A3C8B0E">
      <w:pPr>
        <w:tabs>
          <w:tab w:val="right" w:pos="9360"/>
        </w:tabs>
        <w:rPr>
          <w:b/>
          <w:szCs w:val="22"/>
        </w:rPr>
      </w:pPr>
      <w:r>
        <w:rPr>
          <w:b/>
          <w:szCs w:val="22"/>
        </w:rPr>
        <w:t xml:space="preserve">Adopted:  </w:t>
      </w:r>
      <w:r w:rsidR="00AE2DD7">
        <w:rPr>
          <w:b/>
          <w:szCs w:val="22"/>
        </w:rPr>
        <w:t>March 18, 2022</w:t>
      </w:r>
      <w:r>
        <w:rPr>
          <w:szCs w:val="22"/>
        </w:rPr>
        <w:tab/>
      </w:r>
      <w:r>
        <w:rPr>
          <w:b/>
          <w:szCs w:val="22"/>
        </w:rPr>
        <w:t xml:space="preserve">Released:  </w:t>
      </w:r>
      <w:r w:rsidR="00AE2DD7">
        <w:rPr>
          <w:b/>
          <w:szCs w:val="22"/>
        </w:rPr>
        <w:t>March 18, 2022</w:t>
      </w:r>
    </w:p>
    <w:p w:rsidR="00AE2DD7" w:rsidP="00FF24C7" w14:paraId="52310BA6" w14:textId="77777777">
      <w:pPr>
        <w:tabs>
          <w:tab w:val="right" w:pos="9360"/>
        </w:tabs>
        <w:rPr>
          <w:b/>
          <w:szCs w:val="22"/>
        </w:rPr>
      </w:pPr>
    </w:p>
    <w:p w:rsidR="00FF24C7" w:rsidP="00FF24C7" w14:paraId="59C7DA3E" w14:textId="77777777">
      <w:pPr>
        <w:pStyle w:val="Header"/>
      </w:pPr>
    </w:p>
    <w:p w:rsidR="00FF24C7" w:rsidP="00FF24C7" w14:paraId="630C5862" w14:textId="77777777">
      <w:pPr>
        <w:tabs>
          <w:tab w:val="left" w:pos="720"/>
          <w:tab w:val="left" w:pos="1430"/>
          <w:tab w:val="left" w:pos="4680"/>
        </w:tabs>
        <w:spacing w:line="480" w:lineRule="auto"/>
        <w:rPr>
          <w:szCs w:val="22"/>
        </w:rPr>
      </w:pPr>
      <w:r>
        <w:rPr>
          <w:szCs w:val="22"/>
        </w:rPr>
        <w:t>By the Chief, Audio Division, Media Bureau:</w:t>
      </w:r>
    </w:p>
    <w:p w:rsidR="00FF24C7" w:rsidP="00FF24C7" w14:paraId="6BA79BF6" w14:textId="1E24C2C8">
      <w:pPr>
        <w:pStyle w:val="ParaNum"/>
        <w:numPr>
          <w:ilvl w:val="0"/>
          <w:numId w:val="20"/>
        </w:numPr>
        <w:tabs>
          <w:tab w:val="clear" w:pos="1080"/>
          <w:tab w:val="num" w:pos="1440"/>
        </w:tabs>
        <w:snapToGrid w:val="0"/>
        <w:rPr>
          <w:b/>
        </w:rPr>
      </w:pPr>
      <w:r>
        <w:t xml:space="preserve">In this Order, we adopt the attached Consent Decree entered into by the Media Bureau (Bureau) and </w:t>
      </w:r>
      <w:r w:rsidR="006D4EE7">
        <w:t>Capitol</w:t>
      </w:r>
      <w:r w:rsidR="00AF59B4">
        <w:t xml:space="preserve"> Broadcasting</w:t>
      </w:r>
      <w:r w:rsidR="002B0C8F">
        <w:t>, Inc.</w:t>
      </w:r>
      <w:r>
        <w:t xml:space="preserve"> (Licensee), the licensee for Station </w:t>
      </w:r>
      <w:r w:rsidR="006D4EE7">
        <w:t>KBZN</w:t>
      </w:r>
      <w:r w:rsidR="00306ED8">
        <w:t>(FM)</w:t>
      </w:r>
      <w:r>
        <w:t xml:space="preserve">, </w:t>
      </w:r>
      <w:r w:rsidR="006D4EE7">
        <w:t>Ogden</w:t>
      </w:r>
      <w:r w:rsidR="005A475B">
        <w:t xml:space="preserve">, </w:t>
      </w:r>
      <w:r w:rsidR="00172DAB">
        <w:t>Utah</w:t>
      </w:r>
      <w:r>
        <w:t xml:space="preserve"> (Station).  The Consent Decree resolves issues arising from the Bureau’s review of the captioned license renewal application (Application) for the Station.  In particular, the Consent Decree resolves the Bureau’s investigation of Licensee’s compliance with the Public File Rule contained in section 73.</w:t>
      </w:r>
      <w:r w:rsidR="00A51056">
        <w:t>3526</w:t>
      </w:r>
      <w:r>
        <w:t xml:space="preserve"> of the Commission’s rules (Rules).</w:t>
      </w:r>
      <w:r>
        <w:rPr>
          <w:rStyle w:val="FootnoteReference"/>
          <w:szCs w:val="22"/>
        </w:rPr>
        <w:footnoteReference w:id="3"/>
      </w:r>
      <w:r>
        <w:t xml:space="preserve">  The Bureau’s Audio Division suspended processing of the Application because Licensee did not comply with its public file obligations in section 73.</w:t>
      </w:r>
      <w:r w:rsidR="00A51056">
        <w:t>3526</w:t>
      </w:r>
      <w:r>
        <w:t xml:space="preserve">.  </w:t>
      </w:r>
    </w:p>
    <w:p w:rsidR="00FF24C7" w:rsidP="00FF24C7" w14:paraId="18172FF2" w14:textId="57E83025">
      <w:pPr>
        <w:pStyle w:val="ParaNum"/>
        <w:numPr>
          <w:ilvl w:val="0"/>
          <w:numId w:val="20"/>
        </w:numPr>
        <w:tabs>
          <w:tab w:val="clear" w:pos="1080"/>
          <w:tab w:val="num" w:pos="1440"/>
        </w:tabs>
        <w:snapToGrid w:val="0"/>
        <w:rPr>
          <w:b/>
        </w:rPr>
      </w:pPr>
      <w:r>
        <w:t>The Bureau and Licensee have negotiated the attached Consent Decree in which Licensee stipulates that it violated section 73.</w:t>
      </w:r>
      <w:r w:rsidR="00A51056">
        <w:t>3526</w:t>
      </w:r>
      <w:r>
        <w:t xml:space="preserve"> of the Rules.  Pursuant to the Consent Decree, Licensee agrees, among other things, to implement a comprehensive compliance plan to ensure future compliance with its online public inspection file obligations and, one year after entering into the Consent Decree, submit a compliance report to the Audio Division.   </w:t>
      </w:r>
    </w:p>
    <w:p w:rsidR="00FF24C7" w:rsidP="00FF24C7" w14:paraId="4C9708E4" w14:textId="77777777">
      <w:pPr>
        <w:pStyle w:val="ParaNum"/>
        <w:numPr>
          <w:ilvl w:val="0"/>
          <w:numId w:val="20"/>
        </w:numPr>
        <w:tabs>
          <w:tab w:val="clear" w:pos="1080"/>
          <w:tab w:val="num" w:pos="1440"/>
        </w:tabs>
        <w:snapToGrid w:val="0"/>
      </w:pPr>
      <w:r>
        <w:t>After reviewing the terms of the Consent Decree, we find that the public interest will be served by its approval and by terminating all pending proceedings relating to the Bureau’s consideration of potential violations of the Rules.</w:t>
      </w:r>
    </w:p>
    <w:p w:rsidR="00FF24C7" w:rsidP="00FF24C7" w14:paraId="593CF296" w14:textId="77777777">
      <w:pPr>
        <w:pStyle w:val="ParaNum"/>
        <w:widowControl/>
        <w:numPr>
          <w:ilvl w:val="0"/>
          <w:numId w:val="20"/>
        </w:numPr>
        <w:tabs>
          <w:tab w:val="clear" w:pos="1080"/>
          <w:tab w:val="num" w:pos="1440"/>
        </w:tabs>
        <w:snapToGrid w:val="0"/>
      </w:pPr>
      <w:r>
        <w:t xml:space="preserve">Based on the record before us, we conclude that nothing in that record creates a substantial and material question of fact as to whether Licensee possess the basic qualifications to be a Commission licensee. </w:t>
      </w:r>
    </w:p>
    <w:p w:rsidR="00FF24C7" w:rsidP="00FF24C7" w14:paraId="12334394" w14:textId="77777777">
      <w:pPr>
        <w:pStyle w:val="ParaNum"/>
        <w:numPr>
          <w:ilvl w:val="0"/>
          <w:numId w:val="20"/>
        </w:numPr>
        <w:tabs>
          <w:tab w:val="clear" w:pos="1080"/>
          <w:tab w:val="num" w:pos="1440"/>
        </w:tabs>
        <w:snapToGrid w:val="0"/>
      </w:pPr>
      <w:r>
        <w:rPr>
          <w:b/>
          <w:bCs/>
        </w:rPr>
        <w:t>ACCORDINGLY, IT IS ORDERED</w:t>
      </w:r>
      <w:r>
        <w:t xml:space="preserve"> that, pursuant to Section 4(</w:t>
      </w:r>
      <w:r>
        <w:t>i</w:t>
      </w:r>
      <w:r>
        <w:t>), 4 (j) and 503(b) of the Communications Act of 1934, as amended,</w:t>
      </w:r>
      <w:r>
        <w:rPr>
          <w:rStyle w:val="FootnoteReference"/>
          <w:szCs w:val="22"/>
        </w:rPr>
        <w:footnoteReference w:id="4"/>
      </w:r>
      <w:r>
        <w:t xml:space="preserve"> and by the authority delegated by Sections 0.61 and 0.283 of the Commission’s rules,</w:t>
      </w:r>
      <w:r>
        <w:rPr>
          <w:rStyle w:val="FootnoteReference"/>
          <w:szCs w:val="22"/>
        </w:rPr>
        <w:footnoteReference w:id="5"/>
      </w:r>
      <w:r>
        <w:t xml:space="preserve"> the Consent Decree attached hereto </w:t>
      </w:r>
      <w:r>
        <w:rPr>
          <w:b/>
          <w:bCs/>
        </w:rPr>
        <w:t>IS ADOPTED</w:t>
      </w:r>
      <w:r>
        <w:t xml:space="preserve"> without change, addition or modification.</w:t>
      </w:r>
    </w:p>
    <w:p w:rsidR="00FF24C7" w:rsidP="00FF24C7" w14:paraId="53B44B7F" w14:textId="77777777">
      <w:pPr>
        <w:pStyle w:val="ParaNum"/>
        <w:widowControl/>
        <w:numPr>
          <w:ilvl w:val="0"/>
          <w:numId w:val="20"/>
        </w:numPr>
        <w:tabs>
          <w:tab w:val="clear" w:pos="1080"/>
          <w:tab w:val="num" w:pos="1440"/>
        </w:tabs>
        <w:snapToGrid w:val="0"/>
      </w:pPr>
      <w:r>
        <w:rPr>
          <w:b/>
          <w:bCs/>
        </w:rPr>
        <w:t>IT IS FURTHER ORDERED</w:t>
      </w:r>
      <w:r>
        <w:t xml:space="preserve"> that the investigation by the Media Bureau of the matters noted above </w:t>
      </w:r>
      <w:r>
        <w:rPr>
          <w:b/>
          <w:bCs/>
        </w:rPr>
        <w:t>IS TERMINATED</w:t>
      </w:r>
      <w:r>
        <w:t>.</w:t>
      </w:r>
    </w:p>
    <w:p w:rsidR="00FF24C7" w:rsidP="00FF24C7" w14:paraId="46C132F5" w14:textId="5ECD0775">
      <w:pPr>
        <w:pStyle w:val="ParaNum"/>
        <w:keepNext/>
        <w:keepLines/>
        <w:widowControl/>
        <w:numPr>
          <w:ilvl w:val="0"/>
          <w:numId w:val="20"/>
        </w:numPr>
        <w:tabs>
          <w:tab w:val="clear" w:pos="1080"/>
          <w:tab w:val="num" w:pos="1440"/>
        </w:tabs>
        <w:snapToGrid w:val="0"/>
      </w:pPr>
      <w:r>
        <w:rPr>
          <w:b/>
          <w:bCs/>
          <w:color w:val="010101"/>
        </w:rPr>
        <w:t>IT IS FURTHER ORDERED</w:t>
      </w:r>
      <w:r>
        <w:rPr>
          <w:color w:val="010101"/>
        </w:rPr>
        <w:t xml:space="preserve"> that copies of this Order </w:t>
      </w:r>
      <w:r>
        <w:t xml:space="preserve">shall be sent, by First Class and Certified Mail, Return Receipt Requested, to </w:t>
      </w:r>
      <w:r w:rsidR="006D4EE7">
        <w:t>Capitol</w:t>
      </w:r>
      <w:r w:rsidR="00AF59B4">
        <w:t xml:space="preserve"> Broadcasting</w:t>
      </w:r>
      <w:r w:rsidR="002B0C8F">
        <w:t>, Inc.</w:t>
      </w:r>
      <w:r>
        <w:t xml:space="preserve">, c/o </w:t>
      </w:r>
      <w:r w:rsidR="006D4EE7">
        <w:t>Matt Webb</w:t>
      </w:r>
      <w:r>
        <w:t xml:space="preserve">, </w:t>
      </w:r>
      <w:r w:rsidR="006D4EE7">
        <w:t>257 E. 2</w:t>
      </w:r>
      <w:r w:rsidRPr="006D4EE7" w:rsidR="006D4EE7">
        <w:rPr>
          <w:vertAlign w:val="superscript"/>
        </w:rPr>
        <w:t>nd</w:t>
      </w:r>
      <w:r w:rsidR="006D4EE7">
        <w:t xml:space="preserve"> S., Suite 400, Salt Lake City, UT 84403</w:t>
      </w:r>
      <w:r w:rsidR="005A475B">
        <w:t>, and to its counsel</w:t>
      </w:r>
      <w:r w:rsidR="00E61A01">
        <w:t>,</w:t>
      </w:r>
      <w:r w:rsidR="005A475B">
        <w:t xml:space="preserve"> </w:t>
      </w:r>
      <w:r w:rsidR="0048227D">
        <w:t xml:space="preserve">Scott </w:t>
      </w:r>
      <w:r w:rsidR="006D4EE7">
        <w:t>Woodworth, Esq., Edinger Associates PLLC, 1725 I Street, NW, Suite 300, Washington, DC 20006.</w:t>
      </w:r>
    </w:p>
    <w:p w:rsidR="00FF24C7" w:rsidP="00FF24C7" w14:paraId="7CCCC973" w14:textId="77777777">
      <w:pPr>
        <w:keepNext/>
        <w:keepLines/>
        <w:widowControl/>
        <w:jc w:val="both"/>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FF24C7" w:rsidP="00FF24C7" w14:paraId="575948EC" w14:textId="77777777">
      <w:pPr>
        <w:keepNext/>
        <w:keepLines/>
        <w:widowControl/>
        <w:tabs>
          <w:tab w:val="left" w:pos="720"/>
          <w:tab w:val="left" w:pos="4680"/>
        </w:tabs>
        <w:jc w:val="both"/>
        <w:rPr>
          <w:szCs w:val="22"/>
        </w:rPr>
      </w:pPr>
    </w:p>
    <w:p w:rsidR="00FF24C7" w:rsidP="00FF24C7" w14:paraId="174F613A" w14:textId="77777777">
      <w:pPr>
        <w:keepNext/>
        <w:keepLines/>
        <w:widowControl/>
        <w:tabs>
          <w:tab w:val="left" w:pos="720"/>
          <w:tab w:val="left" w:pos="4680"/>
        </w:tabs>
        <w:jc w:val="both"/>
        <w:rPr>
          <w:szCs w:val="22"/>
        </w:rPr>
      </w:pPr>
    </w:p>
    <w:p w:rsidR="00FF24C7" w:rsidP="00FF24C7" w14:paraId="5B51993A" w14:textId="77777777">
      <w:pPr>
        <w:keepNext/>
        <w:keepLines/>
        <w:widowControl/>
        <w:tabs>
          <w:tab w:val="left" w:pos="720"/>
          <w:tab w:val="left" w:pos="4680"/>
        </w:tabs>
        <w:jc w:val="both"/>
        <w:rPr>
          <w:szCs w:val="22"/>
        </w:rPr>
      </w:pPr>
    </w:p>
    <w:p w:rsidR="00FF24C7" w:rsidP="00FF24C7" w14:paraId="647037E2" w14:textId="77777777">
      <w:pPr>
        <w:keepNext/>
        <w:keepLines/>
        <w:widowControl/>
        <w:rPr>
          <w:szCs w:val="22"/>
        </w:rPr>
      </w:pPr>
    </w:p>
    <w:p w:rsidR="00FF24C7" w:rsidP="00FF24C7" w14:paraId="401CD5EF" w14:textId="77777777">
      <w:pPr>
        <w:keepNext/>
        <w:keepLines/>
        <w:widowControl/>
        <w:rPr>
          <w:szCs w:val="22"/>
        </w:rPr>
      </w:pPr>
      <w:r>
        <w:rPr>
          <w:szCs w:val="22"/>
        </w:rPr>
        <w:tab/>
      </w:r>
      <w:r>
        <w:rPr>
          <w:szCs w:val="22"/>
        </w:rPr>
        <w:tab/>
      </w:r>
      <w:r>
        <w:rPr>
          <w:szCs w:val="22"/>
        </w:rPr>
        <w:tab/>
      </w:r>
      <w:r>
        <w:rPr>
          <w:szCs w:val="22"/>
        </w:rPr>
        <w:tab/>
      </w:r>
      <w:r>
        <w:rPr>
          <w:szCs w:val="22"/>
        </w:rPr>
        <w:tab/>
      </w:r>
      <w:r>
        <w:rPr>
          <w:szCs w:val="22"/>
        </w:rPr>
        <w:tab/>
        <w:t>Albert Shuldiner</w:t>
      </w:r>
    </w:p>
    <w:p w:rsidR="00FF24C7" w:rsidP="00FF24C7" w14:paraId="2D47FCD4" w14:textId="77777777">
      <w:pPr>
        <w:keepNext/>
        <w:keepLines/>
        <w:widowControl/>
        <w:rPr>
          <w:szCs w:val="22"/>
        </w:rPr>
      </w:pPr>
      <w:r>
        <w:rPr>
          <w:szCs w:val="22"/>
        </w:rPr>
        <w:tab/>
      </w:r>
      <w:r>
        <w:rPr>
          <w:szCs w:val="22"/>
        </w:rPr>
        <w:tab/>
      </w:r>
      <w:r>
        <w:rPr>
          <w:szCs w:val="22"/>
        </w:rPr>
        <w:tab/>
      </w:r>
      <w:r>
        <w:rPr>
          <w:szCs w:val="22"/>
        </w:rPr>
        <w:tab/>
      </w:r>
      <w:r>
        <w:rPr>
          <w:szCs w:val="22"/>
        </w:rPr>
        <w:tab/>
      </w:r>
      <w:r>
        <w:rPr>
          <w:szCs w:val="22"/>
        </w:rPr>
        <w:tab/>
        <w:t>Chief, Audio Division</w:t>
      </w:r>
    </w:p>
    <w:p w:rsidR="00FF24C7" w:rsidP="00FF24C7" w14:paraId="3DBB2409" w14:textId="77777777">
      <w:pPr>
        <w:keepNext/>
        <w:keepLines/>
        <w:widowControl/>
        <w:rPr>
          <w:b/>
          <w:szCs w:val="22"/>
        </w:rPr>
      </w:pPr>
      <w:r>
        <w:rPr>
          <w:szCs w:val="22"/>
        </w:rPr>
        <w:tab/>
      </w:r>
      <w:r>
        <w:rPr>
          <w:szCs w:val="22"/>
        </w:rPr>
        <w:tab/>
      </w:r>
      <w:r>
        <w:rPr>
          <w:szCs w:val="22"/>
        </w:rPr>
        <w:tab/>
      </w:r>
      <w:r>
        <w:rPr>
          <w:szCs w:val="22"/>
        </w:rPr>
        <w:tab/>
      </w:r>
      <w:r>
        <w:rPr>
          <w:szCs w:val="22"/>
        </w:rPr>
        <w:tab/>
      </w:r>
      <w:r>
        <w:rPr>
          <w:szCs w:val="22"/>
        </w:rPr>
        <w:tab/>
        <w:t>Media Bureau</w:t>
      </w:r>
    </w:p>
    <w:p w:rsidR="00FF24C7" w14:paraId="20191F61" w14:textId="77777777">
      <w:pPr>
        <w:pStyle w:val="NoSpacing"/>
        <w:jc w:val="center"/>
        <w:rPr>
          <w:b/>
          <w:sz w:val="22"/>
          <w:szCs w:val="22"/>
        </w:rPr>
        <w:sectPr>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9951A8" w:rsidRPr="00DA5FB5" w14:paraId="5837F5DD" w14:textId="49857653">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43E9CF9E">
            <w:pPr>
              <w:tabs>
                <w:tab w:val="center" w:pos="4680"/>
              </w:tabs>
              <w:suppressAutoHyphens/>
              <w:contextualSpacing/>
              <w:rPr>
                <w:spacing w:val="-2"/>
              </w:rPr>
            </w:pPr>
            <w:r>
              <w:rPr>
                <w:spacing w:val="-2"/>
              </w:rPr>
              <w:t xml:space="preserve">In the Matter of Online </w:t>
            </w:r>
            <w:r w:rsidR="0040463F">
              <w:rPr>
                <w:spacing w:val="-2"/>
              </w:rPr>
              <w:t xml:space="preserve">Public Inspection </w:t>
            </w:r>
            <w:r>
              <w:rPr>
                <w:spacing w:val="-2"/>
              </w:rPr>
              <w:t xml:space="preserve">Files of </w:t>
            </w:r>
          </w:p>
          <w:p w:rsidR="009951A8" w14:paraId="7ED9C0A0" w14:textId="77777777">
            <w:pPr>
              <w:tabs>
                <w:tab w:val="left" w:pos="2865"/>
              </w:tabs>
              <w:contextualSpacing/>
              <w:rPr>
                <w:spacing w:val="-2"/>
              </w:rPr>
            </w:pPr>
          </w:p>
          <w:p w:rsidR="009951A8" w:rsidRPr="00607DAE" w14:paraId="02BFB0D1" w14:textId="4E024525">
            <w:pPr>
              <w:tabs>
                <w:tab w:val="left" w:pos="2865"/>
              </w:tabs>
              <w:contextualSpacing/>
              <w:rPr>
                <w:b/>
                <w:bCs/>
                <w:spacing w:val="-2"/>
              </w:rPr>
            </w:pPr>
            <w:bookmarkStart w:id="0" w:name="_Hlk40884054"/>
            <w:r>
              <w:rPr>
                <w:b/>
                <w:bCs/>
                <w:spacing w:val="-2"/>
              </w:rPr>
              <w:t>Capitol</w:t>
            </w:r>
            <w:r w:rsidR="00AF59B4">
              <w:rPr>
                <w:b/>
                <w:bCs/>
                <w:spacing w:val="-2"/>
              </w:rPr>
              <w:t xml:space="preserve"> Broadcasting</w:t>
            </w:r>
            <w:r w:rsidR="002B0C8F">
              <w:rPr>
                <w:b/>
                <w:bCs/>
                <w:spacing w:val="-2"/>
              </w:rPr>
              <w:t>, Inc.</w:t>
            </w:r>
          </w:p>
          <w:bookmarkEnd w:id="0"/>
          <w:p w:rsidR="009951A8" w14:paraId="0EEEEA9D" w14:textId="77777777">
            <w:pPr>
              <w:tabs>
                <w:tab w:val="left" w:pos="2865"/>
              </w:tabs>
              <w:contextualSpacing/>
            </w:pPr>
          </w:p>
          <w:p w:rsidR="009951A8" w14:paraId="0BC12BD8" w14:textId="6107D445">
            <w:pPr>
              <w:tabs>
                <w:tab w:val="left" w:pos="2865"/>
              </w:tabs>
              <w:contextualSpacing/>
            </w:pPr>
            <w:r>
              <w:t xml:space="preserve">Licensee of </w:t>
            </w:r>
            <w:r w:rsidR="00607DAE">
              <w:t xml:space="preserve">Station </w:t>
            </w:r>
            <w:r w:rsidR="006D4EE7">
              <w:t>KBZN</w:t>
            </w:r>
            <w:r w:rsidR="00306ED8">
              <w:t>(FM)</w:t>
            </w:r>
          </w:p>
          <w:p w:rsidR="00607DAE" w14:paraId="7EAB54B6" w14:textId="5BF42F3A">
            <w:pPr>
              <w:tabs>
                <w:tab w:val="left" w:pos="2865"/>
              </w:tabs>
              <w:contextualSpacing/>
            </w:pPr>
            <w:r>
              <w:t>Ogden</w:t>
            </w:r>
            <w:r w:rsidR="005A475B">
              <w:t xml:space="preserve">, </w:t>
            </w:r>
            <w:r w:rsidR="00172DAB">
              <w:t>Utah</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52A443BE">
            <w:pPr>
              <w:tabs>
                <w:tab w:val="center" w:pos="4680"/>
              </w:tabs>
              <w:suppressAutoHyphens/>
              <w:contextualSpacing/>
              <w:rPr>
                <w:b/>
                <w:spacing w:val="-2"/>
              </w:rPr>
            </w:pPr>
            <w:r>
              <w:rPr>
                <w:b/>
                <w:spacing w:val="-2"/>
              </w:rPr>
              <w:t>)</w:t>
            </w:r>
          </w:p>
          <w:p w:rsidR="00C345B7" w14:paraId="02C7B541" w14:textId="4281414D">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28F0694A">
            <w:pPr>
              <w:tabs>
                <w:tab w:val="center" w:pos="4680"/>
              </w:tabs>
              <w:suppressAutoHyphens/>
              <w:contextualSpacing/>
              <w:rPr>
                <w:spacing w:val="-2"/>
              </w:rPr>
            </w:pPr>
            <w:r>
              <w:rPr>
                <w:spacing w:val="-2"/>
              </w:rPr>
              <w:t xml:space="preserve">File No.:  </w:t>
            </w:r>
            <w:r w:rsidRPr="00607DAE" w:rsidR="00607DAE">
              <w:rPr>
                <w:spacing w:val="-2"/>
              </w:rPr>
              <w:t>000</w:t>
            </w:r>
            <w:r w:rsidR="00211A7C">
              <w:rPr>
                <w:spacing w:val="-2"/>
              </w:rPr>
              <w:t>0</w:t>
            </w:r>
            <w:r w:rsidR="006D4EE7">
              <w:rPr>
                <w:spacing w:val="-2"/>
              </w:rPr>
              <w:t>149079</w:t>
            </w:r>
          </w:p>
          <w:p w:rsidR="009951A8" w14:paraId="78C8A755" w14:textId="77777777">
            <w:pPr>
              <w:tabs>
                <w:tab w:val="center" w:pos="4680"/>
              </w:tabs>
              <w:suppressAutoHyphens/>
              <w:contextualSpacing/>
              <w:rPr>
                <w:spacing w:val="-2"/>
              </w:rPr>
            </w:pPr>
          </w:p>
          <w:p w:rsidR="009951A8" w14:paraId="44C86862" w14:textId="5CA158D3">
            <w:pPr>
              <w:tabs>
                <w:tab w:val="center" w:pos="4680"/>
              </w:tabs>
              <w:suppressAutoHyphens/>
              <w:contextualSpacing/>
              <w:rPr>
                <w:spacing w:val="-2"/>
              </w:rPr>
            </w:pPr>
            <w:r>
              <w:rPr>
                <w:spacing w:val="-2"/>
              </w:rPr>
              <w:t xml:space="preserve">FRN:  </w:t>
            </w:r>
            <w:r w:rsidR="006D4EE7">
              <w:rPr>
                <w:spacing w:val="-2"/>
              </w:rPr>
              <w:t>0007705866</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rsidRPr="00CD74A4" w:rsidP="00CD74A4" w14:paraId="2F587F4F" w14:textId="14FEA880">
      <w:pPr>
        <w:pStyle w:val="ParaNum"/>
        <w:numPr>
          <w:ilvl w:val="0"/>
          <w:numId w:val="37"/>
        </w:numPr>
        <w:tabs>
          <w:tab w:val="clear" w:pos="1080"/>
          <w:tab w:val="num" w:pos="1440"/>
        </w:tabs>
        <w:rPr>
          <w:szCs w:val="22"/>
        </w:rPr>
      </w:pPr>
      <w:r>
        <w:t xml:space="preserve">The Media Bureau of the Federal Communications Commission </w:t>
      </w:r>
      <w:r w:rsidR="002344A6">
        <w:t xml:space="preserve">and </w:t>
      </w:r>
      <w:r w:rsidR="006D4EE7">
        <w:t>Capitol</w:t>
      </w:r>
      <w:r w:rsidR="00AF59B4">
        <w:t xml:space="preserve"> Broadcasting</w:t>
      </w:r>
      <w:r w:rsidR="002B0C8F">
        <w:t>, Inc.</w:t>
      </w:r>
      <w:r w:rsidR="00235CC7">
        <w:t xml:space="preserve"> </w:t>
      </w:r>
      <w:r w:rsidRPr="00241A97">
        <w:t>(her</w:t>
      </w:r>
      <w:r>
        <w:t>e</w:t>
      </w:r>
      <w:r w:rsidRPr="00241A97">
        <w:t xml:space="preserve">after </w:t>
      </w:r>
      <w:r>
        <w:t>“</w:t>
      </w:r>
      <w:r w:rsidR="0003053C">
        <w:t>Licensee</w:t>
      </w:r>
      <w:r w:rsidRPr="00241A97">
        <w:t>,</w:t>
      </w:r>
      <w:r>
        <w:t>”</w:t>
      </w:r>
      <w:r w:rsidRPr="00241A97">
        <w:t xml:space="preserve"> as defined below)</w:t>
      </w:r>
      <w:r>
        <w:t>, by their authorized representatives, hereby enter into this Consent Decree for the purpose of terminating the</w:t>
      </w:r>
      <w:r w:rsidRPr="00CD74A4">
        <w:rPr>
          <w:bCs/>
        </w:rPr>
        <w:t xml:space="preserve"> Media </w:t>
      </w:r>
      <w:r>
        <w:t xml:space="preserve">Bureau’s investigation into </w:t>
      </w:r>
      <w:r w:rsidR="00823333">
        <w:t xml:space="preserve">the </w:t>
      </w:r>
      <w:r w:rsidR="0003053C">
        <w:t>Licensee</w:t>
      </w:r>
      <w:r w:rsidRPr="00CD74A4">
        <w:rPr>
          <w:bCs/>
        </w:rPr>
        <w:t>’s</w:t>
      </w:r>
      <w:r>
        <w:t xml:space="preserve"> compliance with section </w:t>
      </w:r>
      <w:r w:rsidRPr="000210D5" w:rsidR="00C34058">
        <w:t>73.</w:t>
      </w:r>
      <w:r w:rsidR="00A51056">
        <w:t>3526</w:t>
      </w:r>
      <w:r>
        <w:t xml:space="preserve"> of the Commission’s rules,</w:t>
      </w:r>
      <w:r>
        <w:rPr>
          <w:rStyle w:val="FootnoteReference"/>
        </w:rPr>
        <w:footnoteReference w:id="6"/>
      </w:r>
      <w:r>
        <w:t xml:space="preserve"> relating to the maintenance of online </w:t>
      </w:r>
      <w:r w:rsidR="00091277">
        <w:t xml:space="preserve">public inspection </w:t>
      </w:r>
      <w:r>
        <w:t xml:space="preserve">files.  To resolve this matter, </w:t>
      </w:r>
      <w:bookmarkStart w:id="1" w:name="_Hlk40885159"/>
      <w:r w:rsidR="00823333">
        <w:t xml:space="preserve">the </w:t>
      </w:r>
      <w:r w:rsidRPr="00CD74A4" w:rsidR="0003053C">
        <w:rPr>
          <w:bCs/>
        </w:rPr>
        <w:t>Licensee</w:t>
      </w:r>
      <w:r w:rsidRPr="00CD74A4">
        <w:rPr>
          <w:b/>
        </w:rPr>
        <w:t xml:space="preserve"> </w:t>
      </w:r>
      <w:bookmarkEnd w:id="1"/>
      <w:r>
        <w:t>agrees to implement a comprehensive Compliance Plan to ensure its future compliance with section</w:t>
      </w:r>
      <w:r w:rsidR="00AF0C48">
        <w:t xml:space="preserve"> </w:t>
      </w:r>
      <w:r w:rsidRPr="000210D5" w:rsidR="00A41F8B">
        <w:t>73.</w:t>
      </w:r>
      <w:r w:rsidR="00A51056">
        <w:t>3526</w:t>
      </w:r>
      <w:r>
        <w:t xml:space="preserve">.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6040ADB8">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408BF075" w14:textId="13754FBB">
      <w:pPr>
        <w:widowControl/>
        <w:numPr>
          <w:ilvl w:val="0"/>
          <w:numId w:val="3"/>
        </w:numPr>
        <w:spacing w:after="120"/>
      </w:pPr>
      <w:r>
        <w:t xml:space="preserve">“Covered Employees” means all employees and agents of the </w:t>
      </w:r>
      <w:r w:rsidR="00AA5B48">
        <w:t>Licensee</w:t>
      </w:r>
      <w:r w:rsidR="00CE218C">
        <w:t>,</w:t>
      </w:r>
      <w:r>
        <w:t xml:space="preserve"> who are responsible for performing, supervising, overseeing, or managing activities related to the maintenance of online </w:t>
      </w:r>
      <w:r w:rsidR="007B6464">
        <w:t xml:space="preserve">public inspection </w:t>
      </w:r>
      <w:r>
        <w:t xml:space="preserve">files, as required by the </w:t>
      </w:r>
      <w:r w:rsidR="00555AD2">
        <w:t>Online Public Inspection File Rule</w:t>
      </w:r>
      <w:r>
        <w:t>.</w:t>
      </w:r>
    </w:p>
    <w:p w:rsidR="009951A8" w14:paraId="5394841B" w14:textId="29F7D91F">
      <w:pPr>
        <w:widowControl/>
        <w:numPr>
          <w:ilvl w:val="0"/>
          <w:numId w:val="3"/>
        </w:numPr>
        <w:spacing w:after="120"/>
      </w:pPr>
      <w:r>
        <w:t xml:space="preserve">“Effective Date” means the date by which both the Bureau and </w:t>
      </w:r>
      <w:r w:rsidR="00E6184C">
        <w:t xml:space="preserve">the </w:t>
      </w:r>
      <w:r w:rsidR="00AA5B48">
        <w:t>Licensee</w:t>
      </w:r>
      <w:r>
        <w:rPr>
          <w:b/>
        </w:rPr>
        <w:t xml:space="preserve"> </w:t>
      </w:r>
      <w:r>
        <w:t>have signed the Consent Decree.</w:t>
      </w:r>
    </w:p>
    <w:p w:rsidR="009951A8" w14:paraId="564D50CB" w14:textId="59BED88C">
      <w:pPr>
        <w:widowControl/>
        <w:numPr>
          <w:ilvl w:val="0"/>
          <w:numId w:val="3"/>
        </w:numPr>
        <w:spacing w:after="120"/>
      </w:pPr>
      <w:r>
        <w:rPr>
          <w:color w:val="000000"/>
        </w:rPr>
        <w:t>“Investigation” means the Bureau’s</w:t>
      </w:r>
      <w:r>
        <w:t xml:space="preserve"> decision to hold and not process the </w:t>
      </w:r>
      <w:r w:rsidR="00AA5B48">
        <w:t>Licensee</w:t>
      </w:r>
      <w:r>
        <w:t xml:space="preserve">’s license renewal application identified in Appendix A due to the </w:t>
      </w:r>
      <w:r w:rsidR="009302A4">
        <w:t>non</w:t>
      </w:r>
      <w:r>
        <w:t>compliance with its public file obligations</w:t>
      </w:r>
      <w:r>
        <w:rPr>
          <w:bCs/>
        </w:rPr>
        <w:t>.</w:t>
      </w:r>
      <w:r>
        <w:t xml:space="preserve"> </w:t>
      </w:r>
    </w:p>
    <w:p w:rsidR="0003053C" w:rsidP="0003053C" w14:paraId="75B928E2" w14:textId="0A90C62E">
      <w:pPr>
        <w:widowControl/>
        <w:numPr>
          <w:ilvl w:val="0"/>
          <w:numId w:val="3"/>
        </w:numPr>
        <w:spacing w:after="120"/>
      </w:pPr>
      <w:r>
        <w:t xml:space="preserve">“Licensee” </w:t>
      </w:r>
      <w:r w:rsidRPr="003B3489">
        <w:t xml:space="preserve">means </w:t>
      </w:r>
      <w:r w:rsidR="006D4EE7">
        <w:t>Capitol</w:t>
      </w:r>
      <w:r w:rsidR="00AF59B4">
        <w:t xml:space="preserve"> Broadcasting</w:t>
      </w:r>
      <w:r w:rsidR="002B0C8F">
        <w:t>, Inc.</w:t>
      </w:r>
      <w:r w:rsidR="005A475B">
        <w:t>,</w:t>
      </w:r>
      <w:r w:rsidR="004C70CA">
        <w:t xml:space="preserve"> </w:t>
      </w:r>
      <w:r>
        <w:t xml:space="preserve">and its affiliates, subsidiaries, predecessors-in-interest, and successors-in-interest.  </w:t>
      </w:r>
    </w:p>
    <w:p w:rsidR="00941E19" w14:paraId="496CA246" w14:textId="4FFDD9F8">
      <w:pPr>
        <w:widowControl/>
        <w:numPr>
          <w:ilvl w:val="0"/>
          <w:numId w:val="3"/>
        </w:numPr>
        <w:spacing w:after="120"/>
      </w:pPr>
      <w:r>
        <w:t>“Online Public Inspection File Rule” means 47 CFR §</w:t>
      </w:r>
      <w:r w:rsidRPr="00607DAE" w:rsidR="000210D5">
        <w:t xml:space="preserve"> </w:t>
      </w:r>
      <w:r w:rsidRPr="00607DAE">
        <w:t>73.</w:t>
      </w:r>
      <w:r w:rsidR="00A51056">
        <w:t>3526</w:t>
      </w:r>
      <w:r w:rsidRPr="00607DAE">
        <w:t>.</w:t>
      </w:r>
    </w:p>
    <w:p w:rsidR="009951A8" w14:paraId="6D4A683F" w14:textId="004D5FCC">
      <w:pPr>
        <w:widowControl/>
        <w:numPr>
          <w:ilvl w:val="0"/>
          <w:numId w:val="3"/>
        </w:numPr>
        <w:spacing w:after="120"/>
      </w:pPr>
      <w:r>
        <w:t xml:space="preserve">“Parties” means </w:t>
      </w:r>
      <w:r w:rsidR="00E6184C">
        <w:t xml:space="preserve">the </w:t>
      </w:r>
      <w:r w:rsidR="00AA5B48">
        <w:t>Licensee</w:t>
      </w:r>
      <w:r>
        <w:rPr>
          <w:b/>
        </w:rPr>
        <w:t xml:space="preserve"> </w:t>
      </w:r>
      <w:r>
        <w:t>and the Bureau, each of which is a “Party.”</w:t>
      </w:r>
    </w:p>
    <w:p w:rsidR="009951A8" w:rsidP="00453C6D" w14:paraId="1CA6FF50" w14:textId="77777777">
      <w:pPr>
        <w:widowControl/>
        <w:numPr>
          <w:ilvl w:val="0"/>
          <w:numId w:val="3"/>
        </w:numPr>
        <w:spacing w:after="120"/>
      </w:pPr>
      <w:r>
        <w:t>“Rules” means the Commission’s regulations found in Title 47 of the Code of Federal Regulations.</w:t>
      </w:r>
      <w:r w:rsidRPr="00555AD2">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8236AE" w14:paraId="3D09FF28" w14:textId="0B0F4F6F">
      <w:pPr>
        <w:pStyle w:val="ParaNum"/>
        <w:widowControl/>
        <w:tabs>
          <w:tab w:val="clear" w:pos="1080"/>
          <w:tab w:val="num" w:pos="1440"/>
        </w:tabs>
      </w:pPr>
      <w:r w:rsidRPr="002A35B5">
        <w:t>Section</w:t>
      </w:r>
      <w:r w:rsidRPr="002A35B5" w:rsidR="00D01522">
        <w:t xml:space="preserve"> </w:t>
      </w:r>
      <w:r w:rsidRPr="002A35B5" w:rsidR="002A0E64">
        <w:t>73.</w:t>
      </w:r>
      <w:r w:rsidR="00A51056">
        <w:t>3526</w:t>
      </w:r>
      <w:r w:rsidRPr="002A35B5">
        <w:t xml:space="preserve"> requires</w:t>
      </w:r>
      <w:r>
        <w:t xml:space="preserve"> radio station licensees to maintain </w:t>
      </w:r>
      <w:r w:rsidR="00EB3B8D">
        <w:t xml:space="preserve">an online public inspection file </w:t>
      </w:r>
      <w:r w:rsidR="00783D1D">
        <w:t xml:space="preserve">and to upload certain documents to the Commission’s public inspection file database </w:t>
      </w:r>
      <w:r w:rsidR="007427D9">
        <w:t xml:space="preserve">throughout the year.  </w:t>
      </w:r>
      <w:r>
        <w:t xml:space="preserve">It is crucial that stations maintain </w:t>
      </w:r>
      <w:r w:rsidR="008236AE">
        <w:t xml:space="preserve">online public inspection </w:t>
      </w:r>
      <w:r>
        <w:t xml:space="preserve">files that are complete and up to date because the information in them directly affects, among other things, the </w:t>
      </w:r>
      <w:r w:rsidR="001F3F26">
        <w:t xml:space="preserve">public’s ability to be informed about a station’s compliance with its obligations.  </w:t>
      </w:r>
    </w:p>
    <w:p w:rsidR="009951A8" w:rsidP="00241A97" w14:paraId="438E86FC" w14:textId="06E1D572">
      <w:pPr>
        <w:pStyle w:val="ParaNum"/>
        <w:tabs>
          <w:tab w:val="clear" w:pos="1080"/>
          <w:tab w:val="num" w:pos="1440"/>
        </w:tabs>
        <w:rPr>
          <w:snapToGrid/>
          <w:kern w:val="0"/>
        </w:rPr>
      </w:pPr>
      <w:bookmarkStart w:id="2" w:name="_DV_M38"/>
      <w:bookmarkEnd w:id="2"/>
      <w:r>
        <w:t xml:space="preserve">The </w:t>
      </w:r>
      <w:r w:rsidR="00AA5B48">
        <w:t>Licensee</w:t>
      </w:r>
      <w:r w:rsidR="00E90E14">
        <w:rPr>
          <w:b/>
        </w:rPr>
        <w:t xml:space="preserve"> </w:t>
      </w:r>
      <w:r w:rsidR="00E90E14">
        <w:rPr>
          <w:bCs/>
        </w:rPr>
        <w:t xml:space="preserve">owns and operates one or more radio stations licensed by the Commission.  </w:t>
      </w:r>
      <w:r>
        <w:rPr>
          <w:bCs/>
        </w:rPr>
        <w:t xml:space="preserve">The </w:t>
      </w:r>
      <w:r w:rsidR="00AA5B48">
        <w:t>Licensee</w:t>
      </w:r>
      <w:r w:rsidR="00E90E14">
        <w:rPr>
          <w:b/>
        </w:rPr>
        <w:t xml:space="preserve"> </w:t>
      </w:r>
      <w:r w:rsidR="00241CDD">
        <w:rPr>
          <w:bCs/>
        </w:rPr>
        <w:t xml:space="preserve">recently </w:t>
      </w:r>
      <w:r w:rsidR="00E90E14">
        <w:t xml:space="preserve">filed </w:t>
      </w:r>
      <w:r w:rsidR="00C75A72">
        <w:t>an</w:t>
      </w:r>
      <w:r w:rsidR="00E90E14">
        <w:t xml:space="preserve"> application</w:t>
      </w:r>
      <w:r w:rsidR="00B0538B">
        <w:t xml:space="preserve"> for renewal of radio station licenses</w:t>
      </w:r>
      <w:r w:rsidR="00E90E14">
        <w:t xml:space="preserve">.  </w:t>
      </w:r>
      <w:r w:rsidR="00B0538B">
        <w:t xml:space="preserve">Further, </w:t>
      </w:r>
      <w:r w:rsidR="00454762">
        <w:t xml:space="preserve">we have determined that </w:t>
      </w:r>
      <w:r w:rsidR="00B0538B">
        <w:t>t</w:t>
      </w:r>
      <w:r>
        <w:t xml:space="preserve">he </w:t>
      </w:r>
      <w:r w:rsidR="00AA5B48">
        <w:t>Licensee</w:t>
      </w:r>
      <w:r w:rsidRPr="00D93068" w:rsidR="00D93068">
        <w:t xml:space="preserve"> </w:t>
      </w:r>
      <w:r w:rsidR="00FD1009">
        <w:t xml:space="preserve">did </w:t>
      </w:r>
      <w:r w:rsidR="00931D8E">
        <w:t>not compl</w:t>
      </w:r>
      <w:r w:rsidR="00FD1009">
        <w:t>y</w:t>
      </w:r>
      <w:r w:rsidR="00931D8E">
        <w:t xml:space="preserve"> </w:t>
      </w:r>
      <w:r w:rsidRPr="00D93068" w:rsidR="00D93068">
        <w:t xml:space="preserve">with the </w:t>
      </w:r>
      <w:r w:rsidR="00827E9F">
        <w:t>Online Public Inspection File</w:t>
      </w:r>
      <w:r w:rsidRPr="00D93068" w:rsidR="00D93068">
        <w:t xml:space="preserve"> Rule.</w:t>
      </w:r>
      <w:r w:rsidR="00931D8E">
        <w:t xml:space="preserve">  </w:t>
      </w:r>
      <w:r w:rsidR="00B0538B">
        <w:t>Th</w:t>
      </w:r>
      <w:r w:rsidR="00607DAE">
        <w:t xml:space="preserve">at </w:t>
      </w:r>
      <w:r w:rsidR="00B0538B">
        <w:t xml:space="preserve">application </w:t>
      </w:r>
      <w:r w:rsidR="00607DAE">
        <w:t>is</w:t>
      </w:r>
      <w:r w:rsidR="00B0538B">
        <w:t xml:space="preserve"> identified in </w:t>
      </w:r>
      <w:r w:rsidRPr="00454762" w:rsidR="00B0538B">
        <w:rPr>
          <w:b/>
          <w:bCs/>
        </w:rPr>
        <w:t>Appendix A</w:t>
      </w:r>
      <w:r w:rsidR="00B0538B">
        <w:t xml:space="preserve">.  </w:t>
      </w:r>
      <w:r w:rsidR="00E90E14">
        <w:t xml:space="preserve">Based on </w:t>
      </w:r>
      <w:r>
        <w:t xml:space="preserve">the </w:t>
      </w:r>
      <w:r w:rsidR="00AA5B48">
        <w:t>Licensee</w:t>
      </w:r>
      <w:r w:rsidR="00E90E14">
        <w:t xml:space="preserve">’s </w:t>
      </w:r>
      <w:r w:rsidR="00607DAE">
        <w:t>noncompliance with the Online Public Inspection File Rule</w:t>
      </w:r>
      <w:r w:rsidR="00E90E14">
        <w:t>, the Bureau commenced the Investigation and suspended processing th</w:t>
      </w:r>
      <w:r w:rsidR="00607DAE">
        <w:t>at</w:t>
      </w:r>
      <w:r w:rsidR="00E90E14">
        <w:t xml:space="preserve"> license renewal application.  </w:t>
      </w:r>
    </w:p>
    <w:p w:rsidR="009951A8" w:rsidP="00241A97" w14:paraId="4DDD4923" w14:textId="6F10ACAD">
      <w:pPr>
        <w:pStyle w:val="ParaNum"/>
        <w:tabs>
          <w:tab w:val="clear" w:pos="1080"/>
          <w:tab w:val="num" w:pos="1440"/>
        </w:tabs>
        <w:rPr>
          <w:snapToGrid/>
          <w:kern w:val="0"/>
        </w:rPr>
      </w:pPr>
      <w:r>
        <w:t>T</w:t>
      </w:r>
      <w:r w:rsidR="00B93B6E">
        <w:t xml:space="preserve">he </w:t>
      </w:r>
      <w:r>
        <w:t xml:space="preserve">radio </w:t>
      </w:r>
      <w:r w:rsidR="00B93B6E">
        <w:t xml:space="preserve">industry is </w:t>
      </w:r>
      <w:r w:rsidR="00633198">
        <w:t xml:space="preserve">recovering from </w:t>
      </w:r>
      <w:r w:rsidR="00E90E14">
        <w:t xml:space="preserve">a </w:t>
      </w:r>
      <w:r w:rsidR="00633198">
        <w:t xml:space="preserve">recent </w:t>
      </w:r>
      <w:r w:rsidR="00E90E14">
        <w:t>dramatic reduction in</w:t>
      </w:r>
      <w:r w:rsidRPr="00607DAE" w:rsidR="00607DAE">
        <w:t xml:space="preserve"> </w:t>
      </w:r>
      <w:r w:rsidRPr="00607DAE" w:rsidR="00D15BA5">
        <w:t>sponsorship</w:t>
      </w:r>
      <w:r w:rsidR="00E90E14">
        <w:t xml:space="preserve"> revenues which, in turn, placed the industry, including </w:t>
      </w:r>
      <w:r w:rsidR="00823333">
        <w:t xml:space="preserve">the </w:t>
      </w:r>
      <w:r w:rsidR="00AA5B48">
        <w:t>Licensee</w:t>
      </w:r>
      <w:r w:rsidR="00E90E14">
        <w:rPr>
          <w:bCs/>
        </w:rPr>
        <w:t>,</w:t>
      </w:r>
      <w:r w:rsidR="00E90E14">
        <w:t xml:space="preserve"> under significant</w:t>
      </w:r>
      <w:r w:rsidR="00CC0BD5">
        <w:t>, ongoing</w:t>
      </w:r>
      <w:r w:rsidR="00E90E14">
        <w:t xml:space="preserve"> financial stress. </w:t>
      </w:r>
      <w:r w:rsidR="00607DAE">
        <w:t xml:space="preserve"> </w:t>
      </w:r>
      <w:r w:rsidR="00E90E14">
        <w:t xml:space="preserve">The Bureau believes that </w:t>
      </w:r>
      <w:r w:rsidR="00823333">
        <w:t xml:space="preserve">the </w:t>
      </w:r>
      <w:r w:rsidR="00E90E14">
        <w:t xml:space="preserve">exceptional circumstances brought about by the </w:t>
      </w:r>
      <w:r w:rsidR="00171933">
        <w:t>industry’s economic situation present</w:t>
      </w:r>
      <w:r w:rsidR="00E90E14">
        <w:t xml:space="preserve"> a unique situation which, on balance, warrant resolution of the Bureau’s investigation under the terms and conditions described below.  </w:t>
      </w:r>
    </w:p>
    <w:p w:rsidR="009951A8" w:rsidP="00C75A72" w14:paraId="3D4BAA84" w14:textId="77777777">
      <w:pPr>
        <w:pStyle w:val="Heading1"/>
        <w:keepNext w:val="0"/>
        <w:widowControl/>
        <w:rPr>
          <w:rFonts w:ascii="Times New Roman" w:hAnsi="Times New Roman"/>
        </w:rPr>
      </w:pPr>
      <w:r>
        <w:rPr>
          <w:rFonts w:ascii="Times New Roman" w:hAnsi="Times New Roman"/>
        </w:rPr>
        <w:t>TERMS OF AGREEMENT</w:t>
      </w:r>
    </w:p>
    <w:p w:rsidR="009951A8" w:rsidP="00C75A72" w14:paraId="1AD96BE3" w14:textId="77777777">
      <w:pPr>
        <w:pStyle w:val="ParaNum"/>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rsidP="00C75A72" w14:paraId="220CA674" w14:textId="14B09DDA">
      <w:pPr>
        <w:pStyle w:val="ParaNum"/>
        <w:widowControl/>
        <w:tabs>
          <w:tab w:val="clear" w:pos="1080"/>
          <w:tab w:val="num" w:pos="1440"/>
        </w:tabs>
      </w:pPr>
      <w:r>
        <w:rPr>
          <w:b/>
          <w:u w:val="single"/>
        </w:rPr>
        <w:t>Jurisdiction</w:t>
      </w:r>
      <w:r>
        <w:t xml:space="preserve">.  </w:t>
      </w:r>
      <w:r w:rsidR="00823333">
        <w:t xml:space="preserve">The </w:t>
      </w:r>
      <w:r w:rsidR="00AA5B48">
        <w:t>Licensee</w:t>
      </w:r>
      <w:r>
        <w:rPr>
          <w:b/>
        </w:rPr>
        <w:t xml:space="preserve"> </w:t>
      </w:r>
      <w:r>
        <w:t>agrees that the Bureau has jurisdiction over it and the matters contained in this Consent Decree and has the authority to enter into and adopt this Consent Decree.</w:t>
      </w:r>
    </w:p>
    <w:p w:rsidR="009951A8" w:rsidP="00C75A72" w14:paraId="5A5A7273" w14:textId="392D36D6">
      <w:pPr>
        <w:pStyle w:val="ParaNum"/>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rsidP="00C75A72" w14:paraId="5AE59C76" w14:textId="6C88B8BE">
      <w:pPr>
        <w:pStyle w:val="ParaNum"/>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3" w:name="_Hlk40272208"/>
      <w:r>
        <w:t xml:space="preserve">n addition, the Bureau agrees to process the </w:t>
      </w:r>
      <w:r w:rsidR="00AA5B48">
        <w:t>Licensee</w:t>
      </w:r>
      <w:r>
        <w:t xml:space="preserve">’s pending </w:t>
      </w:r>
      <w:r w:rsidR="009657AF">
        <w:t xml:space="preserve">radio </w:t>
      </w:r>
      <w:r>
        <w:t xml:space="preserve">license renewal application identified in Appendix A in the ordinary course.  </w:t>
      </w:r>
      <w:bookmarkStart w:id="4" w:name="_Hlk40272241"/>
      <w:bookmarkEnd w:id="3"/>
      <w:r>
        <w:t xml:space="preserve">In consideration for such, the </w:t>
      </w:r>
      <w:r w:rsidR="00AA5B48">
        <w:t>Licensee</w:t>
      </w:r>
      <w:r>
        <w:t xml:space="preserve"> agrees to the terms, conditions, and procedures contained herein.</w:t>
      </w:r>
      <w:bookmarkEnd w:id="4"/>
      <w:r>
        <w:t xml:space="preserve">  </w:t>
      </w:r>
    </w:p>
    <w:p w:rsidR="009951A8" w:rsidP="00C75A72" w14:paraId="35B05048" w14:textId="70E74145">
      <w:pPr>
        <w:pStyle w:val="ParaNum"/>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rsidR="00AA5B48">
        <w:t>Licensee</w:t>
      </w:r>
      <w:r>
        <w:rPr>
          <w:b/>
        </w:rPr>
        <w:t xml:space="preserve"> </w:t>
      </w:r>
      <w:r>
        <w:t xml:space="preserve">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w:t>
      </w:r>
      <w:r w:rsidR="00AA5B48">
        <w:t>Licensee</w:t>
      </w:r>
      <w:r>
        <w:t>’s basic qualifications to be a Commission licensee or to hold Commission licenses or authorizations.</w:t>
      </w:r>
      <w:r>
        <w:rPr>
          <w:rStyle w:val="FootnoteReference"/>
        </w:rPr>
        <w:footnoteReference w:id="7"/>
      </w:r>
      <w:r>
        <w:t xml:space="preserve">  </w:t>
      </w:r>
    </w:p>
    <w:p w:rsidR="009951A8" w:rsidP="00C75A72" w14:paraId="4804A5D5" w14:textId="3E0883CA">
      <w:pPr>
        <w:pStyle w:val="ParaNum"/>
        <w:widowControl/>
        <w:tabs>
          <w:tab w:val="clear" w:pos="1080"/>
          <w:tab w:val="num" w:pos="1440"/>
        </w:tabs>
      </w:pPr>
      <w:r>
        <w:rPr>
          <w:b/>
          <w:u w:val="single"/>
        </w:rPr>
        <w:t>Admission of Liability</w:t>
      </w:r>
      <w:r>
        <w:t xml:space="preserve">. </w:t>
      </w:r>
      <w:r w:rsidR="00E6184C">
        <w:t xml:space="preserve">The </w:t>
      </w:r>
      <w:r w:rsidR="00AA5B48">
        <w:t>Licensee</w:t>
      </w:r>
      <w:r>
        <w:rPr>
          <w:b/>
        </w:rPr>
        <w:t xml:space="preserve"> </w:t>
      </w:r>
      <w:r>
        <w:t xml:space="preserve">admits for the purpose of this Consent Decree that it failed to timely place records </w:t>
      </w:r>
      <w:r w:rsidR="000D5600">
        <w:t>in its online public inspection file</w:t>
      </w:r>
      <w:r>
        <w:t xml:space="preserve">, in </w:t>
      </w:r>
      <w:r w:rsidR="00BF5EF0">
        <w:t xml:space="preserve">repeated </w:t>
      </w:r>
      <w:r>
        <w:t xml:space="preserve">violation of section </w:t>
      </w:r>
      <w:r w:rsidRPr="000210D5" w:rsidR="000D5600">
        <w:t>73.</w:t>
      </w:r>
      <w:r w:rsidR="00A51056">
        <w:t>3526</w:t>
      </w:r>
      <w:r w:rsidR="000D5600">
        <w:t xml:space="preserve"> </w:t>
      </w:r>
      <w:r>
        <w:t>of the Rules</w:t>
      </w:r>
      <w:r w:rsidR="00AB62E9">
        <w:t xml:space="preserve">.  </w:t>
      </w:r>
    </w:p>
    <w:p w:rsidR="009951A8" w:rsidP="00C75A72" w14:paraId="755AC7C0" w14:textId="0DB80FC0">
      <w:pPr>
        <w:pStyle w:val="ParaNum"/>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8"/>
      </w:r>
      <w:r>
        <w:t xml:space="preserve">  </w:t>
      </w:r>
      <w:r w:rsidR="00823333">
        <w:t xml:space="preserve">The </w:t>
      </w:r>
      <w:r w:rsidR="00AA5B48">
        <w:t>Licensee</w:t>
      </w:r>
      <w:r>
        <w:rPr>
          <w:b/>
        </w:rPr>
        <w:t xml:space="preserve"> </w:t>
      </w:r>
      <w:r>
        <w:t xml:space="preserve">acknowledges that the Commission or its delegated authority may consider the </w:t>
      </w:r>
      <w:r w:rsidR="00AA5B48">
        <w:t>Licensee</w:t>
      </w:r>
      <w:r>
        <w:t>’s admission of liability in this Consent Decree in proposing a</w:t>
      </w:r>
      <w:r w:rsidR="00823333">
        <w:t>ny future</w:t>
      </w:r>
      <w:r>
        <w:t xml:space="preserve"> forfeiture against </w:t>
      </w:r>
      <w:r w:rsidR="00AA5B48">
        <w:t>Licensee</w:t>
      </w:r>
      <w:r>
        <w:rPr>
          <w:b/>
        </w:rPr>
        <w:t xml:space="preserve"> </w:t>
      </w:r>
      <w:r>
        <w:t xml:space="preserve">in the </w:t>
      </w:r>
      <w:r w:rsidR="00AB62E9">
        <w:t xml:space="preserve"> </w:t>
      </w:r>
      <w:r>
        <w:t xml:space="preserve">event </w:t>
      </w:r>
      <w:r w:rsidR="00823333">
        <w:t xml:space="preserve">the </w:t>
      </w:r>
      <w:r w:rsidR="00AA5B48">
        <w:t>Licensee</w:t>
      </w:r>
      <w:r>
        <w:rPr>
          <w:b/>
        </w:rPr>
        <w:t xml:space="preserve"> </w:t>
      </w:r>
      <w:r>
        <w:t xml:space="preserve">is determined to have apparently committed a violation of the Act, the Rules, or of any orders of the Commission after the Effective Date, whether related to </w:t>
      </w:r>
      <w:r w:rsidR="002E73EE">
        <w:t>the online public inspection file</w:t>
      </w:r>
      <w:r>
        <w:t xml:space="preserve"> and record keeping or otherwise.</w:t>
      </w:r>
    </w:p>
    <w:p w:rsidR="009951A8" w:rsidP="006749F9" w14:paraId="36ADF5C1" w14:textId="08CD78E3">
      <w:pPr>
        <w:pStyle w:val="ParaNum"/>
        <w:keepNext/>
        <w:widowControl/>
        <w:tabs>
          <w:tab w:val="clear" w:pos="1080"/>
          <w:tab w:val="num" w:pos="1440"/>
        </w:tabs>
      </w:pPr>
      <w:r>
        <w:rPr>
          <w:b/>
          <w:u w:val="single"/>
        </w:rPr>
        <w:t>Compliance Officer</w:t>
      </w:r>
      <w:r>
        <w:t xml:space="preserve">.  Within 30 calendar days after the Effective Date, the </w:t>
      </w:r>
      <w:r w:rsidR="00AA5B48">
        <w:t>Licensee</w:t>
      </w:r>
      <w:r>
        <w:t xml:space="preserve"> shall designate a senior manager to serve as a Compliance Officer and to discharge the duties set forth below.  The Compliance Officer shall report directly to </w:t>
      </w:r>
      <w:r w:rsidR="00E6184C">
        <w:t xml:space="preserve">the </w:t>
      </w:r>
      <w:r w:rsidR="00AA5B48">
        <w:t>Licensee</w:t>
      </w:r>
      <w:r>
        <w:t xml:space="preserve">’s Chief Executive </w:t>
      </w:r>
      <w:bookmarkStart w:id="5" w:name="_Hlk45695358"/>
      <w:r>
        <w:t xml:space="preserve">Officer </w:t>
      </w:r>
      <w:r w:rsidR="00031AA0">
        <w:t>(</w:t>
      </w:r>
      <w:r w:rsidRPr="00031AA0" w:rsidR="00031AA0">
        <w:t>or equivalent senior offic</w:t>
      </w:r>
      <w:r w:rsidR="00EA235D">
        <w:t>er</w:t>
      </w:r>
      <w:r w:rsidR="000E66FC">
        <w:t>/owner)</w:t>
      </w:r>
      <w:bookmarkEnd w:id="5"/>
      <w:r w:rsidRPr="00031AA0" w:rsidR="00031AA0">
        <w:t xml:space="preserve"> </w:t>
      </w:r>
      <w:r>
        <w:t xml:space="preserve">on a regular basis, and shall be responsible for developing, implementing, and administering the Compliance Plan and ensuring that the </w:t>
      </w:r>
      <w:r w:rsidR="00AA5B48">
        <w:t>Licensee</w:t>
      </w:r>
      <w:r>
        <w:t xml:space="preserve"> complies with the terms and conditions of the Compliance Plan and this Consent Decree.  The Compliance Officer shall have specific knowledge of the </w:t>
      </w:r>
      <w:r w:rsidR="003C42D0">
        <w:t>Online Public Inspection File</w:t>
      </w:r>
      <w:r>
        <w:t xml:space="preserve"> Rule prior to assuming his/her duties.</w:t>
      </w:r>
      <w:r w:rsidR="006749F9">
        <w:t xml:space="preserve">  The Bureau acknowledges that the Compliance Officer, Chief Executive Officer, and/or owner may be the same individual. </w:t>
      </w:r>
    </w:p>
    <w:p w:rsidR="009951A8" w14:paraId="4AB9C142" w14:textId="505668E2">
      <w:pPr>
        <w:pStyle w:val="ParaNum"/>
        <w:keepNext/>
        <w:widowControl/>
        <w:tabs>
          <w:tab w:val="clear" w:pos="1080"/>
          <w:tab w:val="num" w:pos="1440"/>
        </w:tabs>
      </w:pPr>
      <w:r>
        <w:rPr>
          <w:b/>
          <w:u w:val="single"/>
        </w:rPr>
        <w:t>Compliance Plan</w:t>
      </w:r>
      <w:r>
        <w:t xml:space="preserve">.  For purposes of settling the matters set forth herein, the </w:t>
      </w:r>
      <w:r w:rsidR="00AA5B48">
        <w:t>Licensee</w:t>
      </w:r>
      <w:r>
        <w:t xml:space="preserve">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w:t>
      </w:r>
      <w:r w:rsidR="00DA315D">
        <w:rPr>
          <w:rFonts w:eastAsia="MS Mincho"/>
        </w:rPr>
        <w:t>Online Public Inspection File</w:t>
      </w:r>
      <w:r>
        <w:rPr>
          <w:rFonts w:eastAsia="MS Mincho"/>
        </w:rPr>
        <w:t xml:space="preserve">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described below in paragraph 1</w:t>
      </w:r>
      <w:r w:rsidR="00CD74A4">
        <w:t>4</w:t>
      </w:r>
      <w:r w:rsidR="00486E48">
        <w:t xml:space="preserve">(c), </w:t>
      </w:r>
      <w:r w:rsidR="0027642B">
        <w:t xml:space="preserve">shall apply to all radio stations </w:t>
      </w:r>
      <w:r w:rsidR="00B72164">
        <w:t xml:space="preserve">owned by </w:t>
      </w:r>
      <w:r w:rsidR="0027642B">
        <w:t xml:space="preserve">the </w:t>
      </w:r>
      <w:r w:rsidR="00AA5B48">
        <w:t>Licensee</w:t>
      </w:r>
      <w:r w:rsidR="0027642B">
        <w:t xml:space="preserve">.  </w:t>
      </w:r>
      <w:r>
        <w:t>The Compliance Plan</w:t>
      </w:r>
      <w:r w:rsidR="000E7051">
        <w:t xml:space="preserve"> shall </w:t>
      </w:r>
      <w:r>
        <w:t xml:space="preserve">contain, at a minimum, the following elements: </w:t>
      </w:r>
    </w:p>
    <w:p w:rsidR="009951A8" w:rsidP="00241A97" w14:paraId="5337DA24" w14:textId="5AC56AEC">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w:t>
      </w:r>
      <w:r w:rsidR="00AA5B48">
        <w:t>Licensee</w:t>
      </w:r>
      <w:r w:rsidR="0027510C">
        <w:t xml:space="preserve">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1CDBB823">
      <w:pPr>
        <w:pStyle w:val="Heading2"/>
        <w:numPr>
          <w:ilvl w:val="2"/>
          <w:numId w:val="4"/>
        </w:numPr>
        <w:ind w:left="1980"/>
      </w:pPr>
      <w:r>
        <w:t xml:space="preserve">thoroughly explain the requirements embodied in the </w:t>
      </w:r>
      <w:r w:rsidR="00AB3E72">
        <w:t xml:space="preserve">Online Public Inspection File </w:t>
      </w:r>
      <w:r>
        <w:t xml:space="preserve">Rule;  </w:t>
      </w:r>
    </w:p>
    <w:p w:rsidR="009951A8" w:rsidP="00241A97" w14:paraId="5FB0EEF4" w14:textId="73DAE9CB">
      <w:pPr>
        <w:pStyle w:val="Heading2"/>
        <w:numPr>
          <w:ilvl w:val="2"/>
          <w:numId w:val="4"/>
        </w:numPr>
        <w:ind w:left="1980"/>
      </w:pPr>
      <w:r>
        <w:t xml:space="preserve">contain Operating Procedures that Covered Employees must follow to help ensure </w:t>
      </w:r>
      <w:r w:rsidR="00E6184C">
        <w:t xml:space="preserve">the </w:t>
      </w:r>
      <w:r w:rsidR="00AA5B48">
        <w:t>Licensee</w:t>
      </w:r>
      <w:r>
        <w:t xml:space="preserve">’s compliance with the </w:t>
      </w:r>
      <w:r w:rsidR="00AB3E72">
        <w:t xml:space="preserve">Online Public Inspection File </w:t>
      </w:r>
      <w:r>
        <w:t xml:space="preserve">Rule.  The Operating Procedures shall include internal procedures and policies specifically designed to ensure that the </w:t>
      </w:r>
      <w:r w:rsidR="00AA5B48">
        <w:t>Licensee</w:t>
      </w:r>
      <w:r>
        <w:t>’s stations</w:t>
      </w:r>
      <w:r w:rsidRPr="00241A97">
        <w:t xml:space="preserve"> </w:t>
      </w:r>
      <w:r>
        <w:t xml:space="preserve">upload all required information to their online </w:t>
      </w:r>
      <w:r w:rsidR="0017012C">
        <w:t xml:space="preserve">public inspection </w:t>
      </w:r>
      <w:r>
        <w:t xml:space="preserve">files in a timely manner and otherwise maintain full, complete, and up to date information therein.  The Operating Procedures shall also include a compliance checklist that describes the steps that a Covered Employee must follow to ensure compliance with the </w:t>
      </w:r>
      <w:r w:rsidR="000B4D76">
        <w:t xml:space="preserve">Online Public Inspection File </w:t>
      </w:r>
      <w:r>
        <w:t>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6A162F4E">
      <w:pPr>
        <w:pStyle w:val="Heading2"/>
        <w:numPr>
          <w:ilvl w:val="0"/>
          <w:numId w:val="4"/>
        </w:numPr>
      </w:pPr>
      <w:r w:rsidRPr="004F69C4">
        <w:rPr>
          <w:b/>
          <w:u w:val="single"/>
        </w:rPr>
        <w:t>Compliance Training Program</w:t>
      </w:r>
      <w:r>
        <w:t xml:space="preserve">.  </w:t>
      </w:r>
      <w:r w:rsidR="000F6B3E">
        <w:t xml:space="preserve">If the </w:t>
      </w:r>
      <w:r w:rsidR="00AA5B48">
        <w:t>Licensee</w:t>
      </w:r>
      <w:r w:rsidR="000F6B3E">
        <w:t xml:space="preserve">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w:t>
      </w:r>
      <w:r w:rsidR="000B4D76">
        <w:t xml:space="preserve">Online Public Inspection File </w:t>
      </w:r>
      <w:r>
        <w:t xml:space="preserve">Rule.  As part of the compliance training program, Covered Employees shall be advised of the </w:t>
      </w:r>
      <w:r w:rsidR="00AA5B48">
        <w:t>Licensee</w:t>
      </w:r>
      <w:r>
        <w:t xml:space="preserve">’s obligation to report any noncompliance with the </w:t>
      </w:r>
      <w:r w:rsidR="000B4D76">
        <w:t>Online Public Inspection File</w:t>
      </w:r>
      <w:r>
        <w:t xml:space="preserve"> Rule and shall be instructed on how to disclose noncompliance to the Compliance Officer.  All Covered Employees shall receive initial training under the compliance training program within 30 calendar days after the Effective Date, except that </w:t>
      </w:r>
      <w:r>
        <w:t xml:space="preserve">any person who becomes a Covered Employee at any time after such initial training is provided shall receive training under the compliance training program within 30 calendar days after the date he or she becomes a Covered Employee.  The </w:t>
      </w:r>
      <w:r w:rsidR="00AA5B48">
        <w:t>Licensee</w:t>
      </w:r>
      <w:r>
        <w:t xml:space="preserve">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46B4A42">
      <w:pPr>
        <w:pStyle w:val="ParaNum"/>
        <w:keepNext/>
        <w:widowControl/>
        <w:numPr>
          <w:ilvl w:val="0"/>
          <w:numId w:val="4"/>
        </w:numPr>
      </w:pPr>
      <w:r w:rsidRPr="004F69C4">
        <w:rPr>
          <w:b/>
          <w:u w:val="single"/>
        </w:rPr>
        <w:t xml:space="preserve">Compliance </w:t>
      </w:r>
      <w:r w:rsidRPr="00A11A90">
        <w:rPr>
          <w:b/>
          <w:u w:val="single"/>
        </w:rPr>
        <w:t>Report</w:t>
      </w:r>
      <w:r>
        <w:t xml:space="preserve">.  </w:t>
      </w:r>
      <w:r w:rsidR="00B01C58">
        <w:t xml:space="preserve">One year after entering into this </w:t>
      </w:r>
      <w:r w:rsidR="00B015BD">
        <w:t>Consent Decree, t</w:t>
      </w:r>
      <w:r w:rsidR="00844486">
        <w:t xml:space="preserve">he </w:t>
      </w:r>
      <w:r w:rsidR="00AA5B48">
        <w:t>Licensee</w:t>
      </w:r>
      <w:r w:rsidR="008E2E05">
        <w:t xml:space="preserve"> </w:t>
      </w:r>
      <w:r w:rsidRPr="008E2E05" w:rsidR="008E2E05">
        <w:t xml:space="preserve">shall submit </w:t>
      </w:r>
      <w:r w:rsidR="00695DF2">
        <w:t xml:space="preserve">a </w:t>
      </w:r>
      <w:r w:rsidRPr="008E2E05" w:rsidR="008E2E05">
        <w:t>compliance report</w:t>
      </w:r>
      <w:r w:rsidR="0071273A">
        <w:t xml:space="preserve"> </w:t>
      </w:r>
      <w:r w:rsidR="004E6B18">
        <w:t xml:space="preserve">to </w:t>
      </w:r>
      <w:r w:rsidRPr="008E2E05" w:rsidR="008E2E05">
        <w:t>the Bureau</w:t>
      </w:r>
      <w:r w:rsidR="0027642B">
        <w:t xml:space="preserve"> for </w:t>
      </w:r>
      <w:r w:rsidR="00385E15">
        <w:t xml:space="preserve">each </w:t>
      </w:r>
      <w:r w:rsidR="0027642B">
        <w:t>station listed in Appendix A.</w:t>
      </w:r>
      <w:r w:rsidR="009A39D2">
        <w:t xml:space="preserve">  The compliance report shall contain a certification of the </w:t>
      </w:r>
      <w:r w:rsidR="00AA5B48">
        <w:t>Licensee</w:t>
      </w:r>
      <w:r w:rsidR="009A39D2">
        <w:t xml:space="preserve">’s compliance with the Online Public Inspection File Rule during the previous </w:t>
      </w:r>
      <w:r w:rsidR="001C6736">
        <w:t>year.</w:t>
      </w:r>
      <w:r w:rsidR="0027642B">
        <w:t xml:space="preserve">  </w:t>
      </w:r>
      <w:r w:rsidRPr="008E2E05" w:rsidR="008E2E05">
        <w:t xml:space="preserve">The </w:t>
      </w:r>
      <w:r w:rsidRPr="00A11A90" w:rsidR="008E2E05">
        <w:t>compliance report</w:t>
      </w:r>
      <w:r w:rsidRPr="008E2E05" w:rsidR="008E2E05">
        <w:t xml:space="preserve"> shall</w:t>
      </w:r>
      <w:r w:rsidR="001C6736">
        <w:t xml:space="preserve"> </w:t>
      </w:r>
      <w:r w:rsidR="00385E15">
        <w:t xml:space="preserve">be </w:t>
      </w:r>
      <w:r w:rsidR="007F2D1F">
        <w:t xml:space="preserve">submitted </w:t>
      </w:r>
      <w:r w:rsidR="00831B7F">
        <w:t xml:space="preserve">to the Bureau </w:t>
      </w:r>
      <w:r w:rsidRPr="00D7468E" w:rsidR="00D7468E">
        <w:t xml:space="preserve">no later than </w:t>
      </w:r>
      <w:r w:rsidR="004E7E72">
        <w:t>30</w:t>
      </w:r>
      <w:r w:rsidR="00ED7C31">
        <w:t xml:space="preserve"> days after the one</w:t>
      </w:r>
      <w:r w:rsidR="003B55E4">
        <w:t>-</w:t>
      </w:r>
      <w:r w:rsidR="00ED7C31">
        <w:t xml:space="preserve">year anniversary of the </w:t>
      </w:r>
      <w:r w:rsidR="00DE1A3F">
        <w:t>Effective Date</w:t>
      </w:r>
      <w:r w:rsidR="00A11A90">
        <w:t>.</w:t>
      </w:r>
      <w:r w:rsidR="00CB3D91">
        <w:t xml:space="preserve"> </w:t>
      </w:r>
      <w:r w:rsidRPr="008E2E05" w:rsidR="008E2E05">
        <w:t xml:space="preserve">The Bureau may, within its sole discretion, require </w:t>
      </w:r>
      <w:r w:rsidR="00844486">
        <w:t xml:space="preserve">the </w:t>
      </w:r>
      <w:r w:rsidR="00AA5B48">
        <w:t>Licensee</w:t>
      </w:r>
      <w:r w:rsidR="00844486">
        <w:t xml:space="preserve">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w:t>
      </w:r>
      <w:r w:rsidR="00CD74A4">
        <w:t>5</w:t>
      </w:r>
      <w:r w:rsidR="005A1AD0">
        <w:t xml:space="preserve"> below</w:t>
      </w:r>
      <w:r w:rsidRPr="008E2E05" w:rsidR="008E2E05">
        <w:t xml:space="preserve">.      </w:t>
      </w:r>
    </w:p>
    <w:p w:rsidR="009951A8" w:rsidRPr="00241A97" w:rsidP="00241A97" w14:paraId="14EB7545" w14:textId="155D68A0">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w:t>
      </w:r>
      <w:r w:rsidR="00AA5B48">
        <w:t>Licensee</w:t>
      </w:r>
      <w:r w:rsidR="00E90E14">
        <w:t>: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1E323689">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rPr>
        <w:footnoteReference w:id="9"/>
      </w:r>
      <w:r>
        <w:t xml:space="preserve"> and be subscribed to as true under penalty of perjury in substantially the form set forth therein.</w:t>
      </w:r>
    </w:p>
    <w:p w:rsidR="00031AA0" w:rsidP="009951A8" w14:paraId="6B30A5AF" w14:textId="7D8264E0">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9951A8" w:rsidRPr="00241A97" w:rsidP="00241A97" w14:paraId="758A4C93" w14:textId="0EAE1387">
      <w:pPr>
        <w:pStyle w:val="Heading2"/>
        <w:numPr>
          <w:ilvl w:val="2"/>
          <w:numId w:val="4"/>
        </w:numPr>
        <w:ind w:left="1980"/>
      </w:pPr>
      <w:r>
        <w:t xml:space="preserve">The </w:t>
      </w:r>
      <w:r w:rsidR="00E90E14">
        <w:t xml:space="preserve">compliance report shall be </w:t>
      </w:r>
      <w:bookmarkStart w:id="6" w:name="_Hlk17373964"/>
      <w:r w:rsidR="00E90E14">
        <w:t xml:space="preserve">submitted to the </w:t>
      </w:r>
      <w:r w:rsidR="00723071">
        <w:t>Audio Division</w:t>
      </w:r>
      <w:r w:rsidR="00E90E14">
        <w:t xml:space="preserve"> staff</w:t>
      </w:r>
      <w:bookmarkEnd w:id="6"/>
      <w:r w:rsidR="00C75A72">
        <w:t>: Alexander Sanjenis (alexander.sanjenis@fcc.gov).</w:t>
      </w:r>
    </w:p>
    <w:p w:rsidR="009951A8" w:rsidP="00241A97" w14:paraId="4849C0BF" w14:textId="419C19A2">
      <w:pPr>
        <w:pStyle w:val="ParaNum"/>
        <w:tabs>
          <w:tab w:val="clear" w:pos="1080"/>
          <w:tab w:val="num" w:pos="1440"/>
        </w:tabs>
        <w:rPr>
          <w:spacing w:val="-2"/>
          <w:szCs w:val="22"/>
        </w:rPr>
      </w:pPr>
      <w:r>
        <w:rPr>
          <w:b/>
          <w:u w:val="single"/>
        </w:rPr>
        <w:t>Reporting Noncompliance</w:t>
      </w:r>
      <w:r>
        <w:t xml:space="preserve">.  The </w:t>
      </w:r>
      <w:r w:rsidR="0003053C">
        <w:t>Licensee</w:t>
      </w:r>
      <w:r>
        <w:t xml:space="preserve"> shall</w:t>
      </w:r>
      <w:r w:rsidR="00270492">
        <w:t xml:space="preserve">, for each station </w:t>
      </w:r>
      <w:r w:rsidR="00B72164">
        <w:t>it owns</w:t>
      </w:r>
      <w:r w:rsidR="00270492">
        <w:t>,</w:t>
      </w:r>
      <w:r>
        <w:t xml:space="preserve"> report any instance of noncompliance with the </w:t>
      </w:r>
      <w:r w:rsidR="00D93D9B">
        <w:t xml:space="preserve">Online Public Inspection File </w:t>
      </w:r>
      <w:r>
        <w:t xml:space="preserve">Rule, and any instance of noncompliance with </w:t>
      </w:r>
      <w:r w:rsidR="00B72164">
        <w:t xml:space="preserve">any applicable </w:t>
      </w:r>
      <w:r>
        <w:t>terms and conditions of this Consent Decree within 10 calendar days after discovery of such noncompliance.  Such reports shall include a detailed explanation of: (</w:t>
      </w:r>
      <w:r>
        <w:t>i</w:t>
      </w:r>
      <w:r>
        <w:t xml:space="preserve">) each such instance of noncompliance; (ii) the steps that the </w:t>
      </w:r>
      <w:r w:rsidR="0003053C">
        <w:t>Licensee</w:t>
      </w:r>
      <w:r>
        <w:t xml:space="preserve"> has taken or will take to remedy such noncompliance, including the schedule on which such actions will be taken; and (</w:t>
      </w:r>
      <w:r>
        <w:t>iiii</w:t>
      </w:r>
      <w:r>
        <w:t xml:space="preserve">) the steps that the </w:t>
      </w:r>
      <w:r w:rsidR="00AA5B48">
        <w:t>Licensee</w:t>
      </w:r>
      <w:r>
        <w:t xml:space="preserve"> has taken or will take to prevent the recurrence of any such noncompliance, including the schedule on which such preventative action will be taken.  All reports of noncompliance </w:t>
      </w:r>
      <w:bookmarkStart w:id="7" w:name="_Hlk17294099"/>
      <w:r>
        <w:t xml:space="preserve">shall be submitted to the </w:t>
      </w:r>
      <w:r w:rsidR="00D93D9B">
        <w:t>Audio Division</w:t>
      </w:r>
      <w:r>
        <w:t xml:space="preserve"> staff</w:t>
      </w:r>
      <w:r w:rsidRPr="00396E86">
        <w:t xml:space="preserve">:  </w:t>
      </w:r>
      <w:bookmarkEnd w:id="7"/>
      <w:r w:rsidR="002A35B5">
        <w:t>Alexander Sanjenis (alexander.sanjenis@fcc.gov).</w:t>
      </w:r>
    </w:p>
    <w:p w:rsidR="009951A8" w:rsidP="00241A97" w14:paraId="50743FF8" w14:textId="38F28F51">
      <w:pPr>
        <w:pStyle w:val="ParaNum"/>
        <w:tabs>
          <w:tab w:val="clear" w:pos="1080"/>
          <w:tab w:val="num" w:pos="1440"/>
        </w:tabs>
      </w:pPr>
      <w:r>
        <w:rPr>
          <w:b/>
          <w:u w:val="single"/>
        </w:rPr>
        <w:t>Termination Date</w:t>
      </w:r>
      <w:r>
        <w:t xml:space="preserve">.  The obligations to which </w:t>
      </w:r>
      <w:r w:rsidR="00E6184C">
        <w:t xml:space="preserve">the </w:t>
      </w:r>
      <w:r w:rsidR="00AA5B48">
        <w:t>Licensee</w:t>
      </w:r>
      <w:r>
        <w:t xml:space="preserve"> is subject pursuant to this Consent Decree shall terminate </w:t>
      </w:r>
      <w:r w:rsidR="00290AEE">
        <w:t xml:space="preserve">upon submission of the </w:t>
      </w:r>
      <w:r w:rsidR="00B57BB4">
        <w:t>Compliance Report</w:t>
      </w:r>
      <w:r w:rsidR="001C2586">
        <w:t xml:space="preserve"> pursuant to Paragraph 14(c)</w:t>
      </w:r>
      <w:r>
        <w:t xml:space="preserve">, </w:t>
      </w:r>
      <w:r w:rsidRPr="00844486">
        <w:rPr>
          <w:i/>
          <w:iCs/>
        </w:rPr>
        <w:t>provided</w:t>
      </w:r>
      <w:r>
        <w:t xml:space="preserve"> the Bureau is satisfied that </w:t>
      </w:r>
      <w:r w:rsidR="00844486">
        <w:t xml:space="preserve">the </w:t>
      </w:r>
      <w:r w:rsidR="00AA5B48">
        <w:rPr>
          <w:bCs/>
        </w:rPr>
        <w:t>Licensee</w:t>
      </w:r>
      <w:r>
        <w:t xml:space="preserve"> has demonstrated substantial compliance with its obligations.  </w:t>
      </w:r>
      <w:r w:rsidRPr="00B3492D" w:rsidR="00B3492D">
        <w:t xml:space="preserve">If the Bureau is not satisfied that </w:t>
      </w:r>
      <w:r w:rsidR="002F7F77">
        <w:t xml:space="preserve">the </w:t>
      </w:r>
      <w:r w:rsidR="00AA5B48">
        <w:t>Licensee</w:t>
      </w:r>
      <w:r w:rsidR="002F7F77">
        <w:t xml:space="preserve"> </w:t>
      </w:r>
      <w:r w:rsidRPr="00B3492D" w:rsidR="00B3492D">
        <w:t>has demonstrated substantial compliance with its obligations, the Bureau may, within its the sole discretion and authority, extend the termination date of this Consent Decree for up to an additional 24 months.</w:t>
      </w:r>
      <w:r w:rsidR="00B72164">
        <w:t xml:space="preserve"> </w:t>
      </w:r>
    </w:p>
    <w:p w:rsidR="009951A8" w:rsidP="00241A97" w14:paraId="16C6EC1B" w14:textId="009B42A4">
      <w:pPr>
        <w:pStyle w:val="ParaNum"/>
        <w:tabs>
          <w:tab w:val="clear" w:pos="1080"/>
          <w:tab w:val="num" w:pos="1440"/>
        </w:tabs>
      </w:pPr>
      <w:r w:rsidRPr="00376338">
        <w:rPr>
          <w:b/>
          <w:bCs/>
          <w:u w:val="single"/>
        </w:rPr>
        <w:t>Further Violation(s)</w:t>
      </w:r>
      <w:r>
        <w:t xml:space="preserve">.  </w:t>
      </w:r>
      <w:r w:rsidR="002F7F77">
        <w:t xml:space="preserve">The </w:t>
      </w:r>
      <w:r w:rsidR="00AA5B48">
        <w:t>Licensee</w:t>
      </w:r>
      <w:r w:rsidR="00E90E14">
        <w:t xml:space="preserve"> acknowledges that the Bureau retains the discretion and authority to propose sanctions against </w:t>
      </w:r>
      <w:r w:rsidR="00E6184C">
        <w:t xml:space="preserve">the </w:t>
      </w:r>
      <w:r w:rsidR="00AA5B48">
        <w:t>Licensee</w:t>
      </w:r>
      <w:r w:rsidR="00E90E14">
        <w:t xml:space="preserve">, including the issuance of notices of apparent </w:t>
      </w:r>
      <w:r w:rsidR="00E90E14">
        <w:t xml:space="preserve">liability for forfeitures, for any apparent willful and/or repeated violation by </w:t>
      </w:r>
      <w:r w:rsidR="002F7F77">
        <w:t xml:space="preserve">the </w:t>
      </w:r>
      <w:r w:rsidR="00AA5B48">
        <w:t>Licensee</w:t>
      </w:r>
      <w:r w:rsidR="00E90E14">
        <w:t xml:space="preserve"> of the </w:t>
      </w:r>
      <w:r w:rsidR="00C83B5A">
        <w:t>Online Public Inspection File</w:t>
      </w:r>
      <w:r w:rsidR="00E90E14">
        <w:t xml:space="preserve"> Rule that occurs during the term of this Consent Decree.</w:t>
      </w:r>
    </w:p>
    <w:p w:rsidR="009951A8" w:rsidP="00241A97" w14:paraId="685C8792" w14:textId="3945A332">
      <w:pPr>
        <w:pStyle w:val="ParaNum"/>
        <w:keepNext/>
        <w:widowControl/>
        <w:tabs>
          <w:tab w:val="clear" w:pos="1080"/>
          <w:tab w:val="num" w:pos="1440"/>
        </w:tabs>
      </w:pPr>
      <w:r>
        <w:rPr>
          <w:b/>
          <w:u w:val="single"/>
        </w:rPr>
        <w:t>Waivers</w:t>
      </w:r>
      <w:r>
        <w:t xml:space="preserve">.  As of the Effective Date, </w:t>
      </w:r>
      <w:r w:rsidR="002F7F77">
        <w:t xml:space="preserve">the </w:t>
      </w:r>
      <w:r w:rsidR="00AA5B48">
        <w:rPr>
          <w:bCs/>
        </w:rPr>
        <w:t>Licensee</w:t>
      </w:r>
      <w:r>
        <w:t xml:space="preserve"> waives any and all rights it may have to seek administrative or judicial reconsideration, review, appeal, or stay, or to otherwise challenge or contest the validity of this Consent Decree and the Adopting Order.  The </w:t>
      </w:r>
      <w:r w:rsidR="00AA5B48">
        <w:t>Licensee</w:t>
      </w:r>
      <w:r>
        <w:t xml:space="preserve"> shall retain the right to challenge Commission interpretation of the Consent Decree or any terms contained herein.  If either Party (or the United States on behalf of the Commission) brings a judicial action to enforce the terms of the Consent Decree or Adopting Order, neither the </w:t>
      </w:r>
      <w:r w:rsidR="00AA5B48">
        <w:t>Licensee</w:t>
      </w:r>
      <w:r>
        <w:t xml:space="preserve"> nor the Commission shall contest the validity of the Consent Decree or the Adopting Order, and the </w:t>
      </w:r>
      <w:r w:rsidR="00AA5B48">
        <w:t>Licensee</w:t>
      </w:r>
      <w:r>
        <w:t xml:space="preserve"> shall waive any statutory right to a trial </w:t>
      </w:r>
      <w:r>
        <w:rPr>
          <w:i/>
        </w:rPr>
        <w:t>de novo</w:t>
      </w:r>
      <w:r>
        <w:t xml:space="preserve">.  The </w:t>
      </w:r>
      <w:r w:rsidR="00AA5B48">
        <w:t>Licensee</w:t>
      </w:r>
      <w:r>
        <w:t xml:space="preserve"> hereby agrees to waive any claims it may have under the Equal Access to Justice Act</w:t>
      </w:r>
      <w:r>
        <w:rPr>
          <w:rStyle w:val="FootnoteReference"/>
          <w:sz w:val="22"/>
        </w:rPr>
        <w:footnoteReference w:id="1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C75A72" w14:paraId="465B0D48" w14:textId="3F5A9D48">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w:t>
      </w:r>
      <w:r w:rsidR="00AA5B48">
        <w:t>Licensee</w:t>
      </w:r>
      <w:r>
        <w:t xml:space="preserve"> does not expressly consent) that provision will be superseded by such Rule or Order.  </w:t>
      </w:r>
    </w:p>
    <w:p w:rsidR="009951A8" w:rsidP="00C75A72" w14:paraId="2E194CD0" w14:textId="38CAC9AF">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sidR="00AA5B48">
        <w:rPr>
          <w:bCs/>
        </w:rPr>
        <w:t>Licensee</w:t>
      </w:r>
      <w:r>
        <w:rPr>
          <w:b/>
        </w:rPr>
        <w:t xml:space="preserve"> </w:t>
      </w:r>
      <w:r>
        <w:t>agrees that the provisions of this Consent Decree shall be binding on its successors, assigns, and transferees.</w:t>
      </w:r>
    </w:p>
    <w:p w:rsidR="009951A8" w:rsidP="00C75A72"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C75A72"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C75A72"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C75A72" w14:paraId="72D52BC8" w14:textId="77777777">
      <w:pPr>
        <w:pStyle w:val="ParaNum"/>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9302A4" w14:paraId="76FD97EE" w14:textId="77777777">
      <w:pPr>
        <w:pStyle w:val="ParaNum"/>
        <w:keepNext/>
        <w:keepLines/>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P="009302A4" w14:paraId="79BA8476" w14:textId="77777777">
      <w:pPr>
        <w:keepNext/>
        <w:keepLines/>
      </w:pPr>
    </w:p>
    <w:p w:rsidR="009951A8" w:rsidP="009302A4" w14:paraId="03789E94" w14:textId="77777777">
      <w:pPr>
        <w:keepNext/>
        <w:keepLines/>
      </w:pPr>
    </w:p>
    <w:p w:rsidR="009951A8" w:rsidP="009302A4" w14:paraId="4568430C" w14:textId="77777777">
      <w:pPr>
        <w:keepNext/>
        <w:keepLines/>
      </w:pPr>
    </w:p>
    <w:p w:rsidR="00FC5974" w:rsidP="009302A4" w14:paraId="0DE1B819" w14:textId="43311D0C">
      <w:pPr>
        <w:keepNext/>
        <w:keepLines/>
      </w:pPr>
      <w:r w:rsidRPr="00F321D9">
        <w:rPr>
          <w:noProof/>
        </w:rPr>
        <w:drawing>
          <wp:inline distT="0" distB="0" distL="0" distR="0">
            <wp:extent cx="2552700" cy="46963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580133" cy="474678"/>
                    </a:xfrm>
                    <a:prstGeom prst="rect">
                      <a:avLst/>
                    </a:prstGeom>
                    <a:noFill/>
                    <a:ln>
                      <a:noFill/>
                    </a:ln>
                  </pic:spPr>
                </pic:pic>
              </a:graphicData>
            </a:graphic>
          </wp:inline>
        </w:drawing>
      </w:r>
    </w:p>
    <w:p w:rsidR="009951A8" w:rsidP="009302A4" w14:paraId="706B3353" w14:textId="0F5D9B66">
      <w:pPr>
        <w:keepNext/>
        <w:keepLines/>
      </w:pPr>
      <w:r>
        <w:t>______________________________________</w:t>
      </w:r>
    </w:p>
    <w:p w:rsidR="009951A8" w:rsidP="009302A4" w14:paraId="5B9CE4EC" w14:textId="3DB284B5">
      <w:pPr>
        <w:keepNext/>
        <w:keepLines/>
      </w:pPr>
      <w:r>
        <w:t>Albert Shuldiner</w:t>
      </w:r>
    </w:p>
    <w:p w:rsidR="009951A8" w14:paraId="2D07268D" w14:textId="0499E415">
      <w:r>
        <w:t xml:space="preserve">Chief, </w:t>
      </w:r>
      <w:r w:rsidR="00DC6216">
        <w:t>Audio Division</w:t>
      </w:r>
      <w:r>
        <w:t xml:space="preserve"> </w:t>
      </w:r>
    </w:p>
    <w:p w:rsidR="009951A8" w14:paraId="065EA985" w14:textId="77777777"/>
    <w:p w:rsidR="009951A8" w14:paraId="789A12ED" w14:textId="2EC921B5">
      <w:r>
        <w:t>March 17, 2022</w:t>
      </w:r>
    </w:p>
    <w:p w:rsidR="009951A8" w14:paraId="49D51678" w14:textId="3E5E90C5">
      <w:r>
        <w:t>_____________________________</w:t>
      </w:r>
    </w:p>
    <w:p w:rsidR="009951A8" w:rsidRPr="008466BC" w14:paraId="0ECBC38D" w14:textId="77777777">
      <w:r w:rsidRPr="008466BC">
        <w:t>Date</w:t>
      </w:r>
    </w:p>
    <w:p w:rsidR="009951A8" w:rsidRPr="008466BC" w14:paraId="3A19B66A" w14:textId="77777777"/>
    <w:p w:rsidR="009951A8" w:rsidRPr="008466BC" w14:paraId="0777D136" w14:textId="77777777"/>
    <w:p w:rsidR="009951A8" w:rsidRPr="008466BC" w14:paraId="1AA1A9C9" w14:textId="77777777"/>
    <w:p w:rsidR="009951A8" w:rsidRPr="008466BC" w14:paraId="46FB3B17" w14:textId="77777777">
      <w:r w:rsidRPr="008466BC">
        <w:t>_____________________________________</w:t>
      </w:r>
    </w:p>
    <w:p w:rsidR="008A0108" w14:paraId="4CE2441A" w14:textId="2E1FD9E5">
      <w:r>
        <w:t>Matt Webb</w:t>
      </w:r>
    </w:p>
    <w:p w:rsidR="008208E7" w:rsidRPr="00E90B61" w14:paraId="70E89EE9" w14:textId="1C9546E9">
      <w:r>
        <w:t>Capitol</w:t>
      </w:r>
      <w:r w:rsidR="00AF59B4">
        <w:t xml:space="preserve"> Broadcasting</w:t>
      </w:r>
      <w:r w:rsidR="002B0C8F">
        <w:t>, Inc.</w:t>
      </w:r>
    </w:p>
    <w:p w:rsidR="009951A8" w:rsidRPr="00E90B61" w14:paraId="4C6C92D0" w14:textId="77777777"/>
    <w:p w:rsidR="009951A8" w:rsidRPr="00E90B61" w14:paraId="7C491817" w14:textId="77777777"/>
    <w:p w:rsidR="009951A8" w14:paraId="1B2E2517" w14:textId="77777777">
      <w:r>
        <w:t>____________________________________</w:t>
      </w:r>
    </w:p>
    <w:p w:rsidR="009951A8" w14:paraId="5451AB36" w14:textId="77777777">
      <w:r>
        <w:t>Date</w:t>
      </w:r>
    </w:p>
    <w:p w:rsidR="00F321D9" w14:paraId="30FB8C5B" w14:textId="7CD7E7C4">
      <w:pPr>
        <w:jc w:val="center"/>
      </w:pPr>
      <w:r>
        <w:br w:type="column"/>
      </w:r>
      <w:r w:rsidRPr="00F321D9">
        <w:rPr>
          <w:noProof/>
        </w:rPr>
        <w:drawing>
          <wp:inline distT="0" distB="0" distL="0" distR="0">
            <wp:extent cx="5943600" cy="7687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7687310"/>
                    </a:xfrm>
                    <a:prstGeom prst="rect">
                      <a:avLst/>
                    </a:prstGeom>
                    <a:noFill/>
                    <a:ln>
                      <a:noFill/>
                    </a:ln>
                  </pic:spPr>
                </pic:pic>
              </a:graphicData>
            </a:graphic>
          </wp:inline>
        </w:drawing>
      </w:r>
      <w:r>
        <w:br w:type="page"/>
      </w:r>
    </w:p>
    <w:p w:rsidR="009951A8" w14:paraId="5C2217DF" w14:textId="7CD7E7C4">
      <w:pPr>
        <w:jc w:val="center"/>
        <w:rPr>
          <w:b/>
          <w:bCs/>
          <w:u w:val="single"/>
        </w:rPr>
      </w:pP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rsidP="00C75A72"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rsidRPr="000D2DA9" w:rsidP="00C75A72" w14:paraId="486E4D59" w14:textId="32D8EF0E">
      <w:r>
        <w:t>KBZN</w:t>
      </w:r>
      <w:r w:rsidR="00306ED8">
        <w:t>(FM)</w:t>
      </w:r>
      <w:r w:rsidR="008A0108">
        <w:tab/>
      </w:r>
      <w:r w:rsidRPr="000D2DA9" w:rsidR="004C70CA">
        <w:tab/>
      </w:r>
      <w:r>
        <w:t>Ogden</w:t>
      </w:r>
      <w:r w:rsidRPr="000D2DA9" w:rsidR="005A475B">
        <w:t xml:space="preserve">, </w:t>
      </w:r>
      <w:r w:rsidR="00172DAB">
        <w:t>UT</w:t>
      </w:r>
      <w:r w:rsidRPr="000D2DA9" w:rsidR="005161AD">
        <w:tab/>
      </w:r>
      <w:r w:rsidRPr="000D2DA9" w:rsidR="00EB6263">
        <w:tab/>
      </w:r>
      <w:r w:rsidRPr="000D2DA9" w:rsidR="005A475B">
        <w:tab/>
      </w:r>
      <w:r w:rsidRPr="000D2DA9" w:rsidR="008208E7">
        <w:t>0000</w:t>
      </w:r>
      <w:r>
        <w:t>149079</w:t>
      </w:r>
    </w:p>
    <w:p w:rsidR="008A482B" w:rsidRPr="000D2DA9" w14:paraId="19F32E96" w14:textId="214EF14F">
      <w:pPr>
        <w:jc w:val="center"/>
        <w:rPr>
          <w:u w:val="single"/>
        </w:rPr>
      </w:pPr>
    </w:p>
    <w:p w:rsidR="008A482B" w:rsidRPr="000D2DA9" w:rsidP="008A482B" w14:paraId="6C8C1BBE" w14:textId="3014EF61">
      <w:r w:rsidRPr="000D2DA9">
        <w:tab/>
      </w:r>
    </w:p>
    <w:p w:rsidR="009951A8" w:rsidRPr="000D2DA9" w:rsidP="00A50B8D" w14:paraId="5E161ABF" w14:textId="6B80520C">
      <w:pPr>
        <w:rPr>
          <w:u w:val="single"/>
        </w:rPr>
      </w:pPr>
    </w:p>
    <w:p w:rsidR="008A482B" w:rsidRPr="000D2DA9" w:rsidP="00A50B8D" w14:paraId="34D88E9F" w14:textId="72E431C4">
      <w:pPr>
        <w:rPr>
          <w:u w:val="single"/>
        </w:rPr>
      </w:pPr>
    </w:p>
    <w:p w:rsidR="008A482B" w:rsidRPr="000D2DA9" w:rsidP="004F69C4" w14:paraId="37561B66" w14:textId="77777777"/>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DD7" w14:paraId="640A2E1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7C1" w14:paraId="6ADFAB6F" w14:textId="77777777">
      <w:r>
        <w:separator/>
      </w:r>
    </w:p>
  </w:footnote>
  <w:footnote w:type="continuationSeparator" w:id="1">
    <w:p w:rsidR="006F47C1" w14:paraId="7993D7F5" w14:textId="77777777">
      <w:pPr>
        <w:spacing w:before="120"/>
        <w:rPr>
          <w:sz w:val="20"/>
        </w:rPr>
      </w:pPr>
      <w:r>
        <w:continuationSeparator/>
      </w:r>
    </w:p>
  </w:footnote>
  <w:footnote w:type="continuationNotice" w:id="2">
    <w:p w:rsidR="006F47C1" w14:paraId="61762911" w14:textId="77777777">
      <w:pPr>
        <w:jc w:val="right"/>
        <w:rPr>
          <w:sz w:val="20"/>
        </w:rPr>
      </w:pPr>
    </w:p>
  </w:footnote>
  <w:footnote w:id="3">
    <w:p w:rsidR="00FF24C7" w:rsidP="00FF24C7" w14:paraId="4F625100" w14:textId="1B1E561D">
      <w:pPr>
        <w:pStyle w:val="FootnoteText"/>
      </w:pPr>
      <w:r>
        <w:rPr>
          <w:rStyle w:val="FootnoteReference"/>
        </w:rPr>
        <w:footnoteRef/>
      </w:r>
      <w:r>
        <w:t xml:space="preserve"> 47 CFR § 73.</w:t>
      </w:r>
      <w:r w:rsidR="00A51056">
        <w:t>3526</w:t>
      </w:r>
      <w:r>
        <w:t>.</w:t>
      </w:r>
    </w:p>
  </w:footnote>
  <w:footnote w:id="4">
    <w:p w:rsidR="00FF24C7" w:rsidP="00FF24C7" w14:paraId="09CA3DC7" w14:textId="77777777">
      <w:pPr>
        <w:pStyle w:val="FootnoteText"/>
      </w:pPr>
      <w:r>
        <w:rPr>
          <w:rStyle w:val="FootnoteReference"/>
        </w:rPr>
        <w:footnoteRef/>
      </w:r>
      <w:r>
        <w:t xml:space="preserve"> 47 U.S.C. § 154(</w:t>
      </w:r>
      <w:r>
        <w:t>i</w:t>
      </w:r>
      <w:r>
        <w:t>)6 154(j), and 503(b).</w:t>
      </w:r>
    </w:p>
  </w:footnote>
  <w:footnote w:id="5">
    <w:p w:rsidR="00FF24C7" w:rsidP="00FF24C7" w14:paraId="2EB0A76D" w14:textId="77777777">
      <w:pPr>
        <w:pStyle w:val="FootnoteText"/>
      </w:pPr>
      <w:r>
        <w:rPr>
          <w:rStyle w:val="FootnoteReference"/>
        </w:rPr>
        <w:footnoteRef/>
      </w:r>
      <w:r>
        <w:t xml:space="preserve"> 47 CFR §§ 0.61, 0.283. </w:t>
      </w:r>
    </w:p>
  </w:footnote>
  <w:footnote w:id="6">
    <w:p w:rsidR="009951A8" w14:paraId="2DE188D7" w14:textId="54E2A967">
      <w:pPr>
        <w:pStyle w:val="FootnoteText"/>
      </w:pPr>
      <w:r>
        <w:rPr>
          <w:rStyle w:val="FootnoteReference"/>
        </w:rPr>
        <w:footnoteRef/>
      </w:r>
      <w:r>
        <w:t xml:space="preserve"> 47 CF</w:t>
      </w:r>
      <w:r w:rsidRPr="00607DAE">
        <w:t xml:space="preserve">R § </w:t>
      </w:r>
      <w:r w:rsidRPr="00607DAE" w:rsidR="00F857E1">
        <w:t>73.</w:t>
      </w:r>
      <w:r w:rsidR="00A51056">
        <w:t>3526</w:t>
      </w:r>
      <w:r w:rsidRPr="00607DAE">
        <w:t>.</w:t>
      </w:r>
    </w:p>
  </w:footnote>
  <w:footnote w:id="7">
    <w:p w:rsidR="009951A8" w14:paraId="5691566B" w14:textId="77777777">
      <w:pPr>
        <w:pStyle w:val="FootnoteText"/>
      </w:pPr>
      <w:r>
        <w:rPr>
          <w:rStyle w:val="FootnoteReference"/>
        </w:rPr>
        <w:footnoteRef/>
      </w:r>
      <w:r>
        <w:t xml:space="preserve"> </w:t>
      </w:r>
      <w:r>
        <w:rPr>
          <w:i/>
        </w:rPr>
        <w:t>See</w:t>
      </w:r>
      <w:r>
        <w:t xml:space="preserve"> 47 CFR § 1.93(b). </w:t>
      </w:r>
    </w:p>
  </w:footnote>
  <w:footnote w:id="8">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9">
    <w:p w:rsidR="00BD095A" w14:paraId="0762DEB8" w14:textId="2D025447">
      <w:pPr>
        <w:pStyle w:val="FootnoteText"/>
      </w:pPr>
      <w:r>
        <w:rPr>
          <w:rStyle w:val="FootnoteReference"/>
        </w:rPr>
        <w:footnoteRef/>
      </w:r>
      <w:r>
        <w:t xml:space="preserve"> 47 CFR § 1.16.</w:t>
      </w:r>
    </w:p>
  </w:footnote>
  <w:footnote w:id="1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2DD7" w14:paraId="11A813D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0F5AD49B">
    <w:pPr>
      <w:pStyle w:val="Header"/>
    </w:pPr>
    <w:r>
      <w:tab/>
      <w:t>Federal Communications Commission</w:t>
    </w:r>
    <w:r>
      <w:tab/>
      <w:t xml:space="preserve">DA </w:t>
    </w:r>
    <w:r>
      <w:t>2</w:t>
    </w:r>
    <w:r w:rsidR="00ED600E">
      <w:t>2</w:t>
    </w:r>
    <w:r>
      <w:t>-</w:t>
    </w:r>
    <w:r w:rsidR="00AE2DD7">
      <w:t>294</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1EE47244">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sidR="002A35B5">
      <w:t>2</w:t>
    </w:r>
    <w:r w:rsidR="00CE218C">
      <w:t>2</w:t>
    </w:r>
    <w:r>
      <w:rPr>
        <w:spacing w:val="-2"/>
      </w:rPr>
      <w:t>-</w:t>
    </w:r>
    <w:r w:rsidR="00AE2DD7">
      <w:rPr>
        <w:spacing w:val="-2"/>
      </w:rPr>
      <w:t>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0">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1">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8"/>
  </w:num>
  <w:num w:numId="2">
    <w:abstractNumId w:val="4"/>
  </w:num>
  <w:num w:numId="3">
    <w:abstractNumId w:val="10"/>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7"/>
  </w:num>
  <w:num w:numId="11">
    <w:abstractNumId w:val="11"/>
  </w:num>
  <w:num w:numId="12">
    <w:abstractNumId w:val="9"/>
  </w:num>
  <w:num w:numId="13">
    <w:abstractNumId w:val="8"/>
  </w:num>
  <w:num w:numId="14">
    <w:abstractNumId w:val="1"/>
  </w:num>
  <w:num w:numId="15">
    <w:abstractNumId w:val="12"/>
  </w:num>
  <w:num w:numId="16">
    <w:abstractNumId w:val="4"/>
  </w:num>
  <w:num w:numId="17">
    <w:abstractNumId w:val="4"/>
  </w:num>
  <w:num w:numId="18">
    <w:abstractNumId w:val="8"/>
  </w:num>
  <w:num w:numId="19">
    <w:abstractNumId w:val="0"/>
  </w:num>
  <w:num w:numId="20">
    <w:abstractNumId w:val="8"/>
    <w:lvlOverride w:ilvl="0">
      <w:startOverride w:val="1"/>
    </w:lvlOverride>
  </w:num>
  <w:num w:numId="21">
    <w:abstractNumId w:val="2"/>
  </w:num>
  <w:num w:numId="22">
    <w:abstractNumId w:val="3"/>
  </w:num>
  <w:num w:numId="23">
    <w:abstractNumId w:val="8"/>
  </w:num>
  <w:num w:numId="24">
    <w:abstractNumId w:val="8"/>
  </w:num>
  <w:num w:numId="25">
    <w:abstractNumId w:val="8"/>
  </w:num>
  <w:num w:numId="26">
    <w:abstractNumId w:val="8"/>
  </w:num>
  <w:num w:numId="27">
    <w:abstractNumId w:val="8"/>
  </w:num>
  <w:num w:numId="28">
    <w:abstractNumId w:val="0"/>
  </w:num>
  <w:num w:numId="29">
    <w:abstractNumId w:val="0"/>
  </w:num>
  <w:num w:numId="30">
    <w:abstractNumId w:val="8"/>
  </w:num>
  <w:num w:numId="31">
    <w:abstractNumId w:val="8"/>
  </w:num>
  <w:num w:numId="32">
    <w:abstractNumId w:val="8"/>
  </w:num>
  <w:num w:numId="33">
    <w:abstractNumId w:val="8"/>
  </w:num>
  <w:num w:numId="34">
    <w:abstractNumId w:val="8"/>
  </w:num>
  <w:num w:numId="35">
    <w:abstractNumId w:val="0"/>
  </w:num>
  <w:num w:numId="36">
    <w:abstractNumId w:val="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07506"/>
    <w:rsid w:val="0001252D"/>
    <w:rsid w:val="000210D5"/>
    <w:rsid w:val="0003053C"/>
    <w:rsid w:val="00031AA0"/>
    <w:rsid w:val="000356AA"/>
    <w:rsid w:val="000605A7"/>
    <w:rsid w:val="00060B04"/>
    <w:rsid w:val="00091277"/>
    <w:rsid w:val="00093D94"/>
    <w:rsid w:val="000A77A6"/>
    <w:rsid w:val="000B4D76"/>
    <w:rsid w:val="000B77FD"/>
    <w:rsid w:val="000C372A"/>
    <w:rsid w:val="000D2DA9"/>
    <w:rsid w:val="000D5600"/>
    <w:rsid w:val="000E5164"/>
    <w:rsid w:val="000E66FC"/>
    <w:rsid w:val="000E7051"/>
    <w:rsid w:val="000F490B"/>
    <w:rsid w:val="000F4AD2"/>
    <w:rsid w:val="000F6B3E"/>
    <w:rsid w:val="00113C93"/>
    <w:rsid w:val="0011771F"/>
    <w:rsid w:val="00127E55"/>
    <w:rsid w:val="00147376"/>
    <w:rsid w:val="0017012C"/>
    <w:rsid w:val="00171933"/>
    <w:rsid w:val="00171A69"/>
    <w:rsid w:val="00172DAB"/>
    <w:rsid w:val="00174B47"/>
    <w:rsid w:val="001942E8"/>
    <w:rsid w:val="001A189A"/>
    <w:rsid w:val="001B482C"/>
    <w:rsid w:val="001B5EE4"/>
    <w:rsid w:val="001C2586"/>
    <w:rsid w:val="001C3203"/>
    <w:rsid w:val="001C6736"/>
    <w:rsid w:val="001C7257"/>
    <w:rsid w:val="001E54AB"/>
    <w:rsid w:val="001F3F26"/>
    <w:rsid w:val="001F5324"/>
    <w:rsid w:val="001F5CFC"/>
    <w:rsid w:val="00211A7C"/>
    <w:rsid w:val="002131EA"/>
    <w:rsid w:val="002159D1"/>
    <w:rsid w:val="00220A73"/>
    <w:rsid w:val="002227C8"/>
    <w:rsid w:val="00233A9D"/>
    <w:rsid w:val="002344A6"/>
    <w:rsid w:val="00235CC7"/>
    <w:rsid w:val="00237D46"/>
    <w:rsid w:val="00241A97"/>
    <w:rsid w:val="00241CDD"/>
    <w:rsid w:val="002430EF"/>
    <w:rsid w:val="0025265D"/>
    <w:rsid w:val="002637BB"/>
    <w:rsid w:val="0026580B"/>
    <w:rsid w:val="00270492"/>
    <w:rsid w:val="0027359D"/>
    <w:rsid w:val="0027510C"/>
    <w:rsid w:val="0027642B"/>
    <w:rsid w:val="00280D35"/>
    <w:rsid w:val="00290AEE"/>
    <w:rsid w:val="00297466"/>
    <w:rsid w:val="002A0E64"/>
    <w:rsid w:val="002A35B5"/>
    <w:rsid w:val="002B0C8F"/>
    <w:rsid w:val="002B6522"/>
    <w:rsid w:val="002D1A5E"/>
    <w:rsid w:val="002E73EE"/>
    <w:rsid w:val="002F2B2E"/>
    <w:rsid w:val="002F7F77"/>
    <w:rsid w:val="003057E5"/>
    <w:rsid w:val="00306ED8"/>
    <w:rsid w:val="00323A71"/>
    <w:rsid w:val="00343436"/>
    <w:rsid w:val="003541B9"/>
    <w:rsid w:val="003646D9"/>
    <w:rsid w:val="00374A8C"/>
    <w:rsid w:val="00376338"/>
    <w:rsid w:val="00385E15"/>
    <w:rsid w:val="00396E86"/>
    <w:rsid w:val="003B25C8"/>
    <w:rsid w:val="003B3489"/>
    <w:rsid w:val="003B55E4"/>
    <w:rsid w:val="003C0695"/>
    <w:rsid w:val="003C42D0"/>
    <w:rsid w:val="003C5959"/>
    <w:rsid w:val="003D3ADB"/>
    <w:rsid w:val="0040463F"/>
    <w:rsid w:val="00424733"/>
    <w:rsid w:val="00425091"/>
    <w:rsid w:val="00427860"/>
    <w:rsid w:val="004306A4"/>
    <w:rsid w:val="00446130"/>
    <w:rsid w:val="00453C6D"/>
    <w:rsid w:val="00454762"/>
    <w:rsid w:val="004560AF"/>
    <w:rsid w:val="00466139"/>
    <w:rsid w:val="0048227D"/>
    <w:rsid w:val="00486E48"/>
    <w:rsid w:val="00487BAC"/>
    <w:rsid w:val="00490D97"/>
    <w:rsid w:val="004917EF"/>
    <w:rsid w:val="00497899"/>
    <w:rsid w:val="004A7299"/>
    <w:rsid w:val="004B3A66"/>
    <w:rsid w:val="004C70CA"/>
    <w:rsid w:val="004D73CD"/>
    <w:rsid w:val="004E6B18"/>
    <w:rsid w:val="004E6EA5"/>
    <w:rsid w:val="004E7E72"/>
    <w:rsid w:val="004F69C4"/>
    <w:rsid w:val="005119B1"/>
    <w:rsid w:val="00514FA1"/>
    <w:rsid w:val="005161AD"/>
    <w:rsid w:val="005211F2"/>
    <w:rsid w:val="00555AD2"/>
    <w:rsid w:val="00562885"/>
    <w:rsid w:val="00564E97"/>
    <w:rsid w:val="00570818"/>
    <w:rsid w:val="00582AD8"/>
    <w:rsid w:val="005835D5"/>
    <w:rsid w:val="005939A1"/>
    <w:rsid w:val="005A1AD0"/>
    <w:rsid w:val="005A475B"/>
    <w:rsid w:val="005A77AA"/>
    <w:rsid w:val="005B14EF"/>
    <w:rsid w:val="005C2274"/>
    <w:rsid w:val="005C4351"/>
    <w:rsid w:val="005D2A4C"/>
    <w:rsid w:val="00607DAE"/>
    <w:rsid w:val="00623E17"/>
    <w:rsid w:val="00625A62"/>
    <w:rsid w:val="00626149"/>
    <w:rsid w:val="00633198"/>
    <w:rsid w:val="00633C03"/>
    <w:rsid w:val="006353FE"/>
    <w:rsid w:val="0063597B"/>
    <w:rsid w:val="0064551B"/>
    <w:rsid w:val="00663AF2"/>
    <w:rsid w:val="0066792E"/>
    <w:rsid w:val="006749F9"/>
    <w:rsid w:val="00680E14"/>
    <w:rsid w:val="00683062"/>
    <w:rsid w:val="006941ED"/>
    <w:rsid w:val="00695DF2"/>
    <w:rsid w:val="00696EEC"/>
    <w:rsid w:val="006A7178"/>
    <w:rsid w:val="006B0149"/>
    <w:rsid w:val="006C174F"/>
    <w:rsid w:val="006D4EE7"/>
    <w:rsid w:val="006E2406"/>
    <w:rsid w:val="006F3FC8"/>
    <w:rsid w:val="006F47C1"/>
    <w:rsid w:val="00704AC0"/>
    <w:rsid w:val="00705837"/>
    <w:rsid w:val="00711785"/>
    <w:rsid w:val="0071273A"/>
    <w:rsid w:val="00715C5B"/>
    <w:rsid w:val="00723071"/>
    <w:rsid w:val="007253BA"/>
    <w:rsid w:val="00727862"/>
    <w:rsid w:val="007352E8"/>
    <w:rsid w:val="007427D9"/>
    <w:rsid w:val="0074459B"/>
    <w:rsid w:val="00750135"/>
    <w:rsid w:val="00750909"/>
    <w:rsid w:val="00765D27"/>
    <w:rsid w:val="00766CD8"/>
    <w:rsid w:val="00783D1D"/>
    <w:rsid w:val="00786255"/>
    <w:rsid w:val="007B346D"/>
    <w:rsid w:val="007B38D8"/>
    <w:rsid w:val="007B6464"/>
    <w:rsid w:val="007C4CA1"/>
    <w:rsid w:val="007D0248"/>
    <w:rsid w:val="007F2D1F"/>
    <w:rsid w:val="007F5202"/>
    <w:rsid w:val="0080741D"/>
    <w:rsid w:val="0081298A"/>
    <w:rsid w:val="00813AAE"/>
    <w:rsid w:val="008208E7"/>
    <w:rsid w:val="00823333"/>
    <w:rsid w:val="008236AE"/>
    <w:rsid w:val="00827E9F"/>
    <w:rsid w:val="00831B7F"/>
    <w:rsid w:val="00844486"/>
    <w:rsid w:val="008466BC"/>
    <w:rsid w:val="00846E22"/>
    <w:rsid w:val="00854C99"/>
    <w:rsid w:val="00864227"/>
    <w:rsid w:val="00885FA3"/>
    <w:rsid w:val="00886B4E"/>
    <w:rsid w:val="00891FFD"/>
    <w:rsid w:val="0089334D"/>
    <w:rsid w:val="00893E75"/>
    <w:rsid w:val="0089450F"/>
    <w:rsid w:val="008A0108"/>
    <w:rsid w:val="008A2EAA"/>
    <w:rsid w:val="008A482B"/>
    <w:rsid w:val="008B268F"/>
    <w:rsid w:val="008B43A5"/>
    <w:rsid w:val="008C0F13"/>
    <w:rsid w:val="008C29EF"/>
    <w:rsid w:val="008C68DF"/>
    <w:rsid w:val="008E2795"/>
    <w:rsid w:val="008E2E05"/>
    <w:rsid w:val="00901D09"/>
    <w:rsid w:val="0091316D"/>
    <w:rsid w:val="0091690D"/>
    <w:rsid w:val="00917523"/>
    <w:rsid w:val="00923DA4"/>
    <w:rsid w:val="009302A4"/>
    <w:rsid w:val="00931D8E"/>
    <w:rsid w:val="00936051"/>
    <w:rsid w:val="00941E19"/>
    <w:rsid w:val="00944BDF"/>
    <w:rsid w:val="00952C6D"/>
    <w:rsid w:val="009657AF"/>
    <w:rsid w:val="00966548"/>
    <w:rsid w:val="00966799"/>
    <w:rsid w:val="00991D1F"/>
    <w:rsid w:val="00994E19"/>
    <w:rsid w:val="009951A8"/>
    <w:rsid w:val="009A06DA"/>
    <w:rsid w:val="009A39D2"/>
    <w:rsid w:val="009D6BE3"/>
    <w:rsid w:val="009E25B7"/>
    <w:rsid w:val="00A00506"/>
    <w:rsid w:val="00A11A90"/>
    <w:rsid w:val="00A148C5"/>
    <w:rsid w:val="00A257A7"/>
    <w:rsid w:val="00A30016"/>
    <w:rsid w:val="00A321A2"/>
    <w:rsid w:val="00A35944"/>
    <w:rsid w:val="00A36B85"/>
    <w:rsid w:val="00A41F8B"/>
    <w:rsid w:val="00A50B8D"/>
    <w:rsid w:val="00A51056"/>
    <w:rsid w:val="00A552F2"/>
    <w:rsid w:val="00A61FEE"/>
    <w:rsid w:val="00A62CBF"/>
    <w:rsid w:val="00A65AF4"/>
    <w:rsid w:val="00A91B87"/>
    <w:rsid w:val="00AA5B48"/>
    <w:rsid w:val="00AB01E1"/>
    <w:rsid w:val="00AB3E72"/>
    <w:rsid w:val="00AB62E9"/>
    <w:rsid w:val="00AC162B"/>
    <w:rsid w:val="00AD0E6A"/>
    <w:rsid w:val="00AD184D"/>
    <w:rsid w:val="00AD4EE8"/>
    <w:rsid w:val="00AD50B8"/>
    <w:rsid w:val="00AD67C1"/>
    <w:rsid w:val="00AE2DD7"/>
    <w:rsid w:val="00AF0C48"/>
    <w:rsid w:val="00AF59B4"/>
    <w:rsid w:val="00AF5DE3"/>
    <w:rsid w:val="00B015BD"/>
    <w:rsid w:val="00B01C58"/>
    <w:rsid w:val="00B0538B"/>
    <w:rsid w:val="00B07E2C"/>
    <w:rsid w:val="00B3492D"/>
    <w:rsid w:val="00B36F5A"/>
    <w:rsid w:val="00B375F7"/>
    <w:rsid w:val="00B37DAD"/>
    <w:rsid w:val="00B57BB4"/>
    <w:rsid w:val="00B64979"/>
    <w:rsid w:val="00B666B6"/>
    <w:rsid w:val="00B72164"/>
    <w:rsid w:val="00B76708"/>
    <w:rsid w:val="00B900FF"/>
    <w:rsid w:val="00B93B6E"/>
    <w:rsid w:val="00BA71CE"/>
    <w:rsid w:val="00BB07C0"/>
    <w:rsid w:val="00BB11F1"/>
    <w:rsid w:val="00BD095A"/>
    <w:rsid w:val="00BE334B"/>
    <w:rsid w:val="00BE4637"/>
    <w:rsid w:val="00BE4CF2"/>
    <w:rsid w:val="00BE7EBD"/>
    <w:rsid w:val="00BF36B9"/>
    <w:rsid w:val="00BF5EF0"/>
    <w:rsid w:val="00C27230"/>
    <w:rsid w:val="00C312BA"/>
    <w:rsid w:val="00C34058"/>
    <w:rsid w:val="00C345B7"/>
    <w:rsid w:val="00C36B27"/>
    <w:rsid w:val="00C54B46"/>
    <w:rsid w:val="00C563D8"/>
    <w:rsid w:val="00C75A72"/>
    <w:rsid w:val="00C83B5A"/>
    <w:rsid w:val="00C939F2"/>
    <w:rsid w:val="00C96105"/>
    <w:rsid w:val="00C976A6"/>
    <w:rsid w:val="00CA0D0E"/>
    <w:rsid w:val="00CB3D91"/>
    <w:rsid w:val="00CC0BD5"/>
    <w:rsid w:val="00CC128E"/>
    <w:rsid w:val="00CC60C8"/>
    <w:rsid w:val="00CD21FD"/>
    <w:rsid w:val="00CD402F"/>
    <w:rsid w:val="00CD74A4"/>
    <w:rsid w:val="00CE218C"/>
    <w:rsid w:val="00CE2575"/>
    <w:rsid w:val="00CE584B"/>
    <w:rsid w:val="00D01522"/>
    <w:rsid w:val="00D10FB9"/>
    <w:rsid w:val="00D15BA5"/>
    <w:rsid w:val="00D40DA0"/>
    <w:rsid w:val="00D44CCB"/>
    <w:rsid w:val="00D51E20"/>
    <w:rsid w:val="00D529DD"/>
    <w:rsid w:val="00D642E4"/>
    <w:rsid w:val="00D7468E"/>
    <w:rsid w:val="00D80AF9"/>
    <w:rsid w:val="00D82BF9"/>
    <w:rsid w:val="00D8740C"/>
    <w:rsid w:val="00D924D2"/>
    <w:rsid w:val="00D92826"/>
    <w:rsid w:val="00D93068"/>
    <w:rsid w:val="00D93D9B"/>
    <w:rsid w:val="00DA057B"/>
    <w:rsid w:val="00DA315D"/>
    <w:rsid w:val="00DA5FB5"/>
    <w:rsid w:val="00DB735A"/>
    <w:rsid w:val="00DC5370"/>
    <w:rsid w:val="00DC6216"/>
    <w:rsid w:val="00DC6771"/>
    <w:rsid w:val="00DD168A"/>
    <w:rsid w:val="00DD2AA3"/>
    <w:rsid w:val="00DE1A3F"/>
    <w:rsid w:val="00E03AFF"/>
    <w:rsid w:val="00E0598A"/>
    <w:rsid w:val="00E0651C"/>
    <w:rsid w:val="00E100E0"/>
    <w:rsid w:val="00E13A09"/>
    <w:rsid w:val="00E2175C"/>
    <w:rsid w:val="00E21D04"/>
    <w:rsid w:val="00E31808"/>
    <w:rsid w:val="00E50008"/>
    <w:rsid w:val="00E518D6"/>
    <w:rsid w:val="00E6184C"/>
    <w:rsid w:val="00E61A01"/>
    <w:rsid w:val="00E7544B"/>
    <w:rsid w:val="00E766A0"/>
    <w:rsid w:val="00E77DD4"/>
    <w:rsid w:val="00E90B61"/>
    <w:rsid w:val="00E90E14"/>
    <w:rsid w:val="00EA235D"/>
    <w:rsid w:val="00EA31C5"/>
    <w:rsid w:val="00EB3B8D"/>
    <w:rsid w:val="00EB6263"/>
    <w:rsid w:val="00ED600E"/>
    <w:rsid w:val="00ED7C31"/>
    <w:rsid w:val="00EE2315"/>
    <w:rsid w:val="00EF47CC"/>
    <w:rsid w:val="00F27B25"/>
    <w:rsid w:val="00F321D9"/>
    <w:rsid w:val="00F37D78"/>
    <w:rsid w:val="00F41979"/>
    <w:rsid w:val="00F42AE3"/>
    <w:rsid w:val="00F51999"/>
    <w:rsid w:val="00F62374"/>
    <w:rsid w:val="00F840CF"/>
    <w:rsid w:val="00F857E1"/>
    <w:rsid w:val="00F90AFE"/>
    <w:rsid w:val="00FA7DE9"/>
    <w:rsid w:val="00FB1E0A"/>
    <w:rsid w:val="00FC3F61"/>
    <w:rsid w:val="00FC404C"/>
    <w:rsid w:val="00FC5974"/>
    <w:rsid w:val="00FD1009"/>
    <w:rsid w:val="00FF24C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image" Target="media/image1.emf" /><Relationship Id="rId12" Type="http://schemas.openxmlformats.org/officeDocument/2006/relationships/image" Target="media/image2.emf"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