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0B5D7425">
            <w:pPr>
              <w:rPr>
                <w:szCs w:val="22"/>
              </w:rPr>
            </w:pPr>
            <w:r>
              <w:rPr>
                <w:szCs w:val="22"/>
              </w:rPr>
              <w:t xml:space="preserve">Lingo </w:t>
            </w:r>
            <w:r w:rsidR="001923DA">
              <w:rPr>
                <w:szCs w:val="22"/>
              </w:rPr>
              <w:t>Communications</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3A238B25">
            <w:pPr>
              <w:pStyle w:val="TOAHeading"/>
              <w:ind w:left="-30"/>
              <w:rPr>
                <w:szCs w:val="22"/>
              </w:rPr>
            </w:pPr>
            <w:r>
              <w:rPr>
                <w:szCs w:val="22"/>
              </w:rPr>
              <w:t xml:space="preserve">  </w:t>
            </w:r>
            <w:r>
              <w:rPr>
                <w:szCs w:val="22"/>
              </w:rPr>
              <w:t xml:space="preserve">Complaint No.  </w:t>
            </w:r>
            <w:r w:rsidR="00556893">
              <w:rPr>
                <w:szCs w:val="22"/>
              </w:rPr>
              <w:t>5249370</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3318FF80">
      <w:pPr>
        <w:tabs>
          <w:tab w:val="left" w:pos="0"/>
          <w:tab w:val="left" w:pos="5760"/>
        </w:tabs>
        <w:suppressAutoHyphens/>
        <w:spacing w:line="225" w:lineRule="auto"/>
        <w:rPr>
          <w:spacing w:val="-2"/>
        </w:rPr>
      </w:pPr>
      <w:r>
        <w:rPr>
          <w:b/>
          <w:spacing w:val="-2"/>
        </w:rPr>
        <w:t xml:space="preserve">Adopted: </w:t>
      </w:r>
      <w:r w:rsidR="000F3B19">
        <w:rPr>
          <w:b/>
          <w:spacing w:val="-2"/>
        </w:rPr>
        <w:t xml:space="preserve"> </w:t>
      </w:r>
      <w:r w:rsidR="00556893">
        <w:rPr>
          <w:b/>
          <w:spacing w:val="-2"/>
        </w:rPr>
        <w:t>M</w:t>
      </w:r>
      <w:r w:rsidR="005E479C">
        <w:rPr>
          <w:b/>
          <w:spacing w:val="-2"/>
        </w:rPr>
        <w:t>arch</w:t>
      </w:r>
      <w:r w:rsidR="00E57ED2">
        <w:rPr>
          <w:b/>
          <w:spacing w:val="-2"/>
        </w:rPr>
        <w:t xml:space="preserve"> </w:t>
      </w:r>
      <w:r w:rsidR="008D5E25">
        <w:rPr>
          <w:b/>
          <w:spacing w:val="-2"/>
        </w:rPr>
        <w:t>21</w:t>
      </w:r>
      <w:r w:rsidR="00FF079C">
        <w:rPr>
          <w:b/>
          <w:spacing w:val="-2"/>
        </w:rPr>
        <w:t>, 202</w:t>
      </w:r>
      <w:r w:rsidR="00556893">
        <w:rPr>
          <w:b/>
          <w:spacing w:val="-2"/>
        </w:rPr>
        <w:t>2</w:t>
      </w:r>
      <w:r>
        <w:rPr>
          <w:b/>
          <w:spacing w:val="-2"/>
        </w:rPr>
        <w:tab/>
      </w:r>
      <w:r w:rsidR="005E479C">
        <w:rPr>
          <w:b/>
          <w:spacing w:val="-2"/>
        </w:rPr>
        <w:tab/>
      </w:r>
      <w:r>
        <w:rPr>
          <w:b/>
          <w:spacing w:val="-2"/>
        </w:rPr>
        <w:t>Released:</w:t>
      </w:r>
      <w:r w:rsidR="00556893">
        <w:rPr>
          <w:b/>
          <w:spacing w:val="-2"/>
        </w:rPr>
        <w:t xml:space="preserve"> </w:t>
      </w:r>
      <w:r w:rsidR="000F3B19">
        <w:rPr>
          <w:b/>
          <w:spacing w:val="-2"/>
        </w:rPr>
        <w:t xml:space="preserve"> </w:t>
      </w:r>
      <w:r w:rsidR="00556893">
        <w:rPr>
          <w:b/>
          <w:spacing w:val="-2"/>
        </w:rPr>
        <w:t>M</w:t>
      </w:r>
      <w:r w:rsidR="005E479C">
        <w:rPr>
          <w:b/>
          <w:spacing w:val="-2"/>
        </w:rPr>
        <w:t>arch</w:t>
      </w:r>
      <w:r w:rsidR="00E57ED2">
        <w:rPr>
          <w:b/>
          <w:spacing w:val="-2"/>
        </w:rPr>
        <w:t xml:space="preserve"> </w:t>
      </w:r>
      <w:r w:rsidR="008D5E25">
        <w:rPr>
          <w:b/>
          <w:spacing w:val="-2"/>
        </w:rPr>
        <w:t>21</w:t>
      </w:r>
      <w:r w:rsidR="00FF079C">
        <w:rPr>
          <w:b/>
          <w:spacing w:val="-2"/>
        </w:rPr>
        <w:t>, 202</w:t>
      </w:r>
      <w:r w:rsidR="00556893">
        <w:rPr>
          <w:b/>
          <w:spacing w:val="-2"/>
        </w:rPr>
        <w:t>2</w:t>
      </w:r>
    </w:p>
    <w:p w:rsidR="00831895" w:rsidP="00831895" w14:paraId="328065FC" w14:textId="77777777"/>
    <w:p w:rsidR="00831895" w:rsidP="00831895" w14:paraId="02D5483F" w14:textId="4DC7E63B">
      <w:pPr>
        <w:spacing w:after="120"/>
      </w:pPr>
      <w:r>
        <w:t xml:space="preserve">By the </w:t>
      </w:r>
      <w:r w:rsidR="00557F4C">
        <w:t xml:space="preserve">Acting </w:t>
      </w:r>
      <w:r>
        <w:t>Chief, Consumer Policy Division, Consumer and Governmental Affairs Bureau:</w:t>
      </w:r>
    </w:p>
    <w:p w:rsidR="00831895" w:rsidP="00831895" w14:paraId="4B41483E" w14:textId="48A349B3">
      <w:pPr>
        <w:numPr>
          <w:ilvl w:val="0"/>
          <w:numId w:val="7"/>
        </w:numPr>
        <w:tabs>
          <w:tab w:val="num" w:pos="0"/>
        </w:tabs>
        <w:snapToGrid w:val="0"/>
        <w:spacing w:after="120"/>
        <w:ind w:left="0" w:firstLine="720"/>
      </w:pPr>
      <w:r>
        <w:t>In this Order, we consider a complaint alleging that</w:t>
      </w:r>
      <w:r w:rsidR="00BA4DDF">
        <w:t xml:space="preserve"> </w:t>
      </w:r>
      <w:r w:rsidR="00556893">
        <w:t>Ling</w:t>
      </w:r>
      <w:r w:rsidR="001923DA">
        <w:t>o Communications</w:t>
      </w:r>
      <w:r w:rsidR="00EF32C9">
        <w:t xml:space="preserve"> </w:t>
      </w:r>
      <w:r w:rsidR="00556893">
        <w:t>(Lingo</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556893">
        <w:t>Lingo</w:t>
      </w:r>
      <w:r>
        <w:t xml:space="preserve"> has responded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A46BE" w:rsidP="008E71D5" w14:paraId="08116E3E" w14:textId="0FBF41A3">
      <w:pPr>
        <w:widowControl/>
        <w:numPr>
          <w:ilvl w:val="0"/>
          <w:numId w:val="7"/>
        </w:numPr>
        <w:tabs>
          <w:tab w:val="num" w:pos="0"/>
        </w:tabs>
        <w:snapToGrid w:val="0"/>
        <w:spacing w:after="120"/>
        <w:ind w:left="0" w:firstLine="720"/>
      </w:pPr>
      <w:r>
        <w:t xml:space="preserve">We received Complainant’s complaint alleging that </w:t>
      </w:r>
      <w:r w:rsidR="00556893">
        <w:t>Lingo</w:t>
      </w:r>
      <w:r>
        <w:t xml:space="preserve"> had changed Complainant’s telecommunications service provider without Complainant’s authorization.</w:t>
      </w:r>
      <w:r>
        <w:rPr>
          <w:rStyle w:val="FootnoteReference"/>
        </w:rPr>
        <w:footnoteReference w:id="8"/>
      </w:r>
      <w:r>
        <w:t xml:space="preserve">  Pursuant to our rules,</w:t>
      </w:r>
      <w:r w:rsidR="00504345">
        <w:rPr>
          <w:rStyle w:val="FootnoteReference"/>
        </w:rPr>
        <w:t xml:space="preserve"> </w:t>
      </w:r>
      <w:r>
        <w:t xml:space="preserve">we notified </w:t>
      </w:r>
      <w:r w:rsidR="00556893">
        <w:t>Lingo</w:t>
      </w:r>
      <w:r>
        <w:t xml:space="preserve"> of the complaint.</w:t>
      </w:r>
      <w:r>
        <w:rPr>
          <w:rStyle w:val="FootnoteReference"/>
          <w:szCs w:val="22"/>
        </w:rPr>
        <w:footnoteReference w:id="9"/>
      </w:r>
      <w:r>
        <w:t xml:space="preserve">  </w:t>
      </w:r>
      <w:r w:rsidR="00CB324C">
        <w:t xml:space="preserve">In its response Lingo explains that </w:t>
      </w:r>
      <w:r w:rsidR="006834D0">
        <w:t xml:space="preserve">as early as 2004, </w:t>
      </w:r>
      <w:r w:rsidR="00813F50">
        <w:t>Complainant</w:t>
      </w:r>
      <w:r w:rsidR="00CB324C">
        <w:t xml:space="preserve"> was a customer </w:t>
      </w:r>
      <w:r w:rsidR="006834D0">
        <w:t>of</w:t>
      </w:r>
      <w:r w:rsidR="00CB324C">
        <w:t xml:space="preserve"> </w:t>
      </w:r>
      <w:r w:rsidR="00CB324C">
        <w:t>Cleartel</w:t>
      </w:r>
      <w:r w:rsidR="00CB324C">
        <w:t xml:space="preserve"> </w:t>
      </w:r>
      <w:r w:rsidR="00813F50">
        <w:t xml:space="preserve">Communications </w:t>
      </w:r>
      <w:r w:rsidR="00CB324C">
        <w:t xml:space="preserve">which was acquired by Birch </w:t>
      </w:r>
      <w:r w:rsidR="00813F50">
        <w:t>Communications</w:t>
      </w:r>
      <w:r w:rsidR="00557F4C">
        <w:t xml:space="preserve"> (Birch)</w:t>
      </w:r>
      <w:r w:rsidR="006834D0">
        <w:t xml:space="preserve"> in 2009</w:t>
      </w:r>
      <w:r w:rsidR="00557F4C">
        <w:t xml:space="preserve">.  Birch subsequently </w:t>
      </w:r>
      <w:r w:rsidR="00CB324C">
        <w:t>changed its name to Lingo.</w:t>
      </w:r>
      <w:r>
        <w:rPr>
          <w:rStyle w:val="FootnoteReference"/>
        </w:rPr>
        <w:footnoteReference w:id="10"/>
      </w:r>
      <w:r w:rsidR="00CB324C">
        <w:t xml:space="preserve">  </w:t>
      </w:r>
      <w:r w:rsidR="000C6AB5">
        <w:t>Lingo further states that w</w:t>
      </w:r>
      <w:r w:rsidR="00CB324C">
        <w:t xml:space="preserve">hen </w:t>
      </w:r>
      <w:r w:rsidR="00813F50">
        <w:t>Complainant</w:t>
      </w:r>
      <w:r w:rsidR="00CB324C">
        <w:t xml:space="preserve"> </w:t>
      </w:r>
      <w:r w:rsidR="006834D0">
        <w:t xml:space="preserve">more recently </w:t>
      </w:r>
      <w:r w:rsidR="00CB324C">
        <w:t>attempted to cancel Lingo’s service,</w:t>
      </w:r>
      <w:r w:rsidR="006834D0">
        <w:t xml:space="preserve"> Lingo experienced</w:t>
      </w:r>
      <w:r w:rsidR="00CB324C">
        <w:t xml:space="preserve"> a </w:t>
      </w:r>
      <w:r w:rsidR="006834D0">
        <w:t>“</w:t>
      </w:r>
      <w:r w:rsidR="00CB324C">
        <w:t>system error</w:t>
      </w:r>
      <w:r w:rsidR="006834D0">
        <w:t>”</w:t>
      </w:r>
      <w:r w:rsidR="00CB324C">
        <w:t xml:space="preserve"> </w:t>
      </w:r>
      <w:r w:rsidR="000C6AB5">
        <w:t>that</w:t>
      </w:r>
      <w:r w:rsidR="00CB324C">
        <w:t xml:space="preserve"> resulted in the account not being cancelled in a timely manner and additional invoices being</w:t>
      </w:r>
      <w:r w:rsidR="006834D0">
        <w:t xml:space="preserve"> mistakenly</w:t>
      </w:r>
      <w:r w:rsidR="00CB324C">
        <w:t xml:space="preserve"> issued</w:t>
      </w:r>
      <w:r w:rsidR="000C6AB5">
        <w:t xml:space="preserve"> to Complainant</w:t>
      </w:r>
      <w:r w:rsidR="00CB324C">
        <w:t>.</w:t>
      </w:r>
      <w:r>
        <w:rPr>
          <w:rStyle w:val="FootnoteReference"/>
        </w:rPr>
        <w:footnoteReference w:id="11"/>
      </w:r>
      <w:r w:rsidR="00CB324C">
        <w:t xml:space="preserve">  Finally, Lingo </w:t>
      </w:r>
      <w:r w:rsidR="000C6AB5">
        <w:t>asserts</w:t>
      </w:r>
      <w:r w:rsidR="00CB324C">
        <w:t xml:space="preserve"> that it </w:t>
      </w:r>
      <w:r w:rsidR="006834D0">
        <w:t xml:space="preserve">has </w:t>
      </w:r>
      <w:r w:rsidR="00CB324C">
        <w:t xml:space="preserve">issued a credit to </w:t>
      </w:r>
      <w:r w:rsidR="000C6AB5">
        <w:t xml:space="preserve">Complainant’s </w:t>
      </w:r>
      <w:r w:rsidR="00CB324C">
        <w:t xml:space="preserve">account </w:t>
      </w:r>
      <w:r w:rsidR="002D6054">
        <w:t>“to zero out the account balance</w:t>
      </w:r>
      <w:r>
        <w:t>,</w:t>
      </w:r>
      <w:r w:rsidR="002D6054">
        <w:t xml:space="preserve">” and </w:t>
      </w:r>
      <w:r>
        <w:t xml:space="preserve">that </w:t>
      </w:r>
      <w:r w:rsidR="002D6054">
        <w:t>the account is now cancelled.</w:t>
      </w:r>
      <w:r>
        <w:rPr>
          <w:rStyle w:val="FootnoteReference"/>
        </w:rPr>
        <w:footnoteReference w:id="12"/>
      </w:r>
      <w:r w:rsidR="00CB324C">
        <w:t xml:space="preserve">  </w:t>
      </w:r>
    </w:p>
    <w:p w:rsidR="00831895" w:rsidP="00831895" w14:paraId="3ABC81E9" w14:textId="14CC98DF">
      <w:pPr>
        <w:numPr>
          <w:ilvl w:val="0"/>
          <w:numId w:val="7"/>
        </w:numPr>
        <w:tabs>
          <w:tab w:val="num" w:pos="0"/>
        </w:tabs>
        <w:snapToGrid w:val="0"/>
        <w:spacing w:after="120"/>
        <w:ind w:left="0" w:firstLine="720"/>
      </w:pPr>
      <w:r>
        <w:t xml:space="preserve">Based on the information provided by </w:t>
      </w:r>
      <w:r w:rsidR="00556893">
        <w:t>Lingo</w:t>
      </w:r>
      <w:r w:rsidR="000754D0">
        <w:t xml:space="preserve"> and Complainant</w:t>
      </w:r>
      <w:r>
        <w:t xml:space="preserve">, it appears that </w:t>
      </w:r>
      <w:r w:rsidR="00556893">
        <w:t>Lingo</w:t>
      </w:r>
      <w:r>
        <w:t xml:space="preserve"> has fully absolved Complainant of all charges assessed by </w:t>
      </w:r>
      <w:r w:rsidR="00556893">
        <w:t>Lingo</w:t>
      </w:r>
      <w:r>
        <w:t xml:space="preserve"> in a manner consistent with the Commission’s liability rules.  We therefore find that the complaint referenced herein ha</w:t>
      </w:r>
      <w:r w:rsidR="00504345">
        <w:t>s</w:t>
      </w:r>
      <w:r>
        <w:t xml:space="preserve"> been resolved.</w:t>
      </w:r>
      <w:r>
        <w:rPr>
          <w:rStyle w:val="FootnoteReference"/>
        </w:rPr>
        <w:footnoteReference w:id="13"/>
      </w:r>
    </w:p>
    <w:p w:rsidR="00831895" w:rsidP="00831895" w14:paraId="6CD09E8F" w14:textId="729A4E81">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556893">
        <w:t>Lingo</w:t>
      </w:r>
      <w:r w:rsidR="00BA4DDF">
        <w:t xml:space="preserve"> Communications</w:t>
      </w:r>
      <w:r w:rsidR="006F6E18">
        <w:t>,</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043F4892">
      <w:pPr>
        <w:ind w:firstLine="4320"/>
        <w:outlineLvl w:val="0"/>
        <w:rPr>
          <w:szCs w:val="22"/>
        </w:rPr>
      </w:pPr>
      <w:r>
        <w:rPr>
          <w:szCs w:val="22"/>
        </w:rPr>
        <w:t>K</w:t>
      </w:r>
      <w:r w:rsidR="001A2E1E">
        <w:rPr>
          <w:szCs w:val="22"/>
        </w:rPr>
        <w:t>risti</w:t>
      </w:r>
      <w:r>
        <w:rPr>
          <w:szCs w:val="22"/>
        </w:rPr>
        <w:t xml:space="preserve"> </w:t>
      </w:r>
      <w:r w:rsidR="001A2E1E">
        <w:rPr>
          <w:szCs w:val="22"/>
        </w:rPr>
        <w:t>Thornton</w:t>
      </w:r>
    </w:p>
    <w:p w:rsidR="003A5155" w:rsidP="00846E87" w14:paraId="528AB172" w14:textId="76E3F20E">
      <w:pPr>
        <w:ind w:firstLine="4320"/>
        <w:outlineLvl w:val="0"/>
        <w:rPr>
          <w:szCs w:val="22"/>
        </w:rPr>
      </w:pPr>
      <w:r>
        <w:rPr>
          <w:szCs w:val="22"/>
        </w:rPr>
        <w:t xml:space="preserve">Acting </w:t>
      </w: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028015EB">
      <w:pPr>
        <w:pStyle w:val="FootnoteText"/>
      </w:pPr>
      <w:r>
        <w:rPr>
          <w:rStyle w:val="FootnoteReference"/>
        </w:rPr>
        <w:footnoteRef/>
      </w:r>
      <w:r>
        <w:rPr>
          <w:i/>
        </w:rPr>
        <w:t xml:space="preserve"> See </w:t>
      </w:r>
      <w:r>
        <w:t xml:space="preserve">Informal Complaint No. </w:t>
      </w:r>
      <w:r w:rsidR="00556893">
        <w:t>5249370</w:t>
      </w:r>
      <w:r>
        <w:t xml:space="preserve"> (</w:t>
      </w:r>
      <w:r w:rsidR="006A007B">
        <w:t xml:space="preserve">filed </w:t>
      </w:r>
      <w:r w:rsidR="00BA4DDF">
        <w:t>J</w:t>
      </w:r>
      <w:r w:rsidR="00556893">
        <w:t>an.</w:t>
      </w:r>
      <w:r w:rsidR="00BA4DDF">
        <w:t xml:space="preserve"> </w:t>
      </w:r>
      <w:r w:rsidR="00556893">
        <w:t>19</w:t>
      </w:r>
      <w:r>
        <w:t>, 20</w:t>
      </w:r>
      <w:r w:rsidR="006F6E18">
        <w:t>2</w:t>
      </w:r>
      <w:r w:rsidR="00556893">
        <w:t>2</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1923DA" w14:paraId="68ABDE25" w14:textId="25AD171E">
      <w:pPr>
        <w:pStyle w:val="FootnoteText"/>
      </w:pPr>
      <w:r>
        <w:rPr>
          <w:rStyle w:val="FootnoteReference"/>
        </w:rPr>
        <w:footnoteRef/>
      </w:r>
      <w:r>
        <w:t xml:space="preserve"> </w:t>
      </w:r>
      <w:r w:rsidRPr="001923DA">
        <w:rPr>
          <w:i/>
          <w:iCs/>
        </w:rPr>
        <w:t>See</w:t>
      </w:r>
      <w:r>
        <w:t xml:space="preserve"> Informal Complaint No. 5249370 (filed Jan. 19, 2022).</w:t>
      </w:r>
    </w:p>
  </w:footnote>
  <w:footnote w:id="9">
    <w:p w:rsidR="00831895" w:rsidP="00504345" w14:paraId="1D0F974F" w14:textId="039DB020">
      <w:pPr>
        <w:pStyle w:val="FootnoteText"/>
        <w:tabs>
          <w:tab w:val="left" w:pos="0"/>
        </w:tabs>
      </w:pPr>
      <w:r>
        <w:rPr>
          <w:rStyle w:val="FootnoteReference"/>
        </w:rPr>
        <w:footnoteRef/>
      </w:r>
      <w:r>
        <w:rPr>
          <w:i/>
        </w:rPr>
        <w:t xml:space="preserve"> </w:t>
      </w:r>
      <w:r w:rsidR="0032603A">
        <w:rPr>
          <w:iCs/>
        </w:rPr>
        <w:t>47 CFR</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10">
    <w:p w:rsidR="00557F4C" w14:paraId="5715D168" w14:textId="1A3715AD">
      <w:pPr>
        <w:pStyle w:val="FootnoteText"/>
      </w:pPr>
      <w:r>
        <w:rPr>
          <w:rStyle w:val="FootnoteReference"/>
        </w:rPr>
        <w:footnoteRef/>
      </w:r>
      <w:r>
        <w:t xml:space="preserve"> Lingo provided a 2019 memo from the Florida Public Service Commission acknowledging the name change.  </w:t>
      </w:r>
      <w:r w:rsidRPr="00DB4CD0">
        <w:rPr>
          <w:i/>
          <w:iCs/>
        </w:rPr>
        <w:t>See</w:t>
      </w:r>
      <w:r>
        <w:t xml:space="preserve"> E-mail from Mary Hope, Regulatory Manager—Consumer Affairs, Lingo, to Patrice Scott, </w:t>
      </w:r>
      <w:r w:rsidR="00665F6F">
        <w:t>Telecommunications Compliance Specialist, Consumer and Governmental Affairs Bureau, FCC (Mar. 4, 2022).</w:t>
      </w:r>
      <w:r>
        <w:t xml:space="preserve"> </w:t>
      </w:r>
    </w:p>
  </w:footnote>
  <w:footnote w:id="11">
    <w:p w:rsidR="002D6054" w14:paraId="394BF671" w14:textId="09B0D4CF">
      <w:pPr>
        <w:pStyle w:val="FootnoteText"/>
      </w:pPr>
      <w:r>
        <w:rPr>
          <w:rStyle w:val="FootnoteReference"/>
        </w:rPr>
        <w:footnoteRef/>
      </w:r>
      <w:r>
        <w:t xml:space="preserve"> </w:t>
      </w:r>
      <w:r w:rsidRPr="00DB4CD0">
        <w:rPr>
          <w:i/>
          <w:iCs/>
        </w:rPr>
        <w:t>See</w:t>
      </w:r>
      <w:r>
        <w:t xml:space="preserve"> E-mail from Mary Hope, Regulatory Manager—Consumer Affairs, Lingo, to Patrice Scott, Telecommunications Compliance Specialist, Consumer and Governmental Affairs Bureau, FCC (Mar. 2, 2022). </w:t>
      </w:r>
    </w:p>
  </w:footnote>
  <w:footnote w:id="12">
    <w:p w:rsidR="000C6AB5" w14:paraId="248D6BD9" w14:textId="40E170EF">
      <w:pPr>
        <w:pStyle w:val="FootnoteText"/>
      </w:pPr>
      <w:r>
        <w:rPr>
          <w:rStyle w:val="FootnoteReference"/>
        </w:rPr>
        <w:footnoteRef/>
      </w:r>
      <w:r>
        <w:t xml:space="preserve"> </w:t>
      </w:r>
      <w:r w:rsidRPr="008A46BE">
        <w:rPr>
          <w:i/>
          <w:iCs/>
        </w:rPr>
        <w:t>See</w:t>
      </w:r>
      <w:r>
        <w:t xml:space="preserve"> Lingo Response to Informal Complaint No. 5249370 (filed Feb. 21, 2022).</w:t>
      </w:r>
    </w:p>
  </w:footnote>
  <w:footnote w:id="13">
    <w:p w:rsidR="00831895" w:rsidP="00831895" w14:paraId="17401DD8" w14:textId="7777777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3B7A3FD4">
    <w:pPr>
      <w:pStyle w:val="Header"/>
      <w:rPr>
        <w:b w:val="0"/>
      </w:rPr>
    </w:pPr>
    <w:r>
      <w:tab/>
    </w:r>
    <w:r>
      <w:t>Federal Communications Commission</w:t>
    </w:r>
    <w:r>
      <w:tab/>
    </w:r>
    <w:r w:rsidR="00A138E2">
      <w:t>DA</w:t>
    </w:r>
    <w:r w:rsidR="00556893">
      <w:t xml:space="preserve"> 22-</w:t>
    </w:r>
    <w:r w:rsidR="00F75BDA">
      <w:t>297</w:t>
    </w:r>
    <w:r w:rsidR="00A138E2">
      <w:t xml:space="preserve"> </w:t>
    </w:r>
  </w:p>
  <w:p w:rsidR="00D25FB5" w14:paraId="6AD810CF" w14:textId="6F9C597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6DC33A4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138E2">
      <w:rPr>
        <w:spacing w:val="-2"/>
      </w:rPr>
      <w:t xml:space="preserve">DA </w:t>
    </w:r>
    <w:r w:rsidR="00556893">
      <w:rPr>
        <w:spacing w:val="-2"/>
      </w:rPr>
      <w:t>22</w:t>
    </w:r>
    <w:r w:rsidR="00F75BDA">
      <w:rPr>
        <w:spacing w:val="-2"/>
      </w:rPr>
      <w:t>-297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754D0"/>
    <w:rsid w:val="00085A94"/>
    <w:rsid w:val="000875BF"/>
    <w:rsid w:val="00096D8C"/>
    <w:rsid w:val="000C0B65"/>
    <w:rsid w:val="000C6AB5"/>
    <w:rsid w:val="000E05FE"/>
    <w:rsid w:val="000E3D42"/>
    <w:rsid w:val="000F3B19"/>
    <w:rsid w:val="00122BD5"/>
    <w:rsid w:val="00133F79"/>
    <w:rsid w:val="00142D97"/>
    <w:rsid w:val="001479C4"/>
    <w:rsid w:val="001923DA"/>
    <w:rsid w:val="00194A66"/>
    <w:rsid w:val="001A2E1E"/>
    <w:rsid w:val="001B1CAF"/>
    <w:rsid w:val="001D16CB"/>
    <w:rsid w:val="001D6BCF"/>
    <w:rsid w:val="001E01CA"/>
    <w:rsid w:val="00226145"/>
    <w:rsid w:val="00233E71"/>
    <w:rsid w:val="00255AD9"/>
    <w:rsid w:val="00275CF5"/>
    <w:rsid w:val="0028301F"/>
    <w:rsid w:val="00284F8A"/>
    <w:rsid w:val="00285017"/>
    <w:rsid w:val="0029600A"/>
    <w:rsid w:val="002A2D2E"/>
    <w:rsid w:val="002C00E8"/>
    <w:rsid w:val="002D6054"/>
    <w:rsid w:val="00305DCB"/>
    <w:rsid w:val="0032603A"/>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594E"/>
    <w:rsid w:val="004B7968"/>
    <w:rsid w:val="004C2EE3"/>
    <w:rsid w:val="004E3F6F"/>
    <w:rsid w:val="004E4A22"/>
    <w:rsid w:val="004F37F4"/>
    <w:rsid w:val="00504345"/>
    <w:rsid w:val="00511968"/>
    <w:rsid w:val="005328A1"/>
    <w:rsid w:val="0055614C"/>
    <w:rsid w:val="00556893"/>
    <w:rsid w:val="00557F4C"/>
    <w:rsid w:val="00566D06"/>
    <w:rsid w:val="005774C2"/>
    <w:rsid w:val="005A3966"/>
    <w:rsid w:val="005D20F0"/>
    <w:rsid w:val="005E14C2"/>
    <w:rsid w:val="005E479C"/>
    <w:rsid w:val="00607BA5"/>
    <w:rsid w:val="0061180A"/>
    <w:rsid w:val="00626EB6"/>
    <w:rsid w:val="00655D03"/>
    <w:rsid w:val="0066154F"/>
    <w:rsid w:val="00665F6F"/>
    <w:rsid w:val="00683388"/>
    <w:rsid w:val="006834D0"/>
    <w:rsid w:val="00683F84"/>
    <w:rsid w:val="006A007B"/>
    <w:rsid w:val="006A6A81"/>
    <w:rsid w:val="006F6E18"/>
    <w:rsid w:val="006F7393"/>
    <w:rsid w:val="0070224F"/>
    <w:rsid w:val="007115F7"/>
    <w:rsid w:val="0071745E"/>
    <w:rsid w:val="00785689"/>
    <w:rsid w:val="0079754B"/>
    <w:rsid w:val="007A1E6D"/>
    <w:rsid w:val="007B0EB2"/>
    <w:rsid w:val="007D10ED"/>
    <w:rsid w:val="007E1600"/>
    <w:rsid w:val="007F12FA"/>
    <w:rsid w:val="00810B6F"/>
    <w:rsid w:val="00812C84"/>
    <w:rsid w:val="00813F50"/>
    <w:rsid w:val="00822CE0"/>
    <w:rsid w:val="00831895"/>
    <w:rsid w:val="00841AB1"/>
    <w:rsid w:val="00846E87"/>
    <w:rsid w:val="00856C22"/>
    <w:rsid w:val="008A46BE"/>
    <w:rsid w:val="008B53C1"/>
    <w:rsid w:val="008B6A43"/>
    <w:rsid w:val="008C68F1"/>
    <w:rsid w:val="008D3771"/>
    <w:rsid w:val="008D48DB"/>
    <w:rsid w:val="008D5E25"/>
    <w:rsid w:val="008E71D5"/>
    <w:rsid w:val="008F5FAB"/>
    <w:rsid w:val="008F7313"/>
    <w:rsid w:val="00921803"/>
    <w:rsid w:val="009221FF"/>
    <w:rsid w:val="00926503"/>
    <w:rsid w:val="00951CB0"/>
    <w:rsid w:val="009726D8"/>
    <w:rsid w:val="009D7308"/>
    <w:rsid w:val="009E468B"/>
    <w:rsid w:val="009E714E"/>
    <w:rsid w:val="009F41B4"/>
    <w:rsid w:val="009F76DB"/>
    <w:rsid w:val="00A138E2"/>
    <w:rsid w:val="00A215A7"/>
    <w:rsid w:val="00A32C3B"/>
    <w:rsid w:val="00A34019"/>
    <w:rsid w:val="00A45F4F"/>
    <w:rsid w:val="00A600A9"/>
    <w:rsid w:val="00A608B1"/>
    <w:rsid w:val="00A73E7A"/>
    <w:rsid w:val="00A87E8F"/>
    <w:rsid w:val="00AA55B7"/>
    <w:rsid w:val="00AA5B9E"/>
    <w:rsid w:val="00AB01A8"/>
    <w:rsid w:val="00AB2407"/>
    <w:rsid w:val="00AB53DF"/>
    <w:rsid w:val="00AB71F2"/>
    <w:rsid w:val="00AD614D"/>
    <w:rsid w:val="00B07E5C"/>
    <w:rsid w:val="00B42372"/>
    <w:rsid w:val="00B811F7"/>
    <w:rsid w:val="00B83BA2"/>
    <w:rsid w:val="00B86409"/>
    <w:rsid w:val="00BA4DDF"/>
    <w:rsid w:val="00BA5BB7"/>
    <w:rsid w:val="00BA5DC6"/>
    <w:rsid w:val="00BA6196"/>
    <w:rsid w:val="00BC1E31"/>
    <w:rsid w:val="00BC6D8C"/>
    <w:rsid w:val="00BD4AB7"/>
    <w:rsid w:val="00C34006"/>
    <w:rsid w:val="00C36B4C"/>
    <w:rsid w:val="00C426B1"/>
    <w:rsid w:val="00C66160"/>
    <w:rsid w:val="00C721AC"/>
    <w:rsid w:val="00C90D6A"/>
    <w:rsid w:val="00CA247E"/>
    <w:rsid w:val="00CA6D21"/>
    <w:rsid w:val="00CA752A"/>
    <w:rsid w:val="00CB324C"/>
    <w:rsid w:val="00CB5BA4"/>
    <w:rsid w:val="00CC72B6"/>
    <w:rsid w:val="00CF1B64"/>
    <w:rsid w:val="00CF2AA9"/>
    <w:rsid w:val="00D00942"/>
    <w:rsid w:val="00D0218D"/>
    <w:rsid w:val="00D1169D"/>
    <w:rsid w:val="00D25FB5"/>
    <w:rsid w:val="00D33E46"/>
    <w:rsid w:val="00D44223"/>
    <w:rsid w:val="00D749D4"/>
    <w:rsid w:val="00DA2529"/>
    <w:rsid w:val="00DA7687"/>
    <w:rsid w:val="00DB130A"/>
    <w:rsid w:val="00DB2EBB"/>
    <w:rsid w:val="00DB4CD0"/>
    <w:rsid w:val="00DC10A1"/>
    <w:rsid w:val="00DC655F"/>
    <w:rsid w:val="00DD0B59"/>
    <w:rsid w:val="00DD7EBD"/>
    <w:rsid w:val="00DF62B6"/>
    <w:rsid w:val="00E07225"/>
    <w:rsid w:val="00E130C6"/>
    <w:rsid w:val="00E342E6"/>
    <w:rsid w:val="00E40333"/>
    <w:rsid w:val="00E5409F"/>
    <w:rsid w:val="00E57ED2"/>
    <w:rsid w:val="00E66EEA"/>
    <w:rsid w:val="00EE6488"/>
    <w:rsid w:val="00EF32C9"/>
    <w:rsid w:val="00F021FA"/>
    <w:rsid w:val="00F57146"/>
    <w:rsid w:val="00F62E97"/>
    <w:rsid w:val="00F64209"/>
    <w:rsid w:val="00F75BDA"/>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98629F"/>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