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74AA" w:rsidRPr="00B02A93" w:rsidP="0088295E" w14:paraId="7F86ABC8" w14:textId="24490C9E">
      <w:pPr>
        <w:jc w:val="right"/>
        <w:rPr>
          <w:b/>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02A93" w:rsidR="002351E7">
        <w:rPr>
          <w:b/>
        </w:rPr>
        <w:t xml:space="preserve">DA </w:t>
      </w:r>
      <w:r w:rsidR="002351E7">
        <w:rPr>
          <w:b/>
        </w:rPr>
        <w:t>2</w:t>
      </w:r>
      <w:r w:rsidR="00446101">
        <w:rPr>
          <w:b/>
        </w:rPr>
        <w:t>2</w:t>
      </w:r>
      <w:r w:rsidR="002351E7">
        <w:rPr>
          <w:b/>
        </w:rPr>
        <w:t>-</w:t>
      </w:r>
      <w:r w:rsidR="003B3251">
        <w:rPr>
          <w:b/>
        </w:rPr>
        <w:t>299</w:t>
      </w:r>
    </w:p>
    <w:p w:rsidR="003474AA" w:rsidRPr="00B02A93" w:rsidP="003474AA" w14:paraId="6C791515" w14:textId="77777777">
      <w:pPr>
        <w:widowControl/>
        <w:suppressAutoHyphens/>
        <w:spacing w:after="240"/>
        <w:jc w:val="right"/>
        <w:rPr>
          <w:b/>
        </w:rPr>
      </w:pPr>
      <w:r w:rsidRPr="00B02A93">
        <w:rPr>
          <w:b/>
        </w:rPr>
        <w:t xml:space="preserve">Released:  </w:t>
      </w:r>
      <w:r w:rsidR="00140953">
        <w:rPr>
          <w:b/>
        </w:rPr>
        <w:t xml:space="preserve">March </w:t>
      </w:r>
      <w:r w:rsidR="00D5407B">
        <w:rPr>
          <w:b/>
        </w:rPr>
        <w:t>21</w:t>
      </w:r>
      <w:r>
        <w:rPr>
          <w:b/>
        </w:rPr>
        <w:t>, 202</w:t>
      </w:r>
      <w:r w:rsidR="001D13D1">
        <w:rPr>
          <w:b/>
        </w:rPr>
        <w:t>2</w:t>
      </w:r>
    </w:p>
    <w:p w:rsidR="00C976EA" w:rsidP="00341E03" w14:paraId="7C2AC986" w14:textId="77777777">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00A01DA2">
        <w:rPr>
          <w:b/>
          <w:bCs/>
          <w:szCs w:val="22"/>
        </w:rPr>
        <w:t xml:space="preserve">DOBSON </w:t>
      </w:r>
      <w:r w:rsidR="00633D78">
        <w:rPr>
          <w:b/>
          <w:bCs/>
          <w:szCs w:val="22"/>
        </w:rPr>
        <w:t xml:space="preserve">TECHNOLOGIES, INC. D/B/A DOBSON FIBER AND ITS SUBSIDIARIES </w:t>
      </w:r>
    </w:p>
    <w:p w:rsidR="00633D78" w:rsidRPr="00341E03" w:rsidP="00C976EA" w14:paraId="10822679" w14:textId="77777777">
      <w:pPr>
        <w:autoSpaceDE w:val="0"/>
        <w:autoSpaceDN w:val="0"/>
        <w:adjustRightInd w:val="0"/>
        <w:ind w:left="-180" w:right="90"/>
        <w:jc w:val="center"/>
        <w:rPr>
          <w:b/>
          <w:bCs/>
          <w:szCs w:val="22"/>
        </w:rPr>
      </w:pPr>
      <w:r>
        <w:rPr>
          <w:b/>
          <w:bCs/>
          <w:szCs w:val="22"/>
        </w:rPr>
        <w:t>TO</w:t>
      </w:r>
      <w:r w:rsidR="00C976EA">
        <w:rPr>
          <w:b/>
          <w:bCs/>
          <w:szCs w:val="22"/>
        </w:rPr>
        <w:t xml:space="preserve"> </w:t>
      </w:r>
      <w:r>
        <w:rPr>
          <w:b/>
          <w:bCs/>
          <w:szCs w:val="22"/>
        </w:rPr>
        <w:t>MESA TELECOMS INVESTMENTS, LLC</w:t>
      </w:r>
    </w:p>
    <w:p w:rsidR="003474AA" w:rsidRPr="00B02A93" w:rsidP="003474AA" w14:paraId="6C0AAF1F" w14:textId="77777777">
      <w:pPr>
        <w:autoSpaceDE w:val="0"/>
        <w:autoSpaceDN w:val="0"/>
        <w:adjustRightInd w:val="0"/>
        <w:rPr>
          <w:b/>
          <w:szCs w:val="22"/>
        </w:rPr>
      </w:pPr>
    </w:p>
    <w:p w:rsidR="003474AA" w:rsidRPr="00477B03" w:rsidP="003474AA" w14:paraId="70ED16D2" w14:textId="77777777">
      <w:pPr>
        <w:autoSpaceDE w:val="0"/>
        <w:autoSpaceDN w:val="0"/>
        <w:adjustRightInd w:val="0"/>
        <w:jc w:val="center"/>
        <w:rPr>
          <w:b/>
          <w:szCs w:val="22"/>
        </w:rPr>
      </w:pPr>
      <w:r w:rsidRPr="004D2C30">
        <w:rPr>
          <w:b/>
          <w:szCs w:val="22"/>
        </w:rPr>
        <w:t>NON-</w:t>
      </w:r>
      <w:r w:rsidRPr="00477B03" w:rsidR="002351E7">
        <w:rPr>
          <w:b/>
          <w:szCs w:val="22"/>
        </w:rPr>
        <w:t>STREAMLINED PLEADING CYCLE ESTABLISHED</w:t>
      </w:r>
    </w:p>
    <w:p w:rsidR="003474AA" w:rsidP="003474AA" w14:paraId="5291591E" w14:textId="77777777">
      <w:pPr>
        <w:autoSpaceDE w:val="0"/>
        <w:autoSpaceDN w:val="0"/>
        <w:adjustRightInd w:val="0"/>
        <w:jc w:val="center"/>
        <w:rPr>
          <w:b/>
          <w:szCs w:val="22"/>
        </w:rPr>
      </w:pPr>
    </w:p>
    <w:p w:rsidR="003474AA" w:rsidP="003474AA" w14:paraId="2D14C438" w14:textId="77777777">
      <w:pPr>
        <w:autoSpaceDE w:val="0"/>
        <w:autoSpaceDN w:val="0"/>
        <w:adjustRightInd w:val="0"/>
        <w:jc w:val="center"/>
        <w:rPr>
          <w:b/>
          <w:szCs w:val="22"/>
        </w:rPr>
      </w:pPr>
      <w:r w:rsidRPr="00B02A93">
        <w:rPr>
          <w:b/>
          <w:szCs w:val="22"/>
        </w:rPr>
        <w:t>WC Docket No. 2</w:t>
      </w:r>
      <w:r w:rsidR="005A029F">
        <w:rPr>
          <w:b/>
          <w:szCs w:val="22"/>
        </w:rPr>
        <w:t>2-</w:t>
      </w:r>
      <w:r w:rsidR="00140953">
        <w:rPr>
          <w:b/>
          <w:szCs w:val="22"/>
        </w:rPr>
        <w:t>110</w:t>
      </w:r>
    </w:p>
    <w:p w:rsidR="003474AA" w:rsidP="003474AA" w14:paraId="10B8568A" w14:textId="77777777">
      <w:pPr>
        <w:autoSpaceDE w:val="0"/>
        <w:autoSpaceDN w:val="0"/>
        <w:adjustRightInd w:val="0"/>
        <w:jc w:val="center"/>
        <w:rPr>
          <w:b/>
          <w:szCs w:val="22"/>
        </w:rPr>
      </w:pPr>
    </w:p>
    <w:p w:rsidR="003474AA" w:rsidP="003474AA" w14:paraId="0ADC9679" w14:textId="77777777">
      <w:pPr>
        <w:pStyle w:val="NoSpacing"/>
        <w:rPr>
          <w:b/>
          <w:szCs w:val="22"/>
        </w:rPr>
      </w:pPr>
      <w:r w:rsidRPr="005B2105">
        <w:rPr>
          <w:b/>
          <w:szCs w:val="22"/>
        </w:rPr>
        <w:t xml:space="preserve">Comments Due:  </w:t>
      </w:r>
      <w:r w:rsidR="00FB5FD0">
        <w:rPr>
          <w:b/>
          <w:szCs w:val="22"/>
        </w:rPr>
        <w:t>April</w:t>
      </w:r>
      <w:r w:rsidR="008014D0">
        <w:rPr>
          <w:b/>
          <w:szCs w:val="22"/>
        </w:rPr>
        <w:t xml:space="preserve"> </w:t>
      </w:r>
      <w:r w:rsidR="00D5407B">
        <w:rPr>
          <w:b/>
          <w:szCs w:val="22"/>
        </w:rPr>
        <w:t>4</w:t>
      </w:r>
      <w:r>
        <w:rPr>
          <w:b/>
          <w:szCs w:val="22"/>
        </w:rPr>
        <w:t>,</w:t>
      </w:r>
      <w:r w:rsidRPr="005B2105">
        <w:rPr>
          <w:b/>
          <w:szCs w:val="22"/>
        </w:rPr>
        <w:t xml:space="preserve"> 202</w:t>
      </w:r>
      <w:r>
        <w:rPr>
          <w:b/>
          <w:szCs w:val="22"/>
        </w:rPr>
        <w:t xml:space="preserve">2 </w:t>
      </w:r>
    </w:p>
    <w:p w:rsidR="003474AA" w:rsidRPr="005B2105" w:rsidP="003474AA" w14:paraId="4B85451F" w14:textId="77777777">
      <w:pPr>
        <w:pStyle w:val="NoSpacing"/>
        <w:rPr>
          <w:b/>
          <w:szCs w:val="22"/>
        </w:rPr>
      </w:pPr>
      <w:r>
        <w:rPr>
          <w:b/>
          <w:szCs w:val="22"/>
        </w:rPr>
        <w:t xml:space="preserve">Reply Comment Due:  </w:t>
      </w:r>
      <w:r w:rsidR="002C33FF">
        <w:rPr>
          <w:b/>
          <w:szCs w:val="22"/>
        </w:rPr>
        <w:t>April</w:t>
      </w:r>
      <w:r w:rsidR="008014D0">
        <w:rPr>
          <w:b/>
          <w:szCs w:val="22"/>
        </w:rPr>
        <w:t xml:space="preserve"> </w:t>
      </w:r>
      <w:r w:rsidR="00D5407B">
        <w:rPr>
          <w:b/>
          <w:szCs w:val="22"/>
        </w:rPr>
        <w:t>11</w:t>
      </w:r>
      <w:r>
        <w:rPr>
          <w:b/>
          <w:szCs w:val="22"/>
        </w:rPr>
        <w:t xml:space="preserve">, 2022 </w:t>
      </w:r>
    </w:p>
    <w:p w:rsidR="003474AA" w:rsidRPr="00B02A93" w:rsidP="003474AA" w14:paraId="52B993B2" w14:textId="77777777">
      <w:pPr>
        <w:autoSpaceDE w:val="0"/>
        <w:autoSpaceDN w:val="0"/>
        <w:adjustRightInd w:val="0"/>
        <w:jc w:val="center"/>
        <w:rPr>
          <w:b/>
          <w:szCs w:val="22"/>
        </w:rPr>
      </w:pPr>
    </w:p>
    <w:p w:rsidR="00E11D4E" w:rsidP="00E11D4E" w14:paraId="346400E9" w14:textId="77777777">
      <w:pPr>
        <w:widowControl/>
        <w:autoSpaceDE w:val="0"/>
        <w:autoSpaceDN w:val="0"/>
        <w:adjustRightInd w:val="0"/>
        <w:spacing w:after="120"/>
        <w:ind w:firstLine="720"/>
        <w:rPr>
          <w:snapToGrid/>
          <w:kern w:val="0"/>
          <w:szCs w:val="22"/>
        </w:rPr>
      </w:pPr>
      <w:r w:rsidRPr="00477B03">
        <w:rPr>
          <w:snapToGrid/>
          <w:kern w:val="0"/>
          <w:szCs w:val="22"/>
        </w:rPr>
        <w:t>By this Public Notice, the Wireline Competition Bureau seeks comment from interested parties on an application</w:t>
      </w:r>
      <w:r>
        <w:rPr>
          <w:snapToGrid/>
          <w:kern w:val="0"/>
          <w:szCs w:val="22"/>
          <w:vertAlign w:val="superscript"/>
        </w:rPr>
        <w:footnoteReference w:id="3"/>
      </w:r>
      <w:r w:rsidRPr="00477B03">
        <w:rPr>
          <w:snapToGrid/>
          <w:kern w:val="0"/>
          <w:szCs w:val="22"/>
        </w:rPr>
        <w:t xml:space="preserve"> filed by </w:t>
      </w:r>
      <w:bookmarkStart w:id="0" w:name="_Hlk87961388"/>
      <w:r w:rsidR="002A0A73">
        <w:rPr>
          <w:snapToGrid/>
          <w:kern w:val="0"/>
          <w:szCs w:val="22"/>
        </w:rPr>
        <w:t>Dobson CC Limited Partnership (DLP) and Mesa Telecoms Investments, LLC (Mesa Telecoms</w:t>
      </w:r>
      <w:r w:rsidR="00F7684D">
        <w:rPr>
          <w:snapToGrid/>
          <w:kern w:val="0"/>
          <w:szCs w:val="22"/>
        </w:rPr>
        <w:t xml:space="preserve"> or Transferee</w:t>
      </w:r>
      <w:r w:rsidR="002A0A73">
        <w:rPr>
          <w:snapToGrid/>
          <w:kern w:val="0"/>
          <w:szCs w:val="22"/>
        </w:rPr>
        <w:t xml:space="preserve">) </w:t>
      </w:r>
      <w:bookmarkEnd w:id="0"/>
      <w:r w:rsidRPr="00477B03">
        <w:rPr>
          <w:snapToGrid/>
          <w:kern w:val="0"/>
          <w:szCs w:val="22"/>
        </w:rPr>
        <w:t>(</w:t>
      </w:r>
      <w:r w:rsidR="00633D78">
        <w:rPr>
          <w:snapToGrid/>
          <w:kern w:val="0"/>
          <w:szCs w:val="22"/>
        </w:rPr>
        <w:t>together</w:t>
      </w:r>
      <w:r w:rsidRPr="00477B03">
        <w:rPr>
          <w:snapToGrid/>
          <w:kern w:val="0"/>
          <w:szCs w:val="22"/>
        </w:rPr>
        <w:t>, Applicants), pursuant to section 214 of the Communications Act of 1934, as amended, and sections 63.03-04 of the Commission’s rules, requesting consent</w:t>
      </w:r>
      <w:r w:rsidR="002A0A73">
        <w:rPr>
          <w:snapToGrid/>
          <w:kern w:val="0"/>
          <w:szCs w:val="22"/>
        </w:rPr>
        <w:t xml:space="preserve"> for the indirect </w:t>
      </w:r>
      <w:r w:rsidR="00E73F37">
        <w:rPr>
          <w:snapToGrid/>
          <w:kern w:val="0"/>
          <w:szCs w:val="22"/>
        </w:rPr>
        <w:t>t</w:t>
      </w:r>
      <w:r w:rsidR="005A029F">
        <w:rPr>
          <w:snapToGrid/>
          <w:kern w:val="0"/>
          <w:szCs w:val="22"/>
        </w:rPr>
        <w:t>ransfer</w:t>
      </w:r>
      <w:r w:rsidR="00861AB3">
        <w:rPr>
          <w:snapToGrid/>
          <w:kern w:val="0"/>
          <w:szCs w:val="22"/>
        </w:rPr>
        <w:t xml:space="preserve"> of</w:t>
      </w:r>
      <w:r w:rsidR="005A029F">
        <w:rPr>
          <w:snapToGrid/>
          <w:kern w:val="0"/>
          <w:szCs w:val="22"/>
        </w:rPr>
        <w:t xml:space="preserve"> control of </w:t>
      </w:r>
      <w:r w:rsidR="002A0A73">
        <w:rPr>
          <w:snapToGrid/>
          <w:kern w:val="0"/>
          <w:szCs w:val="22"/>
        </w:rPr>
        <w:t>Dobson Technologies, Inc. d/b/a Dobson Fiber (Dobson Fiber) and its wholly</w:t>
      </w:r>
      <w:r w:rsidR="00633D78">
        <w:rPr>
          <w:snapToGrid/>
          <w:kern w:val="0"/>
          <w:szCs w:val="22"/>
        </w:rPr>
        <w:t>-</w:t>
      </w:r>
      <w:r w:rsidR="002A0A73">
        <w:rPr>
          <w:snapToGrid/>
          <w:kern w:val="0"/>
          <w:szCs w:val="22"/>
        </w:rPr>
        <w:t>owned subsidiaries</w:t>
      </w:r>
      <w:r w:rsidR="00A16051">
        <w:rPr>
          <w:snapToGrid/>
          <w:kern w:val="0"/>
          <w:szCs w:val="22"/>
        </w:rPr>
        <w:t xml:space="preserve">, </w:t>
      </w:r>
      <w:r w:rsidR="0085187B">
        <w:rPr>
          <w:snapToGrid/>
          <w:kern w:val="0"/>
          <w:szCs w:val="22"/>
        </w:rPr>
        <w:t>Dobson Telephone Company, Inc</w:t>
      </w:r>
      <w:r w:rsidR="00E73F37">
        <w:rPr>
          <w:snapToGrid/>
          <w:kern w:val="0"/>
          <w:szCs w:val="22"/>
        </w:rPr>
        <w:t>.</w:t>
      </w:r>
      <w:r w:rsidR="0085187B">
        <w:rPr>
          <w:snapToGrid/>
          <w:kern w:val="0"/>
          <w:szCs w:val="22"/>
        </w:rPr>
        <w:t xml:space="preserve">, (DTC), Dobson Technologies – Transport and Telecom Solutions, LLC (DTTTS), </w:t>
      </w:r>
      <w:r w:rsidR="00D562BF">
        <w:rPr>
          <w:snapToGrid/>
          <w:kern w:val="0"/>
          <w:szCs w:val="22"/>
        </w:rPr>
        <w:t>Lavaca Telephone Company, Inc. (Lavaca), Pinnacle Telecom L.L.C. (Pinnacle), and Vantage Telecom, LLC (Vantage) (</w:t>
      </w:r>
      <w:r w:rsidR="00EC4A98">
        <w:rPr>
          <w:snapToGrid/>
          <w:kern w:val="0"/>
          <w:szCs w:val="22"/>
        </w:rPr>
        <w:t xml:space="preserve">DTC, DTTTS, Lavaca, Pinnacle, and Vantage, </w:t>
      </w:r>
      <w:r w:rsidR="00D562BF">
        <w:rPr>
          <w:snapToGrid/>
          <w:kern w:val="0"/>
          <w:szCs w:val="22"/>
        </w:rPr>
        <w:t>collectively, the Licensees) from DLP to Mesa Telecoms</w:t>
      </w:r>
      <w:r w:rsidR="003656FF">
        <w:rPr>
          <w:snapToGrid/>
          <w:kern w:val="0"/>
          <w:szCs w:val="22"/>
        </w:rPr>
        <w:t>.</w:t>
      </w:r>
      <w:r>
        <w:rPr>
          <w:rStyle w:val="FootnoteReference"/>
          <w:snapToGrid/>
          <w:kern w:val="0"/>
          <w:szCs w:val="22"/>
        </w:rPr>
        <w:footnoteReference w:id="4"/>
      </w:r>
      <w:r w:rsidRPr="00477B03">
        <w:rPr>
          <w:snapToGrid/>
          <w:kern w:val="0"/>
          <w:szCs w:val="22"/>
        </w:rPr>
        <w:t xml:space="preserve"> </w:t>
      </w:r>
    </w:p>
    <w:p w:rsidR="00AA07DE" w:rsidP="00561C16" w14:paraId="7B83BE09" w14:textId="77777777">
      <w:pPr>
        <w:widowControl/>
        <w:autoSpaceDE w:val="0"/>
        <w:autoSpaceDN w:val="0"/>
        <w:adjustRightInd w:val="0"/>
        <w:spacing w:after="120"/>
        <w:ind w:firstLine="720"/>
        <w:rPr>
          <w:snapToGrid/>
          <w:kern w:val="0"/>
          <w:szCs w:val="22"/>
        </w:rPr>
      </w:pPr>
      <w:r>
        <w:rPr>
          <w:snapToGrid/>
          <w:kern w:val="0"/>
          <w:szCs w:val="22"/>
        </w:rPr>
        <w:t xml:space="preserve">Dobson Fiber, an Oklahoma corporation and holding company, </w:t>
      </w:r>
      <w:r w:rsidR="00EC4A98">
        <w:rPr>
          <w:snapToGrid/>
          <w:kern w:val="0"/>
          <w:szCs w:val="22"/>
        </w:rPr>
        <w:t>provides</w:t>
      </w:r>
      <w:r>
        <w:rPr>
          <w:snapToGrid/>
          <w:kern w:val="0"/>
          <w:szCs w:val="22"/>
        </w:rPr>
        <w:t xml:space="preserve">, </w:t>
      </w:r>
      <w:r w:rsidRPr="00155432">
        <w:rPr>
          <w:snapToGrid/>
          <w:kern w:val="0"/>
          <w:szCs w:val="22"/>
        </w:rPr>
        <w:t xml:space="preserve">through the Licensees, both incumbent local exchange services (LEC) and competitive LEC services in Oklahoma, </w:t>
      </w:r>
      <w:r w:rsidRPr="00155432" w:rsidR="00F7646F">
        <w:rPr>
          <w:snapToGrid/>
          <w:kern w:val="0"/>
          <w:szCs w:val="22"/>
        </w:rPr>
        <w:t xml:space="preserve">Arkansas, </w:t>
      </w:r>
      <w:r w:rsidRPr="00155432">
        <w:rPr>
          <w:snapToGrid/>
          <w:kern w:val="0"/>
          <w:szCs w:val="22"/>
        </w:rPr>
        <w:t>and Texas.</w:t>
      </w:r>
      <w:r>
        <w:rPr>
          <w:rStyle w:val="FootnoteReference"/>
          <w:snapToGrid/>
          <w:kern w:val="0"/>
          <w:szCs w:val="22"/>
        </w:rPr>
        <w:footnoteReference w:id="5"/>
      </w:r>
      <w:r w:rsidRPr="00155432">
        <w:rPr>
          <w:snapToGrid/>
          <w:kern w:val="0"/>
          <w:szCs w:val="22"/>
        </w:rPr>
        <w:t xml:space="preserve">  </w:t>
      </w:r>
      <w:r w:rsidRPr="00155432" w:rsidR="00290F7F">
        <w:rPr>
          <w:snapToGrid/>
          <w:kern w:val="0"/>
          <w:szCs w:val="22"/>
        </w:rPr>
        <w:t>DTC, an Oklahoma corporation, provides incumbent LEC services</w:t>
      </w:r>
      <w:r w:rsidRPr="00290F7F" w:rsidR="00290F7F">
        <w:rPr>
          <w:snapToGrid/>
          <w:kern w:val="0"/>
          <w:szCs w:val="22"/>
        </w:rPr>
        <w:t xml:space="preserve"> </w:t>
      </w:r>
      <w:r w:rsidR="00290F7F">
        <w:rPr>
          <w:snapToGrid/>
          <w:kern w:val="0"/>
          <w:szCs w:val="22"/>
        </w:rPr>
        <w:t xml:space="preserve">to </w:t>
      </w:r>
      <w:r w:rsidRPr="00290F7F" w:rsidR="00290F7F">
        <w:rPr>
          <w:snapToGrid/>
          <w:kern w:val="0"/>
          <w:szCs w:val="22"/>
        </w:rPr>
        <w:t>approximately 5,200 access lines</w:t>
      </w:r>
      <w:r w:rsidRPr="00E21E39" w:rsidR="00E21E39">
        <w:t xml:space="preserve"> </w:t>
      </w:r>
      <w:r w:rsidRPr="00E21E39" w:rsidR="00E21E39">
        <w:rPr>
          <w:snapToGrid/>
          <w:kern w:val="0"/>
          <w:szCs w:val="22"/>
        </w:rPr>
        <w:t>in western and eastern Oklahoma</w:t>
      </w:r>
      <w:r w:rsidR="00E21E39">
        <w:rPr>
          <w:snapToGrid/>
          <w:kern w:val="0"/>
          <w:szCs w:val="22"/>
        </w:rPr>
        <w:t>.</w:t>
      </w:r>
      <w:r>
        <w:rPr>
          <w:rStyle w:val="FootnoteReference"/>
          <w:snapToGrid/>
          <w:kern w:val="0"/>
          <w:szCs w:val="22"/>
        </w:rPr>
        <w:footnoteReference w:id="6"/>
      </w:r>
      <w:r w:rsidR="00E21E39">
        <w:rPr>
          <w:snapToGrid/>
          <w:kern w:val="0"/>
          <w:szCs w:val="22"/>
        </w:rPr>
        <w:t xml:space="preserve">  </w:t>
      </w:r>
      <w:r w:rsidRPr="00E21E39" w:rsidR="00E21E39">
        <w:rPr>
          <w:snapToGrid/>
          <w:kern w:val="0"/>
          <w:szCs w:val="22"/>
        </w:rPr>
        <w:t>DTTTS</w:t>
      </w:r>
      <w:r w:rsidR="00F6769E">
        <w:rPr>
          <w:snapToGrid/>
          <w:kern w:val="0"/>
          <w:szCs w:val="22"/>
        </w:rPr>
        <w:t>, an Oklahoma limited liability company,</w:t>
      </w:r>
      <w:r w:rsidRPr="00E21E39" w:rsidR="00E21E39">
        <w:rPr>
          <w:snapToGrid/>
          <w:kern w:val="0"/>
          <w:szCs w:val="22"/>
        </w:rPr>
        <w:t xml:space="preserve"> </w:t>
      </w:r>
      <w:r w:rsidRPr="00E21E39" w:rsidR="00E21E39">
        <w:rPr>
          <w:snapToGrid/>
          <w:kern w:val="0"/>
          <w:szCs w:val="22"/>
        </w:rPr>
        <w:t xml:space="preserve">provides </w:t>
      </w:r>
      <w:r w:rsidR="00F6769E">
        <w:rPr>
          <w:snapToGrid/>
          <w:kern w:val="0"/>
          <w:szCs w:val="22"/>
        </w:rPr>
        <w:t xml:space="preserve">competitive </w:t>
      </w:r>
      <w:r w:rsidRPr="00E21E39" w:rsidR="00E21E39">
        <w:rPr>
          <w:snapToGrid/>
          <w:kern w:val="0"/>
          <w:szCs w:val="22"/>
        </w:rPr>
        <w:t>LEC services in Oklahoma</w:t>
      </w:r>
      <w:r w:rsidR="00F6769E">
        <w:rPr>
          <w:snapToGrid/>
          <w:kern w:val="0"/>
          <w:szCs w:val="22"/>
        </w:rPr>
        <w:t>.</w:t>
      </w:r>
      <w:r>
        <w:rPr>
          <w:rStyle w:val="FootnoteReference"/>
          <w:snapToGrid/>
          <w:kern w:val="0"/>
          <w:szCs w:val="22"/>
        </w:rPr>
        <w:footnoteReference w:id="7"/>
      </w:r>
      <w:r w:rsidRPr="00290F7F" w:rsidR="00290F7F">
        <w:rPr>
          <w:snapToGrid/>
          <w:kern w:val="0"/>
          <w:szCs w:val="22"/>
        </w:rPr>
        <w:t xml:space="preserve">  </w:t>
      </w:r>
      <w:r w:rsidRPr="00F7646F" w:rsidR="00F7646F">
        <w:rPr>
          <w:snapToGrid/>
          <w:kern w:val="0"/>
          <w:szCs w:val="22"/>
        </w:rPr>
        <w:t>Lavaca</w:t>
      </w:r>
      <w:r w:rsidR="00A83E17">
        <w:rPr>
          <w:snapToGrid/>
          <w:kern w:val="0"/>
          <w:szCs w:val="22"/>
        </w:rPr>
        <w:t xml:space="preserve">, an Arkansas corporation, provides incumbent </w:t>
      </w:r>
      <w:r w:rsidRPr="00F7646F" w:rsidR="00F7646F">
        <w:rPr>
          <w:snapToGrid/>
          <w:kern w:val="0"/>
          <w:szCs w:val="22"/>
        </w:rPr>
        <w:t xml:space="preserve">LEC </w:t>
      </w:r>
      <w:r w:rsidR="009407F8">
        <w:rPr>
          <w:snapToGrid/>
          <w:kern w:val="0"/>
          <w:szCs w:val="22"/>
        </w:rPr>
        <w:t xml:space="preserve">services to about 1,800 access </w:t>
      </w:r>
      <w:bookmarkStart w:id="4" w:name="_Hlk97715483"/>
      <w:r w:rsidR="009407F8">
        <w:rPr>
          <w:snapToGrid/>
          <w:kern w:val="0"/>
          <w:szCs w:val="22"/>
        </w:rPr>
        <w:t xml:space="preserve">lines </w:t>
      </w:r>
      <w:r w:rsidR="00A83E17">
        <w:rPr>
          <w:snapToGrid/>
          <w:kern w:val="0"/>
          <w:szCs w:val="22"/>
        </w:rPr>
        <w:t xml:space="preserve">in </w:t>
      </w:r>
      <w:r w:rsidRPr="00F7646F" w:rsidR="00F7646F">
        <w:rPr>
          <w:snapToGrid/>
          <w:kern w:val="0"/>
          <w:szCs w:val="22"/>
        </w:rPr>
        <w:t>rural western Arkansas and rural eastern Oklahoma</w:t>
      </w:r>
      <w:bookmarkEnd w:id="4"/>
      <w:r w:rsidRPr="00F7646F" w:rsidR="00F7646F">
        <w:rPr>
          <w:snapToGrid/>
          <w:kern w:val="0"/>
          <w:szCs w:val="22"/>
        </w:rPr>
        <w:t>.</w:t>
      </w:r>
      <w:r>
        <w:rPr>
          <w:rStyle w:val="FootnoteReference"/>
          <w:snapToGrid/>
          <w:kern w:val="0"/>
          <w:szCs w:val="22"/>
        </w:rPr>
        <w:footnoteReference w:id="8"/>
      </w:r>
      <w:r w:rsidRPr="00F7646F" w:rsidR="00F7646F">
        <w:rPr>
          <w:snapToGrid/>
          <w:kern w:val="0"/>
          <w:szCs w:val="22"/>
        </w:rPr>
        <w:t xml:space="preserve"> </w:t>
      </w:r>
      <w:r w:rsidR="00A83E17">
        <w:rPr>
          <w:snapToGrid/>
          <w:kern w:val="0"/>
          <w:szCs w:val="22"/>
        </w:rPr>
        <w:t xml:space="preserve"> </w:t>
      </w:r>
      <w:r w:rsidRPr="00F7646F" w:rsidR="00F7646F">
        <w:rPr>
          <w:snapToGrid/>
          <w:kern w:val="0"/>
          <w:szCs w:val="22"/>
        </w:rPr>
        <w:t>Pinnacle</w:t>
      </w:r>
      <w:r w:rsidR="00A83E17">
        <w:rPr>
          <w:snapToGrid/>
          <w:kern w:val="0"/>
          <w:szCs w:val="22"/>
        </w:rPr>
        <w:t>, an Arkansas limited liability company,</w:t>
      </w:r>
      <w:r w:rsidRPr="00F7646F" w:rsidR="00F7646F">
        <w:rPr>
          <w:snapToGrid/>
          <w:kern w:val="0"/>
          <w:szCs w:val="22"/>
        </w:rPr>
        <w:t xml:space="preserve"> is authorized to provide </w:t>
      </w:r>
      <w:r w:rsidRPr="005B26BC" w:rsidR="00DD52FF">
        <w:rPr>
          <w:snapToGrid/>
          <w:kern w:val="0"/>
          <w:szCs w:val="22"/>
        </w:rPr>
        <w:t>competitive</w:t>
      </w:r>
      <w:r w:rsidR="00DD52FF">
        <w:rPr>
          <w:snapToGrid/>
          <w:kern w:val="0"/>
          <w:szCs w:val="22"/>
        </w:rPr>
        <w:t xml:space="preserve"> </w:t>
      </w:r>
      <w:r w:rsidRPr="00F7646F" w:rsidR="00F7646F">
        <w:rPr>
          <w:snapToGrid/>
          <w:kern w:val="0"/>
          <w:szCs w:val="22"/>
        </w:rPr>
        <w:t>telecommunications services throughout the State of Arkansas</w:t>
      </w:r>
      <w:r w:rsidR="00DD52FF">
        <w:rPr>
          <w:snapToGrid/>
          <w:kern w:val="0"/>
          <w:szCs w:val="22"/>
        </w:rPr>
        <w:t>.</w:t>
      </w:r>
      <w:r>
        <w:rPr>
          <w:rStyle w:val="FootnoteReference"/>
          <w:snapToGrid/>
          <w:kern w:val="0"/>
          <w:szCs w:val="22"/>
        </w:rPr>
        <w:footnoteReference w:id="9"/>
      </w:r>
      <w:r w:rsidR="00DD52FF">
        <w:rPr>
          <w:snapToGrid/>
          <w:kern w:val="0"/>
          <w:szCs w:val="22"/>
        </w:rPr>
        <w:t xml:space="preserve"> </w:t>
      </w:r>
      <w:r w:rsidRPr="00F7646F" w:rsidR="00F7646F">
        <w:rPr>
          <w:snapToGrid/>
          <w:kern w:val="0"/>
          <w:szCs w:val="22"/>
        </w:rPr>
        <w:t xml:space="preserve"> Vantage</w:t>
      </w:r>
      <w:r w:rsidR="008F2EBA">
        <w:rPr>
          <w:snapToGrid/>
          <w:kern w:val="0"/>
          <w:szCs w:val="22"/>
        </w:rPr>
        <w:t xml:space="preserve">, an </w:t>
      </w:r>
      <w:r w:rsidRPr="008F2EBA" w:rsidR="008F2EBA">
        <w:rPr>
          <w:snapToGrid/>
          <w:kern w:val="0"/>
          <w:szCs w:val="22"/>
        </w:rPr>
        <w:t>Arkansas limited liability company</w:t>
      </w:r>
      <w:r w:rsidR="008F2EBA">
        <w:rPr>
          <w:snapToGrid/>
          <w:kern w:val="0"/>
          <w:szCs w:val="22"/>
        </w:rPr>
        <w:t xml:space="preserve">, </w:t>
      </w:r>
      <w:r w:rsidRPr="00F7646F" w:rsidR="00F7646F">
        <w:rPr>
          <w:snapToGrid/>
          <w:kern w:val="0"/>
          <w:szCs w:val="22"/>
        </w:rPr>
        <w:t xml:space="preserve">provides </w:t>
      </w:r>
      <w:r w:rsidR="006510FA">
        <w:rPr>
          <w:snapToGrid/>
          <w:kern w:val="0"/>
          <w:szCs w:val="22"/>
        </w:rPr>
        <w:t xml:space="preserve">competitive </w:t>
      </w:r>
      <w:r w:rsidRPr="00F7646F" w:rsidR="00F7646F">
        <w:rPr>
          <w:snapToGrid/>
          <w:kern w:val="0"/>
          <w:szCs w:val="22"/>
        </w:rPr>
        <w:t xml:space="preserve">LEC </w:t>
      </w:r>
      <w:r w:rsidR="006510FA">
        <w:rPr>
          <w:snapToGrid/>
          <w:kern w:val="0"/>
          <w:szCs w:val="22"/>
        </w:rPr>
        <w:t xml:space="preserve">services </w:t>
      </w:r>
      <w:r w:rsidRPr="00F7646F" w:rsidR="00F7646F">
        <w:rPr>
          <w:snapToGrid/>
          <w:kern w:val="0"/>
          <w:szCs w:val="22"/>
        </w:rPr>
        <w:t>in the states of Arkansas and Oklahoma</w:t>
      </w:r>
      <w:r w:rsidRPr="00EC6394" w:rsidR="006510FA">
        <w:rPr>
          <w:snapToGrid/>
          <w:kern w:val="0"/>
          <w:szCs w:val="22"/>
        </w:rPr>
        <w:t>.</w:t>
      </w:r>
      <w:r>
        <w:rPr>
          <w:rStyle w:val="FootnoteReference"/>
          <w:snapToGrid/>
          <w:kern w:val="0"/>
          <w:szCs w:val="22"/>
        </w:rPr>
        <w:footnoteReference w:id="10"/>
      </w:r>
      <w:r w:rsidRPr="00EC6394" w:rsidR="000366FD">
        <w:rPr>
          <w:snapToGrid/>
          <w:kern w:val="0"/>
          <w:szCs w:val="22"/>
        </w:rPr>
        <w:t xml:space="preserve">  DLP, an Oklahoma limited partnership, is currently the controlling shareholder (holding 77.12%) of Dobson Fiber</w:t>
      </w:r>
      <w:r w:rsidRPr="00EC6394" w:rsidR="00861AB3">
        <w:rPr>
          <w:snapToGrid/>
          <w:kern w:val="0"/>
          <w:szCs w:val="22"/>
        </w:rPr>
        <w:t>.</w:t>
      </w:r>
      <w:r>
        <w:rPr>
          <w:rStyle w:val="FootnoteReference"/>
          <w:snapToGrid/>
          <w:kern w:val="0"/>
          <w:szCs w:val="22"/>
        </w:rPr>
        <w:footnoteReference w:id="11"/>
      </w:r>
      <w:r w:rsidRPr="00EC6394" w:rsidR="000366FD">
        <w:rPr>
          <w:snapToGrid/>
          <w:kern w:val="0"/>
          <w:szCs w:val="22"/>
        </w:rPr>
        <w:t xml:space="preserve"> </w:t>
      </w:r>
      <w:r w:rsidRPr="00EC6394" w:rsidR="00861AB3">
        <w:rPr>
          <w:snapToGrid/>
          <w:kern w:val="0"/>
          <w:szCs w:val="22"/>
        </w:rPr>
        <w:t xml:space="preserve"> Applicants state that, </w:t>
      </w:r>
      <w:r w:rsidRPr="00EC6394" w:rsidR="000366FD">
        <w:rPr>
          <w:snapToGrid/>
          <w:kern w:val="0"/>
          <w:szCs w:val="22"/>
        </w:rPr>
        <w:t xml:space="preserve">following the consummation of this transaction, </w:t>
      </w:r>
      <w:r w:rsidRPr="00EC6394" w:rsidR="00146791">
        <w:rPr>
          <w:snapToGrid/>
          <w:kern w:val="0"/>
          <w:szCs w:val="22"/>
        </w:rPr>
        <w:t xml:space="preserve">DLP </w:t>
      </w:r>
      <w:r w:rsidRPr="00EC6394" w:rsidR="001224BB">
        <w:rPr>
          <w:snapToGrid/>
          <w:kern w:val="0"/>
          <w:szCs w:val="22"/>
        </w:rPr>
        <w:t xml:space="preserve">plans </w:t>
      </w:r>
      <w:r w:rsidRPr="00EC6394" w:rsidR="000939BF">
        <w:rPr>
          <w:snapToGrid/>
          <w:kern w:val="0"/>
          <w:szCs w:val="22"/>
        </w:rPr>
        <w:t>to</w:t>
      </w:r>
      <w:r w:rsidRPr="00EC6394" w:rsidR="000366FD">
        <w:rPr>
          <w:snapToGrid/>
          <w:kern w:val="0"/>
          <w:szCs w:val="22"/>
        </w:rPr>
        <w:t xml:space="preserve"> continue </w:t>
      </w:r>
      <w:r w:rsidRPr="00EC6394" w:rsidR="000939BF">
        <w:rPr>
          <w:snapToGrid/>
          <w:kern w:val="0"/>
          <w:szCs w:val="22"/>
        </w:rPr>
        <w:t xml:space="preserve">to </w:t>
      </w:r>
      <w:r w:rsidRPr="00EC6394" w:rsidR="000366FD">
        <w:rPr>
          <w:snapToGrid/>
          <w:kern w:val="0"/>
          <w:szCs w:val="22"/>
        </w:rPr>
        <w:t>participate in the ownership of Dobson Fiber through an indirect minority interest</w:t>
      </w:r>
      <w:r w:rsidRPr="00EC6394" w:rsidR="00632990">
        <w:rPr>
          <w:snapToGrid/>
          <w:kern w:val="0"/>
          <w:szCs w:val="22"/>
        </w:rPr>
        <w:t xml:space="preserve"> </w:t>
      </w:r>
      <w:r w:rsidRPr="00EC6394" w:rsidR="000366FD">
        <w:rPr>
          <w:snapToGrid/>
          <w:kern w:val="0"/>
          <w:szCs w:val="22"/>
        </w:rPr>
        <w:t>in Mesa Telecoms.</w:t>
      </w:r>
      <w:r>
        <w:rPr>
          <w:rStyle w:val="FootnoteReference"/>
          <w:snapToGrid/>
          <w:kern w:val="0"/>
          <w:szCs w:val="22"/>
        </w:rPr>
        <w:footnoteReference w:id="12"/>
      </w:r>
    </w:p>
    <w:p w:rsidR="0033280D" w:rsidRPr="00A95479" w:rsidP="0033280D" w14:paraId="081E65D8" w14:textId="77777777">
      <w:pPr>
        <w:widowControl/>
        <w:autoSpaceDE w:val="0"/>
        <w:autoSpaceDN w:val="0"/>
        <w:adjustRightInd w:val="0"/>
        <w:spacing w:after="120"/>
        <w:ind w:firstLine="720"/>
        <w:rPr>
          <w:snapToGrid/>
          <w:kern w:val="0"/>
          <w:szCs w:val="22"/>
        </w:rPr>
      </w:pPr>
      <w:r w:rsidRPr="00A95479">
        <w:rPr>
          <w:snapToGrid/>
          <w:kern w:val="0"/>
          <w:szCs w:val="22"/>
        </w:rPr>
        <w:t>Mesa Telecoms</w:t>
      </w:r>
      <w:r w:rsidRPr="00A95479" w:rsidR="00865969">
        <w:rPr>
          <w:snapToGrid/>
          <w:kern w:val="0"/>
          <w:szCs w:val="22"/>
        </w:rPr>
        <w:t xml:space="preserve">, a </w:t>
      </w:r>
      <w:r w:rsidRPr="00A95479" w:rsidR="008F3B09">
        <w:rPr>
          <w:snapToGrid/>
          <w:kern w:val="0"/>
          <w:szCs w:val="22"/>
        </w:rPr>
        <w:t xml:space="preserve">newly formed </w:t>
      </w:r>
      <w:r w:rsidRPr="00A95479" w:rsidR="00865969">
        <w:rPr>
          <w:snapToGrid/>
          <w:kern w:val="0"/>
          <w:szCs w:val="22"/>
        </w:rPr>
        <w:t xml:space="preserve">Delaware limited liability company </w:t>
      </w:r>
      <w:r w:rsidRPr="00A95479" w:rsidR="008F3B09">
        <w:rPr>
          <w:snapToGrid/>
          <w:kern w:val="0"/>
          <w:szCs w:val="22"/>
        </w:rPr>
        <w:t xml:space="preserve">that does not provide telecommunications services, </w:t>
      </w:r>
      <w:r w:rsidRPr="00A95479" w:rsidR="0066553A">
        <w:rPr>
          <w:snapToGrid/>
          <w:kern w:val="0"/>
          <w:szCs w:val="22"/>
        </w:rPr>
        <w:t xml:space="preserve">is an indirect subsidiary of Mesa Telecoms Holdings, L.P. </w:t>
      </w:r>
      <w:r w:rsidRPr="00A95479" w:rsidR="00865969">
        <w:rPr>
          <w:snapToGrid/>
          <w:kern w:val="0"/>
          <w:szCs w:val="22"/>
        </w:rPr>
        <w:t>(Mesa L</w:t>
      </w:r>
      <w:r w:rsidRPr="00A95479" w:rsidR="00512616">
        <w:rPr>
          <w:snapToGrid/>
          <w:kern w:val="0"/>
          <w:szCs w:val="22"/>
        </w:rPr>
        <w:t>.</w:t>
      </w:r>
      <w:r w:rsidRPr="00A95479" w:rsidR="00865969">
        <w:rPr>
          <w:snapToGrid/>
          <w:kern w:val="0"/>
          <w:szCs w:val="22"/>
        </w:rPr>
        <w:t>P</w:t>
      </w:r>
      <w:r w:rsidRPr="00A95479" w:rsidR="00512616">
        <w:rPr>
          <w:snapToGrid/>
          <w:kern w:val="0"/>
          <w:szCs w:val="22"/>
        </w:rPr>
        <w:t>.</w:t>
      </w:r>
      <w:r w:rsidRPr="00A95479" w:rsidR="00865969">
        <w:rPr>
          <w:snapToGrid/>
          <w:kern w:val="0"/>
          <w:szCs w:val="22"/>
        </w:rPr>
        <w:t>), a Delaware limited partnership.</w:t>
      </w:r>
      <w:r>
        <w:rPr>
          <w:rStyle w:val="FootnoteReference"/>
          <w:snapToGrid/>
          <w:kern w:val="0"/>
          <w:szCs w:val="22"/>
        </w:rPr>
        <w:footnoteReference w:id="13"/>
      </w:r>
      <w:r w:rsidRPr="00A95479" w:rsidR="00F11675">
        <w:rPr>
          <w:snapToGrid/>
          <w:kern w:val="0"/>
          <w:szCs w:val="22"/>
        </w:rPr>
        <w:t xml:space="preserve">  F</w:t>
      </w:r>
      <w:r w:rsidRPr="00A95479" w:rsidR="00115B95">
        <w:rPr>
          <w:snapToGrid/>
          <w:kern w:val="0"/>
          <w:szCs w:val="22"/>
        </w:rPr>
        <w:t xml:space="preserve">ollowing the consummation of the proposed transaction, </w:t>
      </w:r>
      <w:r w:rsidRPr="00A95479" w:rsidR="00B73452">
        <w:rPr>
          <w:snapToGrid/>
          <w:kern w:val="0"/>
          <w:szCs w:val="22"/>
        </w:rPr>
        <w:t>Mesa L</w:t>
      </w:r>
      <w:r w:rsidRPr="00A95479" w:rsidR="00512616">
        <w:rPr>
          <w:snapToGrid/>
          <w:kern w:val="0"/>
          <w:szCs w:val="22"/>
        </w:rPr>
        <w:t>.</w:t>
      </w:r>
      <w:r w:rsidRPr="00A95479" w:rsidR="00B73452">
        <w:rPr>
          <w:snapToGrid/>
          <w:kern w:val="0"/>
          <w:szCs w:val="22"/>
        </w:rPr>
        <w:t>P</w:t>
      </w:r>
      <w:r w:rsidRPr="00A95479" w:rsidR="00512616">
        <w:rPr>
          <w:snapToGrid/>
          <w:kern w:val="0"/>
          <w:szCs w:val="22"/>
        </w:rPr>
        <w:t>.</w:t>
      </w:r>
      <w:r w:rsidRPr="00A95479" w:rsidR="00B73452">
        <w:rPr>
          <w:snapToGrid/>
          <w:kern w:val="0"/>
          <w:szCs w:val="22"/>
        </w:rPr>
        <w:t xml:space="preserve"> will be majority held (57.35%) by </w:t>
      </w:r>
      <w:r w:rsidRPr="00A95479" w:rsidR="000B3F8D">
        <w:rPr>
          <w:snapToGrid/>
          <w:kern w:val="0"/>
          <w:szCs w:val="22"/>
        </w:rPr>
        <w:t>iCON Mesa Telecoms Holdings</w:t>
      </w:r>
      <w:r w:rsidRPr="00A95479" w:rsidR="00574F31">
        <w:rPr>
          <w:snapToGrid/>
          <w:kern w:val="0"/>
          <w:szCs w:val="22"/>
        </w:rPr>
        <w:t xml:space="preserve"> L.P. (iCON Mesa), </w:t>
      </w:r>
      <w:r w:rsidRPr="00A95479" w:rsidR="00B73452">
        <w:rPr>
          <w:snapToGrid/>
          <w:kern w:val="0"/>
          <w:szCs w:val="22"/>
        </w:rPr>
        <w:t xml:space="preserve">a </w:t>
      </w:r>
      <w:r w:rsidRPr="00A95479" w:rsidR="00574F31">
        <w:rPr>
          <w:snapToGrid/>
          <w:kern w:val="0"/>
          <w:szCs w:val="22"/>
        </w:rPr>
        <w:t xml:space="preserve">Delaware </w:t>
      </w:r>
      <w:r w:rsidRPr="00A95479" w:rsidR="00B73452">
        <w:rPr>
          <w:snapToGrid/>
          <w:kern w:val="0"/>
          <w:szCs w:val="22"/>
        </w:rPr>
        <w:t>limited partnership.</w:t>
      </w:r>
      <w:r>
        <w:rPr>
          <w:rStyle w:val="FootnoteReference"/>
          <w:snapToGrid/>
          <w:kern w:val="0"/>
          <w:szCs w:val="22"/>
        </w:rPr>
        <w:footnoteReference w:id="14"/>
      </w:r>
      <w:r w:rsidRPr="00A95479" w:rsidR="00B73452">
        <w:rPr>
          <w:snapToGrid/>
          <w:kern w:val="0"/>
          <w:szCs w:val="22"/>
        </w:rPr>
        <w:t xml:space="preserve">  </w:t>
      </w:r>
      <w:bookmarkStart w:id="5" w:name="_Hlk98422003"/>
      <w:r w:rsidRPr="00A95479" w:rsidR="00B73452">
        <w:rPr>
          <w:snapToGrid/>
          <w:kern w:val="0"/>
          <w:szCs w:val="22"/>
        </w:rPr>
        <w:t xml:space="preserve">iCON Mesa, </w:t>
      </w:r>
      <w:r w:rsidRPr="00A95479" w:rsidR="00574F31">
        <w:rPr>
          <w:snapToGrid/>
          <w:kern w:val="0"/>
          <w:szCs w:val="22"/>
        </w:rPr>
        <w:t>in turn, is an indirect subsidiary of</w:t>
      </w:r>
      <w:r w:rsidRPr="00A95479" w:rsidR="00486853">
        <w:rPr>
          <w:snapToGrid/>
          <w:kern w:val="0"/>
          <w:szCs w:val="22"/>
        </w:rPr>
        <w:t xml:space="preserve"> iCON Infrastructure Partners V, L.P.</w:t>
      </w:r>
      <w:r w:rsidRPr="00A95479" w:rsidR="00512616">
        <w:rPr>
          <w:snapToGrid/>
          <w:kern w:val="0"/>
          <w:szCs w:val="22"/>
        </w:rPr>
        <w:t xml:space="preserve"> </w:t>
      </w:r>
      <w:r w:rsidRPr="00A95479" w:rsidR="00574F31">
        <w:rPr>
          <w:snapToGrid/>
          <w:kern w:val="0"/>
          <w:szCs w:val="22"/>
        </w:rPr>
        <w:t xml:space="preserve">(iCON </w:t>
      </w:r>
      <w:r w:rsidRPr="00A95479" w:rsidR="00996397">
        <w:rPr>
          <w:snapToGrid/>
          <w:kern w:val="0"/>
          <w:szCs w:val="22"/>
        </w:rPr>
        <w:t>Partners</w:t>
      </w:r>
      <w:r w:rsidRPr="00A95479" w:rsidR="00574F31">
        <w:rPr>
          <w:snapToGrid/>
          <w:kern w:val="0"/>
          <w:szCs w:val="22"/>
        </w:rPr>
        <w:t xml:space="preserve"> V)</w:t>
      </w:r>
      <w:r w:rsidRPr="00A95479" w:rsidR="00486853">
        <w:rPr>
          <w:snapToGrid/>
          <w:kern w:val="0"/>
          <w:szCs w:val="22"/>
        </w:rPr>
        <w:t xml:space="preserve"> </w:t>
      </w:r>
      <w:r w:rsidRPr="00A95479" w:rsidR="00C76E1A">
        <w:rPr>
          <w:snapToGrid/>
          <w:kern w:val="0"/>
          <w:szCs w:val="22"/>
        </w:rPr>
        <w:t>(</w:t>
      </w:r>
      <w:r w:rsidRPr="00A95479" w:rsidR="00512616">
        <w:rPr>
          <w:snapToGrid/>
          <w:kern w:val="0"/>
          <w:szCs w:val="22"/>
        </w:rPr>
        <w:t xml:space="preserve">without co-invest, </w:t>
      </w:r>
      <w:r w:rsidRPr="00A95479" w:rsidR="00C76E1A">
        <w:rPr>
          <w:snapToGrid/>
          <w:kern w:val="0"/>
          <w:szCs w:val="22"/>
        </w:rPr>
        <w:t>holding 60%</w:t>
      </w:r>
      <w:r w:rsidRPr="00A95479" w:rsidR="00B73452">
        <w:rPr>
          <w:snapToGrid/>
          <w:kern w:val="0"/>
          <w:szCs w:val="22"/>
        </w:rPr>
        <w:t xml:space="preserve"> of iCON Mesa</w:t>
      </w:r>
      <w:r w:rsidRPr="00A95479" w:rsidR="00C76E1A">
        <w:rPr>
          <w:snapToGrid/>
          <w:kern w:val="0"/>
          <w:szCs w:val="22"/>
        </w:rPr>
        <w:t>)</w:t>
      </w:r>
      <w:r w:rsidR="00A95479">
        <w:rPr>
          <w:snapToGrid/>
          <w:kern w:val="0"/>
          <w:szCs w:val="22"/>
        </w:rPr>
        <w:t>, a United Kingdom entity,</w:t>
      </w:r>
      <w:r w:rsidRPr="00A95479" w:rsidR="00C76E1A">
        <w:rPr>
          <w:snapToGrid/>
          <w:kern w:val="0"/>
          <w:szCs w:val="22"/>
        </w:rPr>
        <w:t xml:space="preserve"> </w:t>
      </w:r>
      <w:r w:rsidRPr="00A95479" w:rsidR="00486853">
        <w:rPr>
          <w:snapToGrid/>
          <w:kern w:val="0"/>
          <w:szCs w:val="22"/>
        </w:rPr>
        <w:t xml:space="preserve">and iCON </w:t>
      </w:r>
      <w:r w:rsidRPr="00A95479" w:rsidR="00512616">
        <w:rPr>
          <w:snapToGrid/>
          <w:kern w:val="0"/>
          <w:szCs w:val="22"/>
        </w:rPr>
        <w:t>I</w:t>
      </w:r>
      <w:r w:rsidRPr="00A95479" w:rsidR="00486853">
        <w:rPr>
          <w:snapToGrid/>
          <w:kern w:val="0"/>
          <w:szCs w:val="22"/>
        </w:rPr>
        <w:t xml:space="preserve">nfrastructure </w:t>
      </w:r>
      <w:r w:rsidRPr="00A95479" w:rsidR="00512616">
        <w:rPr>
          <w:snapToGrid/>
          <w:kern w:val="0"/>
          <w:szCs w:val="22"/>
        </w:rPr>
        <w:t xml:space="preserve">Investments </w:t>
      </w:r>
      <w:r w:rsidRPr="00A95479" w:rsidR="00486853">
        <w:rPr>
          <w:snapToGrid/>
          <w:kern w:val="0"/>
          <w:szCs w:val="22"/>
        </w:rPr>
        <w:t>V-B, L.P.</w:t>
      </w:r>
      <w:r w:rsidRPr="00A95479" w:rsidR="00996397">
        <w:rPr>
          <w:snapToGrid/>
          <w:kern w:val="0"/>
          <w:szCs w:val="22"/>
        </w:rPr>
        <w:t xml:space="preserve"> Inc.</w:t>
      </w:r>
      <w:r w:rsidRPr="00A95479" w:rsidR="00486853">
        <w:rPr>
          <w:snapToGrid/>
          <w:kern w:val="0"/>
          <w:szCs w:val="22"/>
        </w:rPr>
        <w:t xml:space="preserve"> </w:t>
      </w:r>
      <w:r w:rsidRPr="00A95479" w:rsidR="00574F31">
        <w:rPr>
          <w:snapToGrid/>
          <w:kern w:val="0"/>
          <w:szCs w:val="22"/>
        </w:rPr>
        <w:t xml:space="preserve">(iCON </w:t>
      </w:r>
      <w:r w:rsidRPr="00A95479" w:rsidR="00512616">
        <w:rPr>
          <w:snapToGrid/>
          <w:kern w:val="0"/>
          <w:szCs w:val="22"/>
        </w:rPr>
        <w:t>Investment</w:t>
      </w:r>
      <w:r w:rsidR="00A95479">
        <w:rPr>
          <w:snapToGrid/>
          <w:kern w:val="0"/>
          <w:szCs w:val="22"/>
        </w:rPr>
        <w:t>s</w:t>
      </w:r>
      <w:r w:rsidRPr="00A95479" w:rsidR="00996397">
        <w:rPr>
          <w:snapToGrid/>
          <w:kern w:val="0"/>
          <w:szCs w:val="22"/>
        </w:rPr>
        <w:t xml:space="preserve"> </w:t>
      </w:r>
      <w:r w:rsidRPr="00A95479" w:rsidR="00574F31">
        <w:rPr>
          <w:snapToGrid/>
          <w:kern w:val="0"/>
          <w:szCs w:val="22"/>
        </w:rPr>
        <w:t>V-</w:t>
      </w:r>
      <w:r w:rsidRPr="00A95479" w:rsidR="00041D70">
        <w:rPr>
          <w:snapToGrid/>
          <w:kern w:val="0"/>
          <w:szCs w:val="22"/>
        </w:rPr>
        <w:t>B</w:t>
      </w:r>
      <w:r w:rsidRPr="00A95479" w:rsidR="00574F31">
        <w:rPr>
          <w:rFonts w:eastAsia="Segoe UI Emoji"/>
          <w:snapToGrid/>
          <w:kern w:val="0"/>
          <w:szCs w:val="22"/>
        </w:rPr>
        <w:t xml:space="preserve">) </w:t>
      </w:r>
      <w:r w:rsidRPr="00A95479" w:rsidR="00C76E1A">
        <w:rPr>
          <w:snapToGrid/>
          <w:kern w:val="0"/>
          <w:szCs w:val="22"/>
        </w:rPr>
        <w:t>(</w:t>
      </w:r>
      <w:r w:rsidRPr="00A95479" w:rsidR="00512616">
        <w:rPr>
          <w:snapToGrid/>
          <w:kern w:val="0"/>
          <w:szCs w:val="22"/>
        </w:rPr>
        <w:t xml:space="preserve">without co-invest, </w:t>
      </w:r>
      <w:r w:rsidRPr="00A95479" w:rsidR="00C76E1A">
        <w:rPr>
          <w:snapToGrid/>
          <w:kern w:val="0"/>
          <w:szCs w:val="22"/>
        </w:rPr>
        <w:t>holding 40%</w:t>
      </w:r>
      <w:r w:rsidRPr="00A95479" w:rsidR="00B73452">
        <w:rPr>
          <w:snapToGrid/>
          <w:kern w:val="0"/>
          <w:szCs w:val="22"/>
        </w:rPr>
        <w:t xml:space="preserve"> of iCON Mesa</w:t>
      </w:r>
      <w:r w:rsidRPr="00A95479" w:rsidR="00C76E1A">
        <w:rPr>
          <w:snapToGrid/>
          <w:kern w:val="0"/>
          <w:szCs w:val="22"/>
        </w:rPr>
        <w:t>)</w:t>
      </w:r>
      <w:r w:rsidR="00A95479">
        <w:rPr>
          <w:snapToGrid/>
          <w:kern w:val="0"/>
          <w:szCs w:val="22"/>
        </w:rPr>
        <w:t>, a Guernsey entity</w:t>
      </w:r>
      <w:r w:rsidRPr="00A95479" w:rsidR="00926402">
        <w:rPr>
          <w:snapToGrid/>
          <w:kern w:val="0"/>
          <w:szCs w:val="22"/>
        </w:rPr>
        <w:t>.</w:t>
      </w:r>
      <w:r>
        <w:rPr>
          <w:rStyle w:val="FootnoteReference"/>
          <w:snapToGrid/>
          <w:kern w:val="0"/>
          <w:szCs w:val="22"/>
        </w:rPr>
        <w:footnoteReference w:id="15"/>
      </w:r>
      <w:r w:rsidRPr="00A95479" w:rsidR="00926402">
        <w:rPr>
          <w:snapToGrid/>
          <w:kern w:val="0"/>
          <w:szCs w:val="22"/>
        </w:rPr>
        <w:t xml:space="preserve">  iCon Infrastructure Partners V-B, L.P., Inc. (iCon Partners V-B)</w:t>
      </w:r>
      <w:r w:rsidRPr="00A95479" w:rsidR="00926402">
        <w:rPr>
          <w:rFonts w:eastAsia="Segoe UI Emoji"/>
          <w:snapToGrid/>
          <w:kern w:val="0"/>
          <w:szCs w:val="22"/>
        </w:rPr>
        <w:t xml:space="preserve">, a </w:t>
      </w:r>
      <w:r w:rsidRPr="00A95479" w:rsidR="00926402">
        <w:rPr>
          <w:rFonts w:eastAsia="Segoe UI Emoji"/>
          <w:snapToGrid/>
          <w:kern w:val="0"/>
          <w:szCs w:val="22"/>
        </w:rPr>
        <w:t>Guernsey entity, holds a 100% interest in iCon Investments V-B.</w:t>
      </w:r>
      <w:r>
        <w:rPr>
          <w:rStyle w:val="FootnoteReference"/>
          <w:rFonts w:eastAsia="Segoe UI Emoji"/>
          <w:snapToGrid/>
          <w:kern w:val="0"/>
          <w:szCs w:val="22"/>
        </w:rPr>
        <w:footnoteReference w:id="16"/>
      </w:r>
      <w:r w:rsidRPr="00A95479" w:rsidR="00C76E1A">
        <w:rPr>
          <w:snapToGrid/>
          <w:kern w:val="0"/>
          <w:szCs w:val="22"/>
        </w:rPr>
        <w:t xml:space="preserve"> </w:t>
      </w:r>
      <w:r w:rsidRPr="00A95479" w:rsidR="00926402">
        <w:rPr>
          <w:snapToGrid/>
          <w:kern w:val="0"/>
          <w:szCs w:val="22"/>
        </w:rPr>
        <w:t xml:space="preserve"> Applicants state that </w:t>
      </w:r>
      <w:r w:rsidRPr="00A95479" w:rsidR="00574F31">
        <w:rPr>
          <w:snapToGrid/>
          <w:kern w:val="0"/>
          <w:szCs w:val="22"/>
        </w:rPr>
        <w:t xml:space="preserve">iCON </w:t>
      </w:r>
      <w:r w:rsidRPr="00A95479" w:rsidR="00041D70">
        <w:rPr>
          <w:snapToGrid/>
          <w:kern w:val="0"/>
          <w:szCs w:val="22"/>
        </w:rPr>
        <w:t>Partners</w:t>
      </w:r>
      <w:r w:rsidRPr="00A95479" w:rsidR="00574F31">
        <w:rPr>
          <w:snapToGrid/>
          <w:kern w:val="0"/>
          <w:szCs w:val="22"/>
        </w:rPr>
        <w:t xml:space="preserve"> V and iCON </w:t>
      </w:r>
      <w:r w:rsidRPr="00A95479" w:rsidR="00041D70">
        <w:rPr>
          <w:snapToGrid/>
          <w:kern w:val="0"/>
          <w:szCs w:val="22"/>
        </w:rPr>
        <w:t>Investments V-B</w:t>
      </w:r>
      <w:r w:rsidRPr="00A95479" w:rsidR="00574F31">
        <w:rPr>
          <w:snapToGrid/>
          <w:kern w:val="0"/>
          <w:szCs w:val="22"/>
        </w:rPr>
        <w:t xml:space="preserve">, </w:t>
      </w:r>
      <w:r w:rsidRPr="00A95479" w:rsidR="00486853">
        <w:rPr>
          <w:snapToGrid/>
          <w:kern w:val="0"/>
          <w:szCs w:val="22"/>
        </w:rPr>
        <w:t>together,</w:t>
      </w:r>
      <w:r w:rsidRPr="00A95479" w:rsidR="00574F31">
        <w:rPr>
          <w:snapToGrid/>
          <w:kern w:val="0"/>
          <w:szCs w:val="22"/>
        </w:rPr>
        <w:t xml:space="preserve"> </w:t>
      </w:r>
      <w:r w:rsidRPr="00A95479" w:rsidR="00926402">
        <w:rPr>
          <w:snapToGrid/>
          <w:kern w:val="0"/>
          <w:szCs w:val="22"/>
        </w:rPr>
        <w:t xml:space="preserve">are the </w:t>
      </w:r>
      <w:r w:rsidRPr="00A95479" w:rsidR="00486853">
        <w:rPr>
          <w:snapToGrid/>
          <w:kern w:val="0"/>
          <w:szCs w:val="22"/>
        </w:rPr>
        <w:t>iCON V Fund.</w:t>
      </w:r>
      <w:r>
        <w:rPr>
          <w:rStyle w:val="FootnoteReference"/>
          <w:snapToGrid/>
          <w:kern w:val="0"/>
          <w:szCs w:val="22"/>
        </w:rPr>
        <w:footnoteReference w:id="17"/>
      </w:r>
      <w:r w:rsidRPr="00A95479" w:rsidR="00486853">
        <w:rPr>
          <w:snapToGrid/>
          <w:kern w:val="0"/>
          <w:szCs w:val="22"/>
        </w:rPr>
        <w:t xml:space="preserve">  </w:t>
      </w:r>
      <w:bookmarkEnd w:id="5"/>
      <w:r w:rsidRPr="00A95479" w:rsidR="00486853">
        <w:rPr>
          <w:snapToGrid/>
          <w:kern w:val="0"/>
          <w:szCs w:val="22"/>
        </w:rPr>
        <w:t>A</w:t>
      </w:r>
      <w:r w:rsidRPr="00A95479" w:rsidR="001C7E56">
        <w:rPr>
          <w:snapToGrid/>
          <w:kern w:val="0"/>
          <w:szCs w:val="22"/>
        </w:rPr>
        <w:t xml:space="preserve">pplicants </w:t>
      </w:r>
      <w:r w:rsidRPr="00A95479" w:rsidR="00926402">
        <w:rPr>
          <w:snapToGrid/>
          <w:kern w:val="0"/>
          <w:szCs w:val="22"/>
        </w:rPr>
        <w:t xml:space="preserve">further </w:t>
      </w:r>
      <w:r w:rsidRPr="00A95479" w:rsidR="001C7E56">
        <w:rPr>
          <w:snapToGrid/>
          <w:kern w:val="0"/>
          <w:szCs w:val="22"/>
        </w:rPr>
        <w:t>state that a</w:t>
      </w:r>
      <w:r w:rsidRPr="00A95479" w:rsidR="00486853">
        <w:rPr>
          <w:snapToGrid/>
          <w:kern w:val="0"/>
          <w:szCs w:val="22"/>
        </w:rPr>
        <w:t>ll investment decision-making of the iCON V Fund is controlled by its managing general partner</w:t>
      </w:r>
      <w:r w:rsidRPr="00A95479" w:rsidR="00C61FCB">
        <w:rPr>
          <w:snapToGrid/>
          <w:kern w:val="0"/>
          <w:szCs w:val="22"/>
        </w:rPr>
        <w:t>,</w:t>
      </w:r>
      <w:r w:rsidRPr="00A95479" w:rsidR="00486853">
        <w:rPr>
          <w:snapToGrid/>
          <w:kern w:val="0"/>
          <w:szCs w:val="22"/>
        </w:rPr>
        <w:t xml:space="preserve"> iCON Infrastructure Management V Limited, (iCON V GP)</w:t>
      </w:r>
      <w:r w:rsidRPr="00A95479" w:rsidR="00C80381">
        <w:rPr>
          <w:snapToGrid/>
          <w:kern w:val="0"/>
          <w:szCs w:val="22"/>
        </w:rPr>
        <w:t xml:space="preserve">, </w:t>
      </w:r>
      <w:r w:rsidR="005D376D">
        <w:rPr>
          <w:snapToGrid/>
          <w:kern w:val="0"/>
          <w:szCs w:val="22"/>
        </w:rPr>
        <w:t>a</w:t>
      </w:r>
      <w:r w:rsidRPr="00A95479" w:rsidR="009A24E5">
        <w:rPr>
          <w:snapToGrid/>
          <w:kern w:val="0"/>
          <w:szCs w:val="22"/>
        </w:rPr>
        <w:t xml:space="preserve"> Guernsey limited company, </w:t>
      </w:r>
      <w:r w:rsidRPr="00A95479" w:rsidR="00AA0FA1">
        <w:rPr>
          <w:snapToGrid/>
          <w:kern w:val="0"/>
          <w:szCs w:val="22"/>
        </w:rPr>
        <w:t xml:space="preserve">which, in turn, is </w:t>
      </w:r>
      <w:r w:rsidRPr="00A95479" w:rsidR="00C80381">
        <w:rPr>
          <w:snapToGrid/>
          <w:kern w:val="0"/>
          <w:szCs w:val="22"/>
        </w:rPr>
        <w:t>a wholly-owned subsidiary of iCON Infrastructure LLP (iCON Parent)</w:t>
      </w:r>
      <w:r w:rsidRPr="00A95479" w:rsidR="009A24E5">
        <w:rPr>
          <w:snapToGrid/>
          <w:kern w:val="0"/>
          <w:szCs w:val="22"/>
        </w:rPr>
        <w:t>, a United Kingdom entity</w:t>
      </w:r>
      <w:r w:rsidRPr="00A95479" w:rsidR="00324606">
        <w:rPr>
          <w:snapToGrid/>
          <w:kern w:val="0"/>
          <w:szCs w:val="22"/>
        </w:rPr>
        <w:t>.</w:t>
      </w:r>
      <w:r>
        <w:rPr>
          <w:rStyle w:val="FootnoteReference"/>
          <w:snapToGrid/>
          <w:kern w:val="0"/>
          <w:szCs w:val="22"/>
        </w:rPr>
        <w:footnoteReference w:id="18"/>
      </w:r>
      <w:r w:rsidRPr="00A95479" w:rsidR="00EE4C7C">
        <w:rPr>
          <w:snapToGrid/>
          <w:kern w:val="0"/>
          <w:szCs w:val="22"/>
        </w:rPr>
        <w:t xml:space="preserve">  </w:t>
      </w:r>
      <w:r w:rsidRPr="00A95479" w:rsidR="00075595">
        <w:rPr>
          <w:snapToGrid/>
          <w:kern w:val="0"/>
          <w:szCs w:val="22"/>
        </w:rPr>
        <w:t>iCON Parent’s funds currently control TruVista Communications, Inc. (TruVista) and its subsidiaries</w:t>
      </w:r>
      <w:r w:rsidRPr="00A95479" w:rsidR="0009206D">
        <w:rPr>
          <w:snapToGrid/>
          <w:kern w:val="0"/>
          <w:szCs w:val="22"/>
        </w:rPr>
        <w:t>.</w:t>
      </w:r>
      <w:r>
        <w:rPr>
          <w:snapToGrid/>
          <w:kern w:val="0"/>
          <w:szCs w:val="22"/>
          <w:vertAlign w:val="superscript"/>
        </w:rPr>
        <w:footnoteReference w:id="19"/>
      </w:r>
      <w:r w:rsidRPr="00A95479" w:rsidR="00075595">
        <w:rPr>
          <w:snapToGrid/>
          <w:kern w:val="0"/>
          <w:szCs w:val="22"/>
        </w:rPr>
        <w:t xml:space="preserve">  </w:t>
      </w:r>
    </w:p>
    <w:p w:rsidR="0084351C" w:rsidP="0084351C" w14:paraId="1135CBA4" w14:textId="77777777">
      <w:pPr>
        <w:widowControl/>
        <w:autoSpaceDE w:val="0"/>
        <w:autoSpaceDN w:val="0"/>
        <w:adjustRightInd w:val="0"/>
        <w:spacing w:after="120"/>
        <w:ind w:firstLine="720"/>
        <w:rPr>
          <w:snapToGrid/>
        </w:rPr>
      </w:pPr>
      <w:r w:rsidRPr="00A95479">
        <w:rPr>
          <w:snapToGrid/>
        </w:rPr>
        <w:t>Pursuant to the terms of the</w:t>
      </w:r>
      <w:r w:rsidRPr="00A95479" w:rsidR="00EE4C7C">
        <w:rPr>
          <w:snapToGrid/>
        </w:rPr>
        <w:t xml:space="preserve"> proposed transaction,</w:t>
      </w:r>
      <w:r w:rsidRPr="00A95479" w:rsidR="00A46790">
        <w:rPr>
          <w:snapToGrid/>
        </w:rPr>
        <w:t xml:space="preserve"> </w:t>
      </w:r>
      <w:r w:rsidRPr="00A95479" w:rsidR="00A01DA2">
        <w:rPr>
          <w:snapToGrid/>
        </w:rPr>
        <w:t>Mesa Telecoms will acquire</w:t>
      </w:r>
      <w:r w:rsidRPr="00A95479" w:rsidR="003E7113">
        <w:rPr>
          <w:snapToGrid/>
        </w:rPr>
        <w:t>,</w:t>
      </w:r>
      <w:r w:rsidRPr="00A95479" w:rsidR="00A01DA2">
        <w:rPr>
          <w:snapToGrid/>
        </w:rPr>
        <w:t xml:space="preserve"> from DLP and Eight Bar</w:t>
      </w:r>
      <w:r w:rsidRPr="00A95479" w:rsidR="003E7113">
        <w:rPr>
          <w:snapToGrid/>
        </w:rPr>
        <w:t>,</w:t>
      </w:r>
      <w:r w:rsidRPr="00A95479" w:rsidR="00A01DA2">
        <w:rPr>
          <w:snapToGrid/>
        </w:rPr>
        <w:t xml:space="preserve"> all of the ownership interests in Dobson Fiber and, indirectly, the Lic</w:t>
      </w:r>
      <w:r w:rsidRPr="00A95479" w:rsidR="00C57465">
        <w:rPr>
          <w:snapToGrid/>
        </w:rPr>
        <w:t>en</w:t>
      </w:r>
      <w:r w:rsidRPr="00A95479" w:rsidR="00A01DA2">
        <w:rPr>
          <w:snapToGrid/>
        </w:rPr>
        <w:t>sees.</w:t>
      </w:r>
      <w:r>
        <w:rPr>
          <w:rStyle w:val="FootnoteReference"/>
          <w:snapToGrid/>
        </w:rPr>
        <w:footnoteReference w:id="20"/>
      </w:r>
      <w:r w:rsidRPr="00A95479" w:rsidR="00A01DA2">
        <w:rPr>
          <w:snapToGrid/>
        </w:rPr>
        <w:t xml:space="preserve">  </w:t>
      </w:r>
      <w:r w:rsidRPr="00A95479" w:rsidR="00D127EE">
        <w:rPr>
          <w:snapToGrid/>
        </w:rPr>
        <w:t>Applicants state that, post-consummation</w:t>
      </w:r>
      <w:r w:rsidRPr="00A95479" w:rsidR="003E7113">
        <w:rPr>
          <w:snapToGrid/>
        </w:rPr>
        <w:t xml:space="preserve">: </w:t>
      </w:r>
      <w:r w:rsidRPr="00A95479" w:rsidR="00D127EE">
        <w:rPr>
          <w:snapToGrid/>
        </w:rPr>
        <w:t xml:space="preserve"> </w:t>
      </w:r>
      <w:r w:rsidRPr="00A95479" w:rsidR="003E7113">
        <w:rPr>
          <w:snapToGrid/>
        </w:rPr>
        <w:t xml:space="preserve">a) </w:t>
      </w:r>
      <w:r w:rsidRPr="00A95479" w:rsidR="00C57465">
        <w:rPr>
          <w:snapToGrid/>
        </w:rPr>
        <w:t>the iCON V Fund and its passive limited partner investors will indirectly, through intermediate partnerships, hold 57.35% of the ownership interest in Mesa Telecom</w:t>
      </w:r>
      <w:r w:rsidR="00C57465">
        <w:rPr>
          <w:snapToGrid/>
        </w:rPr>
        <w:t>s</w:t>
      </w:r>
      <w:r w:rsidR="003E7113">
        <w:rPr>
          <w:snapToGrid/>
        </w:rPr>
        <w:t>; and b)</w:t>
      </w:r>
      <w:r w:rsidR="00C57465">
        <w:rPr>
          <w:snapToGrid/>
        </w:rPr>
        <w:t xml:space="preserve"> DLP </w:t>
      </w:r>
      <w:r w:rsidR="003E7113">
        <w:rPr>
          <w:snapToGrid/>
        </w:rPr>
        <w:t xml:space="preserve">will </w:t>
      </w:r>
      <w:r w:rsidR="00C57465">
        <w:rPr>
          <w:snapToGrid/>
        </w:rPr>
        <w:t>hold 40% of the ownership interests in Mesa Telecoms</w:t>
      </w:r>
      <w:r w:rsidR="00A01DA2">
        <w:rPr>
          <w:snapToGrid/>
        </w:rPr>
        <w:t>.</w:t>
      </w:r>
      <w:r>
        <w:rPr>
          <w:rStyle w:val="FootnoteReference"/>
          <w:snapToGrid/>
        </w:rPr>
        <w:footnoteReference w:id="21"/>
      </w:r>
      <w:r w:rsidR="00A01DA2">
        <w:rPr>
          <w:snapToGrid/>
        </w:rPr>
        <w:t xml:space="preserve"> </w:t>
      </w:r>
    </w:p>
    <w:p w:rsidR="00873B0F" w:rsidP="00662414" w14:paraId="57D20095" w14:textId="77777777">
      <w:pPr>
        <w:widowControl/>
        <w:autoSpaceDE w:val="0"/>
        <w:autoSpaceDN w:val="0"/>
        <w:adjustRightInd w:val="0"/>
        <w:spacing w:after="120"/>
        <w:ind w:firstLine="720"/>
        <w:rPr>
          <w:snapToGrid/>
        </w:rPr>
      </w:pPr>
      <w:r w:rsidRPr="00130424">
        <w:rPr>
          <w:bCs/>
          <w:snapToGrid/>
        </w:rPr>
        <w:t>Applicants assert that a grant of the application would serve the public interest, convenience, and necessity.</w:t>
      </w:r>
      <w:r>
        <w:rPr>
          <w:bCs/>
          <w:snapToGrid/>
          <w:vertAlign w:val="superscript"/>
        </w:rPr>
        <w:footnoteReference w:id="22"/>
      </w:r>
      <w:r w:rsidRPr="00130424">
        <w:rPr>
          <w:bCs/>
          <w:snapToGrid/>
        </w:rPr>
        <w:t xml:space="preserve">  </w:t>
      </w:r>
      <w:r w:rsidR="008845D1">
        <w:rPr>
          <w:bCs/>
          <w:snapToGrid/>
        </w:rPr>
        <w:t xml:space="preserve">Applicants state that </w:t>
      </w:r>
      <w:r w:rsidR="003661DC">
        <w:rPr>
          <w:bCs/>
          <w:snapToGrid/>
        </w:rPr>
        <w:t xml:space="preserve">Dobson Fiber expects to continue providing service </w:t>
      </w:r>
      <w:r w:rsidR="00C85014">
        <w:rPr>
          <w:bCs/>
          <w:snapToGrid/>
        </w:rPr>
        <w:t xml:space="preserve">under the </w:t>
      </w:r>
      <w:r w:rsidR="00C61FCB">
        <w:rPr>
          <w:bCs/>
          <w:snapToGrid/>
        </w:rPr>
        <w:t>s</w:t>
      </w:r>
      <w:r w:rsidR="00C85014">
        <w:rPr>
          <w:bCs/>
          <w:snapToGrid/>
        </w:rPr>
        <w:t xml:space="preserve">ame authorizations, terms, and conditions that currently exist and that </w:t>
      </w:r>
      <w:r w:rsidR="00C15A53">
        <w:rPr>
          <w:bCs/>
          <w:snapToGrid/>
        </w:rPr>
        <w:t>“</w:t>
      </w:r>
      <w:r w:rsidRPr="00C15A53" w:rsidR="00C15A53">
        <w:rPr>
          <w:bCs/>
          <w:snapToGrid/>
        </w:rPr>
        <w:t>Mesa Telecoms anticipates that the iCON V Fund will make material capital investments in</w:t>
      </w:r>
      <w:r w:rsidRPr="00C15A53" w:rsidR="00C15A53">
        <w:t xml:space="preserve"> </w:t>
      </w:r>
      <w:r w:rsidRPr="00C15A53" w:rsidR="00C15A53">
        <w:rPr>
          <w:bCs/>
          <w:snapToGrid/>
        </w:rPr>
        <w:t>Dobson Fiber to advance the deployment of fiber infrastructure, which will allow Dobson Fiber to continue to bring improved and innovative service offerings, including fiber to the home broadband Internet access, to even more customers.</w:t>
      </w:r>
      <w:r w:rsidR="00C15A53">
        <w:rPr>
          <w:bCs/>
          <w:snapToGrid/>
        </w:rPr>
        <w:t>”</w:t>
      </w:r>
      <w:r>
        <w:rPr>
          <w:rStyle w:val="FootnoteReference"/>
          <w:bCs/>
          <w:snapToGrid/>
        </w:rPr>
        <w:footnoteReference w:id="23"/>
      </w:r>
      <w:r w:rsidR="00662414">
        <w:rPr>
          <w:snapToGrid/>
        </w:rPr>
        <w:t xml:space="preserve">  </w:t>
      </w:r>
    </w:p>
    <w:p w:rsidR="0084351C" w:rsidRPr="00662414" w:rsidP="00662414" w14:paraId="2E6D4233" w14:textId="77777777">
      <w:pPr>
        <w:widowControl/>
        <w:autoSpaceDE w:val="0"/>
        <w:autoSpaceDN w:val="0"/>
        <w:adjustRightInd w:val="0"/>
        <w:spacing w:after="120"/>
        <w:ind w:firstLine="720"/>
        <w:rPr>
          <w:snapToGrid/>
        </w:rPr>
      </w:pPr>
      <w:r w:rsidRPr="0084351C">
        <w:rPr>
          <w:bCs/>
          <w:snapToGrid/>
        </w:rPr>
        <w:t>Because the proposed transaction is more complex than those accepted for streamlined treatment, and in order to analyze whether the proposed transaction would serve the public interest, we accept the Application for non-streamlined processing.</w:t>
      </w:r>
      <w:r>
        <w:rPr>
          <w:bCs/>
          <w:snapToGrid/>
          <w:vertAlign w:val="superscript"/>
        </w:rPr>
        <w:footnoteReference w:id="24"/>
      </w:r>
      <w:r w:rsidRPr="0084351C">
        <w:rPr>
          <w:bCs/>
          <w:snapToGrid/>
        </w:rPr>
        <w:t xml:space="preserve">  </w:t>
      </w:r>
    </w:p>
    <w:p w:rsidR="00662414" w:rsidRPr="00662414" w:rsidP="00662414" w14:paraId="309171D9" w14:textId="77777777">
      <w:pPr>
        <w:widowControl/>
        <w:autoSpaceDE w:val="0"/>
        <w:autoSpaceDN w:val="0"/>
        <w:adjustRightInd w:val="0"/>
        <w:spacing w:after="120"/>
        <w:ind w:firstLine="720"/>
        <w:rPr>
          <w:bCs/>
          <w:snapToGrid/>
        </w:rPr>
      </w:pPr>
      <w:r w:rsidRPr="00662414">
        <w:rPr>
          <w:bCs/>
          <w:snapToGrid/>
          <w:u w:val="single"/>
        </w:rPr>
        <w:t>Referral to Executive Branch Agencies</w:t>
      </w:r>
      <w:r w:rsidRPr="00662414">
        <w:rPr>
          <w:bCs/>
          <w:snapToGrid/>
        </w:rPr>
        <w:t xml:space="preserve">.  Through this Public Notice, pursuant to Commission practice, the Application and the associated international </w:t>
      </w:r>
      <w:r w:rsidR="005B26BC">
        <w:rPr>
          <w:bCs/>
          <w:snapToGrid/>
        </w:rPr>
        <w:t xml:space="preserve">application, </w:t>
      </w:r>
      <w:r w:rsidRPr="005B26BC" w:rsidR="005B26BC">
        <w:rPr>
          <w:bCs/>
          <w:snapToGrid/>
        </w:rPr>
        <w:t>ITC-T/C-20220304-00035</w:t>
      </w:r>
      <w:r w:rsidRPr="00662414">
        <w:rPr>
          <w:bCs/>
          <w:snapToGrid/>
        </w:rPr>
        <w:t xml:space="preserve">, are </w:t>
      </w:r>
      <w:r w:rsidRPr="00662414">
        <w:rPr>
          <w:bCs/>
          <w:snapToGrid/>
        </w:rPr>
        <w:t>being referred to the relevant Executive Branch agencies for their views on any national security, law enforcement, foreign policy, or trade policy concerns related to the foreign ownership of the Applicants.</w:t>
      </w:r>
      <w:r>
        <w:rPr>
          <w:bCs/>
          <w:snapToGrid/>
          <w:vertAlign w:val="superscript"/>
        </w:rPr>
        <w:footnoteReference w:id="25"/>
      </w:r>
    </w:p>
    <w:p w:rsidR="003020AF" w:rsidP="003020AF" w14:paraId="56C96B12" w14:textId="77777777">
      <w:pPr>
        <w:widowControl/>
        <w:ind w:left="720"/>
        <w:rPr>
          <w:snapToGrid/>
          <w:kern w:val="0"/>
          <w:szCs w:val="22"/>
        </w:rPr>
      </w:pPr>
      <w:r w:rsidRPr="005C743D">
        <w:rPr>
          <w:snapToGrid/>
          <w:kern w:val="0"/>
          <w:szCs w:val="22"/>
        </w:rPr>
        <w:t xml:space="preserve">Domestic Section 214 Application Filed for the Transfer of Control of </w:t>
      </w:r>
    </w:p>
    <w:p w:rsidR="003020AF" w:rsidP="003020AF" w14:paraId="081D7832" w14:textId="77777777">
      <w:pPr>
        <w:widowControl/>
        <w:ind w:left="720"/>
        <w:rPr>
          <w:snapToGrid/>
          <w:kern w:val="0"/>
          <w:szCs w:val="22"/>
        </w:rPr>
      </w:pPr>
      <w:r>
        <w:rPr>
          <w:snapToGrid/>
          <w:kern w:val="0"/>
          <w:szCs w:val="22"/>
        </w:rPr>
        <w:t>Dobson</w:t>
      </w:r>
      <w:r w:rsidR="00633D78">
        <w:rPr>
          <w:snapToGrid/>
          <w:kern w:val="0"/>
          <w:szCs w:val="22"/>
        </w:rPr>
        <w:t xml:space="preserve"> Technologies, Inc. d/b/a Dobson Fiber and its Subsidiaries to </w:t>
      </w:r>
    </w:p>
    <w:p w:rsidR="003474AA" w:rsidRPr="005C743D" w:rsidP="003020AF" w14:paraId="6D98C3CB" w14:textId="77777777">
      <w:pPr>
        <w:widowControl/>
        <w:ind w:left="720"/>
        <w:rPr>
          <w:snapToGrid/>
          <w:kern w:val="0"/>
          <w:szCs w:val="22"/>
        </w:rPr>
      </w:pPr>
      <w:r>
        <w:rPr>
          <w:snapToGrid/>
          <w:kern w:val="0"/>
          <w:szCs w:val="22"/>
        </w:rPr>
        <w:t>Mesa Telecoms</w:t>
      </w:r>
      <w:r w:rsidR="003020AF">
        <w:rPr>
          <w:snapToGrid/>
          <w:kern w:val="0"/>
          <w:szCs w:val="22"/>
        </w:rPr>
        <w:t xml:space="preserve"> </w:t>
      </w:r>
      <w:r>
        <w:rPr>
          <w:snapToGrid/>
          <w:kern w:val="0"/>
          <w:szCs w:val="22"/>
        </w:rPr>
        <w:t>Investments, LLC</w:t>
      </w:r>
      <w:r w:rsidRPr="005C743D" w:rsidR="00BC6B83">
        <w:rPr>
          <w:snapToGrid/>
          <w:kern w:val="0"/>
          <w:szCs w:val="22"/>
        </w:rPr>
        <w:t>, WC Docket No. 2</w:t>
      </w:r>
      <w:r w:rsidR="005A029F">
        <w:rPr>
          <w:snapToGrid/>
          <w:kern w:val="0"/>
          <w:szCs w:val="22"/>
        </w:rPr>
        <w:t>2</w:t>
      </w:r>
      <w:r w:rsidRPr="005C743D" w:rsidR="00BC6B83">
        <w:rPr>
          <w:snapToGrid/>
          <w:kern w:val="0"/>
          <w:szCs w:val="22"/>
        </w:rPr>
        <w:t>-</w:t>
      </w:r>
      <w:r w:rsidR="004824BE">
        <w:rPr>
          <w:snapToGrid/>
          <w:kern w:val="0"/>
          <w:szCs w:val="22"/>
        </w:rPr>
        <w:t>110</w:t>
      </w:r>
      <w:r w:rsidRPr="005C743D" w:rsidR="00BC6B83">
        <w:rPr>
          <w:snapToGrid/>
          <w:kern w:val="0"/>
          <w:szCs w:val="22"/>
        </w:rPr>
        <w:t xml:space="preserve"> (filed </w:t>
      </w:r>
      <w:r w:rsidR="004824BE">
        <w:rPr>
          <w:snapToGrid/>
          <w:kern w:val="0"/>
          <w:szCs w:val="22"/>
        </w:rPr>
        <w:t>Mar</w:t>
      </w:r>
      <w:r w:rsidR="00BC6B83">
        <w:rPr>
          <w:snapToGrid/>
          <w:kern w:val="0"/>
          <w:szCs w:val="22"/>
        </w:rPr>
        <w:t>.</w:t>
      </w:r>
      <w:r w:rsidRPr="005C743D" w:rsidR="00BC6B83">
        <w:rPr>
          <w:snapToGrid/>
          <w:kern w:val="0"/>
          <w:szCs w:val="22"/>
        </w:rPr>
        <w:t xml:space="preserve"> </w:t>
      </w:r>
      <w:r w:rsidR="004824BE">
        <w:rPr>
          <w:snapToGrid/>
          <w:kern w:val="0"/>
          <w:szCs w:val="22"/>
        </w:rPr>
        <w:t>4</w:t>
      </w:r>
      <w:r w:rsidRPr="005C743D" w:rsidR="00BC6B83">
        <w:rPr>
          <w:snapToGrid/>
          <w:kern w:val="0"/>
          <w:szCs w:val="22"/>
        </w:rPr>
        <w:t>, 202</w:t>
      </w:r>
      <w:r w:rsidR="005A029F">
        <w:rPr>
          <w:snapToGrid/>
          <w:kern w:val="0"/>
          <w:szCs w:val="22"/>
        </w:rPr>
        <w:t>2</w:t>
      </w:r>
      <w:r w:rsidRPr="005C743D" w:rsidR="00BC6B83">
        <w:rPr>
          <w:snapToGrid/>
          <w:kern w:val="0"/>
          <w:szCs w:val="22"/>
        </w:rPr>
        <w:t>).</w:t>
      </w:r>
    </w:p>
    <w:p w:rsidR="00590452" w:rsidP="003474AA" w14:paraId="189C3457" w14:textId="77777777">
      <w:pPr>
        <w:widowControl/>
        <w:autoSpaceDE w:val="0"/>
        <w:autoSpaceDN w:val="0"/>
        <w:adjustRightInd w:val="0"/>
        <w:rPr>
          <w:b/>
          <w:snapToGrid/>
          <w:kern w:val="0"/>
          <w:szCs w:val="22"/>
          <w:u w:val="single"/>
        </w:rPr>
      </w:pPr>
      <w:bookmarkStart w:id="6" w:name="_Hlk91058179"/>
    </w:p>
    <w:p w:rsidR="003474AA" w:rsidRPr="005C743D" w:rsidP="003474AA" w14:paraId="3B90AF2B" w14:textId="77777777">
      <w:pPr>
        <w:widowControl/>
        <w:autoSpaceDE w:val="0"/>
        <w:autoSpaceDN w:val="0"/>
        <w:adjustRightInd w:val="0"/>
        <w:rPr>
          <w:snapToGrid/>
          <w:kern w:val="0"/>
          <w:szCs w:val="22"/>
        </w:rPr>
      </w:pPr>
      <w:r w:rsidRPr="005C743D">
        <w:rPr>
          <w:b/>
          <w:snapToGrid/>
          <w:kern w:val="0"/>
          <w:szCs w:val="22"/>
          <w:u w:val="single"/>
        </w:rPr>
        <w:t>GENERAL INFORMATION</w:t>
      </w:r>
    </w:p>
    <w:p w:rsidR="003474AA" w:rsidRPr="005C743D" w:rsidP="003474AA" w14:paraId="389CDBFD" w14:textId="77777777">
      <w:pPr>
        <w:widowControl/>
        <w:autoSpaceDE w:val="0"/>
        <w:autoSpaceDN w:val="0"/>
        <w:adjustRightInd w:val="0"/>
        <w:rPr>
          <w:snapToGrid/>
          <w:kern w:val="0"/>
          <w:szCs w:val="22"/>
        </w:rPr>
      </w:pPr>
    </w:p>
    <w:p w:rsidR="008014D0" w:rsidRPr="008014D0" w:rsidP="008014D0" w14:paraId="74B04ACE" w14:textId="77777777">
      <w:pPr>
        <w:widowControl/>
        <w:autoSpaceDE w:val="0"/>
        <w:autoSpaceDN w:val="0"/>
        <w:adjustRightInd w:val="0"/>
        <w:spacing w:after="120"/>
        <w:ind w:firstLine="720"/>
        <w:rPr>
          <w:snapToGrid/>
          <w:kern w:val="0"/>
          <w:szCs w:val="22"/>
        </w:rPr>
      </w:pPr>
      <w:r w:rsidRPr="008014D0">
        <w:rPr>
          <w:snapToGrid/>
          <w:kern w:val="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014D0" w:rsidRPr="008014D0" w:rsidP="008014D0" w14:paraId="2A32AF22" w14:textId="77777777">
      <w:pPr>
        <w:widowControl/>
        <w:autoSpaceDE w:val="0"/>
        <w:autoSpaceDN w:val="0"/>
        <w:adjustRightInd w:val="0"/>
        <w:spacing w:after="120"/>
        <w:ind w:firstLine="720"/>
        <w:rPr>
          <w:snapToGrid/>
          <w:kern w:val="0"/>
          <w:szCs w:val="22"/>
        </w:rPr>
      </w:pPr>
      <w:r w:rsidRPr="008014D0">
        <w:rPr>
          <w:snapToGrid/>
          <w:kern w:val="0"/>
          <w:szCs w:val="22"/>
        </w:rPr>
        <w:t xml:space="preserve">Interested parties may file comments </w:t>
      </w:r>
      <w:r w:rsidRPr="008014D0">
        <w:rPr>
          <w:b/>
          <w:snapToGrid/>
          <w:kern w:val="0"/>
          <w:szCs w:val="22"/>
        </w:rPr>
        <w:t xml:space="preserve">on or before </w:t>
      </w:r>
      <w:r w:rsidR="00FB5FD0">
        <w:rPr>
          <w:b/>
          <w:snapToGrid/>
          <w:kern w:val="0"/>
          <w:szCs w:val="22"/>
        </w:rPr>
        <w:t>April</w:t>
      </w:r>
      <w:r w:rsidRPr="008014D0">
        <w:rPr>
          <w:b/>
          <w:snapToGrid/>
          <w:kern w:val="0"/>
          <w:szCs w:val="22"/>
        </w:rPr>
        <w:t xml:space="preserve"> </w:t>
      </w:r>
      <w:r w:rsidR="00D5407B">
        <w:rPr>
          <w:b/>
          <w:snapToGrid/>
          <w:kern w:val="0"/>
          <w:szCs w:val="22"/>
        </w:rPr>
        <w:t>4</w:t>
      </w:r>
      <w:r w:rsidRPr="008014D0">
        <w:rPr>
          <w:b/>
          <w:snapToGrid/>
          <w:kern w:val="0"/>
          <w:szCs w:val="22"/>
        </w:rPr>
        <w:t>, 202</w:t>
      </w:r>
      <w:r>
        <w:rPr>
          <w:b/>
          <w:snapToGrid/>
          <w:kern w:val="0"/>
          <w:szCs w:val="22"/>
        </w:rPr>
        <w:t>2</w:t>
      </w:r>
      <w:r w:rsidRPr="008014D0">
        <w:rPr>
          <w:snapToGrid/>
          <w:kern w:val="0"/>
          <w:szCs w:val="22"/>
        </w:rPr>
        <w:t xml:space="preserve">, and reply comments </w:t>
      </w:r>
      <w:r w:rsidRPr="008014D0">
        <w:rPr>
          <w:b/>
          <w:snapToGrid/>
          <w:kern w:val="0"/>
          <w:szCs w:val="22"/>
        </w:rPr>
        <w:t xml:space="preserve">on or before </w:t>
      </w:r>
      <w:r w:rsidR="002C33FF">
        <w:rPr>
          <w:b/>
          <w:snapToGrid/>
          <w:kern w:val="0"/>
          <w:szCs w:val="22"/>
        </w:rPr>
        <w:t>April</w:t>
      </w:r>
      <w:r>
        <w:rPr>
          <w:b/>
          <w:snapToGrid/>
          <w:kern w:val="0"/>
          <w:szCs w:val="22"/>
        </w:rPr>
        <w:t xml:space="preserve"> </w:t>
      </w:r>
      <w:r w:rsidR="00D5407B">
        <w:rPr>
          <w:b/>
          <w:snapToGrid/>
          <w:kern w:val="0"/>
          <w:szCs w:val="22"/>
        </w:rPr>
        <w:t>11</w:t>
      </w:r>
      <w:r w:rsidRPr="008014D0">
        <w:rPr>
          <w:b/>
          <w:snapToGrid/>
          <w:kern w:val="0"/>
          <w:szCs w:val="22"/>
        </w:rPr>
        <w:t>, 202</w:t>
      </w:r>
      <w:r>
        <w:rPr>
          <w:b/>
          <w:snapToGrid/>
          <w:kern w:val="0"/>
          <w:szCs w:val="22"/>
        </w:rPr>
        <w:t>2</w:t>
      </w:r>
      <w:r w:rsidRPr="008014D0">
        <w:rPr>
          <w:snapToGrid/>
          <w:kern w:val="0"/>
          <w:szCs w:val="22"/>
        </w:rPr>
        <w:t>.  Comments may be filed using the Commission’s Electronic Comment Filing System (ECFS) or by paper.  </w:t>
      </w:r>
    </w:p>
    <w:p w:rsidR="008014D0" w:rsidRPr="008014D0" w:rsidP="008014D0" w14:paraId="75756D36" w14:textId="77777777">
      <w:pPr>
        <w:widowControl/>
        <w:numPr>
          <w:ilvl w:val="0"/>
          <w:numId w:val="8"/>
        </w:numPr>
        <w:autoSpaceDE w:val="0"/>
        <w:autoSpaceDN w:val="0"/>
        <w:adjustRightInd w:val="0"/>
        <w:spacing w:after="120"/>
        <w:rPr>
          <w:snapToGrid/>
          <w:kern w:val="0"/>
          <w:szCs w:val="22"/>
        </w:rPr>
      </w:pPr>
      <w:r w:rsidRPr="008014D0">
        <w:rPr>
          <w:snapToGrid/>
          <w:kern w:val="0"/>
          <w:szCs w:val="22"/>
        </w:rPr>
        <w:t>Electronic Filers:  Comments may be filed electronically by accessing ECFS at </w:t>
      </w:r>
      <w:hyperlink r:id="rId5" w:history="1">
        <w:r w:rsidRPr="008014D0">
          <w:rPr>
            <w:rStyle w:val="Hyperlink"/>
            <w:snapToGrid/>
            <w:kern w:val="0"/>
            <w:szCs w:val="22"/>
          </w:rPr>
          <w:t>http://apps.fcc.gov/ecfs/</w:t>
        </w:r>
      </w:hyperlink>
      <w:r w:rsidRPr="008014D0">
        <w:rPr>
          <w:snapToGrid/>
          <w:kern w:val="0"/>
          <w:szCs w:val="22"/>
          <w:u w:val="single"/>
        </w:rPr>
        <w:t xml:space="preserve"> </w:t>
      </w:r>
      <w:r w:rsidRPr="008014D0">
        <w:rPr>
          <w:snapToGrid/>
          <w:kern w:val="0"/>
          <w:szCs w:val="22"/>
        </w:rPr>
        <w:t>.</w:t>
      </w:r>
    </w:p>
    <w:p w:rsidR="008014D0" w:rsidRPr="008014D0" w:rsidP="008014D0" w14:paraId="34EBA3DC" w14:textId="77777777">
      <w:pPr>
        <w:widowControl/>
        <w:numPr>
          <w:ilvl w:val="0"/>
          <w:numId w:val="9"/>
        </w:numPr>
        <w:autoSpaceDE w:val="0"/>
        <w:autoSpaceDN w:val="0"/>
        <w:adjustRightInd w:val="0"/>
        <w:spacing w:after="120"/>
        <w:rPr>
          <w:snapToGrid/>
          <w:kern w:val="0"/>
          <w:szCs w:val="22"/>
        </w:rPr>
      </w:pPr>
      <w:r w:rsidRPr="008014D0">
        <w:rPr>
          <w:i/>
          <w:iCs/>
          <w:snapToGrid/>
          <w:kern w:val="0"/>
          <w:szCs w:val="22"/>
        </w:rPr>
        <w:t>Paper Filers</w:t>
      </w:r>
      <w:r w:rsidRPr="008014D0">
        <w:rPr>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14D0" w:rsidRPr="008014D0" w:rsidP="008014D0" w14:paraId="4EF9F07C" w14:textId="77777777">
      <w:pPr>
        <w:widowControl/>
        <w:numPr>
          <w:ilvl w:val="1"/>
          <w:numId w:val="9"/>
        </w:numPr>
        <w:autoSpaceDE w:val="0"/>
        <w:autoSpaceDN w:val="0"/>
        <w:adjustRightInd w:val="0"/>
        <w:spacing w:after="120"/>
        <w:rPr>
          <w:snapToGrid/>
          <w:kern w:val="0"/>
          <w:szCs w:val="22"/>
        </w:rPr>
      </w:pPr>
      <w:r w:rsidRPr="008014D0">
        <w:rPr>
          <w:snapToGrid/>
          <w:kern w:val="0"/>
          <w:szCs w:val="22"/>
        </w:rPr>
        <w:t>Filings can be sent by commercial overnight courier or by first-class or overnight U.S. Postal Service mail.</w:t>
      </w:r>
      <w:r>
        <w:rPr>
          <w:snapToGrid/>
          <w:kern w:val="0"/>
          <w:szCs w:val="22"/>
          <w:vertAlign w:val="superscript"/>
        </w:rPr>
        <w:footnoteReference w:id="26"/>
      </w:r>
      <w:r w:rsidRPr="008014D0">
        <w:rPr>
          <w:snapToGrid/>
          <w:kern w:val="0"/>
          <w:szCs w:val="22"/>
        </w:rPr>
        <w:t xml:space="preserve">  All filings must be addressed to the Commission’s Secretary, Office of the Secretary, Federal Communications Commission.</w:t>
      </w:r>
    </w:p>
    <w:p w:rsidR="008014D0" w:rsidRPr="008014D0" w:rsidP="008014D0" w14:paraId="658B9C69" w14:textId="77777777">
      <w:pPr>
        <w:widowControl/>
        <w:numPr>
          <w:ilvl w:val="1"/>
          <w:numId w:val="9"/>
        </w:numPr>
        <w:autoSpaceDE w:val="0"/>
        <w:autoSpaceDN w:val="0"/>
        <w:adjustRightInd w:val="0"/>
        <w:spacing w:after="120"/>
        <w:rPr>
          <w:snapToGrid/>
          <w:kern w:val="0"/>
          <w:szCs w:val="22"/>
        </w:rPr>
      </w:pPr>
      <w:r w:rsidRPr="008014D0">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014D0" w:rsidRPr="008014D0" w:rsidP="008014D0" w14:paraId="37FC6068" w14:textId="77777777">
      <w:pPr>
        <w:widowControl/>
        <w:autoSpaceDE w:val="0"/>
        <w:autoSpaceDN w:val="0"/>
        <w:adjustRightInd w:val="0"/>
        <w:spacing w:after="120"/>
        <w:ind w:firstLine="720"/>
        <w:rPr>
          <w:snapToGrid/>
          <w:kern w:val="0"/>
          <w:szCs w:val="22"/>
        </w:rPr>
      </w:pPr>
      <w:r w:rsidRPr="008014D0">
        <w:rPr>
          <w:snapToGrid/>
          <w:kern w:val="0"/>
          <w:szCs w:val="22"/>
        </w:rPr>
        <w:t>People with Disabilities:  We ask that requests for accommodations be made as soon as possible in order to allow the agency to satisfy such requests whenever possible.  Send an email to </w:t>
      </w:r>
      <w:hyperlink r:id="rId6" w:tgtFrame="_blank" w:history="1">
        <w:r w:rsidRPr="008014D0">
          <w:rPr>
            <w:rStyle w:val="Hyperlink"/>
            <w:snapToGrid/>
            <w:kern w:val="0"/>
            <w:szCs w:val="22"/>
          </w:rPr>
          <w:t>fcc504@fcc.gov</w:t>
        </w:r>
      </w:hyperlink>
      <w:r w:rsidRPr="008014D0">
        <w:rPr>
          <w:snapToGrid/>
          <w:kern w:val="0"/>
          <w:szCs w:val="22"/>
        </w:rPr>
        <w:t> or call the Consumer and Governmental Affairs Bureau at (202) 418-0530.</w:t>
      </w:r>
    </w:p>
    <w:p w:rsidR="008014D0" w:rsidRPr="008014D0" w:rsidP="008014D0" w14:paraId="680B3DB6" w14:textId="77777777">
      <w:pPr>
        <w:widowControl/>
        <w:autoSpaceDE w:val="0"/>
        <w:autoSpaceDN w:val="0"/>
        <w:adjustRightInd w:val="0"/>
        <w:spacing w:after="120"/>
        <w:ind w:firstLine="720"/>
        <w:rPr>
          <w:b/>
          <w:snapToGrid/>
          <w:kern w:val="0"/>
          <w:szCs w:val="22"/>
        </w:rPr>
      </w:pPr>
      <w:r w:rsidRPr="008014D0">
        <w:rPr>
          <w:b/>
          <w:snapToGrid/>
          <w:kern w:val="0"/>
          <w:szCs w:val="22"/>
        </w:rPr>
        <w:t>In addition, e-mail one copy of each pleading to each of the following:</w:t>
      </w:r>
    </w:p>
    <w:p w:rsidR="008014D0" w:rsidRPr="008014D0" w:rsidP="008014D0" w14:paraId="124B5758" w14:textId="77777777">
      <w:pPr>
        <w:widowControl/>
        <w:numPr>
          <w:ilvl w:val="0"/>
          <w:numId w:val="7"/>
        </w:numPr>
        <w:autoSpaceDE w:val="0"/>
        <w:autoSpaceDN w:val="0"/>
        <w:adjustRightInd w:val="0"/>
        <w:spacing w:after="120"/>
        <w:rPr>
          <w:snapToGrid/>
          <w:kern w:val="0"/>
          <w:szCs w:val="22"/>
        </w:rPr>
      </w:pPr>
      <w:r>
        <w:rPr>
          <w:snapToGrid/>
          <w:kern w:val="0"/>
          <w:szCs w:val="22"/>
        </w:rPr>
        <w:t>Gregory Kwan</w:t>
      </w:r>
      <w:r w:rsidRPr="008014D0">
        <w:rPr>
          <w:snapToGrid/>
          <w:kern w:val="0"/>
          <w:szCs w:val="22"/>
        </w:rPr>
        <w:t xml:space="preserve">, Competition Policy Division, Wireline Competition Bureau, </w:t>
      </w:r>
      <w:hyperlink r:id="rId7" w:history="1">
        <w:r w:rsidRPr="00805A48">
          <w:rPr>
            <w:rStyle w:val="Hyperlink"/>
            <w:snapToGrid/>
            <w:kern w:val="0"/>
            <w:szCs w:val="22"/>
          </w:rPr>
          <w:t>gregory.kwan</w:t>
        </w:r>
        <w:r w:rsidRPr="008014D0">
          <w:rPr>
            <w:rStyle w:val="Hyperlink"/>
            <w:snapToGrid/>
            <w:kern w:val="0"/>
            <w:szCs w:val="22"/>
          </w:rPr>
          <w:t>@fcc.gov</w:t>
        </w:r>
      </w:hyperlink>
      <w:r w:rsidRPr="008014D0">
        <w:rPr>
          <w:snapToGrid/>
          <w:kern w:val="0"/>
          <w:szCs w:val="22"/>
        </w:rPr>
        <w:t xml:space="preserve">; </w:t>
      </w:r>
    </w:p>
    <w:p w:rsidR="008014D0" w:rsidRPr="008014D0" w:rsidP="008014D0" w14:paraId="6F6297D8" w14:textId="77777777">
      <w:pPr>
        <w:widowControl/>
        <w:numPr>
          <w:ilvl w:val="0"/>
          <w:numId w:val="7"/>
        </w:numPr>
        <w:autoSpaceDE w:val="0"/>
        <w:autoSpaceDN w:val="0"/>
        <w:adjustRightInd w:val="0"/>
        <w:spacing w:after="120"/>
        <w:rPr>
          <w:snapToGrid/>
          <w:kern w:val="0"/>
          <w:szCs w:val="22"/>
        </w:rPr>
      </w:pPr>
      <w:r>
        <w:rPr>
          <w:snapToGrid/>
          <w:kern w:val="0"/>
          <w:szCs w:val="22"/>
        </w:rPr>
        <w:t>Sumita Mukhoty</w:t>
      </w:r>
      <w:r w:rsidRPr="008014D0">
        <w:rPr>
          <w:snapToGrid/>
          <w:kern w:val="0"/>
          <w:szCs w:val="22"/>
        </w:rPr>
        <w:t xml:space="preserve">, Telecommunications and Analysis Division, International Bureau, </w:t>
      </w:r>
      <w:hyperlink r:id="rId8" w:history="1">
        <w:r w:rsidRPr="00805A48">
          <w:rPr>
            <w:rStyle w:val="Hyperlink"/>
            <w:snapToGrid/>
            <w:kern w:val="0"/>
            <w:szCs w:val="22"/>
          </w:rPr>
          <w:t>sumita.mukhoty</w:t>
        </w:r>
        <w:r w:rsidRPr="008014D0">
          <w:rPr>
            <w:rStyle w:val="Hyperlink"/>
            <w:snapToGrid/>
            <w:kern w:val="0"/>
            <w:szCs w:val="22"/>
          </w:rPr>
          <w:t>@fcc.gov</w:t>
        </w:r>
      </w:hyperlink>
      <w:r w:rsidRPr="008014D0">
        <w:rPr>
          <w:snapToGrid/>
          <w:kern w:val="0"/>
          <w:szCs w:val="22"/>
        </w:rPr>
        <w:t>; and</w:t>
      </w:r>
    </w:p>
    <w:p w:rsidR="008014D0" w:rsidRPr="008014D0" w:rsidP="008014D0" w14:paraId="3468213F" w14:textId="77777777">
      <w:pPr>
        <w:widowControl/>
        <w:numPr>
          <w:ilvl w:val="0"/>
          <w:numId w:val="7"/>
        </w:numPr>
        <w:autoSpaceDE w:val="0"/>
        <w:autoSpaceDN w:val="0"/>
        <w:adjustRightInd w:val="0"/>
        <w:spacing w:after="120"/>
        <w:rPr>
          <w:snapToGrid/>
          <w:kern w:val="0"/>
          <w:szCs w:val="22"/>
        </w:rPr>
      </w:pPr>
      <w:r w:rsidRPr="008014D0">
        <w:rPr>
          <w:snapToGrid/>
          <w:kern w:val="0"/>
          <w:szCs w:val="22"/>
        </w:rPr>
        <w:t xml:space="preserve">Jim Bird, Office of General Counsel, </w:t>
      </w:r>
      <w:hyperlink r:id="rId9" w:history="1">
        <w:r w:rsidRPr="008014D0">
          <w:rPr>
            <w:rStyle w:val="Hyperlink"/>
            <w:snapToGrid/>
            <w:kern w:val="0"/>
            <w:szCs w:val="22"/>
          </w:rPr>
          <w:t>jim.bird@fcc.gov</w:t>
        </w:r>
      </w:hyperlink>
    </w:p>
    <w:p w:rsidR="008014D0" w:rsidRPr="008014D0" w:rsidP="008014D0" w14:paraId="19D03765" w14:textId="77777777">
      <w:pPr>
        <w:widowControl/>
        <w:autoSpaceDE w:val="0"/>
        <w:autoSpaceDN w:val="0"/>
        <w:adjustRightInd w:val="0"/>
        <w:spacing w:after="120"/>
        <w:ind w:firstLine="720"/>
        <w:rPr>
          <w:snapToGrid/>
          <w:kern w:val="0"/>
          <w:szCs w:val="22"/>
        </w:rPr>
      </w:pPr>
      <w:r w:rsidRPr="008014D0">
        <w:rPr>
          <w:snapToGrid/>
          <w:kern w:val="0"/>
          <w:szCs w:val="22"/>
        </w:rPr>
        <w:t xml:space="preserve">The proceeding in this Notice shall be treated as a “permit-but-disclose” proceeding in accordance with the Commission’s </w:t>
      </w:r>
      <w:r w:rsidRPr="008014D0">
        <w:rPr>
          <w:i/>
          <w:snapToGrid/>
          <w:kern w:val="0"/>
          <w:szCs w:val="22"/>
        </w:rPr>
        <w:t>ex parte</w:t>
      </w:r>
      <w:r w:rsidRPr="008014D0">
        <w:rPr>
          <w:snapToGrid/>
          <w:kern w:val="0"/>
          <w:szCs w:val="22"/>
        </w:rPr>
        <w:t xml:space="preserve"> rules.  Persons making </w:t>
      </w:r>
      <w:r w:rsidRPr="008014D0">
        <w:rPr>
          <w:i/>
          <w:snapToGrid/>
          <w:kern w:val="0"/>
          <w:szCs w:val="22"/>
        </w:rPr>
        <w:t>ex parte</w:t>
      </w:r>
      <w:r w:rsidRPr="008014D0">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14D0">
        <w:rPr>
          <w:i/>
          <w:snapToGrid/>
          <w:kern w:val="0"/>
          <w:szCs w:val="22"/>
        </w:rPr>
        <w:t>ex parte</w:t>
      </w:r>
      <w:r w:rsidRPr="008014D0">
        <w:rPr>
          <w:snapToGrid/>
          <w:kern w:val="0"/>
          <w:szCs w:val="22"/>
        </w:rPr>
        <w:t xml:space="preserve"> presentations are reminded that memoranda summarizing the presentation must (1) list all persons attending or otherwise participating in the meeting at which the </w:t>
      </w:r>
      <w:r w:rsidRPr="008014D0">
        <w:rPr>
          <w:i/>
          <w:snapToGrid/>
          <w:kern w:val="0"/>
          <w:szCs w:val="22"/>
        </w:rPr>
        <w:t>ex parte</w:t>
      </w:r>
      <w:r w:rsidRPr="008014D0">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14D0">
        <w:rPr>
          <w:i/>
          <w:snapToGrid/>
          <w:kern w:val="0"/>
          <w:szCs w:val="22"/>
        </w:rPr>
        <w:t>ex parte</w:t>
      </w:r>
      <w:r w:rsidRPr="008014D0">
        <w:rPr>
          <w:snapToGrid/>
          <w:kern w:val="0"/>
          <w:szCs w:val="22"/>
        </w:rPr>
        <w:t xml:space="preserve"> meetings are deemed to be written </w:t>
      </w:r>
      <w:r w:rsidRPr="008014D0">
        <w:rPr>
          <w:i/>
          <w:snapToGrid/>
          <w:kern w:val="0"/>
          <w:szCs w:val="22"/>
        </w:rPr>
        <w:t>ex parte</w:t>
      </w:r>
      <w:r w:rsidRPr="008014D0">
        <w:rPr>
          <w:snapToGrid/>
          <w:kern w:val="0"/>
          <w:szCs w:val="22"/>
        </w:rPr>
        <w:t xml:space="preserve"> presentations and must be filed consistent with rule 1.1206(b), 47 CFR § 1.1206(b).  Participants in this proceeding should familiarize themselves with the Commission’s </w:t>
      </w:r>
      <w:r w:rsidRPr="008014D0">
        <w:rPr>
          <w:i/>
          <w:snapToGrid/>
          <w:kern w:val="0"/>
          <w:szCs w:val="22"/>
        </w:rPr>
        <w:t>ex parte</w:t>
      </w:r>
      <w:r w:rsidRPr="008014D0">
        <w:rPr>
          <w:snapToGrid/>
          <w:kern w:val="0"/>
          <w:szCs w:val="22"/>
        </w:rPr>
        <w:t xml:space="preserve"> rules.</w:t>
      </w:r>
    </w:p>
    <w:p w:rsidR="008014D0" w:rsidRPr="008014D0" w:rsidP="008014D0" w14:paraId="63E9D86F" w14:textId="77777777">
      <w:pPr>
        <w:widowControl/>
        <w:autoSpaceDE w:val="0"/>
        <w:autoSpaceDN w:val="0"/>
        <w:adjustRightInd w:val="0"/>
        <w:spacing w:after="120"/>
        <w:ind w:firstLine="720"/>
        <w:rPr>
          <w:snapToGrid/>
          <w:kern w:val="0"/>
          <w:szCs w:val="22"/>
        </w:rPr>
      </w:pPr>
      <w:r w:rsidRPr="008014D0">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27"/>
      </w:r>
      <w:r w:rsidRPr="008014D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014D0" w:rsidRPr="008014D0" w:rsidP="008014D0" w14:paraId="1D2103C0" w14:textId="77777777">
      <w:pPr>
        <w:widowControl/>
        <w:autoSpaceDE w:val="0"/>
        <w:autoSpaceDN w:val="0"/>
        <w:adjustRightInd w:val="0"/>
        <w:spacing w:after="120"/>
        <w:ind w:firstLine="720"/>
        <w:rPr>
          <w:snapToGrid/>
          <w:kern w:val="0"/>
          <w:szCs w:val="22"/>
        </w:rPr>
      </w:pPr>
      <w:r w:rsidRPr="008014D0">
        <w:rPr>
          <w:snapToGrid/>
          <w:kern w:val="0"/>
          <w:szCs w:val="22"/>
        </w:rPr>
        <w:t xml:space="preserve">For further information, please contact </w:t>
      </w:r>
      <w:r>
        <w:rPr>
          <w:snapToGrid/>
          <w:kern w:val="0"/>
          <w:szCs w:val="22"/>
        </w:rPr>
        <w:t xml:space="preserve">Gregory Kwan </w:t>
      </w:r>
      <w:r w:rsidRPr="008014D0">
        <w:rPr>
          <w:snapToGrid/>
          <w:kern w:val="0"/>
          <w:szCs w:val="22"/>
        </w:rPr>
        <w:t>at (202)</w:t>
      </w:r>
      <w:r>
        <w:rPr>
          <w:snapToGrid/>
          <w:kern w:val="0"/>
          <w:szCs w:val="22"/>
        </w:rPr>
        <w:t xml:space="preserve"> </w:t>
      </w:r>
      <w:r w:rsidRPr="008014D0">
        <w:rPr>
          <w:snapToGrid/>
          <w:kern w:val="0"/>
          <w:szCs w:val="22"/>
        </w:rPr>
        <w:t>418-</w:t>
      </w:r>
      <w:r>
        <w:rPr>
          <w:snapToGrid/>
          <w:kern w:val="0"/>
          <w:szCs w:val="22"/>
        </w:rPr>
        <w:t>1191</w:t>
      </w:r>
      <w:r w:rsidRPr="008014D0">
        <w:rPr>
          <w:snapToGrid/>
          <w:kern w:val="0"/>
          <w:szCs w:val="22"/>
        </w:rPr>
        <w:t>.</w:t>
      </w:r>
    </w:p>
    <w:p w:rsidR="008014D0" w:rsidP="003A06D0" w14:paraId="1699A608" w14:textId="77777777">
      <w:pPr>
        <w:widowControl/>
        <w:autoSpaceDE w:val="0"/>
        <w:autoSpaceDN w:val="0"/>
        <w:adjustRightInd w:val="0"/>
        <w:spacing w:after="120"/>
        <w:ind w:firstLine="720"/>
        <w:jc w:val="center"/>
        <w:rPr>
          <w:snapToGrid/>
          <w:kern w:val="0"/>
          <w:szCs w:val="22"/>
        </w:rPr>
      </w:pPr>
      <w:r w:rsidRPr="008014D0">
        <w:rPr>
          <w:b/>
          <w:snapToGrid/>
          <w:kern w:val="0"/>
          <w:szCs w:val="22"/>
        </w:rPr>
        <w:t>-FCC-</w:t>
      </w:r>
    </w:p>
    <w:bookmarkEnd w:id="6"/>
    <w:p w:rsidR="003474AA" w:rsidP="003474AA" w14:paraId="1F834D1C" w14:textId="77777777">
      <w:pPr>
        <w:spacing w:before="120" w:after="240"/>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5FBAA04" w14:textId="77777777">
    <w:pPr>
      <w:pStyle w:val="Footer"/>
      <w:framePr w:wrap="around" w:vAnchor="text" w:hAnchor="margin" w:xAlign="center" w:y="1"/>
    </w:pPr>
    <w:r>
      <w:fldChar w:fldCharType="begin"/>
    </w:r>
    <w:r>
      <w:instrText xml:space="preserve">PAGE  </w:instrText>
    </w:r>
    <w:r w:rsidR="00F62CBA">
      <w:fldChar w:fldCharType="separate"/>
    </w:r>
    <w:r>
      <w:fldChar w:fldCharType="end"/>
    </w:r>
  </w:p>
  <w:p w:rsidR="00D43260" w14:paraId="62B63D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787343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0E5C71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4AD7" w14:paraId="0B31FA99" w14:textId="77777777">
      <w:r>
        <w:separator/>
      </w:r>
    </w:p>
  </w:footnote>
  <w:footnote w:type="continuationSeparator" w:id="1">
    <w:p w:rsidR="00574AD7" w14:paraId="79CF346D" w14:textId="77777777">
      <w:pPr>
        <w:rPr>
          <w:sz w:val="20"/>
        </w:rPr>
      </w:pPr>
      <w:r>
        <w:rPr>
          <w:sz w:val="20"/>
        </w:rPr>
        <w:t xml:space="preserve">(Continued from previous page)  </w:t>
      </w:r>
      <w:r>
        <w:rPr>
          <w:sz w:val="20"/>
        </w:rPr>
        <w:separator/>
      </w:r>
    </w:p>
  </w:footnote>
  <w:footnote w:type="continuationNotice" w:id="2">
    <w:p w:rsidR="00574AD7" w14:paraId="34B9AAEF" w14:textId="77777777">
      <w:pPr>
        <w:jc w:val="right"/>
        <w:rPr>
          <w:sz w:val="20"/>
        </w:rPr>
      </w:pPr>
      <w:r>
        <w:rPr>
          <w:sz w:val="20"/>
        </w:rPr>
        <w:t>(continued….)</w:t>
      </w:r>
    </w:p>
  </w:footnote>
  <w:footnote w:id="3">
    <w:p w:rsidR="003656FF" w:rsidRPr="003661DC" w:rsidP="003656FF" w14:paraId="2CB5F9E5" w14:textId="77777777">
      <w:pPr>
        <w:pStyle w:val="FootnoteText"/>
      </w:pPr>
      <w:r w:rsidRPr="00D354C2">
        <w:rPr>
          <w:rStyle w:val="FootnoteReference"/>
          <w:sz w:val="20"/>
        </w:rPr>
        <w:footnoteRef/>
      </w:r>
      <w:r w:rsidRPr="00D354C2">
        <w:t xml:space="preserve"> </w:t>
      </w:r>
      <w:r w:rsidRPr="003661DC">
        <w:rPr>
          <w:i/>
        </w:rPr>
        <w:t>See</w:t>
      </w:r>
      <w:r w:rsidRPr="003661DC">
        <w:t xml:space="preserve"> Joint Application of Dobson CC Limited Partnership and Mesa Telecoms Investments, LLC for Grant of Authority Pursuant to Section 214 of the Communications Act of 1934, as amended, and Section 63.03 and 63.24 of the Commission’s Rules to Transfer Indirect Control of Domestic and International Section 214 Holders to Mesa Telecoms Investments, LLC, WC Docket No 22-110 (filed Mar. 4, 2022), </w:t>
      </w:r>
      <w:hyperlink r:id="rId1" w:history="1">
        <w:r w:rsidRPr="003661DC" w:rsidR="000B6959">
          <w:rPr>
            <w:rStyle w:val="Hyperlink"/>
          </w:rPr>
          <w:t>https://ecfsapi.fcc.gov/file/10304084120074/Dobson%20FCC%20214%20Transfer%20Application.pdf</w:t>
        </w:r>
      </w:hyperlink>
      <w:r w:rsidRPr="003661DC">
        <w:t xml:space="preserve"> (Application)</w:t>
      </w:r>
      <w:r w:rsidRPr="003661DC" w:rsidR="00DA0F59">
        <w:t>.</w:t>
      </w:r>
      <w:r w:rsidRPr="003661DC">
        <w:t xml:space="preserve"> </w:t>
      </w:r>
    </w:p>
  </w:footnote>
  <w:footnote w:id="4">
    <w:p w:rsidR="003656FF" w:rsidRPr="003661DC" w14:paraId="5C40A1D4" w14:textId="77777777">
      <w:pPr>
        <w:pStyle w:val="FootnoteText"/>
      </w:pPr>
      <w:r w:rsidRPr="003661DC">
        <w:rPr>
          <w:rStyle w:val="FootnoteReference"/>
          <w:sz w:val="20"/>
        </w:rPr>
        <w:footnoteRef/>
      </w:r>
      <w:r w:rsidRPr="003661DC">
        <w:t xml:space="preserve"> </w:t>
      </w:r>
      <w:r w:rsidRPr="003661DC" w:rsidR="00DA0F59">
        <w:rPr>
          <w:i/>
          <w:iCs/>
        </w:rPr>
        <w:t xml:space="preserve">See </w:t>
      </w:r>
      <w:r w:rsidRPr="003661DC" w:rsidR="00DA0F59">
        <w:t xml:space="preserve">47 U.S.C. § 214; 47 CFR §§ 63.03-04.  </w:t>
      </w:r>
      <w:bookmarkStart w:id="1" w:name="_Hlk92356124"/>
      <w:bookmarkStart w:id="2" w:name="_Hlk98748594"/>
      <w:r w:rsidRPr="003661DC" w:rsidR="00DA0F59">
        <w:t xml:space="preserve">Applicants also filed </w:t>
      </w:r>
      <w:r w:rsidR="00D8111E">
        <w:t xml:space="preserve">an </w:t>
      </w:r>
      <w:r w:rsidRPr="003661DC" w:rsidR="00DA0F59">
        <w:t xml:space="preserve">application for the transfer of </w:t>
      </w:r>
      <w:r w:rsidR="007C54A4">
        <w:t xml:space="preserve">an </w:t>
      </w:r>
      <w:r w:rsidRPr="003661DC" w:rsidR="00DA0F59">
        <w:t xml:space="preserve">authorization associated with international </w:t>
      </w:r>
      <w:r w:rsidR="001C194B">
        <w:t>service</w:t>
      </w:r>
      <w:r w:rsidR="00FD1ACC">
        <w:t xml:space="preserve">, </w:t>
      </w:r>
      <w:r w:rsidRPr="00574AD7" w:rsidR="00FD1ACC">
        <w:rPr>
          <w:snapToGrid w:val="0"/>
          <w:color w:val="000000"/>
          <w:kern w:val="28"/>
        </w:rPr>
        <w:t>ITC-T/C-20220304-00035</w:t>
      </w:r>
      <w:r w:rsidRPr="00574AD7" w:rsidR="00D8111E">
        <w:rPr>
          <w:snapToGrid w:val="0"/>
          <w:color w:val="000000"/>
          <w:kern w:val="28"/>
        </w:rPr>
        <w:t>, and will file applications for</w:t>
      </w:r>
      <w:r w:rsidRPr="00574AD7" w:rsidR="00781187">
        <w:rPr>
          <w:snapToGrid w:val="0"/>
          <w:color w:val="000000"/>
          <w:kern w:val="28"/>
        </w:rPr>
        <w:t xml:space="preserve"> the transfer of</w:t>
      </w:r>
      <w:r w:rsidRPr="00574AD7" w:rsidR="00D8111E">
        <w:rPr>
          <w:snapToGrid w:val="0"/>
          <w:color w:val="000000"/>
          <w:kern w:val="28"/>
        </w:rPr>
        <w:t xml:space="preserve"> authorizations associated with wireless services</w:t>
      </w:r>
      <w:r w:rsidRPr="003661DC" w:rsidR="00DA0F59">
        <w:t>.</w:t>
      </w:r>
      <w:bookmarkEnd w:id="2"/>
      <w:r w:rsidRPr="003661DC" w:rsidR="00DA0F59">
        <w:t xml:space="preserve">  </w:t>
      </w:r>
      <w:r w:rsidRPr="003661DC" w:rsidR="00D44937">
        <w:t xml:space="preserve">On </w:t>
      </w:r>
      <w:r w:rsidRPr="003661DC" w:rsidR="00FB5FD0">
        <w:t>M</w:t>
      </w:r>
      <w:r w:rsidRPr="003661DC" w:rsidR="00D44937">
        <w:t>arch 1</w:t>
      </w:r>
      <w:r w:rsidRPr="003661DC" w:rsidR="00FB5FD0">
        <w:t>5</w:t>
      </w:r>
      <w:r w:rsidRPr="003661DC" w:rsidR="00D44937">
        <w:t xml:space="preserve">, 2022, Applicants filed a supplement to their domestic section 214 application.  </w:t>
      </w:r>
      <w:r w:rsidRPr="003661DC" w:rsidR="007F5423">
        <w:t xml:space="preserve">Letter from Patrick S. Campbell, Counsel for Mesa Telecoms Investments, LLC, and Joshua M. Bobeck, Counsel for Dobson Technologies, Inc., to Marlene Dortch, Secretary, FCC (Mar. 15, 2022) </w:t>
      </w:r>
      <w:r w:rsidRPr="003661DC" w:rsidR="00604B58">
        <w:t>(on file in W</w:t>
      </w:r>
      <w:r w:rsidRPr="003661DC" w:rsidR="0059058F">
        <w:t>C Docket No. 22-110) (Supplement)</w:t>
      </w:r>
      <w:r w:rsidRPr="003661DC" w:rsidR="00604B58">
        <w:t xml:space="preserve">.  </w:t>
      </w:r>
      <w:r w:rsidRPr="003661DC" w:rsidR="00DA0F59">
        <w:t>Any action on this domestic section 214 application is without prejudice to Commission action on other related, pending applications</w:t>
      </w:r>
      <w:r w:rsidRPr="003661DC" w:rsidR="00DA0F59">
        <w:rPr>
          <w:bCs/>
        </w:rPr>
        <w:t>.</w:t>
      </w:r>
      <w:bookmarkEnd w:id="1"/>
    </w:p>
  </w:footnote>
  <w:footnote w:id="5">
    <w:p w:rsidR="00DA5AEC" w:rsidRPr="003661DC" w14:paraId="368D217A" w14:textId="77777777">
      <w:pPr>
        <w:pStyle w:val="FootnoteText"/>
      </w:pPr>
      <w:r w:rsidRPr="003661DC">
        <w:rPr>
          <w:rStyle w:val="FootnoteReference"/>
          <w:sz w:val="20"/>
        </w:rPr>
        <w:footnoteRef/>
      </w:r>
      <w:r w:rsidRPr="003661DC">
        <w:t xml:space="preserve"> </w:t>
      </w:r>
      <w:r w:rsidRPr="003661DC">
        <w:t>Application at 4.</w:t>
      </w:r>
      <w:r w:rsidRPr="003661DC" w:rsidR="00565ED0">
        <w:t xml:space="preserve"> </w:t>
      </w:r>
    </w:p>
  </w:footnote>
  <w:footnote w:id="6">
    <w:p w:rsidR="00F6769E" w:rsidRPr="003661DC" w:rsidP="00F6769E" w14:paraId="5F4A0888" w14:textId="77777777">
      <w:pPr>
        <w:pStyle w:val="FootnoteText"/>
      </w:pPr>
      <w:r w:rsidRPr="003661DC">
        <w:rPr>
          <w:rStyle w:val="FootnoteReference"/>
          <w:sz w:val="20"/>
        </w:rPr>
        <w:footnoteRef/>
      </w:r>
      <w:r w:rsidRPr="003661DC">
        <w:t xml:space="preserve"> </w:t>
      </w:r>
      <w:r w:rsidR="00694E21">
        <w:rPr>
          <w:i/>
          <w:iCs/>
        </w:rPr>
        <w:t>Id.</w:t>
      </w:r>
      <w:r w:rsidRPr="003661DC">
        <w:t xml:space="preserve"> at 4-5.  </w:t>
      </w:r>
      <w:r w:rsidRPr="003661DC" w:rsidR="006D3780">
        <w:t xml:space="preserve">DTC </w:t>
      </w:r>
      <w:r w:rsidRPr="003661DC" w:rsidR="000D7CAA">
        <w:t xml:space="preserve">provides </w:t>
      </w:r>
      <w:r w:rsidRPr="003661DC" w:rsidR="006D3780">
        <w:t>serv</w:t>
      </w:r>
      <w:r w:rsidRPr="003661DC" w:rsidR="000D7CAA">
        <w:t>ice as an incumbent LEC in</w:t>
      </w:r>
      <w:r w:rsidRPr="003661DC" w:rsidR="006D3780">
        <w:t xml:space="preserve"> </w:t>
      </w:r>
      <w:r w:rsidRPr="003661DC">
        <w:t xml:space="preserve">portions of the following Oklahoma counties:  Roger Mills, Dewey, Custer, Beckham, Oklahoma, Lincoln, Pottawatomie and Cleveland.  </w:t>
      </w:r>
      <w:r w:rsidRPr="003661DC" w:rsidR="00825C3F">
        <w:rPr>
          <w:i/>
          <w:iCs/>
        </w:rPr>
        <w:t>I</w:t>
      </w:r>
      <w:r w:rsidRPr="003661DC" w:rsidR="006D3780">
        <w:rPr>
          <w:i/>
          <w:iCs/>
        </w:rPr>
        <w:t>d.</w:t>
      </w:r>
      <w:r w:rsidRPr="003661DC" w:rsidR="006D3780">
        <w:t xml:space="preserve"> at 10-11</w:t>
      </w:r>
      <w:r w:rsidRPr="003661DC">
        <w:t>.</w:t>
      </w:r>
      <w:r w:rsidRPr="003661DC" w:rsidR="000D7CAA">
        <w:t xml:space="preserve">  </w:t>
      </w:r>
    </w:p>
  </w:footnote>
  <w:footnote w:id="7">
    <w:p w:rsidR="00F6769E" w:rsidRPr="003661DC" w14:paraId="363620A0" w14:textId="77777777">
      <w:pPr>
        <w:pStyle w:val="FootnoteText"/>
      </w:pPr>
      <w:r w:rsidRPr="003661DC">
        <w:rPr>
          <w:rStyle w:val="FootnoteReference"/>
          <w:sz w:val="20"/>
        </w:rPr>
        <w:footnoteRef/>
      </w:r>
      <w:r w:rsidRPr="003661DC">
        <w:t xml:space="preserve"> </w:t>
      </w:r>
      <w:r w:rsidRPr="003661DC">
        <w:rPr>
          <w:i/>
          <w:iCs/>
        </w:rPr>
        <w:t xml:space="preserve">Id. </w:t>
      </w:r>
      <w:r w:rsidRPr="003661DC">
        <w:t xml:space="preserve">at 5; </w:t>
      </w:r>
      <w:bookmarkStart w:id="3" w:name="_Hlk97631572"/>
      <w:r w:rsidRPr="003661DC">
        <w:rPr>
          <w:i/>
          <w:iCs/>
        </w:rPr>
        <w:t>see also id.</w:t>
      </w:r>
      <w:r w:rsidRPr="003661DC">
        <w:t xml:space="preserve"> at 11-12.</w:t>
      </w:r>
      <w:bookmarkEnd w:id="3"/>
      <w:r w:rsidRPr="003661DC" w:rsidR="00D44937">
        <w:t xml:space="preserve">  Applicants state that DTTTS also provides competitive LEC services to less than a thousand customers primarily around the state of Oklahoma and northern Texas.  Application at 10; Supplement at 2.</w:t>
      </w:r>
    </w:p>
  </w:footnote>
  <w:footnote w:id="8">
    <w:p w:rsidR="00A83E17" w:rsidRPr="003661DC" w14:paraId="558E5E15" w14:textId="77777777">
      <w:pPr>
        <w:pStyle w:val="FootnoteText"/>
        <w:rPr>
          <w:i/>
          <w:iCs/>
        </w:rPr>
      </w:pPr>
      <w:r w:rsidRPr="003661DC">
        <w:rPr>
          <w:rStyle w:val="FootnoteReference"/>
          <w:sz w:val="20"/>
        </w:rPr>
        <w:footnoteRef/>
      </w:r>
      <w:r w:rsidRPr="003661DC">
        <w:t xml:space="preserve"> </w:t>
      </w:r>
      <w:r w:rsidR="00694E21">
        <w:t>Application</w:t>
      </w:r>
      <w:r w:rsidRPr="003661DC" w:rsidR="00DD52FF">
        <w:t xml:space="preserve"> at 5; </w:t>
      </w:r>
      <w:r w:rsidRPr="003661DC" w:rsidR="00DD52FF">
        <w:rPr>
          <w:i/>
          <w:iCs/>
        </w:rPr>
        <w:t>see also id.</w:t>
      </w:r>
      <w:r w:rsidRPr="003661DC" w:rsidR="00DD52FF">
        <w:t xml:space="preserve"> at 12.</w:t>
      </w:r>
      <w:r w:rsidRPr="003661DC" w:rsidR="00B0649B">
        <w:t xml:space="preserve">  Lavaca serves the</w:t>
      </w:r>
      <w:r w:rsidRPr="003661DC" w:rsidR="00855B06">
        <w:t xml:space="preserve"> </w:t>
      </w:r>
      <w:r w:rsidRPr="003661DC" w:rsidR="00B0649B">
        <w:t>Lavaca exchange in rural western Arkansas and the Panama/Shady Point exchange in rural eastern Oklahoma.</w:t>
      </w:r>
      <w:r w:rsidRPr="003661DC" w:rsidR="00855B06">
        <w:t xml:space="preserve">  </w:t>
      </w:r>
      <w:r w:rsidRPr="003661DC" w:rsidR="00855B06">
        <w:rPr>
          <w:i/>
          <w:iCs/>
        </w:rPr>
        <w:t>Id.</w:t>
      </w:r>
    </w:p>
  </w:footnote>
  <w:footnote w:id="9">
    <w:p w:rsidR="00DD52FF" w:rsidRPr="003661DC" w14:paraId="51BC422A" w14:textId="77777777">
      <w:pPr>
        <w:pStyle w:val="FootnoteText"/>
      </w:pPr>
      <w:r w:rsidRPr="003661DC">
        <w:rPr>
          <w:rStyle w:val="FootnoteReference"/>
          <w:sz w:val="20"/>
        </w:rPr>
        <w:footnoteRef/>
      </w:r>
      <w:r w:rsidRPr="003661DC">
        <w:t xml:space="preserve"> </w:t>
      </w:r>
      <w:r w:rsidRPr="003661DC">
        <w:rPr>
          <w:i/>
          <w:iCs/>
        </w:rPr>
        <w:t>Id.</w:t>
      </w:r>
      <w:r w:rsidRPr="003661DC" w:rsidR="004D626A">
        <w:rPr>
          <w:i/>
          <w:iCs/>
          <w:snapToGrid w:val="0"/>
          <w:kern w:val="28"/>
        </w:rPr>
        <w:t xml:space="preserve"> </w:t>
      </w:r>
    </w:p>
  </w:footnote>
  <w:footnote w:id="10">
    <w:p w:rsidR="006510FA" w:rsidRPr="003661DC" w14:paraId="3E432CBC" w14:textId="77777777">
      <w:pPr>
        <w:pStyle w:val="FootnoteText"/>
      </w:pPr>
      <w:r w:rsidRPr="003661DC">
        <w:rPr>
          <w:rStyle w:val="FootnoteReference"/>
          <w:sz w:val="20"/>
        </w:rPr>
        <w:footnoteRef/>
      </w:r>
      <w:r w:rsidRPr="003661DC">
        <w:t xml:space="preserve"> </w:t>
      </w:r>
      <w:r w:rsidRPr="003661DC">
        <w:rPr>
          <w:i/>
          <w:iCs/>
        </w:rPr>
        <w:t xml:space="preserve">Id. </w:t>
      </w:r>
      <w:r w:rsidRPr="003661DC">
        <w:t xml:space="preserve">at 5; </w:t>
      </w:r>
      <w:r w:rsidRPr="003661DC">
        <w:rPr>
          <w:i/>
          <w:iCs/>
        </w:rPr>
        <w:t>see also</w:t>
      </w:r>
      <w:r w:rsidRPr="003661DC" w:rsidR="00AA07DE">
        <w:t xml:space="preserve"> </w:t>
      </w:r>
      <w:r w:rsidRPr="003661DC" w:rsidR="00AA07DE">
        <w:rPr>
          <w:i/>
          <w:iCs/>
        </w:rPr>
        <w:t>id.</w:t>
      </w:r>
      <w:r w:rsidRPr="003661DC" w:rsidR="00AA07DE">
        <w:t xml:space="preserve"> at 12-13.</w:t>
      </w:r>
      <w:r w:rsidRPr="003661DC" w:rsidR="00D536E6">
        <w:t xml:space="preserve">  </w:t>
      </w:r>
    </w:p>
  </w:footnote>
  <w:footnote w:id="11">
    <w:p w:rsidR="00BD1C4F" w:rsidRPr="003661DC" w:rsidP="00BD1C4F" w14:paraId="3217FC38" w14:textId="77777777">
      <w:pPr>
        <w:pStyle w:val="FootnoteText"/>
      </w:pPr>
      <w:r w:rsidRPr="003661DC">
        <w:rPr>
          <w:rStyle w:val="FootnoteReference"/>
          <w:sz w:val="20"/>
        </w:rPr>
        <w:footnoteRef/>
      </w:r>
      <w:r w:rsidRPr="003661DC">
        <w:t xml:space="preserve"> </w:t>
      </w:r>
      <w:r w:rsidRPr="003661DC">
        <w:rPr>
          <w:i/>
          <w:iCs/>
        </w:rPr>
        <w:t xml:space="preserve">Id. </w:t>
      </w:r>
      <w:r w:rsidRPr="003661DC">
        <w:t>at 2 and 6-7.  The general partner of DL</w:t>
      </w:r>
      <w:r w:rsidRPr="003661DC" w:rsidR="00EC6394">
        <w:t>P</w:t>
      </w:r>
      <w:r w:rsidRPr="003661DC">
        <w:t xml:space="preserve"> is RLD, Inc., an Oklahoma corporation</w:t>
      </w:r>
      <w:r w:rsidRPr="003661DC" w:rsidR="00EC6394">
        <w:t xml:space="preserve">, which, in turn, </w:t>
      </w:r>
      <w:r w:rsidRPr="003661DC">
        <w:t xml:space="preserve">is </w:t>
      </w:r>
      <w:r w:rsidRPr="003661DC" w:rsidR="00A90CF7">
        <w:t>wholly</w:t>
      </w:r>
      <w:r w:rsidRPr="003661DC">
        <w:t xml:space="preserve">-owned and controlled by Everett Dobson, a U.S. citizen.  </w:t>
      </w:r>
      <w:r w:rsidRPr="003661DC">
        <w:rPr>
          <w:i/>
          <w:iCs/>
        </w:rPr>
        <w:t xml:space="preserve">Id. </w:t>
      </w:r>
      <w:r w:rsidRPr="003661DC">
        <w:t xml:space="preserve">at 6-7 and 19-20.  The other current direct shareholder of Dobson Fiber is Eight Bar Financial Partners I, LP, (Eight Bar), an entity of the Cayman Islands, that holds a 22.88% equity interest.  </w:t>
      </w:r>
      <w:r w:rsidRPr="003661DC">
        <w:rPr>
          <w:i/>
          <w:iCs/>
        </w:rPr>
        <w:t xml:space="preserve">Id. </w:t>
      </w:r>
      <w:r w:rsidRPr="003661DC">
        <w:t>at n. 16.</w:t>
      </w:r>
    </w:p>
  </w:footnote>
  <w:footnote w:id="12">
    <w:p w:rsidR="00BD1C4F" w:rsidRPr="003661DC" w14:paraId="5D33B49A" w14:textId="77777777">
      <w:pPr>
        <w:pStyle w:val="FootnoteText"/>
      </w:pPr>
      <w:r w:rsidRPr="003661DC">
        <w:rPr>
          <w:rStyle w:val="FootnoteReference"/>
          <w:sz w:val="20"/>
        </w:rPr>
        <w:footnoteRef/>
      </w:r>
      <w:r w:rsidRPr="003661DC">
        <w:t xml:space="preserve"> </w:t>
      </w:r>
      <w:r w:rsidRPr="003661DC">
        <w:rPr>
          <w:i/>
          <w:iCs/>
        </w:rPr>
        <w:t>Id.</w:t>
      </w:r>
      <w:r w:rsidRPr="003661DC" w:rsidR="00D93A60">
        <w:t xml:space="preserve"> at 2.</w:t>
      </w:r>
      <w:r w:rsidRPr="003661DC" w:rsidR="00FB269F">
        <w:rPr>
          <w:i/>
          <w:iCs/>
        </w:rPr>
        <w:t xml:space="preserve">  </w:t>
      </w:r>
      <w:r w:rsidRPr="003661DC" w:rsidR="007F3034">
        <w:t xml:space="preserve">Post consummation, Everett Dobson will indirectly hold </w:t>
      </w:r>
      <w:r w:rsidR="00383407">
        <w:t xml:space="preserve">a </w:t>
      </w:r>
      <w:r w:rsidRPr="003661DC" w:rsidR="007F3034">
        <w:t>20.2% interest</w:t>
      </w:r>
      <w:r w:rsidRPr="003661DC" w:rsidR="00D93A60">
        <w:t xml:space="preserve"> in Mesa Telecoms and </w:t>
      </w:r>
      <w:r w:rsidRPr="003661DC" w:rsidR="007F3034">
        <w:t xml:space="preserve">Stephen Dobson, also a U.S. citizen, will </w:t>
      </w:r>
      <w:r w:rsidRPr="003661DC" w:rsidR="00D93A60">
        <w:t xml:space="preserve">hold 15.44% of Mesa Telecoms.  </w:t>
      </w:r>
      <w:r w:rsidRPr="003661DC" w:rsidR="00D93A60">
        <w:rPr>
          <w:i/>
          <w:iCs/>
        </w:rPr>
        <w:t xml:space="preserve">Id. </w:t>
      </w:r>
      <w:r w:rsidRPr="003661DC" w:rsidR="00D93A60">
        <w:t>at 20.</w:t>
      </w:r>
    </w:p>
  </w:footnote>
  <w:footnote w:id="13">
    <w:p w:rsidR="00865969" w:rsidRPr="003661DC" w14:paraId="23A463FE" w14:textId="77777777">
      <w:pPr>
        <w:pStyle w:val="FootnoteText"/>
      </w:pPr>
      <w:r w:rsidRPr="003661DC">
        <w:rPr>
          <w:rStyle w:val="FootnoteReference"/>
          <w:sz w:val="20"/>
        </w:rPr>
        <w:footnoteRef/>
      </w:r>
      <w:r w:rsidRPr="003661DC">
        <w:t xml:space="preserve"> </w:t>
      </w:r>
      <w:r w:rsidR="00694E21">
        <w:t>Application</w:t>
      </w:r>
      <w:r w:rsidRPr="003661DC">
        <w:rPr>
          <w:i/>
          <w:iCs/>
        </w:rPr>
        <w:t xml:space="preserve"> </w:t>
      </w:r>
      <w:r w:rsidRPr="003661DC">
        <w:t>at 18</w:t>
      </w:r>
      <w:r w:rsidRPr="003661DC">
        <w:rPr>
          <w:snapToGrid w:val="0"/>
          <w:kern w:val="28"/>
        </w:rPr>
        <w:t xml:space="preserve"> </w:t>
      </w:r>
      <w:r w:rsidRPr="003661DC">
        <w:t>and Exh. B (Post-Transaction Structure).</w:t>
      </w:r>
    </w:p>
  </w:footnote>
  <w:footnote w:id="14">
    <w:p w:rsidR="00574F31" w:rsidRPr="003661DC" w14:paraId="749CDE43" w14:textId="77777777">
      <w:pPr>
        <w:pStyle w:val="FootnoteText"/>
      </w:pPr>
      <w:r w:rsidRPr="003661DC">
        <w:rPr>
          <w:rStyle w:val="FootnoteReference"/>
          <w:sz w:val="20"/>
        </w:rPr>
        <w:footnoteRef/>
      </w:r>
      <w:r w:rsidRPr="003661DC">
        <w:t xml:space="preserve"> </w:t>
      </w:r>
      <w:r w:rsidRPr="003661DC">
        <w:rPr>
          <w:i/>
          <w:iCs/>
        </w:rPr>
        <w:t xml:space="preserve">Id. </w:t>
      </w:r>
      <w:r w:rsidRPr="003661DC">
        <w:t>at 19</w:t>
      </w:r>
      <w:r w:rsidRPr="003661DC" w:rsidR="001B2CB1">
        <w:t>.</w:t>
      </w:r>
    </w:p>
  </w:footnote>
  <w:footnote w:id="15">
    <w:p w:rsidR="00926402" w:rsidRPr="00926402" w14:paraId="4107AC1F" w14:textId="77777777">
      <w:pPr>
        <w:pStyle w:val="FootnoteText"/>
      </w:pPr>
      <w:r>
        <w:rPr>
          <w:rStyle w:val="FootnoteReference"/>
        </w:rPr>
        <w:footnoteRef/>
      </w:r>
      <w:r>
        <w:t xml:space="preserve"> </w:t>
      </w:r>
      <w:r>
        <w:rPr>
          <w:i/>
          <w:iCs/>
        </w:rPr>
        <w:t>Id</w:t>
      </w:r>
      <w:r>
        <w:t>. at 20-21.</w:t>
      </w:r>
      <w:r w:rsidR="00A95479">
        <w:t xml:space="preserve"> </w:t>
      </w:r>
      <w:r w:rsidR="00F81D38">
        <w:t xml:space="preserve"> </w:t>
      </w:r>
      <w:r w:rsidRPr="003661DC" w:rsidR="00A95479">
        <w:t xml:space="preserve">Applicants </w:t>
      </w:r>
      <w:r w:rsidR="00A95479">
        <w:t xml:space="preserve">state that “either pre- or post-closing, the iCON V Fund will accept co-investments from certain investors that have already invested in the iCON V Fund but wish to invest additional capital through separate fund vehicles also managed by iCON Infrastructure Management V Limited.”  </w:t>
      </w:r>
      <w:r w:rsidRPr="00A0380D" w:rsidR="00A95479">
        <w:rPr>
          <w:i/>
          <w:iCs/>
        </w:rPr>
        <w:t>Id</w:t>
      </w:r>
      <w:r w:rsidR="00A95479">
        <w:t xml:space="preserve">. at 23.  They state that </w:t>
      </w:r>
      <w:r w:rsidRPr="003661DC" w:rsidR="00A95479">
        <w:t>two co-investment entities, Managed Co-Investment Vehicle V L.P. (Co-Investment Vehicle V) and Managed Co-Investment Vehicle V-B, L.P. (Co-Investment Vehicle V-B), Inc., both United Kingdom entities, post-transaction, may hold direct interests in Mesa Telecoms</w:t>
      </w:r>
      <w:r w:rsidR="00A95479">
        <w:t>,</w:t>
      </w:r>
      <w:r w:rsidRPr="003661DC" w:rsidR="00A95479">
        <w:t xml:space="preserve"> therefore diluting the interests held by the iCON V Fund.  </w:t>
      </w:r>
      <w:r w:rsidRPr="003661DC" w:rsidR="00A95479">
        <w:rPr>
          <w:i/>
          <w:iCs/>
        </w:rPr>
        <w:t xml:space="preserve">Id. </w:t>
      </w:r>
      <w:r w:rsidRPr="003661DC" w:rsidR="00A95479">
        <w:t xml:space="preserve">at 21, 23, and Exh. B (Post-Transaction Structure).  Applicants state that once all of the co-investments have been made, it is currently anticipated that: (i) Co-Investment Vehicle V will have a limited partnership interest of approximately 24.45% in iCON Mesa, thus, diluting the interest of iCON Partners V from 60% to approximately 35.55%, and (ii) Co-Investment Vehicle V-B will have a limited partnership interest of approximately 16.3% in iCON Mesa, thus, diluting the interest of iCON Investments V-B from 40% to approximately 23.7%.  </w:t>
      </w:r>
      <w:r w:rsidRPr="003661DC" w:rsidR="00A95479">
        <w:rPr>
          <w:i/>
          <w:iCs/>
        </w:rPr>
        <w:t xml:space="preserve">Id. </w:t>
      </w:r>
      <w:r w:rsidRPr="003661DC" w:rsidR="00A95479">
        <w:t>at 23.</w:t>
      </w:r>
      <w:r w:rsidR="00A95479">
        <w:t xml:space="preserve">  Applicants further state that they have included “the required information for all of the anticipated 10% or greater direct and indirect interest holders of the Transferee as of the closing, based on the Commission’s ownership rules.  However, the precise allocation of investors’ equity commitments between Co-Investment Vehicle V and Co-Investment Vehicle V-B have not been finalized.   If the distribution of investors’ capital between iCON Partners V, iCON Partners V-B, Co-Investment Vehicle V and Co-Investment Vehicle V-B causes an entity or individual not already disclosed in this Application to obtain a 10% or greater indirect interest in Transferee prior to the grant of the Application, Applicants will promptly supplement this Application.”  </w:t>
      </w:r>
      <w:r w:rsidR="00A95479">
        <w:rPr>
          <w:i/>
          <w:iCs/>
        </w:rPr>
        <w:t>Id</w:t>
      </w:r>
      <w:r w:rsidR="00A95479">
        <w:t xml:space="preserve">. at 23-24. </w:t>
      </w:r>
    </w:p>
  </w:footnote>
  <w:footnote w:id="16">
    <w:p w:rsidR="00926402" w:rsidRPr="00926402" w14:paraId="5E62FDCC" w14:textId="77777777">
      <w:pPr>
        <w:pStyle w:val="FootnoteText"/>
      </w:pPr>
      <w:r>
        <w:rPr>
          <w:rStyle w:val="FootnoteReference"/>
        </w:rPr>
        <w:footnoteRef/>
      </w:r>
      <w:r>
        <w:t xml:space="preserve"> </w:t>
      </w:r>
      <w:r>
        <w:rPr>
          <w:i/>
          <w:iCs/>
        </w:rPr>
        <w:t>Id</w:t>
      </w:r>
      <w:r>
        <w:t>. at 21.</w:t>
      </w:r>
    </w:p>
  </w:footnote>
  <w:footnote w:id="17">
    <w:p w:rsidR="00FD3506" w:rsidRPr="00433545" w14:paraId="16AF6177" w14:textId="77777777">
      <w:pPr>
        <w:pStyle w:val="FootnoteText"/>
      </w:pPr>
      <w:r w:rsidRPr="003661DC">
        <w:rPr>
          <w:rStyle w:val="FootnoteReference"/>
          <w:sz w:val="20"/>
        </w:rPr>
        <w:footnoteRef/>
      </w:r>
      <w:r w:rsidRPr="003661DC">
        <w:t xml:space="preserve"> </w:t>
      </w:r>
      <w:r w:rsidRPr="003661DC" w:rsidR="00C76E1A">
        <w:rPr>
          <w:i/>
          <w:iCs/>
        </w:rPr>
        <w:t xml:space="preserve">Id. </w:t>
      </w:r>
      <w:r w:rsidRPr="003661DC" w:rsidR="00C76E1A">
        <w:t>at 3, 20-21, and Exh. B (Post-Transaction Structure).</w:t>
      </w:r>
      <w:r w:rsidRPr="003661DC" w:rsidR="009C08BC">
        <w:t xml:space="preserve">  </w:t>
      </w:r>
    </w:p>
  </w:footnote>
  <w:footnote w:id="18">
    <w:p w:rsidR="00FD3506" w:rsidRPr="003661DC" w14:paraId="613ACA5A" w14:textId="77777777">
      <w:pPr>
        <w:pStyle w:val="FootnoteText"/>
      </w:pPr>
      <w:r w:rsidRPr="003661DC">
        <w:rPr>
          <w:rStyle w:val="FootnoteReference"/>
          <w:sz w:val="20"/>
        </w:rPr>
        <w:footnoteRef/>
      </w:r>
      <w:r w:rsidRPr="003661DC">
        <w:t xml:space="preserve"> </w:t>
      </w:r>
      <w:r w:rsidRPr="003661DC" w:rsidR="00455C72">
        <w:rPr>
          <w:i/>
          <w:iCs/>
        </w:rPr>
        <w:t>Id.</w:t>
      </w:r>
      <w:r w:rsidRPr="003661DC" w:rsidR="00455C72">
        <w:t xml:space="preserve"> at 3</w:t>
      </w:r>
      <w:r w:rsidRPr="003661DC" w:rsidR="00D66B49">
        <w:t xml:space="preserve">.  </w:t>
      </w:r>
      <w:r w:rsidR="008F14D3">
        <w:t xml:space="preserve">iCon </w:t>
      </w:r>
      <w:r w:rsidRPr="003661DC" w:rsidR="00D66B49">
        <w:t xml:space="preserve">Parent </w:t>
      </w:r>
      <w:r w:rsidRPr="003661DC" w:rsidR="001C4295">
        <w:t>is owned by the following citizens</w:t>
      </w:r>
      <w:r w:rsidRPr="003661DC" w:rsidR="00D0733D">
        <w:t xml:space="preserve"> of the United Kingdom</w:t>
      </w:r>
      <w:r w:rsidRPr="003661DC" w:rsidR="001C4295">
        <w:t>:  Daniel Michael Agostino (10.78% equity and 7.19% voting</w:t>
      </w:r>
      <w:r w:rsidRPr="003661DC" w:rsidR="00D0733D">
        <w:t xml:space="preserve"> and </w:t>
      </w:r>
      <w:r w:rsidRPr="003661DC" w:rsidR="001B2CB1">
        <w:t>a dual</w:t>
      </w:r>
      <w:r w:rsidRPr="003661DC" w:rsidR="00D0733D">
        <w:t>-citizen of the</w:t>
      </w:r>
      <w:r w:rsidRPr="003661DC" w:rsidR="001B2CB1">
        <w:t xml:space="preserve"> United Kingdom and Australia</w:t>
      </w:r>
      <w:r w:rsidRPr="003661DC" w:rsidR="001C4295">
        <w:t>); Paul Richard Malan (38.72% equity and 59.15% voting)</w:t>
      </w:r>
      <w:r w:rsidRPr="003661DC" w:rsidR="00553A76">
        <w:t xml:space="preserve">; Iain Ross Macleod (19.40% equity and 12.93% voting).  </w:t>
      </w:r>
      <w:r w:rsidRPr="003661DC" w:rsidR="00553A76">
        <w:rPr>
          <w:i/>
          <w:iCs/>
        </w:rPr>
        <w:t xml:space="preserve">Id. </w:t>
      </w:r>
      <w:r w:rsidRPr="003661DC" w:rsidR="00553A76">
        <w:t xml:space="preserve">at 24-25. </w:t>
      </w:r>
      <w:r w:rsidRPr="003661DC" w:rsidR="00455C72">
        <w:t xml:space="preserve"> </w:t>
      </w:r>
      <w:r w:rsidR="008F14D3">
        <w:t xml:space="preserve">A fund of iCon Parent, </w:t>
      </w:r>
      <w:r w:rsidRPr="003661DC" w:rsidR="00130424">
        <w:rPr>
          <w:rStyle w:val="markedcontent"/>
        </w:rPr>
        <w:t>iCON IV Fund</w:t>
      </w:r>
      <w:r w:rsidR="008F14D3">
        <w:rPr>
          <w:rStyle w:val="markedcontent"/>
        </w:rPr>
        <w:t>,</w:t>
      </w:r>
      <w:r w:rsidRPr="003661DC" w:rsidR="00130424">
        <w:rPr>
          <w:rStyle w:val="markedcontent"/>
        </w:rPr>
        <w:t xml:space="preserve"> currently has a</w:t>
      </w:r>
      <w:r w:rsidRPr="003661DC" w:rsidR="00FC657C">
        <w:rPr>
          <w:rStyle w:val="markedcontent"/>
        </w:rPr>
        <w:t xml:space="preserve"> pending section 214</w:t>
      </w:r>
      <w:r w:rsidRPr="003661DC" w:rsidR="00130424">
        <w:rPr>
          <w:rStyle w:val="markedcontent"/>
        </w:rPr>
        <w:t xml:space="preserve"> application to acquire Plant Telephone Company, a </w:t>
      </w:r>
      <w:r w:rsidRPr="003661DC" w:rsidR="00FC657C">
        <w:rPr>
          <w:rStyle w:val="markedcontent"/>
        </w:rPr>
        <w:t xml:space="preserve">rural incumbent LEC </w:t>
      </w:r>
      <w:r w:rsidRPr="003661DC" w:rsidR="00130424">
        <w:rPr>
          <w:rStyle w:val="markedcontent"/>
        </w:rPr>
        <w:t xml:space="preserve">serving approximately 5,490 subscriber access lines in </w:t>
      </w:r>
      <w:r w:rsidRPr="003661DC" w:rsidR="00FC657C">
        <w:rPr>
          <w:rStyle w:val="markedcontent"/>
        </w:rPr>
        <w:t>south</w:t>
      </w:r>
      <w:r w:rsidR="00F7684D">
        <w:rPr>
          <w:rStyle w:val="markedcontent"/>
        </w:rPr>
        <w:t xml:space="preserve"> </w:t>
      </w:r>
      <w:r w:rsidRPr="003661DC" w:rsidR="00FC657C">
        <w:rPr>
          <w:rStyle w:val="markedcontent"/>
        </w:rPr>
        <w:t xml:space="preserve">central </w:t>
      </w:r>
      <w:r w:rsidRPr="003661DC" w:rsidR="00130424">
        <w:rPr>
          <w:rStyle w:val="markedcontent"/>
        </w:rPr>
        <w:t xml:space="preserve">Georgia. </w:t>
      </w:r>
      <w:r w:rsidRPr="003661DC" w:rsidR="00FC657C">
        <w:rPr>
          <w:rStyle w:val="markedcontent"/>
        </w:rPr>
        <w:t xml:space="preserve"> </w:t>
      </w:r>
      <w:r w:rsidRPr="003661DC" w:rsidR="00130424">
        <w:rPr>
          <w:rStyle w:val="markedcontent"/>
          <w:i/>
          <w:iCs/>
        </w:rPr>
        <w:t>See</w:t>
      </w:r>
      <w:r w:rsidRPr="003661DC" w:rsidR="00130424">
        <w:rPr>
          <w:rStyle w:val="markedcontent"/>
        </w:rPr>
        <w:t xml:space="preserve"> </w:t>
      </w:r>
      <w:r w:rsidRPr="003661DC" w:rsidR="008F1363">
        <w:rPr>
          <w:rStyle w:val="markedcontent"/>
          <w:i/>
          <w:iCs/>
        </w:rPr>
        <w:t xml:space="preserve">Domestic Section 214 Application Filed for the Transfer of Control of Plant Telephone Company to </w:t>
      </w:r>
      <w:r w:rsidRPr="003661DC" w:rsidR="00130424">
        <w:rPr>
          <w:rStyle w:val="markedcontent"/>
          <w:i/>
          <w:iCs/>
        </w:rPr>
        <w:t>Worth Telecoms Holdings, LLC</w:t>
      </w:r>
      <w:r w:rsidRPr="003661DC" w:rsidR="00130424">
        <w:rPr>
          <w:rStyle w:val="markedcontent"/>
        </w:rPr>
        <w:t xml:space="preserve">, </w:t>
      </w:r>
      <w:r w:rsidRPr="003661DC" w:rsidR="00F85CAF">
        <w:rPr>
          <w:rStyle w:val="markedcontent"/>
        </w:rPr>
        <w:t xml:space="preserve">WC Docket 21-432, </w:t>
      </w:r>
      <w:r w:rsidRPr="003661DC" w:rsidR="008F1363">
        <w:rPr>
          <w:rStyle w:val="markedcontent"/>
        </w:rPr>
        <w:t xml:space="preserve">Public Notice, </w:t>
      </w:r>
      <w:r w:rsidRPr="003661DC" w:rsidR="00F85CAF">
        <w:rPr>
          <w:rStyle w:val="markedcontent"/>
        </w:rPr>
        <w:t>DA 21-1443</w:t>
      </w:r>
      <w:r w:rsidRPr="003661DC" w:rsidR="00075595">
        <w:rPr>
          <w:rStyle w:val="markedcontent"/>
        </w:rPr>
        <w:t xml:space="preserve"> </w:t>
      </w:r>
      <w:r w:rsidRPr="003661DC" w:rsidR="00F85CAF">
        <w:rPr>
          <w:rStyle w:val="markedcontent"/>
        </w:rPr>
        <w:t xml:space="preserve">(WCB Nov. 17, 2021) </w:t>
      </w:r>
      <w:r w:rsidRPr="003661DC" w:rsidR="00075595">
        <w:rPr>
          <w:rStyle w:val="markedcontent"/>
        </w:rPr>
        <w:t>(Worth</w:t>
      </w:r>
      <w:r w:rsidRPr="003661DC" w:rsidR="00F85CAF">
        <w:rPr>
          <w:rStyle w:val="markedcontent"/>
        </w:rPr>
        <w:t xml:space="preserve"> Transaction</w:t>
      </w:r>
      <w:r w:rsidRPr="003661DC" w:rsidR="00075595">
        <w:rPr>
          <w:rStyle w:val="markedcontent"/>
        </w:rPr>
        <w:t>)</w:t>
      </w:r>
      <w:r w:rsidRPr="003661DC" w:rsidR="00130424">
        <w:rPr>
          <w:rStyle w:val="markedcontent"/>
        </w:rPr>
        <w:t xml:space="preserve">. </w:t>
      </w:r>
      <w:r w:rsidRPr="003661DC" w:rsidR="00075595">
        <w:rPr>
          <w:rStyle w:val="markedcontent"/>
        </w:rPr>
        <w:t xml:space="preserve"> </w:t>
      </w:r>
    </w:p>
  </w:footnote>
  <w:footnote w:id="19">
    <w:p w:rsidR="00075595" w:rsidRPr="003661DC" w:rsidP="00075595" w14:paraId="2771BA69" w14:textId="77777777">
      <w:pPr>
        <w:pStyle w:val="FootnoteText"/>
        <w:rPr>
          <w:snapToGrid w:val="0"/>
          <w:kern w:val="28"/>
        </w:rPr>
      </w:pPr>
      <w:r w:rsidRPr="003661DC">
        <w:rPr>
          <w:rStyle w:val="FootnoteReference"/>
          <w:sz w:val="20"/>
        </w:rPr>
        <w:footnoteRef/>
      </w:r>
      <w:r w:rsidRPr="003661DC">
        <w:t xml:space="preserve"> </w:t>
      </w:r>
      <w:r w:rsidRPr="003661DC" w:rsidR="00015CC3">
        <w:rPr>
          <w:i/>
          <w:iCs/>
        </w:rPr>
        <w:t xml:space="preserve">Id. </w:t>
      </w:r>
      <w:r w:rsidRPr="003661DC" w:rsidR="00015CC3">
        <w:t>at 4;</w:t>
      </w:r>
      <w:r w:rsidR="00920E4D">
        <w:t xml:space="preserve"> </w:t>
      </w:r>
      <w:r w:rsidRPr="003661DC" w:rsidR="00920E4D">
        <w:t>Supplement at 1</w:t>
      </w:r>
      <w:r w:rsidR="00920E4D">
        <w:t>;</w:t>
      </w:r>
      <w:r w:rsidRPr="003661DC" w:rsidR="00015CC3">
        <w:t xml:space="preserve"> </w:t>
      </w:r>
      <w:r w:rsidRPr="003661DC" w:rsidR="00015CC3">
        <w:rPr>
          <w:i/>
          <w:iCs/>
        </w:rPr>
        <w:t xml:space="preserve">see also </w:t>
      </w:r>
      <w:r w:rsidRPr="003661DC" w:rsidR="00015CC3">
        <w:rPr>
          <w:rStyle w:val="markedcontent"/>
          <w:i/>
          <w:iCs/>
        </w:rPr>
        <w:t>Domestic Section 214 Application Granted for the Transfer of Control of the Chester Telephone Company D/B/A TruVista Communications to York Telecoms Holdings US L.P.</w:t>
      </w:r>
      <w:r w:rsidRPr="003661DC" w:rsidR="00015CC3">
        <w:rPr>
          <w:rStyle w:val="markedcontent"/>
        </w:rPr>
        <w:t>, WC Docket No. 19-139, Public Notice, 34 FCC Rcd 7906 (WCB 2019).</w:t>
      </w:r>
      <w:r w:rsidRPr="003661DC" w:rsidR="00015CC3">
        <w:rPr>
          <w:snapToGrid w:val="0"/>
          <w:kern w:val="28"/>
        </w:rPr>
        <w:t xml:space="preserve">  </w:t>
      </w:r>
      <w:r w:rsidRPr="003661DC" w:rsidR="002632D4">
        <w:rPr>
          <w:snapToGrid w:val="0"/>
          <w:kern w:val="28"/>
        </w:rPr>
        <w:t xml:space="preserve">TruVista </w:t>
      </w:r>
      <w:r w:rsidRPr="003661DC" w:rsidR="00535C88">
        <w:rPr>
          <w:snapToGrid w:val="0"/>
          <w:kern w:val="28"/>
        </w:rPr>
        <w:t xml:space="preserve">and its subsidiaries provide </w:t>
      </w:r>
      <w:r w:rsidRPr="003661DC" w:rsidR="002632D4">
        <w:rPr>
          <w:snapToGrid w:val="0"/>
          <w:kern w:val="28"/>
        </w:rPr>
        <w:t xml:space="preserve">incumbent </w:t>
      </w:r>
      <w:r w:rsidRPr="003661DC" w:rsidR="00535C88">
        <w:rPr>
          <w:snapToGrid w:val="0"/>
          <w:kern w:val="28"/>
        </w:rPr>
        <w:t xml:space="preserve">and competitive </w:t>
      </w:r>
      <w:r w:rsidRPr="003661DC" w:rsidR="002632D4">
        <w:rPr>
          <w:snapToGrid w:val="0"/>
          <w:kern w:val="28"/>
        </w:rPr>
        <w:t xml:space="preserve">LEC </w:t>
      </w:r>
      <w:r w:rsidRPr="003661DC" w:rsidR="008F5648">
        <w:rPr>
          <w:snapToGrid w:val="0"/>
          <w:kern w:val="28"/>
        </w:rPr>
        <w:t xml:space="preserve">services in multiple states.  Supplement at 2-3, Appendix A.  </w:t>
      </w:r>
      <w:r w:rsidRPr="003661DC" w:rsidR="00015CC3">
        <w:t>Applicants state that</w:t>
      </w:r>
      <w:r w:rsidRPr="003661DC" w:rsidR="00015CC3">
        <w:rPr>
          <w:snapToGrid w:val="0"/>
          <w:kern w:val="28"/>
        </w:rPr>
        <w:t xml:space="preserve"> </w:t>
      </w:r>
      <w:r w:rsidRPr="003661DC" w:rsidR="00015CC3">
        <w:t xml:space="preserve">there is no overlap between Dobson Fiber’s service areas and those associated with either the Worth Transaction or TruVista.  </w:t>
      </w:r>
      <w:r w:rsidR="008E2BD0">
        <w:t>Application</w:t>
      </w:r>
      <w:r w:rsidRPr="003661DC" w:rsidR="00015CC3">
        <w:rPr>
          <w:i/>
          <w:iCs/>
        </w:rPr>
        <w:t xml:space="preserve"> </w:t>
      </w:r>
      <w:r w:rsidRPr="003661DC" w:rsidR="00015CC3">
        <w:t>at n. 9</w:t>
      </w:r>
      <w:r w:rsidRPr="003661DC" w:rsidR="00015CC3">
        <w:rPr>
          <w:i/>
          <w:iCs/>
        </w:rPr>
        <w:t>.</w:t>
      </w:r>
    </w:p>
  </w:footnote>
  <w:footnote w:id="20">
    <w:p w:rsidR="0028712B" w:rsidRPr="003661DC" w14:paraId="51090E35" w14:textId="77777777">
      <w:pPr>
        <w:pStyle w:val="FootnoteText"/>
      </w:pPr>
      <w:r w:rsidRPr="003661DC">
        <w:rPr>
          <w:rStyle w:val="FootnoteReference"/>
          <w:sz w:val="20"/>
        </w:rPr>
        <w:footnoteRef/>
      </w:r>
      <w:r w:rsidRPr="003661DC">
        <w:t xml:space="preserve"> </w:t>
      </w:r>
      <w:r w:rsidR="00694E21">
        <w:rPr>
          <w:rStyle w:val="markedcontent"/>
        </w:rPr>
        <w:t>Application</w:t>
      </w:r>
      <w:r w:rsidRPr="003661DC" w:rsidR="00D127EE">
        <w:rPr>
          <w:rStyle w:val="markedcontent"/>
        </w:rPr>
        <w:t xml:space="preserve"> at 7.</w:t>
      </w:r>
    </w:p>
  </w:footnote>
  <w:footnote w:id="21">
    <w:p w:rsidR="0028712B" w:rsidRPr="00694E21" w14:paraId="6372ECB4" w14:textId="77777777">
      <w:pPr>
        <w:pStyle w:val="FootnoteText"/>
      </w:pPr>
      <w:r w:rsidRPr="003661DC">
        <w:rPr>
          <w:rStyle w:val="FootnoteReference"/>
          <w:sz w:val="20"/>
        </w:rPr>
        <w:footnoteRef/>
      </w:r>
      <w:r w:rsidRPr="003661DC">
        <w:t xml:space="preserve">  </w:t>
      </w:r>
      <w:r w:rsidRPr="003661DC">
        <w:rPr>
          <w:rStyle w:val="markedcontent"/>
        </w:rPr>
        <w:t>The remaining less than 5% interests in the partnerships owning Mesa Telecoms will be held by certain members of Dobson Fiber management.</w:t>
      </w:r>
      <w:r w:rsidR="00694E21">
        <w:rPr>
          <w:rStyle w:val="markedcontent"/>
        </w:rPr>
        <w:t xml:space="preserve">  </w:t>
      </w:r>
      <w:r w:rsidR="00694E21">
        <w:rPr>
          <w:rStyle w:val="markedcontent"/>
          <w:i/>
          <w:iCs/>
        </w:rPr>
        <w:t>Id.</w:t>
      </w:r>
      <w:r w:rsidR="00694E21">
        <w:rPr>
          <w:rStyle w:val="markedcontent"/>
        </w:rPr>
        <w:t xml:space="preserve"> at n. 11.</w:t>
      </w:r>
    </w:p>
  </w:footnote>
  <w:footnote w:id="22">
    <w:p w:rsidR="00130424" w:rsidRPr="003661DC" w:rsidP="00130424" w14:paraId="4AEFB358" w14:textId="77777777">
      <w:pPr>
        <w:pStyle w:val="FootnoteText"/>
      </w:pPr>
      <w:r w:rsidRPr="003661DC">
        <w:rPr>
          <w:rStyle w:val="FootnoteReference"/>
          <w:sz w:val="20"/>
        </w:rPr>
        <w:footnoteRef/>
      </w:r>
      <w:r w:rsidRPr="003661DC">
        <w:t xml:space="preserve"> </w:t>
      </w:r>
      <w:r w:rsidRPr="003661DC">
        <w:rPr>
          <w:i/>
          <w:iCs/>
        </w:rPr>
        <w:t>Id.</w:t>
      </w:r>
      <w:r w:rsidRPr="003661DC">
        <w:t xml:space="preserve"> at 7-9.</w:t>
      </w:r>
    </w:p>
  </w:footnote>
  <w:footnote w:id="23">
    <w:p w:rsidR="003020AF" w:rsidRPr="003661DC" w14:paraId="68C01DC5" w14:textId="77777777">
      <w:pPr>
        <w:pStyle w:val="FootnoteText"/>
      </w:pPr>
      <w:r w:rsidRPr="003661DC">
        <w:rPr>
          <w:rStyle w:val="FootnoteReference"/>
          <w:sz w:val="20"/>
        </w:rPr>
        <w:footnoteRef/>
      </w:r>
      <w:r w:rsidRPr="003661DC">
        <w:t xml:space="preserve"> </w:t>
      </w:r>
      <w:r w:rsidRPr="003661DC">
        <w:rPr>
          <w:i/>
          <w:iCs/>
        </w:rPr>
        <w:t xml:space="preserve">Id. </w:t>
      </w:r>
      <w:r w:rsidRPr="003661DC">
        <w:t xml:space="preserve">at </w:t>
      </w:r>
      <w:r w:rsidR="00C61FCB">
        <w:t>8-</w:t>
      </w:r>
      <w:r w:rsidRPr="003661DC">
        <w:t>9.</w:t>
      </w:r>
    </w:p>
  </w:footnote>
  <w:footnote w:id="24">
    <w:p w:rsidR="0084351C" w:rsidRPr="003661DC" w:rsidP="0084351C" w14:paraId="2D42F080" w14:textId="77777777">
      <w:pPr>
        <w:pStyle w:val="FootnoteText"/>
      </w:pPr>
      <w:r w:rsidRPr="003661DC">
        <w:rPr>
          <w:rStyle w:val="FootnoteReference"/>
          <w:sz w:val="20"/>
        </w:rPr>
        <w:footnoteRef/>
      </w:r>
      <w:r w:rsidRPr="003661DC">
        <w:t xml:space="preserve"> </w:t>
      </w:r>
      <w:r w:rsidRPr="003661DC">
        <w:t>47 CFR § 63.03(c)(1)(v).</w:t>
      </w:r>
    </w:p>
  </w:footnote>
  <w:footnote w:id="25">
    <w:p w:rsidR="00662414" w:rsidRPr="003661DC" w:rsidP="00662414" w14:paraId="7C11217C" w14:textId="77777777">
      <w:pPr>
        <w:pStyle w:val="FootnoteText"/>
      </w:pPr>
      <w:r w:rsidRPr="003661DC">
        <w:rPr>
          <w:rStyle w:val="FootnoteReference"/>
          <w:sz w:val="20"/>
        </w:rPr>
        <w:footnoteRef/>
      </w:r>
      <w:r w:rsidRPr="003661DC">
        <w:t xml:space="preserve"> </w:t>
      </w:r>
      <w:r w:rsidRPr="003661DC">
        <w:rPr>
          <w:color w:val="000000"/>
        </w:rPr>
        <w:t xml:space="preserve">47 CFR § 1.40001.  </w:t>
      </w:r>
      <w:r w:rsidRPr="003661DC">
        <w:rPr>
          <w:i/>
          <w:iCs/>
        </w:rPr>
        <w:t>See Process Reform for Executive Branch Review of Certain FCC Applications and Petitions Involving Foreign Ownership,</w:t>
      </w:r>
      <w:r w:rsidRPr="003661DC">
        <w:t xml:space="preserve"> IB Docket 16-155, Report and Order, 35 FCC Rcd 10927 (2020), Erratum (Appendix B — Final Rules), DA 20-1404 (OMD/IB rel. Nov. 27, 2020).  </w:t>
      </w:r>
      <w:r w:rsidRPr="003661DC">
        <w:rPr>
          <w:i/>
          <w:iCs/>
        </w:rPr>
        <w:t>See also Rules and Policies on Foreign Participation in the U.S. Telecommunications Market; Market Entry and Regulation of Foreign- Affiliated Entities</w:t>
      </w:r>
      <w:r w:rsidRPr="003661DC">
        <w:t>, IB Docket Nos. 97-142 and 95-22, Report and Order and Order on Reconsideration, 12 FCC Rcd 23891, 23918-19, paras. 61-63 (1997) (</w:t>
      </w:r>
      <w:r w:rsidRPr="003661DC">
        <w:rPr>
          <w:i/>
          <w:iCs/>
        </w:rPr>
        <w:t>Foreign Participation Order</w:t>
      </w:r>
      <w:r w:rsidRPr="003661DC">
        <w:t xml:space="preserve">), recon. denied, 15 FCC Rcd 18158 (2000).  </w:t>
      </w:r>
    </w:p>
  </w:footnote>
  <w:footnote w:id="26">
    <w:p w:rsidR="008014D0" w:rsidRPr="003661DC" w:rsidP="008014D0" w14:paraId="383E7AB9" w14:textId="77777777">
      <w:pPr>
        <w:pStyle w:val="FootnoteText"/>
        <w:rPr>
          <w:u w:val="single"/>
        </w:rPr>
      </w:pPr>
      <w:r w:rsidRPr="003661DC">
        <w:rPr>
          <w:rStyle w:val="FootnoteReference"/>
          <w:sz w:val="20"/>
        </w:rPr>
        <w:footnoteRef/>
      </w:r>
      <w:r w:rsidRPr="003661DC">
        <w:t xml:space="preserve"> </w:t>
      </w:r>
      <w:r w:rsidRPr="003661DC">
        <w:t>Effective March 19, 2020, and until further notice, the Commission no longer accepts any hand or messenger delivered filings.  This is a temporary measure taken to help protect the health and safety of individuals, and to mitigate the transmission of COVID-19.</w:t>
      </w:r>
      <w:r w:rsidRPr="003661DC" w:rsidR="00264753">
        <w:t xml:space="preserve"> </w:t>
      </w:r>
      <w:r w:rsidRPr="003661DC">
        <w:t xml:space="preserve"> </w:t>
      </w:r>
      <w:r w:rsidRPr="003661DC">
        <w:rPr>
          <w:rFonts w:eastAsia="Calibri"/>
          <w:i/>
          <w:iCs/>
        </w:rPr>
        <w:t>See FCC Announces Closure of FCC Headquarters Open Window and Change in Hand-Delivery Policy</w:t>
      </w:r>
      <w:r w:rsidRPr="003661DC">
        <w:rPr>
          <w:rFonts w:eastAsia="Calibri"/>
        </w:rPr>
        <w:t>, Public Notice, 35 FCC Rcd 2788 (OS 2020).</w:t>
      </w:r>
    </w:p>
  </w:footnote>
  <w:footnote w:id="27">
    <w:p w:rsidR="008014D0" w:rsidRPr="003661DC" w:rsidP="008014D0" w14:paraId="4FF6DB9B" w14:textId="77777777">
      <w:pPr>
        <w:pStyle w:val="FootnoteText"/>
      </w:pPr>
      <w:r w:rsidRPr="003661DC">
        <w:rPr>
          <w:rStyle w:val="FootnoteReference"/>
          <w:sz w:val="20"/>
        </w:rPr>
        <w:footnoteRef/>
      </w:r>
      <w:r w:rsidRPr="003661DC">
        <w:t xml:space="preserve"> </w:t>
      </w:r>
      <w:r w:rsidRPr="003661DC">
        <w:rPr>
          <w:i/>
        </w:rPr>
        <w:t>See</w:t>
      </w:r>
      <w:r w:rsidRPr="003661DC">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20F656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68388AB"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7129"/>
    <w:rsid w:val="00015CC3"/>
    <w:rsid w:val="000306F9"/>
    <w:rsid w:val="000366FD"/>
    <w:rsid w:val="00041D70"/>
    <w:rsid w:val="00065A2D"/>
    <w:rsid w:val="00075595"/>
    <w:rsid w:val="0009206D"/>
    <w:rsid w:val="000933BA"/>
    <w:rsid w:val="000939BF"/>
    <w:rsid w:val="000A75C7"/>
    <w:rsid w:val="000B170B"/>
    <w:rsid w:val="000B3F8D"/>
    <w:rsid w:val="000B6959"/>
    <w:rsid w:val="000C32E8"/>
    <w:rsid w:val="000C4A18"/>
    <w:rsid w:val="000D7CAA"/>
    <w:rsid w:val="000E29ED"/>
    <w:rsid w:val="000F15DC"/>
    <w:rsid w:val="000F2CEA"/>
    <w:rsid w:val="0011284D"/>
    <w:rsid w:val="00113860"/>
    <w:rsid w:val="00115B95"/>
    <w:rsid w:val="001224BB"/>
    <w:rsid w:val="001232DA"/>
    <w:rsid w:val="00130424"/>
    <w:rsid w:val="0013532E"/>
    <w:rsid w:val="00140953"/>
    <w:rsid w:val="001421A0"/>
    <w:rsid w:val="00146791"/>
    <w:rsid w:val="00155432"/>
    <w:rsid w:val="00162B46"/>
    <w:rsid w:val="00164114"/>
    <w:rsid w:val="001677AC"/>
    <w:rsid w:val="00172169"/>
    <w:rsid w:val="00173F34"/>
    <w:rsid w:val="001805F0"/>
    <w:rsid w:val="00193B17"/>
    <w:rsid w:val="001A3419"/>
    <w:rsid w:val="001B2CB1"/>
    <w:rsid w:val="001C1595"/>
    <w:rsid w:val="001C194B"/>
    <w:rsid w:val="001C4295"/>
    <w:rsid w:val="001C5AEF"/>
    <w:rsid w:val="001C5E50"/>
    <w:rsid w:val="001C7E56"/>
    <w:rsid w:val="001D13D1"/>
    <w:rsid w:val="001D4B15"/>
    <w:rsid w:val="00200AB9"/>
    <w:rsid w:val="00203B45"/>
    <w:rsid w:val="002113BF"/>
    <w:rsid w:val="0021307A"/>
    <w:rsid w:val="0021422C"/>
    <w:rsid w:val="00214986"/>
    <w:rsid w:val="002206FA"/>
    <w:rsid w:val="002351E7"/>
    <w:rsid w:val="002415CF"/>
    <w:rsid w:val="0024459C"/>
    <w:rsid w:val="00253449"/>
    <w:rsid w:val="002632D4"/>
    <w:rsid w:val="00264753"/>
    <w:rsid w:val="00273EBC"/>
    <w:rsid w:val="0028712B"/>
    <w:rsid w:val="00290F7F"/>
    <w:rsid w:val="002A0A73"/>
    <w:rsid w:val="002C33FF"/>
    <w:rsid w:val="002C693B"/>
    <w:rsid w:val="002D20E0"/>
    <w:rsid w:val="002D5B08"/>
    <w:rsid w:val="002E5EE6"/>
    <w:rsid w:val="002F5A1F"/>
    <w:rsid w:val="003020AF"/>
    <w:rsid w:val="00317B11"/>
    <w:rsid w:val="0032055D"/>
    <w:rsid w:val="00324606"/>
    <w:rsid w:val="0033280D"/>
    <w:rsid w:val="00341E03"/>
    <w:rsid w:val="00342CE9"/>
    <w:rsid w:val="003474AA"/>
    <w:rsid w:val="00351578"/>
    <w:rsid w:val="00351689"/>
    <w:rsid w:val="00355A1C"/>
    <w:rsid w:val="003656FF"/>
    <w:rsid w:val="003661DC"/>
    <w:rsid w:val="0036752B"/>
    <w:rsid w:val="00381D63"/>
    <w:rsid w:val="00383407"/>
    <w:rsid w:val="003A06D0"/>
    <w:rsid w:val="003B3251"/>
    <w:rsid w:val="003D18FA"/>
    <w:rsid w:val="003D1C57"/>
    <w:rsid w:val="003E69CC"/>
    <w:rsid w:val="003E7113"/>
    <w:rsid w:val="00400A40"/>
    <w:rsid w:val="0040439D"/>
    <w:rsid w:val="00412A27"/>
    <w:rsid w:val="004214F3"/>
    <w:rsid w:val="00421E1D"/>
    <w:rsid w:val="004301FA"/>
    <w:rsid w:val="00433545"/>
    <w:rsid w:val="00434F60"/>
    <w:rsid w:val="00446101"/>
    <w:rsid w:val="00452453"/>
    <w:rsid w:val="00455C72"/>
    <w:rsid w:val="0046306D"/>
    <w:rsid w:val="00477B03"/>
    <w:rsid w:val="004824BE"/>
    <w:rsid w:val="00484CAF"/>
    <w:rsid w:val="00486853"/>
    <w:rsid w:val="00492FA9"/>
    <w:rsid w:val="004A5F0F"/>
    <w:rsid w:val="004A75F3"/>
    <w:rsid w:val="004D2C30"/>
    <w:rsid w:val="004D626A"/>
    <w:rsid w:val="00512616"/>
    <w:rsid w:val="0053173E"/>
    <w:rsid w:val="00535C88"/>
    <w:rsid w:val="0053740B"/>
    <w:rsid w:val="00545F0A"/>
    <w:rsid w:val="0054766A"/>
    <w:rsid w:val="00553A76"/>
    <w:rsid w:val="00561C16"/>
    <w:rsid w:val="00565ED0"/>
    <w:rsid w:val="00574AD7"/>
    <w:rsid w:val="00574F31"/>
    <w:rsid w:val="00590452"/>
    <w:rsid w:val="0059058F"/>
    <w:rsid w:val="0059512F"/>
    <w:rsid w:val="005A029F"/>
    <w:rsid w:val="005B2105"/>
    <w:rsid w:val="005B26BC"/>
    <w:rsid w:val="005B5091"/>
    <w:rsid w:val="005C58A5"/>
    <w:rsid w:val="005C743D"/>
    <w:rsid w:val="005D1BA2"/>
    <w:rsid w:val="005D376D"/>
    <w:rsid w:val="005D4EA8"/>
    <w:rsid w:val="005D6887"/>
    <w:rsid w:val="005E18B7"/>
    <w:rsid w:val="005F7A33"/>
    <w:rsid w:val="00603D3C"/>
    <w:rsid w:val="00604B58"/>
    <w:rsid w:val="00607DD7"/>
    <w:rsid w:val="00610F36"/>
    <w:rsid w:val="006316FF"/>
    <w:rsid w:val="00632990"/>
    <w:rsid w:val="00633D78"/>
    <w:rsid w:val="0063636A"/>
    <w:rsid w:val="00637C9C"/>
    <w:rsid w:val="006431E7"/>
    <w:rsid w:val="00644592"/>
    <w:rsid w:val="006510FA"/>
    <w:rsid w:val="00662414"/>
    <w:rsid w:val="0066553A"/>
    <w:rsid w:val="00670A83"/>
    <w:rsid w:val="006769DC"/>
    <w:rsid w:val="006924C8"/>
    <w:rsid w:val="00694E21"/>
    <w:rsid w:val="00696223"/>
    <w:rsid w:val="006C3476"/>
    <w:rsid w:val="006D349F"/>
    <w:rsid w:val="006D3780"/>
    <w:rsid w:val="006D42DB"/>
    <w:rsid w:val="006F2CB7"/>
    <w:rsid w:val="0071128C"/>
    <w:rsid w:val="00722128"/>
    <w:rsid w:val="00763A02"/>
    <w:rsid w:val="00770F07"/>
    <w:rsid w:val="00781187"/>
    <w:rsid w:val="00796872"/>
    <w:rsid w:val="007A5499"/>
    <w:rsid w:val="007C54A4"/>
    <w:rsid w:val="007D7102"/>
    <w:rsid w:val="007E0597"/>
    <w:rsid w:val="007E76AD"/>
    <w:rsid w:val="007F3034"/>
    <w:rsid w:val="007F5423"/>
    <w:rsid w:val="008014D0"/>
    <w:rsid w:val="0080209E"/>
    <w:rsid w:val="00804C77"/>
    <w:rsid w:val="00805A48"/>
    <w:rsid w:val="00811EAE"/>
    <w:rsid w:val="0082172A"/>
    <w:rsid w:val="00822853"/>
    <w:rsid w:val="00825C3F"/>
    <w:rsid w:val="00841223"/>
    <w:rsid w:val="0084351C"/>
    <w:rsid w:val="0085187B"/>
    <w:rsid w:val="00855B06"/>
    <w:rsid w:val="00855B11"/>
    <w:rsid w:val="00861AB3"/>
    <w:rsid w:val="008633AD"/>
    <w:rsid w:val="00865969"/>
    <w:rsid w:val="00873B0F"/>
    <w:rsid w:val="0088295E"/>
    <w:rsid w:val="008845D1"/>
    <w:rsid w:val="00884C47"/>
    <w:rsid w:val="00885594"/>
    <w:rsid w:val="00885A98"/>
    <w:rsid w:val="00897729"/>
    <w:rsid w:val="008A1AF2"/>
    <w:rsid w:val="008B4DD8"/>
    <w:rsid w:val="008C56C5"/>
    <w:rsid w:val="008D4566"/>
    <w:rsid w:val="008D5D15"/>
    <w:rsid w:val="008E2BD0"/>
    <w:rsid w:val="008F1363"/>
    <w:rsid w:val="008F14D3"/>
    <w:rsid w:val="008F2EBA"/>
    <w:rsid w:val="008F3B09"/>
    <w:rsid w:val="008F5648"/>
    <w:rsid w:val="00905F78"/>
    <w:rsid w:val="0091104D"/>
    <w:rsid w:val="00914BB8"/>
    <w:rsid w:val="00920E4D"/>
    <w:rsid w:val="00926402"/>
    <w:rsid w:val="009308B7"/>
    <w:rsid w:val="009407F8"/>
    <w:rsid w:val="009567C0"/>
    <w:rsid w:val="0096199E"/>
    <w:rsid w:val="009643A9"/>
    <w:rsid w:val="00967A31"/>
    <w:rsid w:val="009756D8"/>
    <w:rsid w:val="009854AD"/>
    <w:rsid w:val="00996397"/>
    <w:rsid w:val="00997881"/>
    <w:rsid w:val="009A24E5"/>
    <w:rsid w:val="009C08BC"/>
    <w:rsid w:val="009C23D3"/>
    <w:rsid w:val="009E1B0B"/>
    <w:rsid w:val="00A01DA2"/>
    <w:rsid w:val="00A0380D"/>
    <w:rsid w:val="00A075FF"/>
    <w:rsid w:val="00A10BA4"/>
    <w:rsid w:val="00A16051"/>
    <w:rsid w:val="00A30D8F"/>
    <w:rsid w:val="00A3458C"/>
    <w:rsid w:val="00A44902"/>
    <w:rsid w:val="00A46790"/>
    <w:rsid w:val="00A65CFD"/>
    <w:rsid w:val="00A808A5"/>
    <w:rsid w:val="00A83E17"/>
    <w:rsid w:val="00A87085"/>
    <w:rsid w:val="00A90CF7"/>
    <w:rsid w:val="00A95479"/>
    <w:rsid w:val="00AA0192"/>
    <w:rsid w:val="00AA07DE"/>
    <w:rsid w:val="00AA0FA1"/>
    <w:rsid w:val="00AA5EF7"/>
    <w:rsid w:val="00AB454B"/>
    <w:rsid w:val="00AC439E"/>
    <w:rsid w:val="00AD1C04"/>
    <w:rsid w:val="00AE23CB"/>
    <w:rsid w:val="00AE7688"/>
    <w:rsid w:val="00B02A93"/>
    <w:rsid w:val="00B0649B"/>
    <w:rsid w:val="00B20CC0"/>
    <w:rsid w:val="00B2695F"/>
    <w:rsid w:val="00B30C59"/>
    <w:rsid w:val="00B311CB"/>
    <w:rsid w:val="00B33D7C"/>
    <w:rsid w:val="00B45BDE"/>
    <w:rsid w:val="00B57427"/>
    <w:rsid w:val="00B675BE"/>
    <w:rsid w:val="00B709F0"/>
    <w:rsid w:val="00B73452"/>
    <w:rsid w:val="00B7730A"/>
    <w:rsid w:val="00B773BA"/>
    <w:rsid w:val="00B83962"/>
    <w:rsid w:val="00B9122A"/>
    <w:rsid w:val="00B91D42"/>
    <w:rsid w:val="00BC02F9"/>
    <w:rsid w:val="00BC6B83"/>
    <w:rsid w:val="00BD1C4F"/>
    <w:rsid w:val="00BD6DD7"/>
    <w:rsid w:val="00BE4D2B"/>
    <w:rsid w:val="00BF3454"/>
    <w:rsid w:val="00C11660"/>
    <w:rsid w:val="00C13481"/>
    <w:rsid w:val="00C15A53"/>
    <w:rsid w:val="00C36DD1"/>
    <w:rsid w:val="00C42323"/>
    <w:rsid w:val="00C457F5"/>
    <w:rsid w:val="00C54394"/>
    <w:rsid w:val="00C57465"/>
    <w:rsid w:val="00C61ADF"/>
    <w:rsid w:val="00C61FCB"/>
    <w:rsid w:val="00C74969"/>
    <w:rsid w:val="00C752F5"/>
    <w:rsid w:val="00C75306"/>
    <w:rsid w:val="00C75B1E"/>
    <w:rsid w:val="00C76E1A"/>
    <w:rsid w:val="00C80381"/>
    <w:rsid w:val="00C85014"/>
    <w:rsid w:val="00C87AF0"/>
    <w:rsid w:val="00C91832"/>
    <w:rsid w:val="00C95CC5"/>
    <w:rsid w:val="00C97284"/>
    <w:rsid w:val="00C976EA"/>
    <w:rsid w:val="00CA2971"/>
    <w:rsid w:val="00CA4569"/>
    <w:rsid w:val="00CD0F58"/>
    <w:rsid w:val="00CE099E"/>
    <w:rsid w:val="00CE4BA5"/>
    <w:rsid w:val="00CF27DD"/>
    <w:rsid w:val="00CF6AF5"/>
    <w:rsid w:val="00D00796"/>
    <w:rsid w:val="00D02BB8"/>
    <w:rsid w:val="00D0733D"/>
    <w:rsid w:val="00D127EE"/>
    <w:rsid w:val="00D1683E"/>
    <w:rsid w:val="00D311C9"/>
    <w:rsid w:val="00D354C2"/>
    <w:rsid w:val="00D41B6F"/>
    <w:rsid w:val="00D43260"/>
    <w:rsid w:val="00D44937"/>
    <w:rsid w:val="00D536E6"/>
    <w:rsid w:val="00D5407B"/>
    <w:rsid w:val="00D562BF"/>
    <w:rsid w:val="00D62993"/>
    <w:rsid w:val="00D66B49"/>
    <w:rsid w:val="00D71519"/>
    <w:rsid w:val="00D71B63"/>
    <w:rsid w:val="00D8111E"/>
    <w:rsid w:val="00D840B7"/>
    <w:rsid w:val="00D93A60"/>
    <w:rsid w:val="00DA0F59"/>
    <w:rsid w:val="00DA5AEC"/>
    <w:rsid w:val="00DB0790"/>
    <w:rsid w:val="00DB41A7"/>
    <w:rsid w:val="00DB709D"/>
    <w:rsid w:val="00DD12F6"/>
    <w:rsid w:val="00DD3E9E"/>
    <w:rsid w:val="00DD52FF"/>
    <w:rsid w:val="00E06C4C"/>
    <w:rsid w:val="00E11D4E"/>
    <w:rsid w:val="00E21E39"/>
    <w:rsid w:val="00E27C97"/>
    <w:rsid w:val="00E3339B"/>
    <w:rsid w:val="00E4652F"/>
    <w:rsid w:val="00E50C42"/>
    <w:rsid w:val="00E554BA"/>
    <w:rsid w:val="00E571DB"/>
    <w:rsid w:val="00E57208"/>
    <w:rsid w:val="00E73F37"/>
    <w:rsid w:val="00E82844"/>
    <w:rsid w:val="00E84325"/>
    <w:rsid w:val="00E9389E"/>
    <w:rsid w:val="00E96300"/>
    <w:rsid w:val="00EC4A98"/>
    <w:rsid w:val="00EC6394"/>
    <w:rsid w:val="00ED6BCF"/>
    <w:rsid w:val="00EE04BD"/>
    <w:rsid w:val="00EE4C7C"/>
    <w:rsid w:val="00EE55A6"/>
    <w:rsid w:val="00EE58FE"/>
    <w:rsid w:val="00EE6E9F"/>
    <w:rsid w:val="00EE736C"/>
    <w:rsid w:val="00EF5734"/>
    <w:rsid w:val="00F0032D"/>
    <w:rsid w:val="00F034E1"/>
    <w:rsid w:val="00F043DD"/>
    <w:rsid w:val="00F11243"/>
    <w:rsid w:val="00F11675"/>
    <w:rsid w:val="00F1658C"/>
    <w:rsid w:val="00F266E4"/>
    <w:rsid w:val="00F27737"/>
    <w:rsid w:val="00F523EA"/>
    <w:rsid w:val="00F57C05"/>
    <w:rsid w:val="00F61323"/>
    <w:rsid w:val="00F62AF6"/>
    <w:rsid w:val="00F62CBA"/>
    <w:rsid w:val="00F6769E"/>
    <w:rsid w:val="00F71244"/>
    <w:rsid w:val="00F7646F"/>
    <w:rsid w:val="00F7684D"/>
    <w:rsid w:val="00F81D38"/>
    <w:rsid w:val="00F84A85"/>
    <w:rsid w:val="00F85CAF"/>
    <w:rsid w:val="00F92078"/>
    <w:rsid w:val="00FA4B90"/>
    <w:rsid w:val="00FA72DC"/>
    <w:rsid w:val="00FB269F"/>
    <w:rsid w:val="00FB5FD0"/>
    <w:rsid w:val="00FC1166"/>
    <w:rsid w:val="00FC11C8"/>
    <w:rsid w:val="00FC657C"/>
    <w:rsid w:val="00FD1ACC"/>
    <w:rsid w:val="00FD3506"/>
    <w:rsid w:val="00FD54F2"/>
    <w:rsid w:val="00FF135C"/>
    <w:rsid w:val="00FF5A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459B4A"/>
  <w15:chartTrackingRefBased/>
  <w15:docId w15:val="{DE0A9D84-B166-42AB-A353-BEFE1C99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semiHidden/>
    <w:unhideWhenUsed/>
    <w:rsid w:val="00885A98"/>
    <w:rPr>
      <w:sz w:val="20"/>
    </w:rPr>
  </w:style>
  <w:style w:type="character" w:customStyle="1" w:styleId="CommentTextChar">
    <w:name w:val="Comment Text Char"/>
    <w:link w:val="CommentText"/>
    <w:uiPriority w:val="99"/>
    <w:semiHidden/>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2">
    <w:name w:val="Unresolved Mention2"/>
    <w:uiPriority w:val="99"/>
    <w:rsid w:val="00C457F5"/>
    <w:rPr>
      <w:color w:val="605E5C"/>
      <w:shd w:val="clear" w:color="auto" w:fill="E1DFDD"/>
    </w:rPr>
  </w:style>
  <w:style w:type="character" w:customStyle="1" w:styleId="markedcontent">
    <w:name w:val="markedcontent"/>
    <w:basedOn w:val="DefaultParagraphFont"/>
    <w:rsid w:val="002A0A73"/>
  </w:style>
  <w:style w:type="character" w:customStyle="1" w:styleId="UnresolvedMention">
    <w:name w:val="Unresolved Mention"/>
    <w:uiPriority w:val="99"/>
    <w:rsid w:val="000B6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gregory.kwan@fcc.gov" TargetMode="External" /><Relationship Id="rId8" Type="http://schemas.openxmlformats.org/officeDocument/2006/relationships/hyperlink" Target="mailto:sumita.mukhoty@fcc.gov" TargetMode="External" /><Relationship Id="rId9" Type="http://schemas.openxmlformats.org/officeDocument/2006/relationships/hyperlink" Target="mailto:jim.bir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304084120074/Dobson%20FCC%20214%20Transfer%20Application.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