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91905" w14:paraId="45E5B263" w14:textId="77777777">
      <w:pPr>
        <w:jc w:val="right"/>
        <w:rPr>
          <w:sz w:val="24"/>
        </w:rPr>
      </w:pPr>
      <w:bookmarkStart w:id="0" w:name="_Hlk95302959"/>
    </w:p>
    <w:p w:rsidR="00091905" w14:paraId="526D373A" w14:textId="116E92A9">
      <w:pPr>
        <w:jc w:val="right"/>
        <w:rPr>
          <w:b/>
          <w:sz w:val="24"/>
        </w:rPr>
      </w:pPr>
      <w:r>
        <w:rPr>
          <w:b/>
          <w:sz w:val="24"/>
        </w:rPr>
        <w:t>DA 22-</w:t>
      </w:r>
      <w:r w:rsidR="00B40F16">
        <w:rPr>
          <w:b/>
          <w:sz w:val="24"/>
        </w:rPr>
        <w:t>300</w:t>
      </w:r>
    </w:p>
    <w:p w:rsidR="00091905" w14:paraId="42EC7A98" w14:textId="07151BE4">
      <w:pPr>
        <w:spacing w:before="60"/>
        <w:jc w:val="right"/>
        <w:rPr>
          <w:b/>
          <w:sz w:val="24"/>
        </w:rPr>
      </w:pPr>
      <w:r>
        <w:rPr>
          <w:b/>
          <w:sz w:val="24"/>
        </w:rPr>
        <w:t xml:space="preserve">Released:  </w:t>
      </w:r>
      <w:r w:rsidR="00BE481C">
        <w:rPr>
          <w:b/>
          <w:sz w:val="24"/>
        </w:rPr>
        <w:t xml:space="preserve">March </w:t>
      </w:r>
      <w:r w:rsidR="007F0188">
        <w:rPr>
          <w:b/>
          <w:sz w:val="24"/>
        </w:rPr>
        <w:t>21</w:t>
      </w:r>
      <w:r w:rsidR="002909E8">
        <w:rPr>
          <w:b/>
          <w:sz w:val="24"/>
        </w:rPr>
        <w:t>, 2022</w:t>
      </w:r>
    </w:p>
    <w:p w:rsidR="00091905" w14:paraId="052800D9" w14:textId="77777777">
      <w:pPr>
        <w:jc w:val="right"/>
        <w:rPr>
          <w:sz w:val="24"/>
        </w:rPr>
      </w:pPr>
    </w:p>
    <w:p w:rsidR="00091905" w14:paraId="6AB54053" w14:textId="043B83FE">
      <w:pPr>
        <w:spacing w:after="240"/>
        <w:jc w:val="center"/>
        <w:rPr>
          <w:rFonts w:ascii="Times New Roman Bold" w:hAnsi="Times New Roman Bold"/>
          <w:b/>
          <w:caps/>
          <w:sz w:val="24"/>
        </w:rPr>
      </w:pPr>
      <w:r>
        <w:rPr>
          <w:rFonts w:ascii="Times New Roman Bold" w:hAnsi="Times New Roman Bold"/>
          <w:b/>
          <w:caps/>
          <w:sz w:val="24"/>
        </w:rPr>
        <w:t>Wireless telecommunications bureau announces procedures for appeals of relocation payment clearinghouse decisions</w:t>
      </w:r>
    </w:p>
    <w:p w:rsidR="00091905" w14:paraId="0E0F5835" w14:textId="18199D9E">
      <w:pPr>
        <w:jc w:val="center"/>
        <w:rPr>
          <w:b/>
          <w:sz w:val="24"/>
        </w:rPr>
      </w:pPr>
      <w:r>
        <w:rPr>
          <w:b/>
          <w:sz w:val="24"/>
        </w:rPr>
        <w:t>WT Docket No. 21-333</w:t>
      </w:r>
    </w:p>
    <w:p w:rsidR="00091905" w14:paraId="7DB792D6" w14:textId="77777777">
      <w:bookmarkStart w:id="1" w:name="TOChere"/>
    </w:p>
    <w:p w:rsidR="004C5701" w:rsidP="00582A42" w14:paraId="3C708271" w14:textId="6067B591">
      <w:r>
        <w:tab/>
      </w:r>
      <w:bookmarkStart w:id="2" w:name="_Hlk95302982"/>
      <w:r>
        <w:t xml:space="preserve">With this Public Notice, the Wireless Telecommunications Bureau (WTB or Bureau) establishes </w:t>
      </w:r>
      <w:r w:rsidR="00600F3C">
        <w:t>procedures</w:t>
      </w:r>
      <w:r w:rsidR="005465C8">
        <w:t xml:space="preserve"> for the filing and processing of challenges to</w:t>
      </w:r>
      <w:r w:rsidR="00B367CA">
        <w:t xml:space="preserve"> </w:t>
      </w:r>
      <w:r w:rsidR="00DB65F1">
        <w:t xml:space="preserve">decisions </w:t>
      </w:r>
      <w:r w:rsidR="00FD63FD">
        <w:t xml:space="preserve">made </w:t>
      </w:r>
      <w:r w:rsidR="00773202">
        <w:t xml:space="preserve">by </w:t>
      </w:r>
      <w:r w:rsidR="00DB65F1">
        <w:t xml:space="preserve">the </w:t>
      </w:r>
      <w:r w:rsidR="00854C4F">
        <w:t xml:space="preserve">3.7-4.2 GHz (C-band) </w:t>
      </w:r>
      <w:r>
        <w:t>Relocation Payment Clearinghouse (Clearinghouse)</w:t>
      </w:r>
      <w:r w:rsidR="00E01B76">
        <w:t>.</w:t>
      </w:r>
      <w:r>
        <w:rPr>
          <w:rStyle w:val="FootnoteReference"/>
        </w:rPr>
        <w:footnoteReference w:id="3"/>
      </w:r>
      <w:r w:rsidR="00854C4F">
        <w:t xml:space="preserve">  </w:t>
      </w:r>
    </w:p>
    <w:p w:rsidR="004C5701" w:rsidP="00582A42" w14:paraId="5F887E76" w14:textId="77777777"/>
    <w:p w:rsidR="007206B0" w:rsidP="007206B0" w14:paraId="3C698936" w14:textId="05AD5645">
      <w:pPr>
        <w:pStyle w:val="Default"/>
        <w:ind w:firstLine="720"/>
        <w:rPr>
          <w:sz w:val="22"/>
          <w:szCs w:val="22"/>
        </w:rPr>
      </w:pPr>
      <w:r w:rsidRPr="007206B0">
        <w:rPr>
          <w:sz w:val="22"/>
          <w:szCs w:val="22"/>
        </w:rPr>
        <w:t xml:space="preserve">In the </w:t>
      </w:r>
      <w:r w:rsidRPr="007206B0" w:rsidR="00DE4FD6">
        <w:rPr>
          <w:i/>
          <w:iCs/>
          <w:sz w:val="22"/>
          <w:szCs w:val="22"/>
        </w:rPr>
        <w:t>3.7 GHz Report and Order</w:t>
      </w:r>
      <w:r w:rsidRPr="007206B0">
        <w:rPr>
          <w:sz w:val="22"/>
          <w:szCs w:val="22"/>
        </w:rPr>
        <w:t>, the Commission</w:t>
      </w:r>
      <w:r w:rsidRPr="007206B0" w:rsidR="00DE4FD6">
        <w:rPr>
          <w:sz w:val="22"/>
          <w:szCs w:val="22"/>
        </w:rPr>
        <w:t xml:space="preserve"> </w:t>
      </w:r>
      <w:r w:rsidRPr="007206B0" w:rsidR="004C5701">
        <w:rPr>
          <w:sz w:val="22"/>
          <w:szCs w:val="22"/>
        </w:rPr>
        <w:t>found that selecting</w:t>
      </w:r>
      <w:r w:rsidRPr="007206B0" w:rsidR="000845E7">
        <w:rPr>
          <w:sz w:val="22"/>
          <w:szCs w:val="22"/>
        </w:rPr>
        <w:t xml:space="preserve"> </w:t>
      </w:r>
      <w:r w:rsidRPr="007206B0" w:rsidR="004C5701">
        <w:rPr>
          <w:sz w:val="22"/>
          <w:szCs w:val="22"/>
        </w:rPr>
        <w:t>a single, independent</w:t>
      </w:r>
      <w:r w:rsidRPr="007206B0" w:rsidR="000845E7">
        <w:rPr>
          <w:sz w:val="22"/>
          <w:szCs w:val="22"/>
        </w:rPr>
        <w:t xml:space="preserve"> </w:t>
      </w:r>
      <w:r w:rsidRPr="007206B0" w:rsidR="004C5701">
        <w:rPr>
          <w:sz w:val="22"/>
          <w:szCs w:val="22"/>
        </w:rPr>
        <w:t>c</w:t>
      </w:r>
      <w:r w:rsidRPr="007206B0" w:rsidR="000845E7">
        <w:rPr>
          <w:sz w:val="22"/>
          <w:szCs w:val="22"/>
        </w:rPr>
        <w:t xml:space="preserve">learinghouse </w:t>
      </w:r>
      <w:r w:rsidRPr="007206B0" w:rsidR="004C5701">
        <w:rPr>
          <w:sz w:val="22"/>
          <w:szCs w:val="22"/>
        </w:rPr>
        <w:t>to</w:t>
      </w:r>
      <w:r w:rsidRPr="007206B0" w:rsidR="000845E7">
        <w:rPr>
          <w:sz w:val="22"/>
          <w:szCs w:val="22"/>
        </w:rPr>
        <w:t xml:space="preserve"> oversee cost-related aspects of the C-band transition in a fair and transparent manner</w:t>
      </w:r>
      <w:r w:rsidRPr="007206B0" w:rsidR="00C4125D">
        <w:rPr>
          <w:sz w:val="22"/>
          <w:szCs w:val="22"/>
        </w:rPr>
        <w:t>, subject to Commission oversight,</w:t>
      </w:r>
      <w:r w:rsidRPr="007206B0" w:rsidR="004C5701">
        <w:rPr>
          <w:sz w:val="22"/>
          <w:szCs w:val="22"/>
        </w:rPr>
        <w:t xml:space="preserve"> would best serve the public interest</w:t>
      </w:r>
      <w:r w:rsidRPr="007206B0" w:rsidR="000845E7">
        <w:rPr>
          <w:sz w:val="22"/>
          <w:szCs w:val="22"/>
        </w:rPr>
        <w:t>.</w:t>
      </w:r>
      <w:r>
        <w:rPr>
          <w:rStyle w:val="FootnoteReference"/>
          <w:szCs w:val="22"/>
        </w:rPr>
        <w:footnoteReference w:id="4"/>
      </w:r>
      <w:r w:rsidRPr="007206B0" w:rsidR="000845E7">
        <w:rPr>
          <w:sz w:val="22"/>
          <w:szCs w:val="22"/>
        </w:rPr>
        <w:t xml:space="preserve">  </w:t>
      </w:r>
      <w:r w:rsidRPr="007206B0" w:rsidR="00C4125D">
        <w:rPr>
          <w:sz w:val="22"/>
          <w:szCs w:val="22"/>
        </w:rPr>
        <w:t>Among its duties set forth by the Commission, t</w:t>
      </w:r>
      <w:r w:rsidRPr="007206B0" w:rsidR="003D1AE3">
        <w:rPr>
          <w:sz w:val="22"/>
          <w:szCs w:val="22"/>
        </w:rPr>
        <w:t>he Clearinghouse</w:t>
      </w:r>
      <w:r w:rsidRPr="007206B0" w:rsidR="00F51463">
        <w:rPr>
          <w:sz w:val="22"/>
          <w:szCs w:val="22"/>
        </w:rPr>
        <w:t xml:space="preserve"> is responsible for </w:t>
      </w:r>
      <w:r w:rsidRPr="007206B0" w:rsidR="00C4125D">
        <w:rPr>
          <w:sz w:val="22"/>
          <w:szCs w:val="22"/>
        </w:rPr>
        <w:t xml:space="preserve">making </w:t>
      </w:r>
      <w:r w:rsidR="00647247">
        <w:rPr>
          <w:sz w:val="22"/>
          <w:szCs w:val="22"/>
        </w:rPr>
        <w:t xml:space="preserve">initial </w:t>
      </w:r>
      <w:r w:rsidRPr="007206B0" w:rsidR="00C4125D">
        <w:rPr>
          <w:sz w:val="22"/>
          <w:szCs w:val="22"/>
        </w:rPr>
        <w:t xml:space="preserve">determinations about </w:t>
      </w:r>
      <w:r w:rsidRPr="007206B0" w:rsidR="00C80B62">
        <w:rPr>
          <w:sz w:val="22"/>
          <w:szCs w:val="22"/>
        </w:rPr>
        <w:t>the reasonableness of transition-related cost reimbursement claims.</w:t>
      </w:r>
      <w:r>
        <w:rPr>
          <w:rStyle w:val="FootnoteReference"/>
          <w:szCs w:val="22"/>
        </w:rPr>
        <w:footnoteReference w:id="5"/>
      </w:r>
      <w:r w:rsidRPr="007206B0" w:rsidR="00C80B62">
        <w:rPr>
          <w:sz w:val="22"/>
          <w:szCs w:val="22"/>
        </w:rPr>
        <w:t xml:space="preserve"> </w:t>
      </w:r>
      <w:r w:rsidR="009B072B">
        <w:rPr>
          <w:sz w:val="22"/>
          <w:szCs w:val="22"/>
        </w:rPr>
        <w:t xml:space="preserve"> </w:t>
      </w:r>
      <w:r w:rsidRPr="007206B0" w:rsidR="00CD73A8">
        <w:rPr>
          <w:sz w:val="22"/>
          <w:szCs w:val="22"/>
        </w:rPr>
        <w:t>The Clearinghouse also apportions costs among 3.7 GHz Service Licensees and distribute</w:t>
      </w:r>
      <w:r w:rsidR="00E212FE">
        <w:rPr>
          <w:sz w:val="22"/>
          <w:szCs w:val="22"/>
        </w:rPr>
        <w:t>s</w:t>
      </w:r>
      <w:r w:rsidRPr="007206B0" w:rsidR="00CD73A8">
        <w:rPr>
          <w:sz w:val="22"/>
          <w:szCs w:val="22"/>
        </w:rPr>
        <w:t xml:space="preserve"> payments to claimants that incur compensable costs.</w:t>
      </w:r>
      <w:r>
        <w:rPr>
          <w:rStyle w:val="FootnoteReference"/>
          <w:szCs w:val="22"/>
        </w:rPr>
        <w:footnoteReference w:id="6"/>
      </w:r>
      <w:r w:rsidRPr="007206B0" w:rsidR="00CD73A8">
        <w:rPr>
          <w:sz w:val="22"/>
          <w:szCs w:val="22"/>
        </w:rPr>
        <w:t xml:space="preserve">  </w:t>
      </w:r>
      <w:r>
        <w:rPr>
          <w:sz w:val="22"/>
          <w:szCs w:val="22"/>
        </w:rPr>
        <w:t xml:space="preserve">The </w:t>
      </w:r>
      <w:r w:rsidRPr="007206B0">
        <w:rPr>
          <w:i/>
          <w:iCs/>
          <w:sz w:val="22"/>
          <w:szCs w:val="22"/>
        </w:rPr>
        <w:t>3.7 GHz Report and Order</w:t>
      </w:r>
      <w:r>
        <w:rPr>
          <w:sz w:val="22"/>
          <w:szCs w:val="22"/>
        </w:rPr>
        <w:t xml:space="preserve"> also specified that </w:t>
      </w:r>
      <w:r w:rsidRPr="007206B0">
        <w:rPr>
          <w:sz w:val="22"/>
          <w:szCs w:val="22"/>
        </w:rPr>
        <w:t xml:space="preserve">the Clearinghouse </w:t>
      </w:r>
      <w:r>
        <w:rPr>
          <w:sz w:val="22"/>
          <w:szCs w:val="22"/>
        </w:rPr>
        <w:t xml:space="preserve">will </w:t>
      </w:r>
      <w:r w:rsidRPr="007206B0">
        <w:rPr>
          <w:sz w:val="22"/>
          <w:szCs w:val="22"/>
        </w:rPr>
        <w:t>serve “in an administrative role and in a function similar to a special master in a judicial proceeding” and “may mediate any disputes regarding cost estimates or payments that may arise in the course of band reconfiguration; or refer the disputant parties to alternative dispute resolution fora.”</w:t>
      </w:r>
      <w:r>
        <w:rPr>
          <w:rStyle w:val="FootnoteReference"/>
          <w:szCs w:val="22"/>
        </w:rPr>
        <w:footnoteReference w:id="7"/>
      </w:r>
      <w:r w:rsidRPr="007206B0">
        <w:rPr>
          <w:sz w:val="22"/>
          <w:szCs w:val="22"/>
        </w:rPr>
        <w:t xml:space="preserve">  </w:t>
      </w:r>
      <w:r w:rsidR="003B5297">
        <w:rPr>
          <w:sz w:val="22"/>
          <w:szCs w:val="22"/>
        </w:rPr>
        <w:t xml:space="preserve">Any unresolved issues relating to </w:t>
      </w:r>
      <w:r w:rsidR="00D229CE">
        <w:rPr>
          <w:sz w:val="22"/>
          <w:szCs w:val="22"/>
        </w:rPr>
        <w:t>Clearinghouse decisions may be appealed to the Bureau.</w:t>
      </w:r>
      <w:r>
        <w:rPr>
          <w:rStyle w:val="FootnoteReference"/>
          <w:szCs w:val="22"/>
        </w:rPr>
        <w:footnoteReference w:id="8"/>
      </w:r>
      <w:r w:rsidR="00D229CE">
        <w:rPr>
          <w:sz w:val="22"/>
          <w:szCs w:val="22"/>
        </w:rPr>
        <w:t xml:space="preserve"> </w:t>
      </w:r>
    </w:p>
    <w:p w:rsidR="00D229CE" w:rsidP="00D229CE" w14:paraId="0BE66E17" w14:textId="221A1B02">
      <w:pPr>
        <w:pStyle w:val="Default"/>
        <w:ind w:firstLine="720"/>
        <w:rPr>
          <w:sz w:val="22"/>
          <w:szCs w:val="22"/>
        </w:rPr>
      </w:pPr>
    </w:p>
    <w:p w:rsidR="00D1214E" w:rsidP="00D229CE" w14:paraId="5AB728BC" w14:textId="3FC9BF6B">
      <w:pPr>
        <w:pStyle w:val="Default"/>
        <w:ind w:firstLine="720"/>
        <w:rPr>
          <w:sz w:val="22"/>
          <w:szCs w:val="22"/>
        </w:rPr>
      </w:pPr>
      <w:r w:rsidRPr="00D229CE">
        <w:rPr>
          <w:sz w:val="22"/>
          <w:szCs w:val="22"/>
        </w:rPr>
        <w:t xml:space="preserve">This Public Notice </w:t>
      </w:r>
      <w:r>
        <w:rPr>
          <w:sz w:val="22"/>
          <w:szCs w:val="22"/>
        </w:rPr>
        <w:t>sets forth the</w:t>
      </w:r>
      <w:r w:rsidRPr="00D229CE">
        <w:rPr>
          <w:sz w:val="22"/>
          <w:szCs w:val="22"/>
        </w:rPr>
        <w:t xml:space="preserve"> procedures </w:t>
      </w:r>
      <w:r w:rsidR="0032272B">
        <w:rPr>
          <w:sz w:val="22"/>
          <w:szCs w:val="22"/>
        </w:rPr>
        <w:t xml:space="preserve">by which </w:t>
      </w:r>
      <w:r w:rsidR="00D21921">
        <w:rPr>
          <w:sz w:val="22"/>
          <w:szCs w:val="22"/>
        </w:rPr>
        <w:t xml:space="preserve">eligible </w:t>
      </w:r>
      <w:r w:rsidR="0032272B">
        <w:rPr>
          <w:sz w:val="22"/>
          <w:szCs w:val="22"/>
        </w:rPr>
        <w:t xml:space="preserve">parties </w:t>
      </w:r>
      <w:r w:rsidR="00365FD8">
        <w:rPr>
          <w:sz w:val="22"/>
          <w:szCs w:val="22"/>
        </w:rPr>
        <w:t xml:space="preserve">may appeal Clearinghouse decisions to the Bureau.  </w:t>
      </w:r>
      <w:r>
        <w:rPr>
          <w:sz w:val="22"/>
          <w:szCs w:val="22"/>
        </w:rPr>
        <w:t>As an initial matter</w:t>
      </w:r>
      <w:r w:rsidR="00847158">
        <w:rPr>
          <w:sz w:val="22"/>
          <w:szCs w:val="22"/>
        </w:rPr>
        <w:t>,</w:t>
      </w:r>
      <w:r>
        <w:rPr>
          <w:sz w:val="22"/>
          <w:szCs w:val="22"/>
        </w:rPr>
        <w:t xml:space="preserve"> </w:t>
      </w:r>
      <w:r w:rsidR="000C585B">
        <w:rPr>
          <w:sz w:val="22"/>
          <w:szCs w:val="22"/>
        </w:rPr>
        <w:t>w</w:t>
      </w:r>
      <w:r>
        <w:rPr>
          <w:sz w:val="22"/>
          <w:szCs w:val="22"/>
        </w:rPr>
        <w:t>e clarify that</w:t>
      </w:r>
      <w:r w:rsidR="009E3896">
        <w:rPr>
          <w:sz w:val="22"/>
          <w:szCs w:val="22"/>
        </w:rPr>
        <w:t xml:space="preserve"> </w:t>
      </w:r>
      <w:r>
        <w:rPr>
          <w:sz w:val="22"/>
          <w:szCs w:val="22"/>
        </w:rPr>
        <w:t>before the Bureau will consider any appeal, the relevant party or parties, whether an</w:t>
      </w:r>
      <w:r w:rsidR="00D21921">
        <w:rPr>
          <w:sz w:val="22"/>
          <w:szCs w:val="22"/>
        </w:rPr>
        <w:t xml:space="preserve"> eligible</w:t>
      </w:r>
      <w:r>
        <w:rPr>
          <w:sz w:val="22"/>
          <w:szCs w:val="22"/>
        </w:rPr>
        <w:t xml:space="preserve"> incumbent claimant</w:t>
      </w:r>
      <w:r>
        <w:rPr>
          <w:szCs w:val="22"/>
        </w:rPr>
        <w:t xml:space="preserve"> </w:t>
      </w:r>
      <w:r>
        <w:rPr>
          <w:sz w:val="22"/>
          <w:szCs w:val="22"/>
        </w:rPr>
        <w:t xml:space="preserve">or </w:t>
      </w:r>
      <w:r w:rsidR="00847158">
        <w:rPr>
          <w:sz w:val="22"/>
          <w:szCs w:val="22"/>
        </w:rPr>
        <w:t xml:space="preserve">eligible </w:t>
      </w:r>
      <w:r w:rsidRPr="007206B0">
        <w:rPr>
          <w:sz w:val="22"/>
          <w:szCs w:val="22"/>
        </w:rPr>
        <w:t xml:space="preserve">3.7 GHz Service </w:t>
      </w:r>
      <w:r w:rsidRPr="007206B0">
        <w:rPr>
          <w:sz w:val="22"/>
          <w:szCs w:val="22"/>
        </w:rPr>
        <w:t>License</w:t>
      </w:r>
      <w:r>
        <w:rPr>
          <w:sz w:val="22"/>
          <w:szCs w:val="22"/>
        </w:rPr>
        <w:t>e, must first timely file a notice of objection with the Clearinghouse</w:t>
      </w:r>
      <w:r w:rsidR="007F698D">
        <w:rPr>
          <w:sz w:val="22"/>
          <w:szCs w:val="22"/>
        </w:rPr>
        <w:t xml:space="preserve"> as required by the Commission’s rules and </w:t>
      </w:r>
      <w:r w:rsidR="00855C28">
        <w:rPr>
          <w:sz w:val="22"/>
          <w:szCs w:val="22"/>
        </w:rPr>
        <w:t xml:space="preserve">pursuant to the process </w:t>
      </w:r>
      <w:r w:rsidR="0036085E">
        <w:rPr>
          <w:sz w:val="22"/>
          <w:szCs w:val="22"/>
        </w:rPr>
        <w:t xml:space="preserve">established </w:t>
      </w:r>
      <w:r w:rsidR="00855C28">
        <w:rPr>
          <w:sz w:val="22"/>
          <w:szCs w:val="22"/>
        </w:rPr>
        <w:t>in the Clearinghouse Dispute Resolu</w:t>
      </w:r>
      <w:r w:rsidR="00BF113A">
        <w:rPr>
          <w:sz w:val="22"/>
          <w:szCs w:val="22"/>
        </w:rPr>
        <w:t>tion Plan (RPC DRP)</w:t>
      </w:r>
      <w:r>
        <w:rPr>
          <w:sz w:val="22"/>
          <w:szCs w:val="22"/>
        </w:rPr>
        <w:t>.</w:t>
      </w:r>
      <w:r>
        <w:rPr>
          <w:rStyle w:val="FootnoteReference"/>
          <w:szCs w:val="22"/>
        </w:rPr>
        <w:footnoteReference w:id="9"/>
      </w:r>
      <w:r>
        <w:rPr>
          <w:sz w:val="22"/>
          <w:szCs w:val="22"/>
        </w:rPr>
        <w:t xml:space="preserve">  Interlocutory appeals, before a timely notice of objection is filed with the Clearinghouse, will not be considered by the Bureau.</w:t>
      </w:r>
    </w:p>
    <w:p w:rsidR="00D1214E" w:rsidP="00D229CE" w14:paraId="5B9AF638" w14:textId="77777777">
      <w:pPr>
        <w:pStyle w:val="Default"/>
        <w:ind w:firstLine="720"/>
        <w:rPr>
          <w:sz w:val="22"/>
          <w:szCs w:val="22"/>
        </w:rPr>
      </w:pPr>
    </w:p>
    <w:p w:rsidR="007870CE" w:rsidRPr="00371961" w:rsidP="007870CE" w14:paraId="68693A88" w14:textId="6A12EE33">
      <w:pPr>
        <w:pStyle w:val="Default"/>
        <w:ind w:firstLine="720"/>
        <w:rPr>
          <w:sz w:val="22"/>
          <w:szCs w:val="22"/>
        </w:rPr>
      </w:pPr>
      <w:r>
        <w:rPr>
          <w:sz w:val="22"/>
          <w:szCs w:val="22"/>
        </w:rPr>
        <w:t xml:space="preserve">The RPC DRP identifies different scenarios and timeframes within which eligible parties must file a notice of objection.  </w:t>
      </w:r>
      <w:r w:rsidR="00B73274">
        <w:rPr>
          <w:sz w:val="22"/>
          <w:szCs w:val="22"/>
        </w:rPr>
        <w:t>Specifically, t</w:t>
      </w:r>
      <w:r w:rsidRPr="00371961">
        <w:rPr>
          <w:sz w:val="22"/>
          <w:szCs w:val="22"/>
        </w:rPr>
        <w:t>he RPC DRP requires</w:t>
      </w:r>
      <w:r w:rsidR="00D21921">
        <w:rPr>
          <w:sz w:val="22"/>
          <w:szCs w:val="22"/>
        </w:rPr>
        <w:t xml:space="preserve"> eligible</w:t>
      </w:r>
      <w:r w:rsidRPr="00371961">
        <w:rPr>
          <w:sz w:val="22"/>
          <w:szCs w:val="22"/>
        </w:rPr>
        <w:t xml:space="preserve"> incumbent claimants</w:t>
      </w:r>
      <w:r>
        <w:rPr>
          <w:rStyle w:val="FootnoteReference"/>
          <w:szCs w:val="22"/>
        </w:rPr>
        <w:footnoteReference w:id="10"/>
      </w:r>
      <w:r w:rsidRPr="00371961">
        <w:rPr>
          <w:sz w:val="22"/>
          <w:szCs w:val="22"/>
        </w:rPr>
        <w:t xml:space="preserve"> or </w:t>
      </w:r>
      <w:r w:rsidR="00ED3CA6">
        <w:rPr>
          <w:sz w:val="22"/>
          <w:szCs w:val="22"/>
        </w:rPr>
        <w:t xml:space="preserve">eligible </w:t>
      </w:r>
      <w:r w:rsidRPr="00371961">
        <w:rPr>
          <w:sz w:val="22"/>
          <w:szCs w:val="22"/>
        </w:rPr>
        <w:t>3.7 GHz Service Licensees</w:t>
      </w:r>
      <w:r>
        <w:rPr>
          <w:rStyle w:val="FootnoteReference"/>
          <w:szCs w:val="22"/>
        </w:rPr>
        <w:footnoteReference w:id="11"/>
      </w:r>
      <w:r w:rsidRPr="00371961">
        <w:rPr>
          <w:sz w:val="22"/>
          <w:szCs w:val="22"/>
        </w:rPr>
        <w:t xml:space="preserve"> to file a notice of objection</w:t>
      </w:r>
      <w:r>
        <w:rPr>
          <w:sz w:val="22"/>
          <w:szCs w:val="22"/>
        </w:rPr>
        <w:t xml:space="preserve"> with the Clearinghouse</w:t>
      </w:r>
      <w:r w:rsidRPr="00371961">
        <w:rPr>
          <w:sz w:val="22"/>
          <w:szCs w:val="22"/>
        </w:rPr>
        <w:t xml:space="preserve"> within twenty (20) days of invoice issuance following Clearinghouse review of lump sum or reimbursement claims.</w:t>
      </w:r>
      <w:r>
        <w:rPr>
          <w:rStyle w:val="FootnoteReference"/>
          <w:szCs w:val="22"/>
        </w:rPr>
        <w:footnoteReference w:id="12"/>
      </w:r>
      <w:r w:rsidRPr="00371961">
        <w:rPr>
          <w:sz w:val="22"/>
          <w:szCs w:val="22"/>
        </w:rPr>
        <w:t xml:space="preserve">  </w:t>
      </w:r>
      <w:r w:rsidR="006412FF">
        <w:rPr>
          <w:sz w:val="22"/>
          <w:szCs w:val="22"/>
        </w:rPr>
        <w:t>W</w:t>
      </w:r>
      <w:r w:rsidRPr="00371961">
        <w:rPr>
          <w:sz w:val="22"/>
          <w:szCs w:val="22"/>
        </w:rPr>
        <w:t xml:space="preserve">here the </w:t>
      </w:r>
      <w:r w:rsidR="00D21921">
        <w:rPr>
          <w:sz w:val="22"/>
          <w:szCs w:val="22"/>
        </w:rPr>
        <w:t xml:space="preserve">eligible </w:t>
      </w:r>
      <w:r w:rsidRPr="00371961">
        <w:rPr>
          <w:sz w:val="22"/>
          <w:szCs w:val="22"/>
        </w:rPr>
        <w:t>incumbent claimant first files a notice of objection to the Clearinghouse’s decision on its lump sum or reimbursement claim within the applicable twenty (20) day timeline, and a</w:t>
      </w:r>
      <w:r w:rsidR="00D21921">
        <w:rPr>
          <w:sz w:val="22"/>
          <w:szCs w:val="22"/>
        </w:rPr>
        <w:t>n eligible</w:t>
      </w:r>
      <w:r w:rsidRPr="00371961">
        <w:rPr>
          <w:sz w:val="22"/>
          <w:szCs w:val="22"/>
        </w:rPr>
        <w:t xml:space="preserve"> 3.7 GHz Service Licensee also wishes to be a party to that </w:t>
      </w:r>
      <w:r>
        <w:rPr>
          <w:sz w:val="22"/>
          <w:szCs w:val="22"/>
        </w:rPr>
        <w:t>objection</w:t>
      </w:r>
      <w:r w:rsidRPr="00371961">
        <w:rPr>
          <w:sz w:val="22"/>
          <w:szCs w:val="22"/>
        </w:rPr>
        <w:t xml:space="preserve">, </w:t>
      </w:r>
      <w:r>
        <w:rPr>
          <w:sz w:val="22"/>
          <w:szCs w:val="22"/>
        </w:rPr>
        <w:t xml:space="preserve">that </w:t>
      </w:r>
      <w:r w:rsidR="00847158">
        <w:rPr>
          <w:sz w:val="22"/>
          <w:szCs w:val="22"/>
        </w:rPr>
        <w:t xml:space="preserve">eligible </w:t>
      </w:r>
      <w:r>
        <w:rPr>
          <w:sz w:val="22"/>
          <w:szCs w:val="22"/>
        </w:rPr>
        <w:t>3.7 GHz Licensee</w:t>
      </w:r>
      <w:r w:rsidRPr="00371961">
        <w:rPr>
          <w:sz w:val="22"/>
          <w:szCs w:val="22"/>
        </w:rPr>
        <w:t xml:space="preserve"> must itself file an objection within thirty (30) days of invoice issuance.</w:t>
      </w:r>
      <w:r>
        <w:rPr>
          <w:rStyle w:val="FootnoteReference"/>
          <w:szCs w:val="22"/>
        </w:rPr>
        <w:footnoteReference w:id="13"/>
      </w:r>
      <w:r w:rsidRPr="00371961">
        <w:rPr>
          <w:sz w:val="22"/>
          <w:szCs w:val="22"/>
        </w:rPr>
        <w:t xml:space="preserve">  We clarify that the same approach and timeline </w:t>
      </w:r>
      <w:r>
        <w:rPr>
          <w:sz w:val="22"/>
          <w:szCs w:val="22"/>
        </w:rPr>
        <w:t xml:space="preserve">will </w:t>
      </w:r>
      <w:r w:rsidRPr="00371961">
        <w:rPr>
          <w:sz w:val="22"/>
          <w:szCs w:val="22"/>
        </w:rPr>
        <w:t>appl</w:t>
      </w:r>
      <w:r>
        <w:rPr>
          <w:sz w:val="22"/>
          <w:szCs w:val="22"/>
        </w:rPr>
        <w:t>y</w:t>
      </w:r>
      <w:r w:rsidRPr="00371961">
        <w:rPr>
          <w:sz w:val="22"/>
          <w:szCs w:val="22"/>
        </w:rPr>
        <w:t xml:space="preserve"> </w:t>
      </w:r>
      <w:r>
        <w:rPr>
          <w:sz w:val="22"/>
          <w:szCs w:val="22"/>
        </w:rPr>
        <w:t xml:space="preserve">in cases </w:t>
      </w:r>
      <w:r w:rsidRPr="00371961">
        <w:rPr>
          <w:sz w:val="22"/>
          <w:szCs w:val="22"/>
        </w:rPr>
        <w:t xml:space="preserve">where the first notice of objection </w:t>
      </w:r>
      <w:r>
        <w:rPr>
          <w:sz w:val="22"/>
          <w:szCs w:val="22"/>
        </w:rPr>
        <w:t xml:space="preserve">to a lump sum or reimbursement claim </w:t>
      </w:r>
      <w:r w:rsidRPr="00371961">
        <w:rPr>
          <w:sz w:val="22"/>
          <w:szCs w:val="22"/>
        </w:rPr>
        <w:t xml:space="preserve">is filed by the </w:t>
      </w:r>
      <w:r w:rsidR="00D21921">
        <w:rPr>
          <w:sz w:val="22"/>
          <w:szCs w:val="22"/>
        </w:rPr>
        <w:t xml:space="preserve">eligible </w:t>
      </w:r>
      <w:r w:rsidRPr="00371961">
        <w:rPr>
          <w:sz w:val="22"/>
          <w:szCs w:val="22"/>
        </w:rPr>
        <w:t xml:space="preserve">3.7 GHz Service Licensee within the applicable twenty (20) day timeline and the </w:t>
      </w:r>
      <w:r w:rsidR="00D21921">
        <w:rPr>
          <w:sz w:val="22"/>
          <w:szCs w:val="22"/>
        </w:rPr>
        <w:t xml:space="preserve">eligible </w:t>
      </w:r>
      <w:r w:rsidRPr="00371961">
        <w:rPr>
          <w:sz w:val="22"/>
          <w:szCs w:val="22"/>
        </w:rPr>
        <w:t>incumbent claimant wishes to be a party to that appeal</w:t>
      </w:r>
      <w:r>
        <w:rPr>
          <w:sz w:val="22"/>
          <w:szCs w:val="22"/>
        </w:rPr>
        <w:t>.</w:t>
      </w:r>
      <w:r>
        <w:rPr>
          <w:rStyle w:val="FootnoteReference"/>
          <w:szCs w:val="22"/>
        </w:rPr>
        <w:footnoteReference w:id="14"/>
      </w:r>
      <w:r>
        <w:rPr>
          <w:sz w:val="22"/>
          <w:szCs w:val="22"/>
        </w:rPr>
        <w:t xml:space="preserve">  In such cases, th</w:t>
      </w:r>
      <w:r w:rsidR="00D21921">
        <w:rPr>
          <w:sz w:val="22"/>
          <w:szCs w:val="22"/>
        </w:rPr>
        <w:t>at</w:t>
      </w:r>
      <w:r>
        <w:rPr>
          <w:sz w:val="22"/>
          <w:szCs w:val="22"/>
        </w:rPr>
        <w:t xml:space="preserve"> </w:t>
      </w:r>
      <w:r w:rsidR="00847158">
        <w:rPr>
          <w:sz w:val="22"/>
          <w:szCs w:val="22"/>
        </w:rPr>
        <w:t xml:space="preserve">eligible </w:t>
      </w:r>
      <w:r>
        <w:rPr>
          <w:sz w:val="22"/>
          <w:szCs w:val="22"/>
        </w:rPr>
        <w:t>incumbent claimant must</w:t>
      </w:r>
      <w:r w:rsidR="00B75B70">
        <w:rPr>
          <w:sz w:val="22"/>
          <w:szCs w:val="22"/>
        </w:rPr>
        <w:t xml:space="preserve"> itself</w:t>
      </w:r>
      <w:r w:rsidRPr="00371961">
        <w:rPr>
          <w:sz w:val="22"/>
          <w:szCs w:val="22"/>
        </w:rPr>
        <w:t xml:space="preserve"> file an objection</w:t>
      </w:r>
      <w:r>
        <w:rPr>
          <w:sz w:val="22"/>
          <w:szCs w:val="22"/>
        </w:rPr>
        <w:t xml:space="preserve"> with the Clearinghouse</w:t>
      </w:r>
      <w:r w:rsidRPr="00371961">
        <w:rPr>
          <w:sz w:val="22"/>
          <w:szCs w:val="22"/>
        </w:rPr>
        <w:t xml:space="preserve"> within thirty (30) days of invoice issuance.  Where </w:t>
      </w:r>
      <w:r w:rsidR="00B75B70">
        <w:rPr>
          <w:sz w:val="22"/>
          <w:szCs w:val="22"/>
        </w:rPr>
        <w:t>one or more</w:t>
      </w:r>
      <w:r w:rsidRPr="00371961">
        <w:rPr>
          <w:sz w:val="22"/>
          <w:szCs w:val="22"/>
        </w:rPr>
        <w:t xml:space="preserve"> </w:t>
      </w:r>
      <w:r w:rsidR="00D21921">
        <w:rPr>
          <w:sz w:val="22"/>
          <w:szCs w:val="22"/>
        </w:rPr>
        <w:t xml:space="preserve">eligible </w:t>
      </w:r>
      <w:r w:rsidRPr="00371961">
        <w:rPr>
          <w:sz w:val="22"/>
          <w:szCs w:val="22"/>
        </w:rPr>
        <w:t>3.7 GHz Service Licensee</w:t>
      </w:r>
      <w:r w:rsidR="00B75B70">
        <w:rPr>
          <w:sz w:val="22"/>
          <w:szCs w:val="22"/>
        </w:rPr>
        <w:t>s</w:t>
      </w:r>
      <w:r w:rsidRPr="00371961">
        <w:rPr>
          <w:sz w:val="22"/>
          <w:szCs w:val="22"/>
        </w:rPr>
        <w:t xml:space="preserve"> wish to dispute any type of payment or cost sharing decision by the Clearinghouse</w:t>
      </w:r>
      <w:r>
        <w:rPr>
          <w:sz w:val="22"/>
          <w:szCs w:val="22"/>
        </w:rPr>
        <w:t xml:space="preserve"> other than a lump sum or reimbursement claim</w:t>
      </w:r>
      <w:r w:rsidRPr="00371961">
        <w:rPr>
          <w:sz w:val="22"/>
          <w:szCs w:val="22"/>
        </w:rPr>
        <w:t xml:space="preserve">, </w:t>
      </w:r>
      <w:r w:rsidR="00B75B70">
        <w:rPr>
          <w:sz w:val="22"/>
          <w:szCs w:val="22"/>
        </w:rPr>
        <w:t>they</w:t>
      </w:r>
      <w:r w:rsidRPr="00371961">
        <w:rPr>
          <w:sz w:val="22"/>
          <w:szCs w:val="22"/>
        </w:rPr>
        <w:t xml:space="preserve"> must file an objection within twenty (20) days of </w:t>
      </w:r>
      <w:r w:rsidR="00AA72ED">
        <w:rPr>
          <w:sz w:val="22"/>
          <w:szCs w:val="22"/>
        </w:rPr>
        <w:t xml:space="preserve">statement or </w:t>
      </w:r>
      <w:r w:rsidRPr="00371961">
        <w:rPr>
          <w:sz w:val="22"/>
          <w:szCs w:val="22"/>
        </w:rPr>
        <w:t>invoice issuance</w:t>
      </w:r>
      <w:r w:rsidR="006412FF">
        <w:rPr>
          <w:sz w:val="22"/>
          <w:szCs w:val="22"/>
        </w:rPr>
        <w:t>.</w:t>
      </w:r>
      <w:r>
        <w:rPr>
          <w:rStyle w:val="FootnoteReference"/>
          <w:szCs w:val="22"/>
        </w:rPr>
        <w:footnoteReference w:id="15"/>
      </w:r>
      <w:r w:rsidR="006412FF">
        <w:rPr>
          <w:sz w:val="22"/>
          <w:szCs w:val="22"/>
        </w:rPr>
        <w:t xml:space="preserve">  </w:t>
      </w:r>
      <w:r w:rsidR="005C7B5C">
        <w:rPr>
          <w:sz w:val="22"/>
          <w:szCs w:val="22"/>
        </w:rPr>
        <w:t xml:space="preserve">We </w:t>
      </w:r>
      <w:r w:rsidR="00847158">
        <w:rPr>
          <w:sz w:val="22"/>
          <w:szCs w:val="22"/>
        </w:rPr>
        <w:t xml:space="preserve">further </w:t>
      </w:r>
      <w:r w:rsidR="005C7B5C">
        <w:rPr>
          <w:sz w:val="22"/>
          <w:szCs w:val="22"/>
        </w:rPr>
        <w:t xml:space="preserve">clarify that any </w:t>
      </w:r>
      <w:r w:rsidR="00A32E56">
        <w:rPr>
          <w:sz w:val="22"/>
          <w:szCs w:val="22"/>
        </w:rPr>
        <w:t xml:space="preserve">other </w:t>
      </w:r>
      <w:r w:rsidR="005C7B5C">
        <w:rPr>
          <w:sz w:val="22"/>
          <w:szCs w:val="22"/>
        </w:rPr>
        <w:t xml:space="preserve">eligible 3.7 GHz Service Licensee wishing to be a party to an objection of this type </w:t>
      </w:r>
      <w:r w:rsidR="00A32E56">
        <w:rPr>
          <w:sz w:val="22"/>
          <w:szCs w:val="22"/>
        </w:rPr>
        <w:t xml:space="preserve">first </w:t>
      </w:r>
      <w:r w:rsidR="005C7B5C">
        <w:rPr>
          <w:sz w:val="22"/>
          <w:szCs w:val="22"/>
        </w:rPr>
        <w:t xml:space="preserve">filed by </w:t>
      </w:r>
      <w:r w:rsidR="00A32E56">
        <w:rPr>
          <w:sz w:val="22"/>
          <w:szCs w:val="22"/>
        </w:rPr>
        <w:t xml:space="preserve">a different </w:t>
      </w:r>
      <w:r w:rsidR="00D21921">
        <w:rPr>
          <w:sz w:val="22"/>
          <w:szCs w:val="22"/>
        </w:rPr>
        <w:t xml:space="preserve">eligible </w:t>
      </w:r>
      <w:r w:rsidR="005C7B5C">
        <w:rPr>
          <w:sz w:val="22"/>
          <w:szCs w:val="22"/>
        </w:rPr>
        <w:t xml:space="preserve">3.7 GHz Service Licensee must itself </w:t>
      </w:r>
      <w:r w:rsidRPr="00371961" w:rsidR="005C7B5C">
        <w:rPr>
          <w:sz w:val="22"/>
          <w:szCs w:val="22"/>
        </w:rPr>
        <w:t>file an objection</w:t>
      </w:r>
      <w:r w:rsidR="005C7B5C">
        <w:rPr>
          <w:sz w:val="22"/>
          <w:szCs w:val="22"/>
        </w:rPr>
        <w:t xml:space="preserve"> with the Clearinghouse</w:t>
      </w:r>
      <w:r w:rsidRPr="00371961" w:rsidR="005C7B5C">
        <w:rPr>
          <w:sz w:val="22"/>
          <w:szCs w:val="22"/>
        </w:rPr>
        <w:t xml:space="preserve"> within thirty (30) days of </w:t>
      </w:r>
      <w:r w:rsidR="00CA5152">
        <w:rPr>
          <w:sz w:val="22"/>
          <w:szCs w:val="22"/>
        </w:rPr>
        <w:t xml:space="preserve">statement or </w:t>
      </w:r>
      <w:r w:rsidRPr="00371961" w:rsidR="005C7B5C">
        <w:rPr>
          <w:sz w:val="22"/>
          <w:szCs w:val="22"/>
        </w:rPr>
        <w:t>invoice issuance.</w:t>
      </w:r>
      <w:r>
        <w:rPr>
          <w:rStyle w:val="FootnoteReference"/>
          <w:szCs w:val="22"/>
        </w:rPr>
        <w:footnoteReference w:id="16"/>
      </w:r>
    </w:p>
    <w:p w:rsidR="007870CE" w:rsidP="000C585B" w14:paraId="5B46FB90" w14:textId="77777777">
      <w:pPr>
        <w:pStyle w:val="Default"/>
        <w:ind w:firstLine="720"/>
        <w:rPr>
          <w:sz w:val="22"/>
          <w:szCs w:val="22"/>
        </w:rPr>
      </w:pPr>
    </w:p>
    <w:p w:rsidR="00C86640" w:rsidP="00ED3CA6" w14:paraId="5A11FFCD" w14:textId="470ACFFD">
      <w:pPr>
        <w:pStyle w:val="Default"/>
        <w:ind w:firstLine="720"/>
        <w:rPr>
          <w:sz w:val="22"/>
          <w:szCs w:val="22"/>
        </w:rPr>
      </w:pPr>
      <w:r>
        <w:rPr>
          <w:sz w:val="22"/>
          <w:szCs w:val="22"/>
        </w:rPr>
        <w:t>The</w:t>
      </w:r>
      <w:r w:rsidR="00766AC5">
        <w:rPr>
          <w:sz w:val="22"/>
          <w:szCs w:val="22"/>
        </w:rPr>
        <w:t>re are two possible paths pursuant to which an appeal</w:t>
      </w:r>
      <w:r w:rsidR="00EC09EF">
        <w:rPr>
          <w:sz w:val="22"/>
          <w:szCs w:val="22"/>
        </w:rPr>
        <w:t xml:space="preserve"> of a Clearinghouse decision</w:t>
      </w:r>
      <w:r w:rsidR="00766AC5">
        <w:rPr>
          <w:sz w:val="22"/>
          <w:szCs w:val="22"/>
        </w:rPr>
        <w:t xml:space="preserve"> can be made to the Bureau, depending</w:t>
      </w:r>
      <w:r w:rsidR="008A1DCF">
        <w:rPr>
          <w:sz w:val="22"/>
          <w:szCs w:val="22"/>
        </w:rPr>
        <w:t xml:space="preserve"> </w:t>
      </w:r>
      <w:r w:rsidR="00A8005A">
        <w:rPr>
          <w:sz w:val="22"/>
          <w:szCs w:val="22"/>
        </w:rPr>
        <w:t xml:space="preserve">on which </w:t>
      </w:r>
      <w:r w:rsidR="00E9168C">
        <w:rPr>
          <w:sz w:val="22"/>
          <w:szCs w:val="22"/>
        </w:rPr>
        <w:t>party</w:t>
      </w:r>
      <w:r w:rsidR="00954E43">
        <w:rPr>
          <w:sz w:val="22"/>
          <w:szCs w:val="22"/>
        </w:rPr>
        <w:t xml:space="preserve"> or </w:t>
      </w:r>
      <w:r w:rsidR="00E9168C">
        <w:rPr>
          <w:sz w:val="22"/>
          <w:szCs w:val="22"/>
        </w:rPr>
        <w:t xml:space="preserve">parties submit a timely notice of </w:t>
      </w:r>
      <w:r w:rsidR="00753693">
        <w:rPr>
          <w:sz w:val="22"/>
          <w:szCs w:val="22"/>
        </w:rPr>
        <w:t>objection</w:t>
      </w:r>
      <w:r w:rsidR="00E9168C">
        <w:rPr>
          <w:sz w:val="22"/>
          <w:szCs w:val="22"/>
        </w:rPr>
        <w:t xml:space="preserve"> </w:t>
      </w:r>
      <w:r w:rsidR="00753693">
        <w:rPr>
          <w:sz w:val="22"/>
          <w:szCs w:val="22"/>
        </w:rPr>
        <w:t>with</w:t>
      </w:r>
      <w:r w:rsidR="00E9168C">
        <w:rPr>
          <w:sz w:val="22"/>
          <w:szCs w:val="22"/>
        </w:rPr>
        <w:t xml:space="preserve"> the Clearinghouse</w:t>
      </w:r>
      <w:r w:rsidRPr="00D229CE" w:rsidR="00D229CE">
        <w:rPr>
          <w:sz w:val="22"/>
          <w:szCs w:val="22"/>
        </w:rPr>
        <w:t xml:space="preserve">. </w:t>
      </w:r>
      <w:r w:rsidR="00E9168C">
        <w:rPr>
          <w:sz w:val="22"/>
          <w:szCs w:val="22"/>
        </w:rPr>
        <w:t xml:space="preserve"> </w:t>
      </w:r>
      <w:r w:rsidRPr="00593F9B" w:rsidR="00D229CE">
        <w:rPr>
          <w:sz w:val="22"/>
          <w:szCs w:val="22"/>
        </w:rPr>
        <w:t xml:space="preserve">The first </w:t>
      </w:r>
      <w:r w:rsidRPr="00593F9B" w:rsidR="00E9168C">
        <w:rPr>
          <w:sz w:val="22"/>
          <w:szCs w:val="22"/>
        </w:rPr>
        <w:t>path</w:t>
      </w:r>
      <w:r w:rsidRPr="00593F9B" w:rsidR="00D229CE">
        <w:rPr>
          <w:sz w:val="22"/>
          <w:szCs w:val="22"/>
        </w:rPr>
        <w:t xml:space="preserve"> is a</w:t>
      </w:r>
      <w:r w:rsidRPr="00593F9B" w:rsidR="009D4E2D">
        <w:rPr>
          <w:sz w:val="22"/>
          <w:szCs w:val="22"/>
        </w:rPr>
        <w:t xml:space="preserve"> single</w:t>
      </w:r>
      <w:r w:rsidR="00BF654A">
        <w:rPr>
          <w:sz w:val="22"/>
          <w:szCs w:val="22"/>
        </w:rPr>
        <w:t>-</w:t>
      </w:r>
      <w:r w:rsidRPr="00593F9B" w:rsidR="009D4E2D">
        <w:rPr>
          <w:sz w:val="22"/>
          <w:szCs w:val="22"/>
        </w:rPr>
        <w:t xml:space="preserve">party dispute where one </w:t>
      </w:r>
      <w:r w:rsidR="00B156E0">
        <w:rPr>
          <w:sz w:val="22"/>
          <w:szCs w:val="22"/>
        </w:rPr>
        <w:t xml:space="preserve">eligible </w:t>
      </w:r>
      <w:r w:rsidRPr="00593F9B" w:rsidR="009D4E2D">
        <w:rPr>
          <w:sz w:val="22"/>
          <w:szCs w:val="22"/>
        </w:rPr>
        <w:t>party (whether an incumbent claimant</w:t>
      </w:r>
      <w:r w:rsidR="002815F8">
        <w:rPr>
          <w:sz w:val="22"/>
          <w:szCs w:val="22"/>
        </w:rPr>
        <w:t xml:space="preserve"> </w:t>
      </w:r>
      <w:r w:rsidRPr="00593F9B" w:rsidR="009D4E2D">
        <w:rPr>
          <w:sz w:val="22"/>
          <w:szCs w:val="22"/>
        </w:rPr>
        <w:t>or 3.7 GHz Service License</w:t>
      </w:r>
      <w:r w:rsidR="007F1288">
        <w:rPr>
          <w:sz w:val="22"/>
          <w:szCs w:val="22"/>
        </w:rPr>
        <w:t>e</w:t>
      </w:r>
      <w:r w:rsidRPr="00593F9B" w:rsidR="009D4E2D">
        <w:rPr>
          <w:sz w:val="22"/>
          <w:szCs w:val="22"/>
        </w:rPr>
        <w:t xml:space="preserve">) files a timely notice of objection with the Clearinghouse and no other eligible party elects to join by filing its own </w:t>
      </w:r>
      <w:r w:rsidRPr="00593F9B" w:rsidR="00593F9B">
        <w:rPr>
          <w:sz w:val="22"/>
          <w:szCs w:val="22"/>
        </w:rPr>
        <w:t xml:space="preserve">timely </w:t>
      </w:r>
      <w:r w:rsidRPr="00593F9B" w:rsidR="009D4E2D">
        <w:rPr>
          <w:sz w:val="22"/>
          <w:szCs w:val="22"/>
        </w:rPr>
        <w:t xml:space="preserve">notice of objection </w:t>
      </w:r>
      <w:r w:rsidRPr="00593F9B" w:rsidR="0011783E">
        <w:rPr>
          <w:sz w:val="22"/>
          <w:szCs w:val="22"/>
        </w:rPr>
        <w:t>with the Clearinghouse</w:t>
      </w:r>
      <w:r w:rsidRPr="00593F9B" w:rsidR="009D4E2D">
        <w:rPr>
          <w:sz w:val="22"/>
          <w:szCs w:val="22"/>
        </w:rPr>
        <w:t>.</w:t>
      </w:r>
      <w:r>
        <w:rPr>
          <w:rStyle w:val="FootnoteReference"/>
          <w:szCs w:val="22"/>
        </w:rPr>
        <w:footnoteReference w:id="17"/>
      </w:r>
      <w:r w:rsidR="00ED3CA6">
        <w:rPr>
          <w:sz w:val="22"/>
          <w:szCs w:val="22"/>
        </w:rPr>
        <w:t xml:space="preserve">  </w:t>
      </w:r>
      <w:r w:rsidRPr="00593F9B" w:rsidR="00593F9B">
        <w:rPr>
          <w:sz w:val="22"/>
          <w:szCs w:val="22"/>
        </w:rPr>
        <w:t>The second path i</w:t>
      </w:r>
      <w:r w:rsidRPr="00593F9B" w:rsidR="009D4E2D">
        <w:rPr>
          <w:sz w:val="22"/>
          <w:szCs w:val="22"/>
        </w:rPr>
        <w:t xml:space="preserve">s </w:t>
      </w:r>
      <w:r w:rsidRPr="00593F9B" w:rsidR="00593F9B">
        <w:rPr>
          <w:sz w:val="22"/>
          <w:szCs w:val="22"/>
        </w:rPr>
        <w:t>a</w:t>
      </w:r>
      <w:r w:rsidRPr="00593F9B" w:rsidR="009D4E2D">
        <w:rPr>
          <w:sz w:val="22"/>
          <w:szCs w:val="22"/>
        </w:rPr>
        <w:t xml:space="preserve"> </w:t>
      </w:r>
      <w:r w:rsidRPr="00593F9B" w:rsidR="00D229CE">
        <w:rPr>
          <w:sz w:val="22"/>
          <w:szCs w:val="22"/>
        </w:rPr>
        <w:t xml:space="preserve">multi-party </w:t>
      </w:r>
      <w:r w:rsidRPr="00593F9B" w:rsidR="00E9168C">
        <w:rPr>
          <w:sz w:val="22"/>
          <w:szCs w:val="22"/>
        </w:rPr>
        <w:t>dispute</w:t>
      </w:r>
      <w:r w:rsidRPr="00593F9B" w:rsidR="00593F9B">
        <w:rPr>
          <w:sz w:val="22"/>
          <w:szCs w:val="22"/>
        </w:rPr>
        <w:t xml:space="preserve"> where more than one eligible party files a timely notice of objection </w:t>
      </w:r>
      <w:r w:rsidR="006C22A9">
        <w:rPr>
          <w:sz w:val="22"/>
          <w:szCs w:val="22"/>
        </w:rPr>
        <w:t xml:space="preserve">regarding the same determination </w:t>
      </w:r>
      <w:r w:rsidRPr="00593F9B" w:rsidR="00593F9B">
        <w:rPr>
          <w:sz w:val="22"/>
          <w:szCs w:val="22"/>
        </w:rPr>
        <w:t>with the Clearinghouse</w:t>
      </w:r>
      <w:r w:rsidR="00ED3CA6">
        <w:rPr>
          <w:sz w:val="22"/>
          <w:szCs w:val="22"/>
        </w:rPr>
        <w:t>,</w:t>
      </w:r>
      <w:r w:rsidRPr="00593F9B" w:rsidR="00593F9B">
        <w:rPr>
          <w:sz w:val="22"/>
          <w:szCs w:val="22"/>
        </w:rPr>
        <w:t xml:space="preserve"> and the mediation and arbitration provisions in section 27.1421(b) of the Commission’s rules have already been satisfied.</w:t>
      </w:r>
      <w:r>
        <w:rPr>
          <w:rStyle w:val="FootnoteReference"/>
          <w:szCs w:val="22"/>
        </w:rPr>
        <w:footnoteReference w:id="18"/>
      </w:r>
      <w:r w:rsidRPr="00593F9B" w:rsidR="00593F9B">
        <w:rPr>
          <w:sz w:val="22"/>
          <w:szCs w:val="22"/>
        </w:rPr>
        <w:t xml:space="preserve"> </w:t>
      </w:r>
      <w:r w:rsidR="0011783E">
        <w:rPr>
          <w:sz w:val="22"/>
          <w:szCs w:val="22"/>
        </w:rPr>
        <w:t xml:space="preserve"> </w:t>
      </w:r>
      <w:r w:rsidRPr="00593F9B" w:rsidR="00593F9B">
        <w:rPr>
          <w:sz w:val="22"/>
          <w:szCs w:val="22"/>
        </w:rPr>
        <w:t xml:space="preserve">For example, a multi-party dispute could involve both an </w:t>
      </w:r>
      <w:r w:rsidR="00ED3CA6">
        <w:rPr>
          <w:sz w:val="22"/>
          <w:szCs w:val="22"/>
        </w:rPr>
        <w:t xml:space="preserve">eligible </w:t>
      </w:r>
      <w:r w:rsidRPr="00593F9B" w:rsidR="00593F9B">
        <w:rPr>
          <w:sz w:val="22"/>
          <w:szCs w:val="22"/>
        </w:rPr>
        <w:t xml:space="preserve">incumbent claimant or </w:t>
      </w:r>
      <w:r w:rsidR="00735D25">
        <w:rPr>
          <w:sz w:val="22"/>
          <w:szCs w:val="22"/>
        </w:rPr>
        <w:t xml:space="preserve">one or more </w:t>
      </w:r>
      <w:r w:rsidR="00ED3CA6">
        <w:rPr>
          <w:sz w:val="22"/>
          <w:szCs w:val="22"/>
        </w:rPr>
        <w:t xml:space="preserve">eligible </w:t>
      </w:r>
      <w:r w:rsidRPr="00593F9B" w:rsidR="00593F9B">
        <w:rPr>
          <w:sz w:val="22"/>
          <w:szCs w:val="22"/>
        </w:rPr>
        <w:t>3.7 GHz Service License</w:t>
      </w:r>
      <w:r w:rsidR="007F1288">
        <w:rPr>
          <w:sz w:val="22"/>
          <w:szCs w:val="22"/>
        </w:rPr>
        <w:t>e</w:t>
      </w:r>
      <w:r w:rsidR="00735D25">
        <w:rPr>
          <w:sz w:val="22"/>
          <w:szCs w:val="22"/>
        </w:rPr>
        <w:t>s</w:t>
      </w:r>
      <w:r w:rsidRPr="00593F9B" w:rsidR="00593F9B">
        <w:rPr>
          <w:sz w:val="22"/>
          <w:szCs w:val="22"/>
        </w:rPr>
        <w:t xml:space="preserve"> in the case of lump sum or </w:t>
      </w:r>
      <w:r w:rsidR="0011783E">
        <w:rPr>
          <w:sz w:val="22"/>
          <w:szCs w:val="22"/>
        </w:rPr>
        <w:t>reimbursement</w:t>
      </w:r>
      <w:r w:rsidRPr="00593F9B" w:rsidR="00593F9B">
        <w:rPr>
          <w:sz w:val="22"/>
          <w:szCs w:val="22"/>
        </w:rPr>
        <w:t xml:space="preserve"> claim review, or multiple</w:t>
      </w:r>
      <w:r w:rsidRPr="00593F9B" w:rsidR="00D229CE">
        <w:rPr>
          <w:sz w:val="22"/>
          <w:szCs w:val="22"/>
        </w:rPr>
        <w:t xml:space="preserve"> </w:t>
      </w:r>
      <w:r w:rsidR="00ED3CA6">
        <w:rPr>
          <w:sz w:val="22"/>
          <w:szCs w:val="22"/>
        </w:rPr>
        <w:t xml:space="preserve">eligible </w:t>
      </w:r>
      <w:r w:rsidRPr="00593F9B" w:rsidR="00593F9B">
        <w:rPr>
          <w:sz w:val="22"/>
          <w:szCs w:val="22"/>
        </w:rPr>
        <w:t xml:space="preserve">3.7 GHz Service Licensees </w:t>
      </w:r>
      <w:r w:rsidR="0011783E">
        <w:rPr>
          <w:sz w:val="22"/>
          <w:szCs w:val="22"/>
        </w:rPr>
        <w:t>where the apportionment of relocation costs is at issue.</w:t>
      </w:r>
      <w:r>
        <w:rPr>
          <w:rStyle w:val="FootnoteReference"/>
          <w:szCs w:val="22"/>
        </w:rPr>
        <w:footnoteReference w:id="19"/>
      </w:r>
      <w:r w:rsidR="0011783E">
        <w:rPr>
          <w:sz w:val="22"/>
          <w:szCs w:val="22"/>
        </w:rPr>
        <w:t xml:space="preserve">  Below</w:t>
      </w:r>
      <w:r w:rsidR="00E212FE">
        <w:rPr>
          <w:sz w:val="22"/>
          <w:szCs w:val="22"/>
        </w:rPr>
        <w:t>,</w:t>
      </w:r>
      <w:r w:rsidR="0011783E">
        <w:rPr>
          <w:sz w:val="22"/>
          <w:szCs w:val="22"/>
        </w:rPr>
        <w:t xml:space="preserve"> we detail the specific procedures applicable to each path.</w:t>
      </w:r>
      <w:r w:rsidRPr="00593F9B" w:rsidR="00593F9B">
        <w:rPr>
          <w:sz w:val="22"/>
          <w:szCs w:val="22"/>
        </w:rPr>
        <w:t xml:space="preserve"> </w:t>
      </w:r>
      <w:r w:rsidR="0011783E">
        <w:rPr>
          <w:sz w:val="22"/>
          <w:szCs w:val="22"/>
        </w:rPr>
        <w:t xml:space="preserve"> In all cases, </w:t>
      </w:r>
      <w:r w:rsidRPr="0011783E" w:rsidR="0011783E">
        <w:rPr>
          <w:sz w:val="22"/>
          <w:szCs w:val="22"/>
        </w:rPr>
        <w:t>the requirements (including deadlines) of the</w:t>
      </w:r>
      <w:r w:rsidRPr="0011783E" w:rsidR="0011783E">
        <w:rPr>
          <w:i/>
          <w:sz w:val="22"/>
          <w:szCs w:val="22"/>
        </w:rPr>
        <w:t xml:space="preserve"> </w:t>
      </w:r>
      <w:r w:rsidRPr="0011783E" w:rsidR="0011783E">
        <w:rPr>
          <w:i/>
          <w:iCs/>
          <w:sz w:val="22"/>
          <w:szCs w:val="22"/>
        </w:rPr>
        <w:t>3.7 GHz</w:t>
      </w:r>
      <w:r w:rsidRPr="0011783E" w:rsidR="0011783E">
        <w:rPr>
          <w:i/>
          <w:sz w:val="22"/>
          <w:szCs w:val="22"/>
        </w:rPr>
        <w:t xml:space="preserve"> Report and Order</w:t>
      </w:r>
      <w:r w:rsidRPr="0011783E" w:rsidR="0011783E">
        <w:rPr>
          <w:sz w:val="22"/>
          <w:szCs w:val="22"/>
        </w:rPr>
        <w:t xml:space="preserve"> and this Public Notice, and any other requirements established by the Commission or </w:t>
      </w:r>
      <w:r w:rsidR="0011783E">
        <w:rPr>
          <w:sz w:val="22"/>
          <w:szCs w:val="22"/>
        </w:rPr>
        <w:t>WTB,</w:t>
      </w:r>
      <w:r w:rsidR="001E41B4">
        <w:rPr>
          <w:sz w:val="22"/>
          <w:szCs w:val="22"/>
        </w:rPr>
        <w:t xml:space="preserve"> </w:t>
      </w:r>
      <w:r w:rsidR="0011783E">
        <w:rPr>
          <w:sz w:val="22"/>
          <w:szCs w:val="22"/>
        </w:rPr>
        <w:t>must be satisfied before the Bureau will consider an appeal</w:t>
      </w:r>
      <w:r w:rsidRPr="0011783E" w:rsidR="0011783E">
        <w:rPr>
          <w:sz w:val="22"/>
          <w:szCs w:val="22"/>
        </w:rPr>
        <w:t xml:space="preserve">.  </w:t>
      </w:r>
      <w:r w:rsidR="0010138E">
        <w:rPr>
          <w:sz w:val="22"/>
          <w:szCs w:val="22"/>
        </w:rPr>
        <w:t xml:space="preserve"> </w:t>
      </w:r>
    </w:p>
    <w:bookmarkEnd w:id="1"/>
    <w:p w:rsidR="00983889" w14:paraId="7C02C83A" w14:textId="28F95117"/>
    <w:p w:rsidR="00CF2B0E" w:rsidRPr="00371961" w:rsidP="00161CD8" w14:paraId="1A41175F" w14:textId="108BE98E">
      <w:pPr>
        <w:ind w:firstLine="720"/>
      </w:pPr>
      <w:r>
        <w:rPr>
          <w:i/>
          <w:iCs/>
          <w:u w:val="single"/>
        </w:rPr>
        <w:t>Single</w:t>
      </w:r>
      <w:r w:rsidR="00BF654A">
        <w:rPr>
          <w:i/>
          <w:iCs/>
          <w:u w:val="single"/>
        </w:rPr>
        <w:t>-</w:t>
      </w:r>
      <w:r>
        <w:rPr>
          <w:i/>
          <w:iCs/>
          <w:u w:val="single"/>
        </w:rPr>
        <w:t>Party Disputes</w:t>
      </w:r>
      <w:r>
        <w:rPr>
          <w:u w:val="single"/>
        </w:rPr>
        <w:t>:</w:t>
      </w:r>
      <w:r w:rsidR="004B675E">
        <w:t xml:space="preserve">  If a</w:t>
      </w:r>
      <w:r w:rsidR="00BA2118">
        <w:t xml:space="preserve">n </w:t>
      </w:r>
      <w:r w:rsidR="009C7E8A">
        <w:t xml:space="preserve">eligible </w:t>
      </w:r>
      <w:r w:rsidR="00BA2118">
        <w:t xml:space="preserve">incumbent claimant or </w:t>
      </w:r>
      <w:r w:rsidR="00ED3CA6">
        <w:t>eligible</w:t>
      </w:r>
      <w:r w:rsidR="00BA2118">
        <w:t xml:space="preserve"> 3.7 GHz Service Licensee submits a timely objection to the Clearinghouse that is not joined by any other</w:t>
      </w:r>
      <w:r w:rsidR="009C7E8A">
        <w:t xml:space="preserve"> eligible</w:t>
      </w:r>
      <w:r w:rsidR="00BA2118">
        <w:t xml:space="preserve"> party</w:t>
      </w:r>
      <w:r w:rsidR="001A0BAF">
        <w:t>, the following process applies</w:t>
      </w:r>
      <w:r w:rsidR="00BA2118">
        <w:t xml:space="preserve">:  </w:t>
      </w:r>
    </w:p>
    <w:p w:rsidR="00CF2B0E" w:rsidP="00CF2B0E" w14:paraId="4E2A4465" w14:textId="77777777"/>
    <w:p w:rsidR="006236EE" w:rsidP="002D0230" w14:paraId="66302918" w14:textId="7DB9B459">
      <w:pPr>
        <w:numPr>
          <w:ilvl w:val="0"/>
          <w:numId w:val="10"/>
        </w:numPr>
      </w:pPr>
      <w:r>
        <w:t xml:space="preserve">The </w:t>
      </w:r>
      <w:r w:rsidR="009D4E2D">
        <w:t>appealing party</w:t>
      </w:r>
      <w:r>
        <w:t xml:space="preserve"> </w:t>
      </w:r>
      <w:r w:rsidR="009D4E2D">
        <w:t>must directly</w:t>
      </w:r>
      <w:r>
        <w:t xml:space="preserve"> submit</w:t>
      </w:r>
      <w:r w:rsidR="00E81B87">
        <w:t xml:space="preserve"> </w:t>
      </w:r>
      <w:r>
        <w:t>a</w:t>
      </w:r>
      <w:r w:rsidR="00342106">
        <w:t xml:space="preserve"> written</w:t>
      </w:r>
      <w:r>
        <w:t xml:space="preserve"> appeal to the Bureau </w:t>
      </w:r>
      <w:r w:rsidR="00342106">
        <w:t>seeking</w:t>
      </w:r>
      <w:r>
        <w:t xml:space="preserve"> review</w:t>
      </w:r>
      <w:r w:rsidR="00342106">
        <w:t xml:space="preserve"> of </w:t>
      </w:r>
      <w:r w:rsidR="00371961">
        <w:t xml:space="preserve"> </w:t>
      </w:r>
      <w:r w:rsidR="0052519D">
        <w:t>the Clearinghouse’s</w:t>
      </w:r>
      <w:r w:rsidR="00342106">
        <w:t xml:space="preserve"> decision</w:t>
      </w:r>
      <w:r>
        <w:t xml:space="preserve"> </w:t>
      </w:r>
      <w:r w:rsidR="009D4E2D">
        <w:t xml:space="preserve">no later than </w:t>
      </w:r>
      <w:r>
        <w:t xml:space="preserve">thirty (30) days from the date </w:t>
      </w:r>
      <w:r>
        <w:t>any other eligible party</w:t>
      </w:r>
      <w:r>
        <w:t xml:space="preserve"> </w:t>
      </w:r>
      <w:r>
        <w:t>fails to file a timely notice of objection with the Clearinghouse</w:t>
      </w:r>
      <w:r>
        <w:t>.</w:t>
      </w:r>
      <w:r>
        <w:rPr>
          <w:rStyle w:val="FootnoteReference"/>
        </w:rPr>
        <w:footnoteReference w:id="20"/>
      </w:r>
      <w:r w:rsidR="005C7B5C">
        <w:t xml:space="preserve">  </w:t>
      </w:r>
      <w:r w:rsidR="009B5095">
        <w:t>While t</w:t>
      </w:r>
      <w:r w:rsidR="005C7B5C">
        <w:t>he Clearinghouse should provide</w:t>
      </w:r>
      <w:r w:rsidR="009B5095">
        <w:t xml:space="preserve"> </w:t>
      </w:r>
      <w:r w:rsidR="005C7B5C">
        <w:t>notice to the appealing party that no other eligible party has joined its dispute</w:t>
      </w:r>
      <w:r w:rsidR="009B5095">
        <w:t xml:space="preserve"> within three (3) </w:t>
      </w:r>
      <w:r w:rsidR="001655CA">
        <w:t xml:space="preserve">business </w:t>
      </w:r>
      <w:r w:rsidR="009B5095">
        <w:t xml:space="preserve">days of such event, we clarify that the appealing party </w:t>
      </w:r>
      <w:r w:rsidRPr="009C7E8A" w:rsidR="009B5095">
        <w:rPr>
          <w:u w:val="single"/>
        </w:rPr>
        <w:t>must</w:t>
      </w:r>
      <w:r w:rsidR="009B5095">
        <w:t xml:space="preserve"> directly file a written appeal to the Bureau by the requisite </w:t>
      </w:r>
      <w:r w:rsidR="009C7E8A">
        <w:t>thirty (30)</w:t>
      </w:r>
      <w:r w:rsidR="00365379">
        <w:t xml:space="preserve"> day</w:t>
      </w:r>
      <w:r w:rsidR="009C7E8A">
        <w:t xml:space="preserve"> </w:t>
      </w:r>
      <w:r w:rsidR="009B5095">
        <w:t>deadline in order for its appeal to be considered by the Bureau</w:t>
      </w:r>
      <w:r w:rsidR="005C7B5C">
        <w:t>.</w:t>
      </w:r>
    </w:p>
    <w:p w:rsidR="006236EE" w:rsidP="002D0230" w14:paraId="69664EC9" w14:textId="5B5C79EF">
      <w:pPr>
        <w:numPr>
          <w:ilvl w:val="0"/>
          <w:numId w:val="10"/>
        </w:numPr>
      </w:pPr>
      <w:r>
        <w:t xml:space="preserve">The burden of proof lies on the appealing party to demonstrate </w:t>
      </w:r>
      <w:r w:rsidR="00342106">
        <w:t xml:space="preserve">in its appeal </w:t>
      </w:r>
      <w:r>
        <w:t>that the Clearinghouse decision was incorrect.</w:t>
      </w:r>
      <w:r w:rsidR="00D9551A">
        <w:t xml:space="preserve">  </w:t>
      </w:r>
      <w:r w:rsidR="009B5095">
        <w:t>A</w:t>
      </w:r>
      <w:r w:rsidR="00BF654A">
        <w:t>ppealing</w:t>
      </w:r>
      <w:r w:rsidR="009B5095">
        <w:t xml:space="preserve"> p</w:t>
      </w:r>
      <w:r w:rsidR="00D9551A">
        <w:t xml:space="preserve">arties bear responsibility for </w:t>
      </w:r>
      <w:r w:rsidR="009C7E8A">
        <w:t>their</w:t>
      </w:r>
      <w:r w:rsidR="00D9551A">
        <w:t xml:space="preserve"> costs associated with an appeal, none of which are reimbursable </w:t>
      </w:r>
      <w:r w:rsidR="005C7B5C">
        <w:t xml:space="preserve">transition </w:t>
      </w:r>
      <w:r w:rsidR="00D9551A">
        <w:t xml:space="preserve">expenses. </w:t>
      </w:r>
    </w:p>
    <w:p w:rsidR="00CF2B0E" w:rsidP="002D0230" w14:paraId="69F4D023" w14:textId="22C9916A">
      <w:pPr>
        <w:numPr>
          <w:ilvl w:val="0"/>
          <w:numId w:val="10"/>
        </w:numPr>
      </w:pPr>
      <w:r>
        <w:t xml:space="preserve">The Bureau will issue </w:t>
      </w:r>
      <w:r w:rsidR="006B4456">
        <w:t>regular</w:t>
      </w:r>
      <w:r>
        <w:t xml:space="preserve"> </w:t>
      </w:r>
      <w:r w:rsidR="00E212FE">
        <w:t>p</w:t>
      </w:r>
      <w:r>
        <w:t xml:space="preserve">ublic </w:t>
      </w:r>
      <w:r w:rsidR="00E212FE">
        <w:t>n</w:t>
      </w:r>
      <w:r>
        <w:t xml:space="preserve">otices setting pleading cycles for </w:t>
      </w:r>
      <w:r w:rsidR="00342106">
        <w:t>any</w:t>
      </w:r>
      <w:r>
        <w:t xml:space="preserve"> single</w:t>
      </w:r>
      <w:r w:rsidR="00ED3CA6">
        <w:t>-</w:t>
      </w:r>
      <w:r>
        <w:t xml:space="preserve">party appeals received </w:t>
      </w:r>
      <w:r w:rsidR="006B4456">
        <w:t>in a given</w:t>
      </w:r>
      <w:r>
        <w:t xml:space="preserve"> week and assign</w:t>
      </w:r>
      <w:r w:rsidR="00342106">
        <w:t>ing</w:t>
      </w:r>
      <w:r>
        <w:t xml:space="preserve"> file numbers</w:t>
      </w:r>
      <w:r w:rsidR="00342106">
        <w:t xml:space="preserve"> to</w:t>
      </w:r>
      <w:r>
        <w:t xml:space="preserve"> </w:t>
      </w:r>
      <w:r w:rsidR="00342106">
        <w:t>each appeal</w:t>
      </w:r>
      <w:r>
        <w:t xml:space="preserve">. </w:t>
      </w:r>
    </w:p>
    <w:p w:rsidR="00CF2B0E" w:rsidP="002D0230" w14:paraId="6FE1C8B2" w14:textId="05BE9A1F">
      <w:pPr>
        <w:pStyle w:val="ListParagraph"/>
        <w:numPr>
          <w:ilvl w:val="0"/>
          <w:numId w:val="10"/>
        </w:numPr>
      </w:pPr>
      <w:r>
        <w:t xml:space="preserve">The Clearinghouse </w:t>
      </w:r>
      <w:r w:rsidR="00342106">
        <w:t xml:space="preserve">will </w:t>
      </w:r>
      <w:r w:rsidR="005B6C8D">
        <w:t>automatically be joined as the opposing</w:t>
      </w:r>
      <w:r w:rsidR="00342106">
        <w:t xml:space="preserve"> party to </w:t>
      </w:r>
      <w:r w:rsidR="006B4456">
        <w:t xml:space="preserve">any </w:t>
      </w:r>
      <w:r w:rsidR="00342106">
        <w:t>such appeal and have</w:t>
      </w:r>
      <w:r>
        <w:t xml:space="preserve"> ten (10) days from the </w:t>
      </w:r>
      <w:r w:rsidR="00D400B5">
        <w:t>date</w:t>
      </w:r>
      <w:r>
        <w:t xml:space="preserve"> of </w:t>
      </w:r>
      <w:r w:rsidR="00E212FE">
        <w:t>any such</w:t>
      </w:r>
      <w:r>
        <w:t xml:space="preserve"> </w:t>
      </w:r>
      <w:r w:rsidR="00E212FE">
        <w:t>p</w:t>
      </w:r>
      <w:r>
        <w:t xml:space="preserve">ublic </w:t>
      </w:r>
      <w:r w:rsidR="009E3CF2">
        <w:t>n</w:t>
      </w:r>
      <w:r>
        <w:t>otice to respond, including the submission of any decisional paperwork</w:t>
      </w:r>
      <w:r w:rsidR="00342106">
        <w:t xml:space="preserve"> or supporting materials</w:t>
      </w:r>
      <w:r>
        <w:t xml:space="preserve">.  </w:t>
      </w:r>
    </w:p>
    <w:p w:rsidR="00CF2B0E" w:rsidP="002D0230" w14:paraId="43DD49C7" w14:textId="1BD0C6DE">
      <w:pPr>
        <w:numPr>
          <w:ilvl w:val="0"/>
          <w:numId w:val="10"/>
        </w:numPr>
      </w:pPr>
      <w:r>
        <w:t xml:space="preserve">The </w:t>
      </w:r>
      <w:r w:rsidR="00342106">
        <w:t>appealing party</w:t>
      </w:r>
      <w:r>
        <w:t xml:space="preserve"> </w:t>
      </w:r>
      <w:r w:rsidR="00BB4F42">
        <w:t xml:space="preserve">will </w:t>
      </w:r>
      <w:r>
        <w:t>ha</w:t>
      </w:r>
      <w:r w:rsidR="00BB4F42">
        <w:t>ve</w:t>
      </w:r>
      <w:r>
        <w:t xml:space="preserve"> five (5) days </w:t>
      </w:r>
      <w:r w:rsidR="00D400B5">
        <w:t xml:space="preserve">thereafter </w:t>
      </w:r>
      <w:r>
        <w:t xml:space="preserve">for any reply.  </w:t>
      </w:r>
      <w:r w:rsidR="002D0230">
        <w:t>Filings by third parties are not permitted.</w:t>
      </w:r>
    </w:p>
    <w:p w:rsidR="00CF2B0E" w:rsidP="002D0230" w14:paraId="1B642D8A" w14:textId="512AD5F1">
      <w:pPr>
        <w:numPr>
          <w:ilvl w:val="0"/>
          <w:numId w:val="10"/>
        </w:numPr>
      </w:pPr>
      <w:r>
        <w:t>All pleadings and documentation relating to an appeal</w:t>
      </w:r>
      <w:r w:rsidRPr="00740C07">
        <w:t xml:space="preserve"> shall be submitted electronically, using the Commission’s Electronic Comment Filing System (ECFS) </w:t>
      </w:r>
      <w:r>
        <w:t xml:space="preserve">in </w:t>
      </w:r>
      <w:r w:rsidR="00ED3CA6">
        <w:t xml:space="preserve">WT </w:t>
      </w:r>
      <w:r>
        <w:t xml:space="preserve">Docket No. 21-333, </w:t>
      </w:r>
      <w:r w:rsidRPr="00740C07">
        <w:t xml:space="preserve">with a copy thereof served electronically on the </w:t>
      </w:r>
      <w:r w:rsidR="0039757B">
        <w:t xml:space="preserve">Clearinghouse as </w:t>
      </w:r>
      <w:r w:rsidRPr="00740C07">
        <w:t xml:space="preserve">opposing party. </w:t>
      </w:r>
      <w:r>
        <w:t xml:space="preserve"> </w:t>
      </w:r>
      <w:r w:rsidRPr="00740C07">
        <w:t xml:space="preserve">These </w:t>
      </w:r>
      <w:r>
        <w:t xml:space="preserve">pleadings and </w:t>
      </w:r>
      <w:r w:rsidRPr="00740C07">
        <w:t xml:space="preserve">documents must also comply with </w:t>
      </w:r>
      <w:r w:rsidR="00BB4F42">
        <w:t>s</w:t>
      </w:r>
      <w:r w:rsidRPr="00740C07">
        <w:t xml:space="preserve">ection 1.49 of the Commission’s rules. </w:t>
      </w:r>
      <w:r>
        <w:t xml:space="preserve"> </w:t>
      </w:r>
    </w:p>
    <w:p w:rsidR="00CF2B0E" w:rsidP="002D0230" w14:paraId="6D33BD3B" w14:textId="02D8F257">
      <w:pPr>
        <w:numPr>
          <w:ilvl w:val="0"/>
          <w:numId w:val="10"/>
        </w:numPr>
      </w:pPr>
      <w:r w:rsidRPr="00640330">
        <w:t xml:space="preserve">The first page of any </w:t>
      </w:r>
      <w:r w:rsidR="00342106">
        <w:t>pleading</w:t>
      </w:r>
      <w:r w:rsidRPr="00640330">
        <w:t xml:space="preserve"> or other document filed by a party shall be captioned with the name and address of the parties</w:t>
      </w:r>
      <w:r w:rsidR="00342106">
        <w:t xml:space="preserve"> </w:t>
      </w:r>
      <w:r w:rsidRPr="00640330">
        <w:t xml:space="preserve">and the file number assigned by </w:t>
      </w:r>
      <w:r w:rsidR="00BB4F42">
        <w:t>the Bureau</w:t>
      </w:r>
      <w:r w:rsidRPr="00640330">
        <w:t>.</w:t>
      </w:r>
    </w:p>
    <w:p w:rsidR="00F528CF" w:rsidP="002D0230" w14:paraId="460312A0" w14:textId="57D5B0E5">
      <w:pPr>
        <w:numPr>
          <w:ilvl w:val="0"/>
          <w:numId w:val="10"/>
        </w:numPr>
      </w:pPr>
      <w:r w:rsidRPr="00640330">
        <w:t>A</w:t>
      </w:r>
      <w:r w:rsidR="004E3457">
        <w:t>ny</w:t>
      </w:r>
      <w:r w:rsidRPr="00640330">
        <w:t xml:space="preserve"> party</w:t>
      </w:r>
      <w:r w:rsidR="006B4456">
        <w:t xml:space="preserve"> </w:t>
      </w:r>
      <w:r w:rsidRPr="00640330">
        <w:t xml:space="preserve">may request confidential treatment of any document, or portion thereof, pursuant to </w:t>
      </w:r>
      <w:r w:rsidR="00BB4F42">
        <w:t>s</w:t>
      </w:r>
      <w:r w:rsidRPr="00640330">
        <w:t>ection 0.459 of the Commission’s rules.</w:t>
      </w:r>
      <w:r>
        <w:rPr>
          <w:rStyle w:val="FootnoteReference"/>
        </w:rPr>
        <w:footnoteReference w:id="21"/>
      </w:r>
    </w:p>
    <w:p w:rsidR="00856468" w:rsidP="002D0230" w14:paraId="518EEF62" w14:textId="3E0C7E64">
      <w:pPr>
        <w:numPr>
          <w:ilvl w:val="0"/>
          <w:numId w:val="10"/>
        </w:numPr>
      </w:pPr>
      <w:r>
        <w:t>The Bureau may, at its discretion, designate the matter for an evidentiary hearing before an Administrative Law Judge</w:t>
      </w:r>
      <w:r w:rsidR="00BF654A">
        <w:t xml:space="preserve">, </w:t>
      </w:r>
      <w:bookmarkStart w:id="3" w:name="_Hlk97034966"/>
      <w:r w:rsidR="00BF654A">
        <w:t>making the Enforcement Bureau a party</w:t>
      </w:r>
      <w:bookmarkEnd w:id="3"/>
      <w:r>
        <w:t>.</w:t>
      </w:r>
      <w:r>
        <w:rPr>
          <w:rStyle w:val="FootnoteReference"/>
        </w:rPr>
        <w:footnoteReference w:id="22"/>
      </w:r>
      <w:r w:rsidRPr="00640330" w:rsidR="00CF2B0E">
        <w:t xml:space="preserve">  </w:t>
      </w:r>
    </w:p>
    <w:p w:rsidR="0036059F" w14:paraId="7A6C0D40" w14:textId="703DACE5"/>
    <w:p w:rsidR="00ED3D44" w:rsidRPr="00E96463" w:rsidP="00161CD8" w14:paraId="7E5C2087" w14:textId="4428C9CC">
      <w:pPr>
        <w:ind w:firstLine="720"/>
      </w:pPr>
      <w:r>
        <w:rPr>
          <w:i/>
          <w:iCs/>
          <w:u w:val="single"/>
        </w:rPr>
        <w:t>Multi-</w:t>
      </w:r>
      <w:r w:rsidR="00CF2B0E">
        <w:rPr>
          <w:i/>
          <w:iCs/>
          <w:u w:val="single"/>
        </w:rPr>
        <w:t>P</w:t>
      </w:r>
      <w:r>
        <w:rPr>
          <w:i/>
          <w:iCs/>
          <w:u w:val="single"/>
        </w:rPr>
        <w:t>arty</w:t>
      </w:r>
      <w:r w:rsidR="0036059F">
        <w:rPr>
          <w:i/>
          <w:iCs/>
          <w:u w:val="single"/>
        </w:rPr>
        <w:t xml:space="preserve"> </w:t>
      </w:r>
      <w:r w:rsidR="00CF2B0E">
        <w:rPr>
          <w:i/>
          <w:iCs/>
          <w:u w:val="single"/>
        </w:rPr>
        <w:t>Disputes</w:t>
      </w:r>
      <w:r w:rsidR="0036059F">
        <w:rPr>
          <w:u w:val="single"/>
        </w:rPr>
        <w:t>:</w:t>
      </w:r>
      <w:r w:rsidR="00900ED1">
        <w:t xml:space="preserve">  If an </w:t>
      </w:r>
      <w:r w:rsidR="009C7E8A">
        <w:t xml:space="preserve">eligible </w:t>
      </w:r>
      <w:r w:rsidR="00900ED1">
        <w:t xml:space="preserve">incumbent claimant or </w:t>
      </w:r>
      <w:r w:rsidR="006C6A33">
        <w:t>eligible</w:t>
      </w:r>
      <w:r w:rsidR="00900ED1">
        <w:t xml:space="preserve"> 3.7 GHz Service Licensee submits a timely objection to the Clearinghouse that is joined by at least one other </w:t>
      </w:r>
      <w:r w:rsidR="009C7E8A">
        <w:t xml:space="preserve">eligible </w:t>
      </w:r>
      <w:r w:rsidR="00900ED1">
        <w:t xml:space="preserve">party, the following process applies:  </w:t>
      </w:r>
    </w:p>
    <w:p w:rsidR="0036059F" w:rsidRPr="0036059F" w14:paraId="7C306BF6" w14:textId="77777777"/>
    <w:p w:rsidR="00D02481" w:rsidP="00027A6E" w14:paraId="0CD2CBB6" w14:textId="17C959E0">
      <w:pPr>
        <w:pStyle w:val="ListParagraph"/>
        <w:numPr>
          <w:ilvl w:val="0"/>
          <w:numId w:val="11"/>
        </w:numPr>
        <w:ind w:left="1080"/>
      </w:pPr>
      <w:r>
        <w:t>Following the filing of timely notices of objection by multiple eligible parties</w:t>
      </w:r>
      <w:r w:rsidR="0006275C">
        <w:t xml:space="preserve"> with the Clearinghouse</w:t>
      </w:r>
      <w:r>
        <w:t xml:space="preserve">, </w:t>
      </w:r>
      <w:r w:rsidR="0006275C">
        <w:t>such parties</w:t>
      </w:r>
      <w:r>
        <w:t xml:space="preserve"> must </w:t>
      </w:r>
      <w:r w:rsidR="0006275C">
        <w:t xml:space="preserve">first </w:t>
      </w:r>
      <w:r>
        <w:t xml:space="preserve">satisfy the </w:t>
      </w:r>
      <w:r w:rsidRPr="00593F9B" w:rsidR="0006275C">
        <w:rPr>
          <w:szCs w:val="22"/>
        </w:rPr>
        <w:t>mediation and arbitration provisions in section 27.1421(b) of the Commission’s rules</w:t>
      </w:r>
      <w:r w:rsidR="0006275C">
        <w:rPr>
          <w:szCs w:val="22"/>
        </w:rPr>
        <w:t>.</w:t>
      </w:r>
      <w:r>
        <w:rPr>
          <w:rStyle w:val="FootnoteReference"/>
          <w:szCs w:val="22"/>
        </w:rPr>
        <w:footnoteReference w:id="23"/>
      </w:r>
      <w:r w:rsidR="0006275C">
        <w:rPr>
          <w:szCs w:val="22"/>
        </w:rPr>
        <w:t xml:space="preserve"> </w:t>
      </w:r>
    </w:p>
    <w:p w:rsidR="00B23FA8" w:rsidP="00027A6E" w14:paraId="1A41A54C" w14:textId="4B9D6E44">
      <w:pPr>
        <w:pStyle w:val="ListParagraph"/>
        <w:numPr>
          <w:ilvl w:val="0"/>
          <w:numId w:val="11"/>
        </w:numPr>
        <w:ind w:left="1080"/>
      </w:pPr>
      <w:r>
        <w:t>Should any issues still remain unresolved</w:t>
      </w:r>
      <w:r w:rsidR="0045616E">
        <w:t xml:space="preserve"> </w:t>
      </w:r>
      <w:r w:rsidRPr="00F71F2A" w:rsidR="0045616E">
        <w:t>and the parties have not opted for arbitration</w:t>
      </w:r>
      <w:r w:rsidR="004E028C">
        <w:t xml:space="preserve"> pursuant to Section 9 of the RPC DRP</w:t>
      </w:r>
      <w:r>
        <w:t>, the</w:t>
      </w:r>
      <w:r w:rsidR="00180AFF">
        <w:t xml:space="preserve"> Clearinghouse may refer the</w:t>
      </w:r>
      <w:r>
        <w:t xml:space="preserve"> ma</w:t>
      </w:r>
      <w:r w:rsidR="009C67EA">
        <w:t xml:space="preserve">tter </w:t>
      </w:r>
      <w:r>
        <w:t>to the Bureau</w:t>
      </w:r>
      <w:r w:rsidR="006F2589">
        <w:t xml:space="preserve"> </w:t>
      </w:r>
      <w:r>
        <w:t xml:space="preserve">within ten </w:t>
      </w:r>
      <w:r w:rsidR="00A70B27">
        <w:t xml:space="preserve">(10) </w:t>
      </w:r>
      <w:r>
        <w:t xml:space="preserve">days of </w:t>
      </w:r>
      <w:r w:rsidR="00A70B27">
        <w:t xml:space="preserve">the </w:t>
      </w:r>
      <w:r>
        <w:t xml:space="preserve">recommended decision or advice of the Clearinghouse </w:t>
      </w:r>
      <w:r w:rsidRPr="005D70D0" w:rsidR="0045616E">
        <w:t>(qua mediator)</w:t>
      </w:r>
      <w:r w:rsidR="0045616E">
        <w:t xml:space="preserve"> </w:t>
      </w:r>
      <w:r>
        <w:t>or other mediator</w:t>
      </w:r>
      <w:r w:rsidR="00884635">
        <w:t>.</w:t>
      </w:r>
      <w:r>
        <w:rPr>
          <w:rStyle w:val="FootnoteReference"/>
        </w:rPr>
        <w:footnoteReference w:id="24"/>
      </w:r>
      <w:r>
        <w:t xml:space="preserve"> </w:t>
      </w:r>
      <w:r w:rsidR="00884635">
        <w:t xml:space="preserve"> </w:t>
      </w:r>
      <w:r w:rsidR="00D400B5">
        <w:t xml:space="preserve">Should all parties elect to seek non-binding expedited arbitration, the same ten (10) day timeframe will be applicable to referral of the matter to the Bureau for review following issuance of a recommended decision or advice from the Clearinghouse </w:t>
      </w:r>
      <w:r w:rsidRPr="005D70D0" w:rsidR="0045616E">
        <w:t>(qua arbitrator)</w:t>
      </w:r>
      <w:r w:rsidR="0045616E">
        <w:t xml:space="preserve"> </w:t>
      </w:r>
      <w:r w:rsidR="00D400B5">
        <w:t>or other arbitrator.</w:t>
      </w:r>
    </w:p>
    <w:p w:rsidR="00653F50" w:rsidP="00027A6E" w14:paraId="1A554749" w14:textId="254E0FE6">
      <w:pPr>
        <w:pStyle w:val="ListParagraph"/>
        <w:numPr>
          <w:ilvl w:val="0"/>
          <w:numId w:val="11"/>
        </w:numPr>
        <w:ind w:left="1080"/>
      </w:pPr>
      <w:r>
        <w:t>T</w:t>
      </w:r>
      <w:r>
        <w:t>he Clearinghouse shall forward the entire record on any disputed issues, including such dispositions thereof that the Clearinghouse has considered.</w:t>
      </w:r>
      <w:r>
        <w:rPr>
          <w:rStyle w:val="FootnoteReference"/>
          <w:szCs w:val="22"/>
        </w:rPr>
        <w:footnoteReference w:id="25"/>
      </w:r>
      <w:r w:rsidR="006F2589">
        <w:t xml:space="preserve">  </w:t>
      </w:r>
      <w:r w:rsidR="00760EB4">
        <w:t>The Bureau will rely on the factual record before it as provided by the Clearinghouse.</w:t>
      </w:r>
      <w:r>
        <w:rPr>
          <w:rStyle w:val="FootnoteReference"/>
        </w:rPr>
        <w:footnoteReference w:id="26"/>
      </w:r>
    </w:p>
    <w:p w:rsidR="00CB6821" w:rsidRPr="00D02481" w:rsidP="00027A6E" w14:paraId="5A08F0EA" w14:textId="211FBA44">
      <w:pPr>
        <w:numPr>
          <w:ilvl w:val="0"/>
          <w:numId w:val="11"/>
        </w:numPr>
        <w:ind w:left="1080"/>
      </w:pPr>
      <w:r>
        <w:t xml:space="preserve">The burden of proof is on each party to demonstrate that their view is correct. </w:t>
      </w:r>
      <w:r w:rsidR="00D400B5">
        <w:t xml:space="preserve"> All eligible parties </w:t>
      </w:r>
      <w:r w:rsidR="00EC39AA">
        <w:t xml:space="preserve">that </w:t>
      </w:r>
      <w:r w:rsidR="00D400B5">
        <w:t xml:space="preserve">filed timely notices of objection with the Clearinghouse and participated in the </w:t>
      </w:r>
      <w:r w:rsidR="00D400B5">
        <w:t xml:space="preserve">underlying mediation or arbitration will </w:t>
      </w:r>
      <w:r w:rsidR="00154A1D">
        <w:t xml:space="preserve">automatically </w:t>
      </w:r>
      <w:r w:rsidR="00D400B5">
        <w:t>be parties to the appeal</w:t>
      </w:r>
      <w:r w:rsidR="00154A1D">
        <w:t xml:space="preserve"> unless they opt out by providing </w:t>
      </w:r>
      <w:r w:rsidR="00735D25">
        <w:t xml:space="preserve">written </w:t>
      </w:r>
      <w:r w:rsidR="00154A1D">
        <w:t>notice to the Bureau as set forth below</w:t>
      </w:r>
      <w:r w:rsidR="00D400B5">
        <w:t>.</w:t>
      </w:r>
      <w:r w:rsidR="005C200B">
        <w:t xml:space="preserve">  </w:t>
      </w:r>
      <w:r w:rsidR="006C6A33">
        <w:t xml:space="preserve">Appealing </w:t>
      </w:r>
      <w:r w:rsidR="00573CFD">
        <w:t>p</w:t>
      </w:r>
      <w:r w:rsidR="005C200B">
        <w:t xml:space="preserve">arties bear responsibility for </w:t>
      </w:r>
      <w:r w:rsidR="00573CFD">
        <w:t>their</w:t>
      </w:r>
      <w:r w:rsidR="005C200B">
        <w:t xml:space="preserve"> costs associated with an appeal, none of which are reimbursable </w:t>
      </w:r>
      <w:r w:rsidR="00573CFD">
        <w:t>transition</w:t>
      </w:r>
      <w:r w:rsidR="005C200B">
        <w:t xml:space="preserve"> expenses. </w:t>
      </w:r>
    </w:p>
    <w:p w:rsidR="004441D4" w:rsidP="00027A6E" w14:paraId="2ADFD096" w14:textId="08A2840C">
      <w:pPr>
        <w:numPr>
          <w:ilvl w:val="0"/>
          <w:numId w:val="11"/>
        </w:numPr>
        <w:ind w:left="1080"/>
      </w:pPr>
      <w:r>
        <w:t xml:space="preserve">The Bureau will issue a </w:t>
      </w:r>
      <w:r w:rsidR="00E212FE">
        <w:t>p</w:t>
      </w:r>
      <w:r>
        <w:t xml:space="preserve">ublic </w:t>
      </w:r>
      <w:r w:rsidR="00E212FE">
        <w:t>n</w:t>
      </w:r>
      <w:r>
        <w:t xml:space="preserve">otice upon receipt of the </w:t>
      </w:r>
      <w:r w:rsidR="00451CCC">
        <w:t xml:space="preserve">record </w:t>
      </w:r>
      <w:r w:rsidR="00F933B2">
        <w:t>from</w:t>
      </w:r>
      <w:r>
        <w:t xml:space="preserve"> the </w:t>
      </w:r>
      <w:r w:rsidR="00884635">
        <w:t xml:space="preserve">Clearinghouse </w:t>
      </w:r>
      <w:r w:rsidR="00E67203">
        <w:t xml:space="preserve">and assign a file number to the </w:t>
      </w:r>
      <w:r w:rsidR="00F933B2">
        <w:t>appeal</w:t>
      </w:r>
      <w:r w:rsidR="00E67203">
        <w:t>.</w:t>
      </w:r>
    </w:p>
    <w:p w:rsidR="009C251C" w:rsidP="00027A6E" w14:paraId="6C5409FA" w14:textId="5C1FDFA8">
      <w:pPr>
        <w:numPr>
          <w:ilvl w:val="0"/>
          <w:numId w:val="11"/>
        </w:numPr>
        <w:ind w:left="1080"/>
      </w:pPr>
      <w:r>
        <w:t>Each</w:t>
      </w:r>
      <w:r w:rsidR="004441D4">
        <w:t xml:space="preserve"> part</w:t>
      </w:r>
      <w:r>
        <w:t>y</w:t>
      </w:r>
      <w:r w:rsidR="004441D4">
        <w:t xml:space="preserve"> ha</w:t>
      </w:r>
      <w:r>
        <w:t>s</w:t>
      </w:r>
      <w:r w:rsidR="004441D4">
        <w:t xml:space="preserve"> </w:t>
      </w:r>
      <w:r w:rsidR="00F670E0">
        <w:t>ten (</w:t>
      </w:r>
      <w:r w:rsidR="004441D4">
        <w:t>10</w:t>
      </w:r>
      <w:r w:rsidR="00F670E0">
        <w:t>)</w:t>
      </w:r>
      <w:r w:rsidR="004441D4">
        <w:t xml:space="preserve"> days from the </w:t>
      </w:r>
      <w:r w:rsidR="00D400B5">
        <w:t xml:space="preserve">date of </w:t>
      </w:r>
      <w:r w:rsidR="00E212FE">
        <w:t>such</w:t>
      </w:r>
      <w:r w:rsidR="00F528CF">
        <w:t xml:space="preserve"> </w:t>
      </w:r>
      <w:r w:rsidR="00E212FE">
        <w:t>p</w:t>
      </w:r>
      <w:r w:rsidR="004441D4">
        <w:t xml:space="preserve">ublic </w:t>
      </w:r>
      <w:r w:rsidR="00E212FE">
        <w:t>n</w:t>
      </w:r>
      <w:r w:rsidR="004441D4">
        <w:t xml:space="preserve">otice to </w:t>
      </w:r>
      <w:r w:rsidR="00154A1D">
        <w:t xml:space="preserve">either </w:t>
      </w:r>
      <w:r w:rsidR="00B22A74">
        <w:t xml:space="preserve">submit </w:t>
      </w:r>
      <w:r w:rsidR="004441D4">
        <w:t>statements of position</w:t>
      </w:r>
      <w:r w:rsidR="00154A1D">
        <w:t xml:space="preserve"> or opt out of the appeal by providing written notice to the Bureau</w:t>
      </w:r>
      <w:r w:rsidR="007D3382">
        <w:t xml:space="preserve">. </w:t>
      </w:r>
      <w:r w:rsidR="004441D4">
        <w:t xml:space="preserve"> </w:t>
      </w:r>
      <w:r w:rsidR="007D3382">
        <w:t xml:space="preserve">Statements shall comply with </w:t>
      </w:r>
      <w:r w:rsidR="00F528CF">
        <w:t>s</w:t>
      </w:r>
      <w:r w:rsidR="007D3382">
        <w:t>ection 1.49 of the Commission’s rules.</w:t>
      </w:r>
      <w:r>
        <w:rPr>
          <w:rStyle w:val="FootnoteReference"/>
        </w:rPr>
        <w:footnoteReference w:id="27"/>
      </w:r>
      <w:r w:rsidR="007D3382">
        <w:t xml:space="preserve"> </w:t>
      </w:r>
      <w:r w:rsidR="00740C07">
        <w:t xml:space="preserve"> </w:t>
      </w:r>
      <w:r w:rsidR="007D3382">
        <w:t xml:space="preserve">Statements must be strictly limited to issues raised in the course of mediation </w:t>
      </w:r>
      <w:r w:rsidR="00F933B2">
        <w:t xml:space="preserve">and/or arbitration </w:t>
      </w:r>
      <w:r w:rsidR="007D3382">
        <w:t xml:space="preserve">and facts contained in the record. </w:t>
      </w:r>
      <w:r w:rsidR="00FC7742">
        <w:t xml:space="preserve"> </w:t>
      </w:r>
      <w:r w:rsidR="00BF654A">
        <w:t>In their statements, p</w:t>
      </w:r>
      <w:r w:rsidR="007D3382">
        <w:t xml:space="preserve">arties may not introduce facts not contained in the record or introduce arguments on issues that were not presented to the mediator </w:t>
      </w:r>
      <w:r w:rsidR="00F933B2">
        <w:t xml:space="preserve">and/or arbitrator </w:t>
      </w:r>
      <w:r w:rsidR="007D3382">
        <w:t xml:space="preserve">for consideration. </w:t>
      </w:r>
      <w:r w:rsidR="00740C07">
        <w:t xml:space="preserve"> </w:t>
      </w:r>
      <w:r w:rsidR="007D3382">
        <w:t>Any material not conforming to the</w:t>
      </w:r>
      <w:r w:rsidR="00CE2934">
        <w:t>se</w:t>
      </w:r>
      <w:r w:rsidR="007D3382">
        <w:t xml:space="preserve"> restrictions will be stricken.</w:t>
      </w:r>
      <w:r w:rsidR="00740C07">
        <w:t xml:space="preserve"> </w:t>
      </w:r>
      <w:r w:rsidR="007D3382">
        <w:t xml:space="preserve"> Reply filings and filings by third parties are not permitted. </w:t>
      </w:r>
      <w:r w:rsidR="00D47F48">
        <w:t xml:space="preserve"> </w:t>
      </w:r>
      <w:r w:rsidR="00D400B5">
        <w:t xml:space="preserve">The Clearinghouse and </w:t>
      </w:r>
      <w:r w:rsidR="006C6A33">
        <w:t xml:space="preserve">any </w:t>
      </w:r>
      <w:r w:rsidR="00D400B5">
        <w:t>p</w:t>
      </w:r>
      <w:r w:rsidR="007D3382">
        <w:t>art</w:t>
      </w:r>
      <w:r w:rsidR="006C6A33">
        <w:t>y to the appeal</w:t>
      </w:r>
      <w:r w:rsidR="007D3382">
        <w:t xml:space="preserve"> may file other documents or pleadings only if specifically requested by the Commission.</w:t>
      </w:r>
    </w:p>
    <w:p w:rsidR="003037A9" w:rsidP="00027A6E" w14:paraId="6119834C" w14:textId="624612C7">
      <w:pPr>
        <w:numPr>
          <w:ilvl w:val="0"/>
          <w:numId w:val="11"/>
        </w:numPr>
        <w:ind w:left="1080"/>
      </w:pPr>
      <w:r w:rsidRPr="00740C07">
        <w:t>Parties’ statements</w:t>
      </w:r>
      <w:r w:rsidR="00154A1D">
        <w:t>,</w:t>
      </w:r>
      <w:r w:rsidRPr="00740C07">
        <w:t xml:space="preserve"> any </w:t>
      </w:r>
      <w:r w:rsidR="008C0834">
        <w:t>record</w:t>
      </w:r>
      <w:r w:rsidRPr="00740C07">
        <w:t xml:space="preserve"> documents</w:t>
      </w:r>
      <w:r w:rsidR="00154A1D">
        <w:t>, and opt out notices</w:t>
      </w:r>
      <w:r w:rsidRPr="00740C07">
        <w:t xml:space="preserve"> shall be submitted electronically, using the Commission’s ECFS </w:t>
      </w:r>
      <w:r>
        <w:t xml:space="preserve">in </w:t>
      </w:r>
      <w:r w:rsidR="00735D25">
        <w:t xml:space="preserve">WT </w:t>
      </w:r>
      <w:r>
        <w:t xml:space="preserve">Docket No. 21-333, </w:t>
      </w:r>
      <w:r w:rsidRPr="00740C07">
        <w:t xml:space="preserve">with a copy thereof served electronically on </w:t>
      </w:r>
      <w:r w:rsidR="008C0834">
        <w:t>any other</w:t>
      </w:r>
      <w:r w:rsidRPr="00740C07">
        <w:t xml:space="preserve"> party</w:t>
      </w:r>
      <w:r w:rsidR="008C0834">
        <w:t xml:space="preserve"> to the appeal</w:t>
      </w:r>
      <w:r w:rsidR="00154A1D">
        <w:t xml:space="preserve"> and the Clearinghouse</w:t>
      </w:r>
      <w:r w:rsidRPr="00740C07">
        <w:t xml:space="preserve">. </w:t>
      </w:r>
      <w:r>
        <w:t xml:space="preserve"> </w:t>
      </w:r>
      <w:r w:rsidRPr="00740C07">
        <w:t xml:space="preserve">These documents must also comply with </w:t>
      </w:r>
      <w:r w:rsidR="00F528CF">
        <w:t>s</w:t>
      </w:r>
      <w:r w:rsidRPr="00740C07">
        <w:t>ection 1.49 of the Commission’s rules.</w:t>
      </w:r>
      <w:r>
        <w:rPr>
          <w:rStyle w:val="FootnoteReference"/>
        </w:rPr>
        <w:footnoteReference w:id="28"/>
      </w:r>
      <w:r w:rsidRPr="00740C07">
        <w:t xml:space="preserve"> </w:t>
      </w:r>
      <w:r>
        <w:t xml:space="preserve"> </w:t>
      </w:r>
    </w:p>
    <w:p w:rsidR="00C10A48" w:rsidP="00027A6E" w14:paraId="6F7B1F31" w14:textId="3BA60A5E">
      <w:pPr>
        <w:numPr>
          <w:ilvl w:val="0"/>
          <w:numId w:val="11"/>
        </w:numPr>
        <w:ind w:left="1080"/>
      </w:pPr>
      <w:r>
        <w:t>The first page of any statement or other document filed by a party shall be captioned with the name and address of the parties</w:t>
      </w:r>
      <w:r w:rsidR="00640330">
        <w:t xml:space="preserve"> </w:t>
      </w:r>
      <w:r>
        <w:t>and the file number assigned by WTB.</w:t>
      </w:r>
    </w:p>
    <w:p w:rsidR="00C10A48" w:rsidP="00027A6E" w14:paraId="616889EB" w14:textId="62D8CD7D">
      <w:pPr>
        <w:numPr>
          <w:ilvl w:val="0"/>
          <w:numId w:val="11"/>
        </w:numPr>
        <w:ind w:left="1080"/>
      </w:pPr>
      <w:bookmarkStart w:id="5" w:name="_Hlk95213201"/>
      <w:r>
        <w:t>The Clearinghouse and a</w:t>
      </w:r>
      <w:r w:rsidR="00CB6821">
        <w:t>ny</w:t>
      </w:r>
      <w:r>
        <w:t xml:space="preserve"> party</w:t>
      </w:r>
      <w:r>
        <w:t xml:space="preserve"> to the appeal </w:t>
      </w:r>
      <w:r>
        <w:t>may request confidential treatment of any document, or portion thereof</w:t>
      </w:r>
      <w:r>
        <w:t>,</w:t>
      </w:r>
      <w:r>
        <w:t xml:space="preserve"> pursuant to </w:t>
      </w:r>
      <w:r w:rsidR="00F528CF">
        <w:t>s</w:t>
      </w:r>
      <w:r>
        <w:t>ection 0.459 of the Commission’s rules.</w:t>
      </w:r>
      <w:r>
        <w:rPr>
          <w:rStyle w:val="FootnoteReference"/>
        </w:rPr>
        <w:footnoteReference w:id="29"/>
      </w:r>
      <w:r>
        <w:t xml:space="preserve">  </w:t>
      </w:r>
    </w:p>
    <w:bookmarkEnd w:id="5"/>
    <w:p w:rsidR="00283DEC" w:rsidP="00027A6E" w14:paraId="471EC782" w14:textId="23F2C9FA">
      <w:pPr>
        <w:numPr>
          <w:ilvl w:val="0"/>
          <w:numId w:val="11"/>
        </w:numPr>
        <w:ind w:left="1080"/>
      </w:pPr>
      <w:r>
        <w:t xml:space="preserve">The Bureau may, at its discretion, </w:t>
      </w:r>
      <w:r w:rsidR="00E3293A">
        <w:t>designate</w:t>
      </w:r>
      <w:r>
        <w:t xml:space="preserve"> the matter for an evidentiary hearing before an Administrative Law Judge</w:t>
      </w:r>
      <w:r w:rsidR="00BF654A">
        <w:t>,</w:t>
      </w:r>
      <w:r w:rsidRPr="00CD4D15" w:rsidR="00BF654A">
        <w:t xml:space="preserve"> </w:t>
      </w:r>
      <w:r w:rsidR="00BF654A">
        <w:t>making the Enforcement Bureau a party</w:t>
      </w:r>
      <w:r>
        <w:t>.</w:t>
      </w:r>
      <w:r>
        <w:rPr>
          <w:rStyle w:val="FootnoteReference"/>
        </w:rPr>
        <w:footnoteReference w:id="30"/>
      </w:r>
    </w:p>
    <w:p w:rsidR="003037A9" w:rsidP="00424871" w14:paraId="7C601251" w14:textId="2AEC6F9F"/>
    <w:p w:rsidR="00593AD0" w:rsidP="00593AD0" w14:paraId="13E3B200" w14:textId="4DD424FE">
      <w:pPr>
        <w:ind w:firstLine="720"/>
      </w:pPr>
      <w:r>
        <w:t>Following a Bureau decision</w:t>
      </w:r>
      <w:r w:rsidR="001D44D8">
        <w:t xml:space="preserve"> in</w:t>
      </w:r>
      <w:r>
        <w:t xml:space="preserve"> </w:t>
      </w:r>
      <w:r w:rsidR="007C30BC">
        <w:t xml:space="preserve">either </w:t>
      </w:r>
      <w:r w:rsidR="00474514">
        <w:t>a</w:t>
      </w:r>
      <w:r w:rsidR="007C30BC">
        <w:t xml:space="preserve"> </w:t>
      </w:r>
      <w:r w:rsidR="00B16AD2">
        <w:t>single</w:t>
      </w:r>
      <w:r w:rsidR="00BF654A">
        <w:t>-</w:t>
      </w:r>
      <w:r w:rsidR="00B16AD2">
        <w:t xml:space="preserve">party </w:t>
      </w:r>
      <w:r w:rsidR="007C30BC">
        <w:t xml:space="preserve">or </w:t>
      </w:r>
      <w:r w:rsidR="00B16AD2">
        <w:t xml:space="preserve">multi-party </w:t>
      </w:r>
      <w:r w:rsidR="00283DEC">
        <w:t>dispute</w:t>
      </w:r>
      <w:r w:rsidR="00B16AD2">
        <w:t xml:space="preserve">, </w:t>
      </w:r>
      <w:r>
        <w:t xml:space="preserve">any party </w:t>
      </w:r>
      <w:r w:rsidR="00F528CF">
        <w:t xml:space="preserve">to a specific matter </w:t>
      </w:r>
      <w:r>
        <w:t xml:space="preserve">wishing to appeal </w:t>
      </w:r>
      <w:r w:rsidR="001D44D8">
        <w:t>that</w:t>
      </w:r>
      <w:r>
        <w:t xml:space="preserve"> decision may do so by filing with the Commission, within ten (10) days of the effective date of the </w:t>
      </w:r>
      <w:r w:rsidR="00283DEC">
        <w:t>Bureau</w:t>
      </w:r>
      <w:r>
        <w:t xml:space="preserve"> decision, a </w:t>
      </w:r>
      <w:r w:rsidR="00F528CF">
        <w:t>p</w:t>
      </w:r>
      <w:r>
        <w:t xml:space="preserve">etition for </w:t>
      </w:r>
      <w:r w:rsidRPr="00117B39">
        <w:rPr>
          <w:i/>
          <w:iCs/>
        </w:rPr>
        <w:t>de novo</w:t>
      </w:r>
      <w:r>
        <w:t xml:space="preserve"> review, whereupon</w:t>
      </w:r>
      <w:r w:rsidR="001D44D8">
        <w:t xml:space="preserve"> the Commission will set</w:t>
      </w:r>
      <w:r>
        <w:t xml:space="preserve"> the matter for an evidentiary hearing before an Administrative Law Judge.</w:t>
      </w:r>
      <w:r>
        <w:rPr>
          <w:rStyle w:val="FootnoteReference"/>
        </w:rPr>
        <w:footnoteReference w:id="31"/>
      </w:r>
      <w:r>
        <w:t xml:space="preserve">  Parties seeking </w:t>
      </w:r>
      <w:r w:rsidRPr="00117B39">
        <w:rPr>
          <w:i/>
          <w:iCs/>
        </w:rPr>
        <w:t>de novo</w:t>
      </w:r>
      <w:r>
        <w:t xml:space="preserve"> review of a decision by the Bureau are advised that, in the course of the evidentiary hearing, the Commission may require complete documentation relevant to any disputed matters, and, where necessary, and at the presiding judge’s discretion, require expert engineering, economic</w:t>
      </w:r>
      <w:r w:rsidR="00962C8F">
        <w:t>,</w:t>
      </w:r>
      <w:r>
        <w:t xml:space="preserve"> or other reports, or testimony</w:t>
      </w:r>
      <w:r w:rsidR="009A70FB">
        <w:t xml:space="preserve">, and that </w:t>
      </w:r>
      <w:r w:rsidR="00DC2576">
        <w:t xml:space="preserve">the cost of producing such documentation is not a reimbursable </w:t>
      </w:r>
      <w:r w:rsidR="00BF654A">
        <w:t xml:space="preserve">transition </w:t>
      </w:r>
      <w:r w:rsidR="00DC2576">
        <w:t>expense</w:t>
      </w:r>
      <w:r>
        <w:t>.</w:t>
      </w:r>
      <w:r>
        <w:rPr>
          <w:rStyle w:val="FootnoteReference"/>
        </w:rPr>
        <w:footnoteReference w:id="32"/>
      </w:r>
      <w:r>
        <w:t xml:space="preserve">  Parties may therefore wish to consider possibly less burdensome and expensive </w:t>
      </w:r>
      <w:r w:rsidR="00835006">
        <w:t xml:space="preserve">means of </w:t>
      </w:r>
      <w:r>
        <w:t>resol</w:t>
      </w:r>
      <w:r w:rsidR="00835006">
        <w:t>ving</w:t>
      </w:r>
      <w:r>
        <w:t xml:space="preserve"> their disputes</w:t>
      </w:r>
      <w:r w:rsidR="00835006">
        <w:t>, such as</w:t>
      </w:r>
      <w:r>
        <w:t xml:space="preserve"> alternative dispute resolution.</w:t>
      </w:r>
      <w:r>
        <w:rPr>
          <w:rStyle w:val="FootnoteReference"/>
        </w:rPr>
        <w:footnoteReference w:id="33"/>
      </w:r>
      <w:r w:rsidR="002B049B">
        <w:t xml:space="preserve"> </w:t>
      </w:r>
    </w:p>
    <w:p w:rsidR="00593AD0" w:rsidP="00593AD0" w14:paraId="75EBFE40" w14:textId="77777777">
      <w:pPr>
        <w:ind w:firstLine="720"/>
      </w:pPr>
    </w:p>
    <w:p w:rsidR="007C035E" w:rsidP="00766F11" w14:paraId="70B4E050" w14:textId="0780182D">
      <w:pPr>
        <w:ind w:firstLine="720"/>
      </w:pPr>
      <w:r>
        <w:t xml:space="preserve">A party to </w:t>
      </w:r>
      <w:r w:rsidR="00E22D2D">
        <w:t>any</w:t>
      </w:r>
      <w:r>
        <w:t xml:space="preserve"> appeal</w:t>
      </w:r>
      <w:r w:rsidR="00FE1C08">
        <w:t>, whether single-party or multi-party,</w:t>
      </w:r>
      <w:r>
        <w:t xml:space="preserve"> must certify in each submission that it attests to the truthfulness of the information </w:t>
      </w:r>
      <w:r w:rsidR="00E22D2D">
        <w:t xml:space="preserve">it is providing </w:t>
      </w:r>
      <w:r>
        <w:t xml:space="preserve">and is making the submission in good faith. </w:t>
      </w:r>
      <w:r w:rsidR="00117B39">
        <w:t xml:space="preserve"> </w:t>
      </w:r>
      <w:r w:rsidR="006B20DA">
        <w:t>We</w:t>
      </w:r>
      <w:r>
        <w:t xml:space="preserve"> remind</w:t>
      </w:r>
      <w:r w:rsidR="006B20DA">
        <w:t xml:space="preserve"> parties of their obligation</w:t>
      </w:r>
      <w:r w:rsidR="00962C8F">
        <w:t xml:space="preserve">s </w:t>
      </w:r>
      <w:r w:rsidR="006B20DA">
        <w:t>under</w:t>
      </w:r>
      <w:r>
        <w:t xml:space="preserve"> section 1.17 of the Commission’s rules</w:t>
      </w:r>
      <w:r w:rsidR="006B20DA">
        <w:t>,</w:t>
      </w:r>
      <w:r>
        <w:t xml:space="preserve"> and </w:t>
      </w:r>
      <w:r w:rsidR="006B20DA">
        <w:t xml:space="preserve">note that </w:t>
      </w:r>
      <w:r>
        <w:t>violators will be subject to potential enforcement action.</w:t>
      </w:r>
      <w:r>
        <w:rPr>
          <w:rStyle w:val="FootnoteReference"/>
        </w:rPr>
        <w:footnoteReference w:id="34"/>
      </w:r>
      <w:r>
        <w:t xml:space="preserve"> </w:t>
      </w:r>
      <w:r w:rsidR="00117B39">
        <w:t xml:space="preserve"> </w:t>
      </w:r>
      <w:r w:rsidR="00766F11">
        <w:t>The Bureau will determine a submission has been made in bad faith if, for example, the submitting party makes a statement that is false and if it finds the party did not use due diligence in providing information that is correct and not misleading to the Commission, including taking appropriate affirmative steps to determine the truthfulness of what is being submitted.</w:t>
      </w:r>
      <w:r>
        <w:rPr>
          <w:rStyle w:val="FootnoteReference"/>
        </w:rPr>
        <w:footnoteReference w:id="35"/>
      </w:r>
    </w:p>
    <w:p w:rsidR="003460B4" w:rsidP="00884635" w14:paraId="711806F2" w14:textId="77777777"/>
    <w:p w:rsidR="00151119" w:rsidRPr="00CC3607" w:rsidP="00151119" w14:paraId="7F04B2D0" w14:textId="456EB309">
      <w:pPr>
        <w:ind w:firstLine="720"/>
      </w:pPr>
      <w:r w:rsidRPr="00151119">
        <w:rPr>
          <w:i/>
          <w:iCs/>
        </w:rPr>
        <w:t xml:space="preserve">Restricted Proceeding.  </w:t>
      </w:r>
      <w:r w:rsidR="00C558B9">
        <w:t>This docket and e</w:t>
      </w:r>
      <w:r w:rsidR="00342106">
        <w:t>ach</w:t>
      </w:r>
      <w:r w:rsidR="002A50D6">
        <w:t xml:space="preserve"> appeal</w:t>
      </w:r>
      <w:r w:rsidRPr="00CC3607">
        <w:t xml:space="preserve"> is a “restricted” proceeding </w:t>
      </w:r>
      <w:r w:rsidR="00F1406A">
        <w:t>under</w:t>
      </w:r>
      <w:r w:rsidRPr="00CC3607">
        <w:t xml:space="preserve"> section 1.1208 of the </w:t>
      </w:r>
      <w:r w:rsidR="00137158">
        <w:t>Commission’s r</w:t>
      </w:r>
      <w:r w:rsidRPr="00CC3607">
        <w:t>ules</w:t>
      </w:r>
      <w:r w:rsidR="00F1406A">
        <w:t>,</w:t>
      </w:r>
      <w:r w:rsidRPr="00CC3607">
        <w:t xml:space="preserve"> and thus </w:t>
      </w:r>
      <w:r w:rsidRPr="00151119">
        <w:rPr>
          <w:i/>
          <w:iCs/>
        </w:rPr>
        <w:t>ex parte</w:t>
      </w:r>
      <w:r w:rsidRPr="00CC3607">
        <w:t xml:space="preserve"> presentations to or from Commission decision-making personnel, including the </w:t>
      </w:r>
      <w:r w:rsidR="00E22D2D">
        <w:t>Chief</w:t>
      </w:r>
      <w:r w:rsidRPr="00CC3607">
        <w:t xml:space="preserve"> </w:t>
      </w:r>
      <w:r>
        <w:t>and</w:t>
      </w:r>
      <w:r w:rsidRPr="00CC3607">
        <w:t xml:space="preserve"> staff of the </w:t>
      </w:r>
      <w:r>
        <w:t>Wireless Telecommunications Bureau</w:t>
      </w:r>
      <w:r w:rsidRPr="00CC3607">
        <w:t xml:space="preserve">, are prohibited, except as otherwise provided in the </w:t>
      </w:r>
      <w:r w:rsidR="00137158">
        <w:t>Commission’s r</w:t>
      </w:r>
      <w:r w:rsidRPr="00CC3607">
        <w:t>ules.</w:t>
      </w:r>
      <w:r>
        <w:rPr>
          <w:rStyle w:val="FootnoteReference"/>
        </w:rPr>
        <w:footnoteReference w:id="36"/>
      </w:r>
    </w:p>
    <w:p w:rsidR="00151119" w:rsidP="00240585" w14:paraId="62EFB78F" w14:textId="77777777">
      <w:pPr>
        <w:ind w:firstLine="720"/>
        <w:rPr>
          <w:i/>
          <w:iCs/>
        </w:rPr>
      </w:pPr>
    </w:p>
    <w:p w:rsidR="00240585" w:rsidP="00240585" w14:paraId="46EF0B95" w14:textId="48D88DE6">
      <w:pPr>
        <w:ind w:firstLine="720"/>
      </w:pPr>
      <w:r>
        <w:rPr>
          <w:i/>
          <w:iCs/>
        </w:rPr>
        <w:t>Filing Requirements.</w:t>
      </w:r>
      <w:r>
        <w:t xml:space="preserve"> All submissions must reference WT Docket No. 21-333. </w:t>
      </w:r>
      <w:r w:rsidR="002A50D6">
        <w:t xml:space="preserve"> </w:t>
      </w:r>
      <w:r>
        <w:t>Submissions may be filed using the Commission’s ECFS.</w:t>
      </w:r>
    </w:p>
    <w:p w:rsidR="00240585" w:rsidP="00240585" w14:paraId="6BB20832" w14:textId="214C3125">
      <w:pPr>
        <w:ind w:firstLine="720"/>
      </w:pPr>
    </w:p>
    <w:p w:rsidR="00240585" w:rsidP="00240585" w14:paraId="03062253" w14:textId="31E6F7B2">
      <w:pPr>
        <w:pStyle w:val="ListParagraph"/>
        <w:numPr>
          <w:ilvl w:val="0"/>
          <w:numId w:val="9"/>
        </w:numPr>
      </w:pPr>
      <w:r>
        <w:t xml:space="preserve">Electronic Filers: Submissions may be filed electronically using the internet by accessing the ECFS: </w:t>
      </w:r>
      <w:hyperlink r:id="rId5" w:history="1">
        <w:r w:rsidRPr="001D5706">
          <w:rPr>
            <w:rStyle w:val="Hyperlink"/>
          </w:rPr>
          <w:t>https://www.fcc.gov/ecfs/</w:t>
        </w:r>
      </w:hyperlink>
      <w:r>
        <w:t>.</w:t>
      </w:r>
    </w:p>
    <w:p w:rsidR="00240585" w:rsidP="00240585" w14:paraId="04B94687" w14:textId="44F33731">
      <w:pPr>
        <w:pStyle w:val="ListParagraph"/>
        <w:numPr>
          <w:ilvl w:val="0"/>
          <w:numId w:val="9"/>
        </w:numPr>
      </w:pPr>
      <w:r>
        <w:t>Paper Filers: Parties who choose to file by paper must file an original and one copy of each filing.</w:t>
      </w:r>
    </w:p>
    <w:p w:rsidR="00240585" w:rsidP="00240585" w14:paraId="4199194F" w14:textId="233E28D9">
      <w:pPr>
        <w:pStyle w:val="ListParagraph"/>
        <w:numPr>
          <w:ilvl w:val="0"/>
          <w:numId w:val="9"/>
        </w:numPr>
      </w:pPr>
      <w:r>
        <w:t>Filings can be sent by commercial courier or by the U.S. Postal Service. All filings must be addressed to the Commission’s Secretary, Office of the Secretary, Federal Communications Commission.</w:t>
      </w:r>
    </w:p>
    <w:p w:rsidR="00240585" w:rsidP="00240585" w14:paraId="3F7E57EA" w14:textId="5FE89ABF">
      <w:pPr>
        <w:pStyle w:val="ListParagraph"/>
        <w:numPr>
          <w:ilvl w:val="1"/>
          <w:numId w:val="9"/>
        </w:numPr>
      </w:pPr>
      <w:r>
        <w:t>Commercial deliveries (other than U.S. Postal Service Express Mail and Priority Mail) must be sent to 9050 Junction Drive, Annapolis Junction, MD 20701.</w:t>
      </w:r>
    </w:p>
    <w:p w:rsidR="00240585" w:rsidP="00240585" w14:paraId="23FD8DA4" w14:textId="22790579">
      <w:pPr>
        <w:pStyle w:val="ListParagraph"/>
        <w:numPr>
          <w:ilvl w:val="1"/>
          <w:numId w:val="9"/>
        </w:numPr>
      </w:pPr>
      <w:r>
        <w:t>U.S. Postal Service First-Class, Express, and Priority mail must be addressed to 45 L ST NE, Washington, DC 20554.</w:t>
      </w:r>
    </w:p>
    <w:p w:rsidR="00240585" w:rsidRPr="00240585" w:rsidP="00240585" w14:paraId="22B1C0E9" w14:textId="652DB861">
      <w:pPr>
        <w:pStyle w:val="ListParagraph"/>
        <w:numPr>
          <w:ilvl w:val="1"/>
          <w:numId w:val="9"/>
        </w:numPr>
        <w:rPr>
          <w:b/>
          <w:bCs/>
        </w:rPr>
      </w:pPr>
      <w:r w:rsidRPr="00240585">
        <w:rPr>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240585">
        <w:rPr>
          <w:b/>
          <w:bCs/>
          <w:i/>
          <w:iCs/>
        </w:rPr>
        <w:t xml:space="preserve">See FCC Announces Closure of FCC </w:t>
      </w:r>
      <w:r w:rsidRPr="00240585">
        <w:rPr>
          <w:b/>
          <w:bCs/>
          <w:i/>
          <w:iCs/>
        </w:rPr>
        <w:t>Headquarters Open Window and Change in Hand-Delivery Policy</w:t>
      </w:r>
      <w:r w:rsidRPr="00240585">
        <w:rPr>
          <w:b/>
          <w:bCs/>
        </w:rPr>
        <w:t xml:space="preserve">, Public Notice, DA 20-304 (March 19, 2020). </w:t>
      </w:r>
      <w:hyperlink r:id="rId6" w:history="1">
        <w:r w:rsidRPr="00240585">
          <w:rPr>
            <w:rStyle w:val="Hyperlink"/>
            <w:b/>
            <w:bCs/>
          </w:rPr>
          <w:t>https://www.fcc.gov/document/fcc-closes-headquarters-open-window-and-changeshand-delivery-policy</w:t>
        </w:r>
      </w:hyperlink>
    </w:p>
    <w:p w:rsidR="0058315E" w:rsidP="0058315E" w14:paraId="4E0A9F21" w14:textId="77777777"/>
    <w:p w:rsidR="0058315E" w:rsidRPr="0058315E" w:rsidP="0058315E" w14:paraId="568749C5" w14:textId="77777777">
      <w:pPr>
        <w:ind w:firstLine="720"/>
        <w:rPr>
          <w:b/>
          <w:bCs/>
        </w:rPr>
      </w:pPr>
      <w:r w:rsidRPr="0058315E">
        <w:rPr>
          <w:b/>
          <w:bCs/>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58315E" w:rsidP="0058315E" w14:paraId="0BA13C7E" w14:textId="77777777">
      <w:pPr>
        <w:ind w:firstLine="720"/>
      </w:pPr>
    </w:p>
    <w:p w:rsidR="00240585" w:rsidP="0058315E" w14:paraId="0E63EC3E" w14:textId="14664C78">
      <w:pPr>
        <w:ind w:firstLine="720"/>
      </w:pPr>
      <w:r w:rsidRPr="0058315E">
        <w:rPr>
          <w:i/>
          <w:iCs/>
        </w:rPr>
        <w:t>People with Disabilities</w:t>
      </w:r>
      <w:r>
        <w:t>: To request materials in accessible formats for people with disabilities (braille, large print, electronic files, audio format), send an e-mail to fcc504@fcc.gov or call the Consumer &amp; Government Affairs Bureau at 202-418-0530 (voice, 202-418-0432 (</w:t>
      </w:r>
      <w:r>
        <w:t>tty</w:t>
      </w:r>
      <w:r>
        <w:t>).</w:t>
      </w:r>
    </w:p>
    <w:p w:rsidR="0058315E" w:rsidP="0058315E" w14:paraId="339040F5" w14:textId="4018B4AC">
      <w:pPr>
        <w:ind w:firstLine="720"/>
      </w:pPr>
    </w:p>
    <w:p w:rsidR="0058315E" w:rsidP="0058315E" w14:paraId="0ED7F0C5" w14:textId="736F8948">
      <w:pPr>
        <w:ind w:firstLine="720"/>
      </w:pPr>
      <w:r w:rsidRPr="0058315E">
        <w:rPr>
          <w:i/>
          <w:iCs/>
        </w:rPr>
        <w:t>Additional Information</w:t>
      </w:r>
      <w:r>
        <w:t xml:space="preserve">. For further information concerning this Public Notice, please contact Susan Mort, Wireless Telecommunications Bureau, (202) 418-2429, </w:t>
      </w:r>
      <w:hyperlink r:id="rId7" w:history="1">
        <w:r w:rsidRPr="001D5706">
          <w:rPr>
            <w:rStyle w:val="Hyperlink"/>
          </w:rPr>
          <w:t>Susan.Mort@fcc.gov</w:t>
        </w:r>
      </w:hyperlink>
      <w:r>
        <w:t>.</w:t>
      </w:r>
    </w:p>
    <w:bookmarkEnd w:id="0"/>
    <w:bookmarkEnd w:id="2"/>
    <w:p w:rsidR="00D420D3" w:rsidRPr="00240585" w:rsidP="0058315E" w14:paraId="2052A48F" w14:textId="736E46FF">
      <w:pPr>
        <w:ind w:firstLine="720"/>
      </w:pPr>
    </w:p>
    <w:sectPr w:rsidSect="0060631A">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905" w14:paraId="11BCAD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091905" w14:paraId="0E6871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905" w14:paraId="4AEBDFF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905" w14:paraId="156ECDEB" w14:textId="6F3A57C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28B8" w14:paraId="53C6CDF3" w14:textId="77777777">
      <w:r>
        <w:separator/>
      </w:r>
    </w:p>
  </w:footnote>
  <w:footnote w:type="continuationSeparator" w:id="1">
    <w:p w:rsidR="003128B8" w14:paraId="4F3C2E81" w14:textId="77777777">
      <w:pPr>
        <w:rPr>
          <w:sz w:val="20"/>
        </w:rPr>
      </w:pPr>
      <w:r>
        <w:rPr>
          <w:sz w:val="20"/>
        </w:rPr>
        <w:t xml:space="preserve">(Continued from previous page)  </w:t>
      </w:r>
      <w:r>
        <w:rPr>
          <w:sz w:val="20"/>
        </w:rPr>
        <w:separator/>
      </w:r>
    </w:p>
  </w:footnote>
  <w:footnote w:type="continuationNotice" w:id="2">
    <w:p w:rsidR="003128B8" w14:paraId="3421B0B5" w14:textId="77777777">
      <w:pPr>
        <w:jc w:val="right"/>
        <w:rPr>
          <w:sz w:val="20"/>
        </w:rPr>
      </w:pPr>
      <w:r>
        <w:rPr>
          <w:sz w:val="20"/>
        </w:rPr>
        <w:t>(continued….)</w:t>
      </w:r>
    </w:p>
  </w:footnote>
  <w:footnote w:id="3">
    <w:p w:rsidR="00854C4F" w:rsidRPr="007F1AF1" w14:paraId="45BD57BA" w14:textId="27063157">
      <w:pPr>
        <w:pStyle w:val="FootnoteText"/>
      </w:pPr>
      <w:r w:rsidRPr="007F1AF1">
        <w:rPr>
          <w:rStyle w:val="FootnoteReference"/>
          <w:sz w:val="20"/>
        </w:rPr>
        <w:footnoteRef/>
      </w:r>
      <w:r w:rsidRPr="007F1AF1">
        <w:t xml:space="preserve"> </w:t>
      </w:r>
      <w:r w:rsidRPr="007F1AF1" w:rsidR="003D1AE3">
        <w:t>47 CFR § 27.1421(b)</w:t>
      </w:r>
      <w:r w:rsidRPr="007F1AF1" w:rsidR="007C19A9">
        <w:t>;</w:t>
      </w:r>
      <w:r w:rsidRPr="007F1AF1" w:rsidR="003D1AE3">
        <w:t xml:space="preserve"> </w:t>
      </w:r>
      <w:r w:rsidRPr="007F1AF1" w:rsidR="007C19A9">
        <w:rPr>
          <w:i/>
          <w:iCs/>
        </w:rPr>
        <w:t>Expanding Flexible Use of the 3.7 to 4.2 GHz Band</w:t>
      </w:r>
      <w:r w:rsidRPr="007F1AF1" w:rsidR="007C19A9">
        <w:t xml:space="preserve">, Report and Order and Proposed Modification, 35 FCC </w:t>
      </w:r>
      <w:r w:rsidRPr="007F1AF1" w:rsidR="007C19A9">
        <w:t>Rcd</w:t>
      </w:r>
      <w:r w:rsidRPr="007F1AF1" w:rsidR="007C19A9">
        <w:t xml:space="preserve"> 2343, 2449, para. 268 (2020)</w:t>
      </w:r>
      <w:r w:rsidRPr="007F1AF1" w:rsidR="001D6318">
        <w:t xml:space="preserve"> (</w:t>
      </w:r>
      <w:r w:rsidRPr="007F1AF1" w:rsidR="001D6318">
        <w:rPr>
          <w:i/>
          <w:iCs/>
        </w:rPr>
        <w:t>3.7 GHz Report and Order</w:t>
      </w:r>
      <w:r w:rsidRPr="007F1AF1" w:rsidR="001D6318">
        <w:t>)</w:t>
      </w:r>
      <w:r w:rsidRPr="007F1AF1" w:rsidR="007C19A9">
        <w:t>.</w:t>
      </w:r>
      <w:r w:rsidRPr="007F1AF1" w:rsidR="000845E7">
        <w:t xml:space="preserve">  WTB adopts these procedures, as directed by the Commission, as part of its oversight of the transition process and to “make further determinations related to reimbursable costs, as necessary, throughout the transition process.”  </w:t>
      </w:r>
      <w:r w:rsidRPr="007F1AF1" w:rsidR="000845E7">
        <w:rPr>
          <w:i/>
          <w:iCs/>
        </w:rPr>
        <w:t>Id.</w:t>
      </w:r>
      <w:r w:rsidRPr="007F1AF1" w:rsidR="000845E7">
        <w:t xml:space="preserve"> at 2448, para. 262; 47 CFR § 27.1412(h).</w:t>
      </w:r>
    </w:p>
  </w:footnote>
  <w:footnote w:id="4">
    <w:p w:rsidR="000845E7" w:rsidRPr="007F1AF1" w14:paraId="366F207C" w14:textId="66BD67F8">
      <w:pPr>
        <w:pStyle w:val="FootnoteText"/>
      </w:pPr>
      <w:r w:rsidRPr="007F1AF1">
        <w:rPr>
          <w:rStyle w:val="FootnoteReference"/>
          <w:sz w:val="20"/>
        </w:rPr>
        <w:footnoteRef/>
      </w:r>
      <w:r w:rsidRPr="007F1AF1">
        <w:t xml:space="preserve"> </w:t>
      </w:r>
      <w:r w:rsidRPr="007F1AF1">
        <w:rPr>
          <w:i/>
          <w:iCs/>
        </w:rPr>
        <w:t>3.7 GHz Report and Order</w:t>
      </w:r>
      <w:r w:rsidRPr="007F1AF1">
        <w:t xml:space="preserve">, 35 FCC </w:t>
      </w:r>
      <w:r w:rsidRPr="007F1AF1">
        <w:t>Rcd</w:t>
      </w:r>
      <w:r w:rsidRPr="007F1AF1">
        <w:t xml:space="preserve"> at 24</w:t>
      </w:r>
      <w:r w:rsidRPr="007F1AF1" w:rsidR="000A5A04">
        <w:t>46</w:t>
      </w:r>
      <w:r w:rsidRPr="007F1AF1" w:rsidR="002B2414">
        <w:t>-47</w:t>
      </w:r>
      <w:r w:rsidRPr="007F1AF1">
        <w:t>, para</w:t>
      </w:r>
      <w:r w:rsidRPr="007F1AF1" w:rsidR="004D1B77">
        <w:t>s</w:t>
      </w:r>
      <w:r w:rsidRPr="007F1AF1">
        <w:t>. 255</w:t>
      </w:r>
      <w:r w:rsidRPr="007F1AF1" w:rsidR="00C4125D">
        <w:t>, 259</w:t>
      </w:r>
      <w:r w:rsidRPr="007F1AF1">
        <w:t>.</w:t>
      </w:r>
    </w:p>
  </w:footnote>
  <w:footnote w:id="5">
    <w:p w:rsidR="00C80B62" w:rsidRPr="007F1AF1" w:rsidP="007206B0" w14:paraId="58E4E578" w14:textId="560E4021">
      <w:pPr>
        <w:pStyle w:val="Default"/>
        <w:spacing w:after="120"/>
        <w:rPr>
          <w:sz w:val="20"/>
          <w:szCs w:val="20"/>
        </w:rPr>
      </w:pPr>
      <w:r w:rsidRPr="007F1AF1">
        <w:rPr>
          <w:rStyle w:val="FootnoteReference"/>
          <w:sz w:val="20"/>
          <w:szCs w:val="20"/>
        </w:rPr>
        <w:footnoteRef/>
      </w:r>
      <w:r w:rsidRPr="007F1AF1">
        <w:rPr>
          <w:sz w:val="20"/>
          <w:szCs w:val="20"/>
        </w:rPr>
        <w:t xml:space="preserve"> </w:t>
      </w:r>
      <w:r w:rsidRPr="007F1AF1" w:rsidR="00EC0180">
        <w:rPr>
          <w:i/>
          <w:iCs/>
          <w:sz w:val="20"/>
          <w:szCs w:val="20"/>
        </w:rPr>
        <w:t>Id</w:t>
      </w:r>
      <w:r w:rsidRPr="007F1AF1" w:rsidR="00EC0180">
        <w:rPr>
          <w:sz w:val="20"/>
          <w:szCs w:val="20"/>
        </w:rPr>
        <w:t>. at 24</w:t>
      </w:r>
      <w:r w:rsidRPr="007F1AF1" w:rsidR="002B2414">
        <w:rPr>
          <w:sz w:val="20"/>
          <w:szCs w:val="20"/>
        </w:rPr>
        <w:t>47</w:t>
      </w:r>
      <w:r w:rsidRPr="007F1AF1" w:rsidR="00EC0180">
        <w:rPr>
          <w:sz w:val="20"/>
          <w:szCs w:val="20"/>
        </w:rPr>
        <w:t>, para. 260 (“</w:t>
      </w:r>
      <w:r w:rsidRPr="007F1AF1">
        <w:rPr>
          <w:sz w:val="20"/>
          <w:szCs w:val="20"/>
        </w:rPr>
        <w:t xml:space="preserve">The Clearinghouse shall review reimbursement requests to determine whether they are reasonable and to ensure they comply with the requirements adopted in this </w:t>
      </w:r>
      <w:r w:rsidRPr="007F1AF1">
        <w:rPr>
          <w:i/>
          <w:iCs/>
          <w:sz w:val="20"/>
          <w:szCs w:val="20"/>
        </w:rPr>
        <w:t>Report and Order</w:t>
      </w:r>
      <w:r w:rsidRPr="007F1AF1">
        <w:rPr>
          <w:sz w:val="20"/>
          <w:szCs w:val="20"/>
        </w:rPr>
        <w:t>. The Clearinghouse shall give parties the opportunity to supplement any reimbursement claims that the Clearinghouse deems deficient.</w:t>
      </w:r>
      <w:r w:rsidRPr="007F1AF1" w:rsidR="00EC0180">
        <w:rPr>
          <w:sz w:val="20"/>
          <w:szCs w:val="20"/>
        </w:rPr>
        <w:t>”).</w:t>
      </w:r>
    </w:p>
  </w:footnote>
  <w:footnote w:id="6">
    <w:p w:rsidR="00CD73A8" w:rsidRPr="007F1AF1" w14:paraId="5F7E1516" w14:textId="0704E40E">
      <w:pPr>
        <w:pStyle w:val="FootnoteText"/>
      </w:pPr>
      <w:r w:rsidRPr="007F1AF1">
        <w:rPr>
          <w:rStyle w:val="FootnoteReference"/>
          <w:sz w:val="20"/>
        </w:rPr>
        <w:footnoteRef/>
      </w:r>
      <w:r w:rsidRPr="007F1AF1">
        <w:t xml:space="preserve"> </w:t>
      </w:r>
      <w:r w:rsidRPr="007F1AF1">
        <w:rPr>
          <w:i/>
          <w:iCs/>
        </w:rPr>
        <w:t>Id</w:t>
      </w:r>
      <w:r w:rsidRPr="007F1AF1">
        <w:t>. at 24</w:t>
      </w:r>
      <w:r w:rsidRPr="007F1AF1" w:rsidR="002B2414">
        <w:t>48</w:t>
      </w:r>
      <w:r w:rsidRPr="007F1AF1">
        <w:t>, para. 263.</w:t>
      </w:r>
    </w:p>
  </w:footnote>
  <w:footnote w:id="7">
    <w:p w:rsidR="007206B0" w:rsidRPr="007F1AF1" w:rsidP="007206B0" w14:paraId="5A8849D5" w14:textId="1E0CFEFD">
      <w:pPr>
        <w:pStyle w:val="FootnoteText"/>
      </w:pPr>
      <w:r w:rsidRPr="007F1AF1">
        <w:rPr>
          <w:rStyle w:val="FootnoteReference"/>
          <w:sz w:val="20"/>
        </w:rPr>
        <w:footnoteRef/>
      </w:r>
      <w:r w:rsidRPr="007F1AF1">
        <w:t xml:space="preserve"> </w:t>
      </w:r>
      <w:r w:rsidRPr="007F1AF1" w:rsidR="00D229CE">
        <w:rPr>
          <w:i/>
          <w:iCs/>
        </w:rPr>
        <w:t>Id.</w:t>
      </w:r>
      <w:r w:rsidRPr="007F1AF1">
        <w:t xml:space="preserve"> at 2449, para. 268-9; 47 CFR § 27.1421(b).</w:t>
      </w:r>
    </w:p>
  </w:footnote>
  <w:footnote w:id="8">
    <w:p w:rsidR="00D229CE" w:rsidRPr="007F1AF1" w14:paraId="17B55096" w14:textId="339F9313">
      <w:pPr>
        <w:pStyle w:val="FootnoteText"/>
      </w:pPr>
      <w:r w:rsidRPr="007F1AF1">
        <w:rPr>
          <w:rStyle w:val="FootnoteReference"/>
          <w:sz w:val="20"/>
        </w:rPr>
        <w:footnoteRef/>
      </w:r>
      <w:r w:rsidRPr="007F1AF1">
        <w:t xml:space="preserve"> </w:t>
      </w:r>
      <w:r w:rsidRPr="007F1AF1">
        <w:rPr>
          <w:i/>
          <w:iCs/>
        </w:rPr>
        <w:t>3.7 GHz Report and Order</w:t>
      </w:r>
      <w:r w:rsidRPr="007F1AF1">
        <w:t xml:space="preserve">, 35 FCC </w:t>
      </w:r>
      <w:r w:rsidRPr="007F1AF1">
        <w:t>Rcd</w:t>
      </w:r>
      <w:r w:rsidRPr="007F1AF1">
        <w:t xml:space="preserve"> at 2449, para. 269.</w:t>
      </w:r>
      <w:r w:rsidRPr="007F1AF1" w:rsidR="00A8005A">
        <w:t xml:space="preserve">  The Bureau previously opened the above-referenced docket in anticipation of such appeals.  </w:t>
      </w:r>
      <w:r w:rsidRPr="007F1AF1" w:rsidR="00A8005A">
        <w:rPr>
          <w:i/>
          <w:iCs/>
        </w:rPr>
        <w:t>See</w:t>
      </w:r>
      <w:r w:rsidRPr="007F1AF1" w:rsidR="00A8005A">
        <w:t xml:space="preserve"> </w:t>
      </w:r>
      <w:r w:rsidRPr="007F1AF1" w:rsidR="00A8005A">
        <w:rPr>
          <w:i/>
          <w:iCs/>
        </w:rPr>
        <w:t>The Wireless Telecommunications Bureau Establishes a New Docket for C-band Relocation Payment Clearinghouse Dispute Referrals and Appeals</w:t>
      </w:r>
      <w:r w:rsidRPr="007F1AF1" w:rsidR="00A8005A">
        <w:t xml:space="preserve">, </w:t>
      </w:r>
      <w:r w:rsidRPr="007F1AF1" w:rsidR="000B4273">
        <w:t xml:space="preserve">WT Docket No. 21-333, </w:t>
      </w:r>
      <w:r w:rsidRPr="007F1AF1" w:rsidR="00A8005A">
        <w:t>Public Notice, DA 21-1014 (Aug. 18, 2021)</w:t>
      </w:r>
      <w:r w:rsidRPr="007F1AF1" w:rsidR="00D335DC">
        <w:t xml:space="preserve"> (</w:t>
      </w:r>
      <w:r w:rsidRPr="007F1AF1" w:rsidR="00D335DC">
        <w:rPr>
          <w:i/>
          <w:iCs/>
        </w:rPr>
        <w:t>Clearinghouse Appeals Docket Public Notice</w:t>
      </w:r>
      <w:r w:rsidRPr="007F1AF1" w:rsidR="00D335DC">
        <w:t xml:space="preserve">).  </w:t>
      </w:r>
    </w:p>
  </w:footnote>
  <w:footnote w:id="9">
    <w:p w:rsidR="00D1214E" w:rsidRPr="00371961" w:rsidP="00D1214E" w14:paraId="21C9210A" w14:textId="282C8CFD">
      <w:pPr>
        <w:pStyle w:val="FootnoteText"/>
      </w:pPr>
      <w:r w:rsidRPr="00371961">
        <w:rPr>
          <w:rStyle w:val="FootnoteReference"/>
          <w:sz w:val="20"/>
        </w:rPr>
        <w:footnoteRef/>
      </w:r>
      <w:r w:rsidRPr="007F1AF1">
        <w:t xml:space="preserve"> </w:t>
      </w:r>
      <w:r w:rsidRPr="007F1AF1" w:rsidR="00642107">
        <w:t xml:space="preserve">47 CFR § 27.1421(a); </w:t>
      </w:r>
      <w:r w:rsidRPr="00371961" w:rsidR="00642107">
        <w:rPr>
          <w:i/>
          <w:iCs/>
        </w:rPr>
        <w:t>see</w:t>
      </w:r>
      <w:r w:rsidRPr="00371961" w:rsidR="00642107">
        <w:t xml:space="preserve"> C-band RPC, </w:t>
      </w:r>
      <w:r w:rsidRPr="00371961" w:rsidR="00642107">
        <w:rPr>
          <w:i/>
          <w:iCs/>
        </w:rPr>
        <w:t>Dispute Resolution Plan</w:t>
      </w:r>
      <w:r w:rsidR="002E5830">
        <w:rPr>
          <w:i/>
          <w:iCs/>
        </w:rPr>
        <w:t xml:space="preserve"> (version 1.2)</w:t>
      </w:r>
      <w:r w:rsidRPr="00371961" w:rsidR="00642107">
        <w:t xml:space="preserve">, available at </w:t>
      </w:r>
      <w:hyperlink r:id="rId1" w:history="1">
        <w:r w:rsidRPr="007F1AF1" w:rsidR="00642107">
          <w:rPr>
            <w:rStyle w:val="Hyperlink"/>
          </w:rPr>
          <w:t>https://cbandrpc.com/resources/</w:t>
        </w:r>
      </w:hyperlink>
      <w:r w:rsidRPr="007F1AF1" w:rsidR="00642107">
        <w:t xml:space="preserve"> (RPC DRP). </w:t>
      </w:r>
      <w:r w:rsidRPr="00371961" w:rsidR="00642107">
        <w:t xml:space="preserve"> </w:t>
      </w:r>
      <w:r w:rsidR="00836936">
        <w:t xml:space="preserve">While version 1.2 of the RPC DRP is </w:t>
      </w:r>
      <w:r w:rsidR="00B73274">
        <w:t xml:space="preserve">the version of the document available at the </w:t>
      </w:r>
      <w:r w:rsidR="007F698D">
        <w:t xml:space="preserve">time of </w:t>
      </w:r>
      <w:r w:rsidR="00B73274">
        <w:t>adoption and release of this Public Notice, p</w:t>
      </w:r>
      <w:r w:rsidR="007870CE">
        <w:t xml:space="preserve">otential appellants should consult the most recent version of the RPC DRP </w:t>
      </w:r>
      <w:r w:rsidR="006412FF">
        <w:t xml:space="preserve">available </w:t>
      </w:r>
      <w:r w:rsidR="007870CE">
        <w:t>at the Clearinghouse’s website</w:t>
      </w:r>
      <w:r w:rsidR="00B73274">
        <w:t xml:space="preserve"> at the time </w:t>
      </w:r>
      <w:r w:rsidR="00B75B70">
        <w:t>their dispute arises</w:t>
      </w:r>
      <w:r w:rsidR="007870CE">
        <w:t>.</w:t>
      </w:r>
    </w:p>
  </w:footnote>
  <w:footnote w:id="10">
    <w:p w:rsidR="00203C21" w:rsidRPr="00371961" w:rsidP="00203C21" w14:paraId="5E0370E8" w14:textId="513439AF">
      <w:pPr>
        <w:pStyle w:val="FootnoteText"/>
      </w:pPr>
      <w:r w:rsidRPr="00371961">
        <w:rPr>
          <w:rStyle w:val="FootnoteReference"/>
          <w:sz w:val="20"/>
        </w:rPr>
        <w:footnoteRef/>
      </w:r>
      <w:r>
        <w:t xml:space="preserve"> Eligible i</w:t>
      </w:r>
      <w:r w:rsidRPr="007F1AF1">
        <w:t xml:space="preserve">ncumbent claimants for </w:t>
      </w:r>
      <w:r w:rsidR="002815F8">
        <w:t>a</w:t>
      </w:r>
      <w:r w:rsidRPr="007F1AF1" w:rsidR="002815F8">
        <w:t xml:space="preserve"> </w:t>
      </w:r>
      <w:r w:rsidRPr="007F1AF1">
        <w:t xml:space="preserve">specific </w:t>
      </w:r>
      <w:r>
        <w:t xml:space="preserve">lump sum or reimbursement </w:t>
      </w:r>
      <w:r w:rsidRPr="007F1AF1">
        <w:t xml:space="preserve">claim can be either an </w:t>
      </w:r>
      <w:r w:rsidRPr="007F1AF1">
        <w:rPr>
          <w:rStyle w:val="markedcontent"/>
          <w:rFonts w:cstheme="minorHAnsi"/>
        </w:rPr>
        <w:t>incu</w:t>
      </w:r>
      <w:r w:rsidRPr="00371961">
        <w:rPr>
          <w:rStyle w:val="markedcontent"/>
          <w:rFonts w:cstheme="minorHAnsi"/>
        </w:rPr>
        <w:t>mbent space station operator, incumbent earth station operator, incumbent fixed service licensee, or a surrogate performing the work on such claim who is authorized by the incumbent to serve as the claimant.  RPC DRP at Section 8.1.1.</w:t>
      </w:r>
    </w:p>
  </w:footnote>
  <w:footnote w:id="11">
    <w:p w:rsidR="00203C21" w14:paraId="3D7ED3B5" w14:textId="70F64227">
      <w:pPr>
        <w:pStyle w:val="FootnoteText"/>
      </w:pPr>
      <w:r>
        <w:rPr>
          <w:rStyle w:val="FootnoteReference"/>
        </w:rPr>
        <w:footnoteRef/>
      </w:r>
      <w:r>
        <w:t xml:space="preserve"> </w:t>
      </w:r>
      <w:r w:rsidR="002815F8">
        <w:t xml:space="preserve">Eligible 3.7 GHz Service Licensees are recipients of statements or invoices from the Clearinghouse </w:t>
      </w:r>
      <w:r w:rsidR="00D76F49">
        <w:t xml:space="preserve">responsible </w:t>
      </w:r>
      <w:r w:rsidR="002815F8">
        <w:t xml:space="preserve">for payment or cost sharing obligations, including but not limited to lump sum or reimbursement claims.  </w:t>
      </w:r>
      <w:r w:rsidRPr="00371961" w:rsidR="002815F8">
        <w:rPr>
          <w:rStyle w:val="markedcontent"/>
          <w:rFonts w:cstheme="minorHAnsi"/>
        </w:rPr>
        <w:t>RPC DRP at Section 8.1.</w:t>
      </w:r>
      <w:r w:rsidR="002815F8">
        <w:rPr>
          <w:rStyle w:val="markedcontent"/>
          <w:rFonts w:cstheme="minorHAnsi"/>
        </w:rPr>
        <w:t>2</w:t>
      </w:r>
      <w:r w:rsidRPr="00371961" w:rsidR="002815F8">
        <w:rPr>
          <w:rStyle w:val="markedcontent"/>
          <w:rFonts w:cstheme="minorHAnsi"/>
        </w:rPr>
        <w:t>.</w:t>
      </w:r>
    </w:p>
  </w:footnote>
  <w:footnote w:id="12">
    <w:p w:rsidR="007870CE" w:rsidRPr="007F1AF1" w:rsidP="007870CE" w14:paraId="5854F949" w14:textId="26380E41">
      <w:pPr>
        <w:pStyle w:val="FootnoteText"/>
      </w:pPr>
      <w:r w:rsidRPr="00E96463">
        <w:rPr>
          <w:rStyle w:val="FootnoteReference"/>
          <w:sz w:val="20"/>
        </w:rPr>
        <w:footnoteRef/>
      </w:r>
      <w:r w:rsidRPr="007F1AF1">
        <w:t xml:space="preserve"> </w:t>
      </w:r>
      <w:r w:rsidRPr="00E96463">
        <w:t xml:space="preserve">RPC DRP at Section 8.1.  </w:t>
      </w:r>
      <w:r w:rsidR="00B75B70">
        <w:t>The date of i</w:t>
      </w:r>
      <w:r w:rsidR="00836936">
        <w:t>nvoice issuance</w:t>
      </w:r>
      <w:r w:rsidR="00AA72ED">
        <w:t xml:space="preserve"> in such cases</w:t>
      </w:r>
      <w:r w:rsidR="00836936">
        <w:t xml:space="preserve"> </w:t>
      </w:r>
      <w:r w:rsidR="00B75B70">
        <w:t>is</w:t>
      </w:r>
      <w:r w:rsidR="00836936">
        <w:t xml:space="preserve"> when </w:t>
      </w:r>
      <w:r w:rsidR="00A32E56">
        <w:t xml:space="preserve">an </w:t>
      </w:r>
      <w:r w:rsidR="00847158">
        <w:t xml:space="preserve">eligible </w:t>
      </w:r>
      <w:r w:rsidR="006412FF">
        <w:t>3.7 GHz Service Licensee receive</w:t>
      </w:r>
      <w:r w:rsidR="00D21921">
        <w:t>s</w:t>
      </w:r>
      <w:r w:rsidR="006412FF">
        <w:t xml:space="preserve"> an invoice</w:t>
      </w:r>
      <w:r w:rsidR="00836936">
        <w:t xml:space="preserve">, </w:t>
      </w:r>
      <w:r w:rsidR="00A32E56">
        <w:t xml:space="preserve">or </w:t>
      </w:r>
      <w:r w:rsidR="00D21921">
        <w:t>the</w:t>
      </w:r>
      <w:r w:rsidR="00847158">
        <w:t xml:space="preserve"> eligible</w:t>
      </w:r>
      <w:r w:rsidR="00D21921">
        <w:t xml:space="preserve"> </w:t>
      </w:r>
      <w:r w:rsidR="00836936">
        <w:t>incumbent claimant either receive</w:t>
      </w:r>
      <w:r w:rsidR="00D21921">
        <w:t>s</w:t>
      </w:r>
      <w:r w:rsidR="00836936">
        <w:t xml:space="preserve"> notice of such invoice, or a copy of the relevant portion relating to </w:t>
      </w:r>
      <w:r w:rsidR="00D21921">
        <w:t xml:space="preserve">its </w:t>
      </w:r>
      <w:r w:rsidR="00836936">
        <w:t xml:space="preserve">lump sum or reimbursement claim. </w:t>
      </w:r>
      <w:r w:rsidR="00ED3CA6">
        <w:t xml:space="preserve"> </w:t>
      </w:r>
      <w:r w:rsidRPr="00D21921" w:rsidR="00D21921">
        <w:rPr>
          <w:i/>
          <w:iCs/>
        </w:rPr>
        <w:t>Id</w:t>
      </w:r>
      <w:r w:rsidR="00D21921">
        <w:t>.</w:t>
      </w:r>
    </w:p>
  </w:footnote>
  <w:footnote w:id="13">
    <w:p w:rsidR="006412FF" w14:paraId="4505E476" w14:textId="7440823F">
      <w:pPr>
        <w:pStyle w:val="FootnoteText"/>
      </w:pPr>
      <w:r>
        <w:rPr>
          <w:rStyle w:val="FootnoteReference"/>
        </w:rPr>
        <w:footnoteRef/>
      </w:r>
      <w:r>
        <w:t xml:space="preserve"> </w:t>
      </w:r>
      <w:r w:rsidRPr="006412FF">
        <w:rPr>
          <w:i/>
          <w:iCs/>
        </w:rPr>
        <w:t>Id</w:t>
      </w:r>
      <w:r>
        <w:t>.</w:t>
      </w:r>
    </w:p>
  </w:footnote>
  <w:footnote w:id="14">
    <w:p w:rsidR="006412FF" w14:paraId="4A9242AC" w14:textId="33446EE6">
      <w:pPr>
        <w:pStyle w:val="FootnoteText"/>
      </w:pPr>
      <w:r>
        <w:rPr>
          <w:rStyle w:val="FootnoteReference"/>
        </w:rPr>
        <w:footnoteRef/>
      </w:r>
      <w:r>
        <w:t xml:space="preserve"> </w:t>
      </w:r>
      <w:r w:rsidR="00836936">
        <w:t>While version 1.2 and earlier iterations of the RPC DRP did not specify this approach to situations where the first notice of objection of a lump sum or reimbursement claim is filed by a</w:t>
      </w:r>
      <w:r w:rsidR="00E420F1">
        <w:t>n eligible</w:t>
      </w:r>
      <w:r w:rsidR="00836936">
        <w:t xml:space="preserve"> 3.7 GHz Service Licensee, we clarify that this guidance is controlling and future versions of the RPC DRP should be revised accordingly.</w:t>
      </w:r>
    </w:p>
  </w:footnote>
  <w:footnote w:id="15">
    <w:p w:rsidR="00B73274" w14:paraId="5AD09721" w14:textId="51215660">
      <w:pPr>
        <w:pStyle w:val="FootnoteText"/>
      </w:pPr>
      <w:r>
        <w:rPr>
          <w:rStyle w:val="FootnoteReference"/>
        </w:rPr>
        <w:footnoteRef/>
      </w:r>
      <w:r>
        <w:t xml:space="preserve"> Section 8.1.2 of RPC DRP enables </w:t>
      </w:r>
      <w:r w:rsidR="00ED3CA6">
        <w:t xml:space="preserve">eligible </w:t>
      </w:r>
      <w:r>
        <w:t xml:space="preserve">3.7 GHz Service Licensees to raise these </w:t>
      </w:r>
      <w:r w:rsidR="00E420F1">
        <w:t xml:space="preserve">other </w:t>
      </w:r>
      <w:r>
        <w:t xml:space="preserve">types of </w:t>
      </w:r>
      <w:r w:rsidR="00E420F1">
        <w:t xml:space="preserve">payment or cost sharing </w:t>
      </w:r>
      <w:r>
        <w:t xml:space="preserve">disputes, whereas </w:t>
      </w:r>
      <w:r w:rsidR="00B75B70">
        <w:t xml:space="preserve">under </w:t>
      </w:r>
      <w:r w:rsidR="0068669B">
        <w:t>S</w:t>
      </w:r>
      <w:r>
        <w:t xml:space="preserve">ection 8.1.1. </w:t>
      </w:r>
      <w:r w:rsidR="00847158">
        <w:t xml:space="preserve">of the RPC DRP, </w:t>
      </w:r>
      <w:r>
        <w:t>i</w:t>
      </w:r>
      <w:r w:rsidRPr="00B73274">
        <w:t xml:space="preserve">ncumbent claimants </w:t>
      </w:r>
      <w:r>
        <w:t xml:space="preserve">are </w:t>
      </w:r>
      <w:r w:rsidR="00847158">
        <w:t xml:space="preserve">only eligible </w:t>
      </w:r>
      <w:r>
        <w:t xml:space="preserve">to raise or participate in </w:t>
      </w:r>
      <w:r w:rsidR="00847158">
        <w:t>disputes involving their own lump sum or reimbursement claims</w:t>
      </w:r>
      <w:r>
        <w:t xml:space="preserve">. </w:t>
      </w:r>
      <w:r w:rsidR="00B75B70">
        <w:t xml:space="preserve"> </w:t>
      </w:r>
      <w:r w:rsidRPr="00E96463" w:rsidR="00847158">
        <w:t>RPC DRP at Section</w:t>
      </w:r>
      <w:r w:rsidR="00847158">
        <w:t>s</w:t>
      </w:r>
      <w:r w:rsidRPr="00E96463" w:rsidR="00847158">
        <w:t xml:space="preserve"> 8.1.</w:t>
      </w:r>
      <w:r w:rsidR="00847158">
        <w:t>1-8.1.2.</w:t>
      </w:r>
      <w:r w:rsidRPr="00E96463" w:rsidR="00847158">
        <w:t xml:space="preserve"> </w:t>
      </w:r>
    </w:p>
  </w:footnote>
  <w:footnote w:id="16">
    <w:p w:rsidR="005C7B5C" w14:paraId="6B54F731" w14:textId="64BF8DBB">
      <w:pPr>
        <w:pStyle w:val="FootnoteText"/>
      </w:pPr>
      <w:r>
        <w:rPr>
          <w:rStyle w:val="FootnoteReference"/>
        </w:rPr>
        <w:footnoteRef/>
      </w:r>
      <w:r>
        <w:t xml:space="preserve"> While version 1.2 and earlier iterations of the RPC DRP did not specify this approach to situations where the first notice of objection of any type of payment or cost sharing decision, other </w:t>
      </w:r>
      <w:r w:rsidR="00AA72ED">
        <w:t xml:space="preserve">than a </w:t>
      </w:r>
      <w:r>
        <w:t>lump sum or reimbursement claim, is filed by one 3.7 GHz Service Licensee, we clarify that this guidance is controlling and future versions of the RPC DRP should be revised accordingly.</w:t>
      </w:r>
      <w:r w:rsidR="003C1744">
        <w:t xml:space="preserve">  </w:t>
      </w:r>
      <w:r w:rsidR="00AA72ED">
        <w:t>E</w:t>
      </w:r>
      <w:r w:rsidR="003C1744">
        <w:t xml:space="preserve">ligible 3.7 GHz Service Licensees for these purposes include any licensee </w:t>
      </w:r>
      <w:r w:rsidR="000217B6">
        <w:t xml:space="preserve">responsible for </w:t>
      </w:r>
      <w:r w:rsidR="005D2BB4">
        <w:rPr>
          <w:rStyle w:val="markedcontent"/>
          <w:rFonts w:cstheme="minorHAnsi"/>
        </w:rPr>
        <w:t>a</w:t>
      </w:r>
      <w:r w:rsidR="00537B5E">
        <w:rPr>
          <w:rStyle w:val="markedcontent"/>
          <w:rFonts w:cstheme="minorHAnsi"/>
        </w:rPr>
        <w:t xml:space="preserve"> statement or invoice, or</w:t>
      </w:r>
      <w:r w:rsidR="00537B5E">
        <w:t xml:space="preserve"> </w:t>
      </w:r>
      <w:r w:rsidR="003C1744">
        <w:t xml:space="preserve">whose payment or cost-sharing obligations would increase as a consequence of the initial objection filed by </w:t>
      </w:r>
      <w:r w:rsidR="00A32E56">
        <w:t>a different</w:t>
      </w:r>
      <w:r w:rsidR="003C1744">
        <w:t xml:space="preserve"> 3.7 GHz Service Licensee.</w:t>
      </w:r>
    </w:p>
  </w:footnote>
  <w:footnote w:id="17">
    <w:p w:rsidR="00774212" w:rsidRPr="00371961" w14:paraId="722ACA7F" w14:textId="1967A1CD">
      <w:pPr>
        <w:pStyle w:val="FootnoteText"/>
      </w:pPr>
      <w:r w:rsidRPr="00371961">
        <w:rPr>
          <w:rStyle w:val="FootnoteReference"/>
          <w:sz w:val="20"/>
        </w:rPr>
        <w:footnoteRef/>
      </w:r>
      <w:r w:rsidRPr="007F1AF1">
        <w:t xml:space="preserve"> </w:t>
      </w:r>
      <w:r w:rsidRPr="00371961" w:rsidR="00A32E56">
        <w:t>RPC DRP</w:t>
      </w:r>
      <w:r w:rsidRPr="007F1AF1" w:rsidR="00A32E56">
        <w:rPr>
          <w:i/>
          <w:iCs/>
        </w:rPr>
        <w:t xml:space="preserve"> </w:t>
      </w:r>
      <w:r w:rsidRPr="00371961" w:rsidR="0020510C">
        <w:t>at Section 8.1.</w:t>
      </w:r>
    </w:p>
  </w:footnote>
  <w:footnote w:id="18">
    <w:p w:rsidR="00593F9B" w:rsidRPr="00371961" w14:paraId="77980C08" w14:textId="224DDECE">
      <w:pPr>
        <w:pStyle w:val="FootnoteText"/>
      </w:pPr>
      <w:r w:rsidRPr="00BF6C59">
        <w:rPr>
          <w:rStyle w:val="FootnoteReference"/>
          <w:sz w:val="20"/>
        </w:rPr>
        <w:footnoteRef/>
      </w:r>
      <w:r w:rsidRPr="007F1AF1">
        <w:t xml:space="preserve"> 47 CFR § 27.1421(b).</w:t>
      </w:r>
    </w:p>
  </w:footnote>
  <w:footnote w:id="19">
    <w:p w:rsidR="005633C8" w:rsidRPr="00371961" w14:paraId="2E98DB37" w14:textId="0F1AA7B2">
      <w:pPr>
        <w:pStyle w:val="FootnoteText"/>
      </w:pPr>
      <w:r w:rsidRPr="00BF6C59">
        <w:rPr>
          <w:rStyle w:val="FootnoteReference"/>
          <w:sz w:val="20"/>
        </w:rPr>
        <w:footnoteRef/>
      </w:r>
      <w:r w:rsidRPr="007F1AF1">
        <w:t xml:space="preserve"> </w:t>
      </w:r>
      <w:r w:rsidRPr="007F1AF1">
        <w:rPr>
          <w:i/>
          <w:iCs/>
        </w:rPr>
        <w:t>See</w:t>
      </w:r>
      <w:r w:rsidRPr="00371961">
        <w:t xml:space="preserve"> RPC DRP at Sections 8.1.1 and 8.1.2 (detailing the types of disputes that incumbent claimants and 3.7 GHz Service Licensee</w:t>
      </w:r>
      <w:r w:rsidRPr="00371961" w:rsidR="00AE56A2">
        <w:t>s</w:t>
      </w:r>
      <w:r w:rsidRPr="00371961">
        <w:t xml:space="preserve"> may raise with the Clearinghouse).</w:t>
      </w:r>
    </w:p>
  </w:footnote>
  <w:footnote w:id="20">
    <w:p w:rsidR="005633C8" w:rsidRPr="00371961" w14:paraId="048430EA" w14:textId="57D72497">
      <w:pPr>
        <w:pStyle w:val="FootnoteText"/>
      </w:pPr>
      <w:r w:rsidRPr="00E96463">
        <w:rPr>
          <w:rStyle w:val="FootnoteReference"/>
          <w:sz w:val="20"/>
        </w:rPr>
        <w:footnoteRef/>
      </w:r>
      <w:r w:rsidRPr="007F1AF1">
        <w:t xml:space="preserve"> For example, in the case of a dispute over the Clearinghouse’s decision on a lump sum or reimbursement claim, the date by which any other eligible party fails to file a timely notice of objection with the Clearinghouse would be </w:t>
      </w:r>
      <w:r w:rsidRPr="00371961" w:rsidR="0090021D">
        <w:t>thirty (</w:t>
      </w:r>
      <w:r w:rsidRPr="00371961">
        <w:t>30</w:t>
      </w:r>
      <w:r w:rsidRPr="00371961" w:rsidR="0090021D">
        <w:t>)</w:t>
      </w:r>
      <w:r w:rsidRPr="00371961">
        <w:t xml:space="preserve"> days after invoice issuance.  </w:t>
      </w:r>
      <w:r w:rsidRPr="00371961" w:rsidR="00E2332F">
        <w:t>RPC DRP at Section 8.1</w:t>
      </w:r>
      <w:r w:rsidRPr="00371961" w:rsidR="00E212FE">
        <w:t>.</w:t>
      </w:r>
      <w:r w:rsidRPr="00371961" w:rsidR="00E2332F">
        <w:t xml:space="preserve">  The appealing party would then have an additional </w:t>
      </w:r>
      <w:r w:rsidRPr="00371961" w:rsidR="0090021D">
        <w:t>thirty (</w:t>
      </w:r>
      <w:r w:rsidRPr="00371961" w:rsidR="00E2332F">
        <w:t>30</w:t>
      </w:r>
      <w:r w:rsidRPr="00371961" w:rsidR="0090021D">
        <w:t>)</w:t>
      </w:r>
      <w:r w:rsidRPr="00371961" w:rsidR="00E2332F">
        <w:t xml:space="preserve"> days from that date to submit its written appeal to the Bureau.  </w:t>
      </w:r>
      <w:r w:rsidR="009B5095">
        <w:t>As clarified above, w</w:t>
      </w:r>
      <w:r w:rsidRPr="00371961" w:rsidR="00E2332F">
        <w:t>here a</w:t>
      </w:r>
      <w:r w:rsidR="006C6A33">
        <w:t>n eligible</w:t>
      </w:r>
      <w:r w:rsidRPr="00371961" w:rsidR="00E2332F">
        <w:t xml:space="preserve"> 3.7 GHz Service Licensee wishes to dispute any other type of payment or cost sharing decision by the Clearinghouse, the date by which any other eligible party fails to file a timely notice of objection with the Clearinghouse would be</w:t>
      </w:r>
      <w:r w:rsidRPr="00371961" w:rsidR="0090021D">
        <w:t xml:space="preserve"> </w:t>
      </w:r>
      <w:r w:rsidR="009B5095">
        <w:t>thirty</w:t>
      </w:r>
      <w:r w:rsidRPr="00371961" w:rsidR="009B5095">
        <w:t xml:space="preserve"> </w:t>
      </w:r>
      <w:r w:rsidRPr="00371961" w:rsidR="0090021D">
        <w:t>(</w:t>
      </w:r>
      <w:r w:rsidR="009B5095">
        <w:t>3</w:t>
      </w:r>
      <w:r w:rsidRPr="00371961" w:rsidR="00E2332F">
        <w:t>0</w:t>
      </w:r>
      <w:r w:rsidRPr="00371961" w:rsidR="0090021D">
        <w:t>)</w:t>
      </w:r>
      <w:r w:rsidRPr="00371961" w:rsidR="00E2332F">
        <w:t xml:space="preserve"> days after </w:t>
      </w:r>
      <w:r w:rsidR="00CA5152">
        <w:t xml:space="preserve">statement or </w:t>
      </w:r>
      <w:r w:rsidRPr="00371961" w:rsidR="00E2332F">
        <w:t xml:space="preserve">invoice issuance.  </w:t>
      </w:r>
      <w:r w:rsidRPr="00B5436B" w:rsidR="008F2F2E">
        <w:t>If no such objections are filed by another eligible party, t</w:t>
      </w:r>
      <w:r w:rsidRPr="00B5436B" w:rsidR="00E2332F">
        <w:t>he appealing party</w:t>
      </w:r>
      <w:r w:rsidRPr="00371961" w:rsidR="00E2332F">
        <w:t xml:space="preserve"> would then have an additional </w:t>
      </w:r>
      <w:r w:rsidRPr="00371961" w:rsidR="0090021D">
        <w:t>thirty (</w:t>
      </w:r>
      <w:r w:rsidRPr="00371961" w:rsidR="00E2332F">
        <w:t>30</w:t>
      </w:r>
      <w:r w:rsidRPr="00371961" w:rsidR="0090021D">
        <w:t>)</w:t>
      </w:r>
      <w:r w:rsidRPr="00371961" w:rsidR="00E2332F">
        <w:t xml:space="preserve"> days from that date to submit its written appeal to the Bureau.  </w:t>
      </w:r>
    </w:p>
  </w:footnote>
  <w:footnote w:id="21">
    <w:p w:rsidR="00CF2B0E" w:rsidRPr="004A5A86" w:rsidP="00CF2B0E" w14:paraId="3D6C807A" w14:textId="77777777">
      <w:pPr>
        <w:widowControl/>
        <w:autoSpaceDE w:val="0"/>
        <w:autoSpaceDN w:val="0"/>
        <w:adjustRightInd w:val="0"/>
        <w:rPr>
          <w:snapToGrid/>
          <w:kern w:val="0"/>
          <w:sz w:val="20"/>
        </w:rPr>
      </w:pPr>
      <w:r w:rsidRPr="00D228B7">
        <w:rPr>
          <w:rStyle w:val="FootnoteReference"/>
          <w:sz w:val="20"/>
        </w:rPr>
        <w:footnoteRef/>
      </w:r>
      <w:r w:rsidRPr="00D228B7">
        <w:rPr>
          <w:sz w:val="20"/>
        </w:rPr>
        <w:t xml:space="preserve"> </w:t>
      </w:r>
      <w:r w:rsidRPr="007F1AF1">
        <w:rPr>
          <w:rFonts w:ascii="TimesNewRoman,Italic" w:hAnsi="TimesNewRoman,Italic" w:cs="TimesNewRoman,Italic"/>
          <w:i/>
          <w:iCs/>
          <w:snapToGrid/>
          <w:kern w:val="0"/>
          <w:sz w:val="20"/>
        </w:rPr>
        <w:t xml:space="preserve">See </w:t>
      </w:r>
      <w:r w:rsidRPr="004A5A86">
        <w:rPr>
          <w:snapToGrid/>
          <w:kern w:val="0"/>
          <w:sz w:val="20"/>
        </w:rPr>
        <w:t>47 CFR § 0.459. Pursuant to earlier instructions regarding the submission of confidential materials during the</w:t>
      </w:r>
    </w:p>
    <w:p w:rsidR="00CF2B0E" w:rsidRPr="004A5A86" w:rsidP="00CF2B0E" w14:paraId="0689AFCD" w14:textId="77777777">
      <w:pPr>
        <w:widowControl/>
        <w:autoSpaceDE w:val="0"/>
        <w:autoSpaceDN w:val="0"/>
        <w:adjustRightInd w:val="0"/>
        <w:rPr>
          <w:snapToGrid/>
          <w:kern w:val="0"/>
          <w:sz w:val="20"/>
        </w:rPr>
      </w:pPr>
      <w:r w:rsidRPr="004A5A86">
        <w:rPr>
          <w:snapToGrid/>
          <w:kern w:val="0"/>
          <w:sz w:val="20"/>
        </w:rPr>
        <w:t>COVID-19 pandemic, filers are directed to contact FCC staff for instructions on how to upload unredacted</w:t>
      </w:r>
    </w:p>
    <w:p w:rsidR="00CF2B0E" w:rsidRPr="004A5A86" w:rsidP="00CF2B0E" w14:paraId="6B29F907" w14:textId="77777777">
      <w:pPr>
        <w:widowControl/>
        <w:autoSpaceDE w:val="0"/>
        <w:autoSpaceDN w:val="0"/>
        <w:adjustRightInd w:val="0"/>
        <w:rPr>
          <w:snapToGrid/>
          <w:kern w:val="0"/>
          <w:sz w:val="20"/>
        </w:rPr>
      </w:pPr>
      <w:r w:rsidRPr="004A5A86">
        <w:rPr>
          <w:snapToGrid/>
          <w:kern w:val="0"/>
          <w:sz w:val="20"/>
        </w:rPr>
        <w:t>confidential submissions via Box. A redacted version of the confidential submission should be filed through ECFS</w:t>
      </w:r>
    </w:p>
    <w:p w:rsidR="00CF2B0E" w:rsidRPr="004A5A86" w:rsidP="00CF2B0E" w14:paraId="44436C2A" w14:textId="77777777">
      <w:pPr>
        <w:widowControl/>
        <w:autoSpaceDE w:val="0"/>
        <w:autoSpaceDN w:val="0"/>
        <w:adjustRightInd w:val="0"/>
        <w:rPr>
          <w:i/>
          <w:iCs/>
          <w:snapToGrid/>
          <w:kern w:val="0"/>
          <w:sz w:val="20"/>
        </w:rPr>
      </w:pPr>
      <w:r w:rsidRPr="004A5A86">
        <w:rPr>
          <w:snapToGrid/>
          <w:kern w:val="0"/>
          <w:sz w:val="20"/>
        </w:rPr>
        <w:t>in the above-referenced docket</w:t>
      </w:r>
      <w:r w:rsidRPr="004A5A86">
        <w:rPr>
          <w:i/>
          <w:iCs/>
          <w:snapToGrid/>
          <w:kern w:val="0"/>
          <w:sz w:val="20"/>
        </w:rPr>
        <w:t>. See FCC Provides Further Instructions Regarding Submission of Confidential</w:t>
      </w:r>
    </w:p>
    <w:p w:rsidR="00CF2B0E" w:rsidRPr="00D228B7" w:rsidP="00CF2B0E" w14:paraId="69997361" w14:textId="00E86C2E">
      <w:pPr>
        <w:widowControl/>
        <w:autoSpaceDE w:val="0"/>
        <w:autoSpaceDN w:val="0"/>
        <w:adjustRightInd w:val="0"/>
        <w:spacing w:after="120"/>
        <w:rPr>
          <w:sz w:val="20"/>
        </w:rPr>
      </w:pPr>
      <w:r w:rsidRPr="004A5A86">
        <w:rPr>
          <w:i/>
          <w:iCs/>
          <w:snapToGrid/>
          <w:kern w:val="0"/>
          <w:sz w:val="20"/>
        </w:rPr>
        <w:t>Materials</w:t>
      </w:r>
      <w:r w:rsidRPr="004A5A86">
        <w:rPr>
          <w:snapToGrid/>
          <w:kern w:val="0"/>
          <w:sz w:val="20"/>
        </w:rPr>
        <w:t xml:space="preserve">, Public Notice, 35 FCC </w:t>
      </w:r>
      <w:r w:rsidRPr="004A5A86">
        <w:rPr>
          <w:snapToGrid/>
          <w:kern w:val="0"/>
          <w:sz w:val="20"/>
        </w:rPr>
        <w:t>Rcd</w:t>
      </w:r>
      <w:r w:rsidRPr="004A5A86">
        <w:rPr>
          <w:snapToGrid/>
          <w:kern w:val="0"/>
          <w:sz w:val="20"/>
        </w:rPr>
        <w:t xml:space="preserve"> 2973 (2020).</w:t>
      </w:r>
    </w:p>
  </w:footnote>
  <w:footnote w:id="22">
    <w:p w:rsidR="00F528CF" w:rsidRPr="00371961" w:rsidP="00F528CF" w14:paraId="18304E92" w14:textId="7F048DE6">
      <w:pPr>
        <w:pStyle w:val="FootnoteText"/>
      </w:pPr>
      <w:r w:rsidRPr="00D228B7">
        <w:rPr>
          <w:rStyle w:val="FootnoteReference"/>
          <w:sz w:val="20"/>
        </w:rPr>
        <w:footnoteRef/>
      </w:r>
      <w:r w:rsidRPr="007F1AF1">
        <w:t xml:space="preserve"> </w:t>
      </w:r>
      <w:r w:rsidRPr="007F1AF1">
        <w:rPr>
          <w:i/>
          <w:iCs/>
        </w:rPr>
        <w:t>3.7 GHz Report and Order</w:t>
      </w:r>
      <w:r w:rsidRPr="007F1AF1">
        <w:t xml:space="preserve">, 35 FCC </w:t>
      </w:r>
      <w:r w:rsidRPr="007F1AF1">
        <w:t>Rcd</w:t>
      </w:r>
      <w:r w:rsidRPr="007F1AF1">
        <w:t xml:space="preserve"> at 2449, para. 269; 47 CFR </w:t>
      </w:r>
      <w:r w:rsidRPr="00371961">
        <w:t>§ 27.1421(c)(2)</w:t>
      </w:r>
      <w:r w:rsidR="00BF654A">
        <w:t xml:space="preserve">; </w:t>
      </w:r>
      <w:bookmarkStart w:id="4" w:name="_Hlk97035028"/>
      <w:r w:rsidR="00BF654A">
        <w:rPr>
          <w:i/>
          <w:iCs/>
        </w:rPr>
        <w:t>see</w:t>
      </w:r>
      <w:r w:rsidR="00BF654A">
        <w:t xml:space="preserve">, </w:t>
      </w:r>
      <w:r w:rsidR="00BF654A">
        <w:rPr>
          <w:i/>
          <w:iCs/>
        </w:rPr>
        <w:t>e.g.</w:t>
      </w:r>
      <w:r w:rsidR="00BF654A">
        <w:t xml:space="preserve">, </w:t>
      </w:r>
      <w:r w:rsidRPr="00972EA3" w:rsidR="00BF654A">
        <w:rPr>
          <w:i/>
          <w:iCs/>
        </w:rPr>
        <w:t>The Tennis Channel, Inc. v. Comcast Cable Communications, LLC</w:t>
      </w:r>
      <w:r w:rsidR="00BF654A">
        <w:t xml:space="preserve">, Hearing Designation Order and Notice of Opportunity for Hearing for Forfeiture, MB Docket No. 10-204, 25 FCC </w:t>
      </w:r>
      <w:r w:rsidR="00BF654A">
        <w:t>Rcd</w:t>
      </w:r>
      <w:r w:rsidR="00BF654A">
        <w:t xml:space="preserve"> 14149, 14165 (MB 2010) (</w:t>
      </w:r>
      <w:r w:rsidR="00BF654A">
        <w:rPr>
          <w:i/>
          <w:iCs/>
        </w:rPr>
        <w:t>Tennis Channel HDO</w:t>
      </w:r>
      <w:r w:rsidR="00BF654A">
        <w:t>) (making the Enforcement Bureau a party with discretion as to the extent of participation)</w:t>
      </w:r>
      <w:bookmarkEnd w:id="4"/>
      <w:r w:rsidRPr="00371961">
        <w:t>.</w:t>
      </w:r>
    </w:p>
  </w:footnote>
  <w:footnote w:id="23">
    <w:p w:rsidR="0006275C" w:rsidRPr="007F1AF1" w14:paraId="176F1C37" w14:textId="06107B45">
      <w:pPr>
        <w:pStyle w:val="FootnoteText"/>
      </w:pPr>
      <w:r w:rsidRPr="00D228B7">
        <w:rPr>
          <w:rStyle w:val="FootnoteReference"/>
          <w:sz w:val="20"/>
        </w:rPr>
        <w:footnoteRef/>
      </w:r>
      <w:r w:rsidRPr="007F1AF1">
        <w:t xml:space="preserve"> As set forth by the Commission, the Clearinghouse may mediate any disputes regarding cost estimates or payments that may arise in the course of band reconfiguration</w:t>
      </w:r>
      <w:r w:rsidRPr="00371961" w:rsidR="00BB4F42">
        <w:t>,</w:t>
      </w:r>
      <w:r w:rsidRPr="00371961">
        <w:t xml:space="preserve"> or refer the disputant parties to alternative dispute resolution fora.  </w:t>
      </w:r>
      <w:r w:rsidRPr="00371961">
        <w:rPr>
          <w:i/>
          <w:iCs/>
        </w:rPr>
        <w:t>3.7 GHz Report and Order</w:t>
      </w:r>
      <w:r w:rsidRPr="00371961">
        <w:t xml:space="preserve">, 35 FCC </w:t>
      </w:r>
      <w:r w:rsidRPr="00371961">
        <w:t>Rcd</w:t>
      </w:r>
      <w:r w:rsidRPr="00371961">
        <w:t xml:space="preserve"> at 2449, para. 268; 47 CFR § 27.1421(b).  Any dispute submitted to the Clearinghouse, or other mediator, shall be decided within </w:t>
      </w:r>
      <w:r w:rsidRPr="00371961" w:rsidR="0090021D">
        <w:t>thirty (</w:t>
      </w:r>
      <w:r w:rsidRPr="00371961">
        <w:t>30</w:t>
      </w:r>
      <w:r w:rsidRPr="00371961" w:rsidR="0090021D">
        <w:t>)</w:t>
      </w:r>
      <w:r w:rsidRPr="00371961">
        <w:t xml:space="preserve"> days after the Clearinghouse has received a submission by one party and a response from the other party.  </w:t>
      </w:r>
      <w:r w:rsidRPr="00371961">
        <w:rPr>
          <w:i/>
          <w:iCs/>
        </w:rPr>
        <w:t>Id</w:t>
      </w:r>
      <w:r w:rsidRPr="00371961">
        <w:t xml:space="preserve">.  After a decision by the mediator, any party in a multi-party dispute may seek expedited non-binding arbitration, which must be completed within </w:t>
      </w:r>
      <w:r w:rsidRPr="00371961" w:rsidR="0090021D">
        <w:t>thirty (</w:t>
      </w:r>
      <w:r w:rsidRPr="00371961">
        <w:t>30</w:t>
      </w:r>
      <w:r w:rsidRPr="00371961" w:rsidR="0090021D">
        <w:t>)</w:t>
      </w:r>
      <w:r w:rsidRPr="00371961">
        <w:t xml:space="preserve"> days of the recommended decision or advice of the Clearinghouse or other mediator.</w:t>
      </w:r>
      <w:r w:rsidRPr="00371961">
        <w:rPr>
          <w:i/>
          <w:iCs/>
        </w:rPr>
        <w:t xml:space="preserve"> </w:t>
      </w:r>
      <w:r w:rsidRPr="00371961" w:rsidR="001A535D">
        <w:rPr>
          <w:i/>
          <w:iCs/>
        </w:rPr>
        <w:t xml:space="preserve"> Id.</w:t>
      </w:r>
      <w:r w:rsidR="00BC4E1F">
        <w:rPr>
          <w:i/>
          <w:iCs/>
        </w:rPr>
        <w:t xml:space="preserve">  See also </w:t>
      </w:r>
      <w:r w:rsidRPr="00154A1D" w:rsidR="00154A1D">
        <w:t>RPC</w:t>
      </w:r>
      <w:r w:rsidR="00154A1D">
        <w:rPr>
          <w:i/>
          <w:iCs/>
        </w:rPr>
        <w:t xml:space="preserve"> </w:t>
      </w:r>
      <w:r w:rsidR="00BC4E1F">
        <w:t xml:space="preserve">DRP </w:t>
      </w:r>
      <w:r w:rsidR="004E028C">
        <w:t>S</w:t>
      </w:r>
      <w:r w:rsidR="00BC4E1F">
        <w:t xml:space="preserve">ections </w:t>
      </w:r>
      <w:r w:rsidR="002D60ED">
        <w:t>8-9.</w:t>
      </w:r>
    </w:p>
  </w:footnote>
  <w:footnote w:id="24">
    <w:p w:rsidR="000B7DA5" w:rsidRPr="00371961" w14:paraId="3976A6E8" w14:textId="03591E49">
      <w:pPr>
        <w:pStyle w:val="FootnoteText"/>
      </w:pPr>
      <w:r w:rsidRPr="00D228B7">
        <w:rPr>
          <w:rStyle w:val="FootnoteReference"/>
          <w:sz w:val="20"/>
        </w:rPr>
        <w:footnoteRef/>
      </w:r>
      <w:r w:rsidRPr="007F1AF1">
        <w:t xml:space="preserve"> </w:t>
      </w:r>
      <w:r w:rsidR="004E028C">
        <w:rPr>
          <w:i/>
          <w:iCs/>
        </w:rPr>
        <w:t xml:space="preserve">See </w:t>
      </w:r>
      <w:r w:rsidRPr="006C6A33" w:rsidR="006C6A33">
        <w:t>RPC</w:t>
      </w:r>
      <w:r w:rsidR="006C6A33">
        <w:rPr>
          <w:i/>
          <w:iCs/>
        </w:rPr>
        <w:t xml:space="preserve"> </w:t>
      </w:r>
      <w:r w:rsidR="004E028C">
        <w:t>DRP Section 9</w:t>
      </w:r>
      <w:r w:rsidR="00573CFD">
        <w:t>;</w:t>
      </w:r>
      <w:r w:rsidR="004E028C">
        <w:t xml:space="preserve"> </w:t>
      </w:r>
      <w:r w:rsidRPr="007F1AF1">
        <w:rPr>
          <w:i/>
          <w:iCs/>
        </w:rPr>
        <w:t>3.7 GHz Report and Order</w:t>
      </w:r>
      <w:r w:rsidRPr="007F1AF1">
        <w:t xml:space="preserve">, 35 FCC </w:t>
      </w:r>
      <w:r w:rsidRPr="007F1AF1">
        <w:t>Rcd</w:t>
      </w:r>
      <w:r w:rsidRPr="007F1AF1">
        <w:t xml:space="preserve"> at </w:t>
      </w:r>
      <w:r w:rsidRPr="00371961">
        <w:t xml:space="preserve">2449, para. 269; 47 CFR § 27.1421(c).  </w:t>
      </w:r>
    </w:p>
  </w:footnote>
  <w:footnote w:id="25">
    <w:p w:rsidR="008C0834" w:rsidRPr="00371961" w:rsidP="008C0834" w14:paraId="6EE41BE6" w14:textId="5274C037">
      <w:pPr>
        <w:pStyle w:val="FootnoteText"/>
      </w:pPr>
      <w:r w:rsidRPr="00D228B7">
        <w:rPr>
          <w:rStyle w:val="FootnoteReference"/>
          <w:sz w:val="20"/>
        </w:rPr>
        <w:footnoteRef/>
      </w:r>
      <w:r w:rsidRPr="007F1AF1">
        <w:t xml:space="preserve"> </w:t>
      </w:r>
      <w:r w:rsidRPr="007F1AF1">
        <w:rPr>
          <w:i/>
          <w:iCs/>
        </w:rPr>
        <w:t>3.7 GHz Report and Order</w:t>
      </w:r>
      <w:r w:rsidRPr="007F1AF1">
        <w:t xml:space="preserve">, 35 FCC </w:t>
      </w:r>
      <w:r w:rsidRPr="007F1AF1">
        <w:t>Rcd</w:t>
      </w:r>
      <w:r w:rsidRPr="007F1AF1">
        <w:t xml:space="preserve"> at </w:t>
      </w:r>
      <w:r w:rsidRPr="00371961">
        <w:t>2449, para. 269 (“[T]he Clearinghouse shall forward the entire record on any disputed issues, including such dispositions thereof that the Clearinghouse has considered. Upon receipt of such record and advice, the Bureau will decide the disputed issues based on the record submitted</w:t>
      </w:r>
      <w:r w:rsidRPr="00371961" w:rsidR="00D7745F">
        <w:t>.</w:t>
      </w:r>
      <w:r w:rsidRPr="00371961">
        <w:t>”)</w:t>
      </w:r>
      <w:r w:rsidRPr="00371961" w:rsidR="0081549D">
        <w:t>;</w:t>
      </w:r>
      <w:r w:rsidRPr="00371961">
        <w:t xml:space="preserve"> </w:t>
      </w:r>
      <w:r w:rsidRPr="00371961" w:rsidR="0081549D">
        <w:rPr>
          <w:i/>
          <w:iCs/>
        </w:rPr>
        <w:t>s</w:t>
      </w:r>
      <w:r w:rsidRPr="00371961">
        <w:rPr>
          <w:i/>
          <w:iCs/>
        </w:rPr>
        <w:t>ee also</w:t>
      </w:r>
      <w:r w:rsidRPr="00371961">
        <w:t xml:space="preserve"> 47 CFR § 27.1421(c)(1).</w:t>
      </w:r>
    </w:p>
  </w:footnote>
  <w:footnote w:id="26">
    <w:p w:rsidR="00F933B2" w:rsidRPr="00371961" w:rsidP="00F933B2" w14:paraId="2DA5C8A2" w14:textId="4697123C">
      <w:pPr>
        <w:pStyle w:val="FootnoteText"/>
      </w:pPr>
      <w:r w:rsidRPr="00D228B7">
        <w:rPr>
          <w:rStyle w:val="FootnoteReference"/>
          <w:sz w:val="20"/>
        </w:rPr>
        <w:footnoteRef/>
      </w:r>
      <w:r w:rsidRPr="007F1AF1">
        <w:t xml:space="preserve"> </w:t>
      </w:r>
      <w:r w:rsidRPr="007F1AF1" w:rsidR="00283DEC">
        <w:rPr>
          <w:i/>
          <w:iCs/>
        </w:rPr>
        <w:t>3.7 GHz Report and Orde</w:t>
      </w:r>
      <w:r w:rsidRPr="007F1AF1" w:rsidR="00B07FA3">
        <w:rPr>
          <w:i/>
          <w:iCs/>
        </w:rPr>
        <w:t>r</w:t>
      </w:r>
      <w:r w:rsidRPr="00371961" w:rsidR="003D7B8E">
        <w:t xml:space="preserve">, 35 FCC </w:t>
      </w:r>
      <w:r w:rsidRPr="00371961" w:rsidR="003D7B8E">
        <w:t>Rcd</w:t>
      </w:r>
      <w:r w:rsidRPr="00371961" w:rsidR="00E3293A">
        <w:t xml:space="preserve"> </w:t>
      </w:r>
      <w:r w:rsidRPr="00371961">
        <w:t>at 2449, para. 269; 47 CFR § 27.1421(c)</w:t>
      </w:r>
      <w:r w:rsidRPr="00371961" w:rsidR="008C0834">
        <w:t>(2)</w:t>
      </w:r>
      <w:r w:rsidRPr="00371961">
        <w:t>.</w:t>
      </w:r>
    </w:p>
  </w:footnote>
  <w:footnote w:id="27">
    <w:p w:rsidR="007D3382" w:rsidRPr="00371961" w14:paraId="38314955" w14:textId="2CA35127">
      <w:pPr>
        <w:pStyle w:val="FootnoteText"/>
      </w:pPr>
      <w:r w:rsidRPr="00D228B7">
        <w:rPr>
          <w:rStyle w:val="FootnoteReference"/>
          <w:sz w:val="20"/>
        </w:rPr>
        <w:footnoteRef/>
      </w:r>
      <w:r w:rsidRPr="007F1AF1">
        <w:rPr>
          <w:i/>
          <w:iCs/>
        </w:rPr>
        <w:t xml:space="preserve"> See</w:t>
      </w:r>
      <w:r w:rsidRPr="007F1AF1">
        <w:t xml:space="preserve"> 47 CFR § 1.49 (specifying the typographical parameters of pleadings filed with the Commission)</w:t>
      </w:r>
      <w:r w:rsidRPr="007F1AF1" w:rsidR="00970863">
        <w:t>.</w:t>
      </w:r>
    </w:p>
  </w:footnote>
  <w:footnote w:id="28">
    <w:p w:rsidR="00F02092" w:rsidRPr="007F1AF1" w14:paraId="4DCFD973" w14:textId="63C57E28">
      <w:pPr>
        <w:pStyle w:val="FootnoteText"/>
      </w:pPr>
      <w:r w:rsidRPr="00D228B7">
        <w:rPr>
          <w:rStyle w:val="FootnoteReference"/>
          <w:sz w:val="20"/>
        </w:rPr>
        <w:footnoteRef/>
      </w:r>
      <w:r w:rsidRPr="007F1AF1">
        <w:t xml:space="preserve"> </w:t>
      </w:r>
      <w:r w:rsidRPr="007F1AF1">
        <w:rPr>
          <w:i/>
          <w:iCs/>
        </w:rPr>
        <w:t>Id.</w:t>
      </w:r>
    </w:p>
  </w:footnote>
  <w:footnote w:id="29">
    <w:p w:rsidR="00C10A48" w:rsidRPr="00394E64" w:rsidP="00C10A48" w14:paraId="027FE49A" w14:textId="77777777">
      <w:pPr>
        <w:widowControl/>
        <w:autoSpaceDE w:val="0"/>
        <w:autoSpaceDN w:val="0"/>
        <w:adjustRightInd w:val="0"/>
        <w:rPr>
          <w:snapToGrid/>
          <w:kern w:val="0"/>
          <w:sz w:val="20"/>
        </w:rPr>
      </w:pPr>
      <w:r w:rsidRPr="00D228B7">
        <w:rPr>
          <w:rStyle w:val="FootnoteReference"/>
          <w:sz w:val="20"/>
        </w:rPr>
        <w:footnoteRef/>
      </w:r>
      <w:r w:rsidRPr="00D228B7">
        <w:rPr>
          <w:sz w:val="20"/>
        </w:rPr>
        <w:t xml:space="preserve"> </w:t>
      </w:r>
      <w:r w:rsidRPr="00394E64">
        <w:rPr>
          <w:i/>
          <w:iCs/>
          <w:snapToGrid/>
          <w:kern w:val="0"/>
          <w:sz w:val="20"/>
        </w:rPr>
        <w:t xml:space="preserve">See </w:t>
      </w:r>
      <w:r w:rsidRPr="00394E64">
        <w:rPr>
          <w:snapToGrid/>
          <w:kern w:val="0"/>
          <w:sz w:val="20"/>
        </w:rPr>
        <w:t>47 CFR § 0.459 (governing requests that materials or information submitted to the Commission be withheld</w:t>
      </w:r>
    </w:p>
    <w:p w:rsidR="00C10A48" w:rsidRPr="00371961" w:rsidP="00C10A48" w14:paraId="7F718E74" w14:textId="106D1857">
      <w:pPr>
        <w:pStyle w:val="FootnoteText"/>
      </w:pPr>
      <w:r w:rsidRPr="00394E64">
        <w:t>from public inspection)</w:t>
      </w:r>
      <w:r w:rsidRPr="00394E64" w:rsidR="00970863">
        <w:t>.</w:t>
      </w:r>
    </w:p>
  </w:footnote>
  <w:footnote w:id="30">
    <w:p w:rsidR="00283DEC" w:rsidRPr="00371961" w14:paraId="4AFD43CC" w14:textId="2622214B">
      <w:pPr>
        <w:pStyle w:val="FootnoteText"/>
      </w:pPr>
      <w:r w:rsidRPr="00D228B7">
        <w:rPr>
          <w:rStyle w:val="FootnoteReference"/>
          <w:sz w:val="20"/>
        </w:rPr>
        <w:footnoteRef/>
      </w:r>
      <w:r w:rsidRPr="007F1AF1">
        <w:t xml:space="preserve"> </w:t>
      </w:r>
      <w:r w:rsidRPr="007F1AF1" w:rsidR="00E3293A">
        <w:rPr>
          <w:i/>
          <w:iCs/>
        </w:rPr>
        <w:t>3.7 GHz Report and Order</w:t>
      </w:r>
      <w:r w:rsidRPr="007F1AF1" w:rsidR="003D7B8E">
        <w:t xml:space="preserve">, 35 FCC </w:t>
      </w:r>
      <w:r w:rsidRPr="007F1AF1" w:rsidR="003D7B8E">
        <w:t>Rcd</w:t>
      </w:r>
      <w:r w:rsidRPr="00371961" w:rsidR="00E3293A">
        <w:t xml:space="preserve"> </w:t>
      </w:r>
      <w:r w:rsidRPr="00371961">
        <w:t>at 2449, para. 269; 47 CFR § 27.1421(c)(2)</w:t>
      </w:r>
      <w:r w:rsidR="00BF654A">
        <w:t>;</w:t>
      </w:r>
      <w:r w:rsidRPr="00CD4D15" w:rsidR="00BF654A">
        <w:rPr>
          <w:i/>
          <w:iCs/>
        </w:rPr>
        <w:t xml:space="preserve"> </w:t>
      </w:r>
      <w:r w:rsidR="00BF654A">
        <w:rPr>
          <w:i/>
          <w:iCs/>
        </w:rPr>
        <w:t>see</w:t>
      </w:r>
      <w:r w:rsidR="00BF654A">
        <w:t xml:space="preserve">, </w:t>
      </w:r>
      <w:r w:rsidR="00BF654A">
        <w:rPr>
          <w:i/>
          <w:iCs/>
        </w:rPr>
        <w:t>e.g.</w:t>
      </w:r>
      <w:r w:rsidR="00BF654A">
        <w:t xml:space="preserve">, </w:t>
      </w:r>
      <w:r w:rsidRPr="00C9614A" w:rsidR="00BF654A">
        <w:rPr>
          <w:i/>
          <w:iCs/>
        </w:rPr>
        <w:t>Tennis Channel</w:t>
      </w:r>
      <w:r w:rsidR="00BF654A">
        <w:rPr>
          <w:i/>
          <w:iCs/>
        </w:rPr>
        <w:t xml:space="preserve"> HDO</w:t>
      </w:r>
      <w:r w:rsidR="00BF654A">
        <w:t xml:space="preserve">, 25 FCC </w:t>
      </w:r>
      <w:r w:rsidR="00BF654A">
        <w:t>Rcd</w:t>
      </w:r>
      <w:r w:rsidR="00BF654A">
        <w:t xml:space="preserve"> at 14165</w:t>
      </w:r>
      <w:r w:rsidRPr="00371961">
        <w:t>.</w:t>
      </w:r>
    </w:p>
  </w:footnote>
  <w:footnote w:id="31">
    <w:p w:rsidR="00593AD0" w:rsidRPr="00371961" w:rsidP="00593AD0" w14:paraId="57650428" w14:textId="2EFC9220">
      <w:pPr>
        <w:pStyle w:val="FootnoteText"/>
      </w:pPr>
      <w:r w:rsidRPr="00D228B7">
        <w:rPr>
          <w:rStyle w:val="FootnoteReference"/>
          <w:sz w:val="20"/>
        </w:rPr>
        <w:footnoteRef/>
      </w:r>
      <w:r w:rsidRPr="007F1AF1">
        <w:t xml:space="preserve"> </w:t>
      </w:r>
      <w:r w:rsidRPr="00394E64">
        <w:rPr>
          <w:i/>
          <w:iCs/>
        </w:rPr>
        <w:t>3.7 GHz Report and Order</w:t>
      </w:r>
      <w:r w:rsidRPr="00394E64" w:rsidR="003D7B8E">
        <w:t>,</w:t>
      </w:r>
      <w:r w:rsidRPr="00394E64">
        <w:t xml:space="preserve"> </w:t>
      </w:r>
      <w:r w:rsidRPr="00394E64" w:rsidR="004254E2">
        <w:t xml:space="preserve">35 FCC </w:t>
      </w:r>
      <w:r w:rsidRPr="00394E64" w:rsidR="004254E2">
        <w:t>Rcd</w:t>
      </w:r>
      <w:r w:rsidRPr="00394E64">
        <w:t xml:space="preserve"> at 2449-50</w:t>
      </w:r>
      <w:r w:rsidRPr="00394E64" w:rsidR="00C05FC7">
        <w:t>,</w:t>
      </w:r>
      <w:r w:rsidRPr="00394E64">
        <w:t xml:space="preserve"> para</w:t>
      </w:r>
      <w:r w:rsidRPr="00394E64" w:rsidR="00FA530B">
        <w:t>.</w:t>
      </w:r>
      <w:r w:rsidRPr="00394E64">
        <w:t xml:space="preserve"> 269</w:t>
      </w:r>
      <w:r w:rsidRPr="00394E64" w:rsidR="002A50D6">
        <w:t>; 47 CFR § 27.1421(c)</w:t>
      </w:r>
      <w:r w:rsidRPr="00394E64" w:rsidR="00E3293A">
        <w:t>(2)</w:t>
      </w:r>
      <w:r w:rsidRPr="00394E64" w:rsidR="000259C0">
        <w:t xml:space="preserve">; </w:t>
      </w:r>
      <w:r w:rsidRPr="00394E64" w:rsidR="000259C0">
        <w:rPr>
          <w:i/>
          <w:iCs/>
        </w:rPr>
        <w:t xml:space="preserve">see also </w:t>
      </w:r>
      <w:r w:rsidRPr="00394E64" w:rsidR="000259C0">
        <w:t xml:space="preserve">47 CFR § </w:t>
      </w:r>
      <w:r w:rsidRPr="00394E64" w:rsidR="00C90627">
        <w:t>1.115</w:t>
      </w:r>
      <w:r w:rsidRPr="00394E64" w:rsidR="002A50D6">
        <w:t>.</w:t>
      </w:r>
    </w:p>
  </w:footnote>
  <w:footnote w:id="32">
    <w:p w:rsidR="00593AD0" w:rsidRPr="00371961" w:rsidP="00593AD0" w14:paraId="595D4AA5" w14:textId="3138086E">
      <w:pPr>
        <w:pStyle w:val="FootnoteText"/>
      </w:pPr>
      <w:r w:rsidRPr="00D228B7">
        <w:rPr>
          <w:rStyle w:val="FootnoteReference"/>
          <w:sz w:val="20"/>
        </w:rPr>
        <w:footnoteRef/>
      </w:r>
      <w:r w:rsidRPr="007F1AF1">
        <w:t xml:space="preserve"> </w:t>
      </w:r>
      <w:r w:rsidRPr="00371961" w:rsidR="000C2E18">
        <w:rPr>
          <w:i/>
          <w:iCs/>
        </w:rPr>
        <w:t>3.7 GHz Report and Order</w:t>
      </w:r>
      <w:r w:rsidRPr="00371961" w:rsidR="000C2E18">
        <w:t xml:space="preserve">, 35 FCC </w:t>
      </w:r>
      <w:r w:rsidRPr="00371961" w:rsidR="000C2E18">
        <w:t>Rcd</w:t>
      </w:r>
      <w:r w:rsidRPr="00371961" w:rsidR="000C2E18">
        <w:t xml:space="preserve"> at 2449-50, para</w:t>
      </w:r>
      <w:r w:rsidRPr="00371961" w:rsidR="00137158">
        <w:t>.</w:t>
      </w:r>
      <w:r w:rsidRPr="00371961" w:rsidR="000C2E18">
        <w:t xml:space="preserve"> 269. </w:t>
      </w:r>
      <w:r w:rsidRPr="00371961">
        <w:t xml:space="preserve"> </w:t>
      </w:r>
    </w:p>
  </w:footnote>
  <w:footnote w:id="33">
    <w:p w:rsidR="00593AD0" w:rsidRPr="00371961" w:rsidP="00593AD0" w14:paraId="6B058D28" w14:textId="377D00DF">
      <w:pPr>
        <w:pStyle w:val="FootnoteText"/>
      </w:pPr>
      <w:r w:rsidRPr="00D228B7">
        <w:rPr>
          <w:rStyle w:val="FootnoteReference"/>
          <w:sz w:val="20"/>
        </w:rPr>
        <w:footnoteRef/>
      </w:r>
      <w:r w:rsidRPr="007F1AF1">
        <w:t xml:space="preserve"> </w:t>
      </w:r>
      <w:r w:rsidRPr="00394E64" w:rsidR="001A47AF">
        <w:rPr>
          <w:i/>
          <w:iCs/>
        </w:rPr>
        <w:t>3.7 GHz Report and Order</w:t>
      </w:r>
      <w:r w:rsidRPr="00394E64" w:rsidR="001A47AF">
        <w:t xml:space="preserve">, 35 FCC </w:t>
      </w:r>
      <w:r w:rsidRPr="00394E64" w:rsidR="001A47AF">
        <w:t>Rcd</w:t>
      </w:r>
      <w:r w:rsidRPr="00394E64" w:rsidR="001A47AF">
        <w:t xml:space="preserve"> at 2449-50 at para</w:t>
      </w:r>
      <w:r w:rsidRPr="00394E64" w:rsidR="00137158">
        <w:t>.</w:t>
      </w:r>
      <w:r w:rsidRPr="00394E64" w:rsidR="001A47AF">
        <w:t xml:space="preserve"> 269; 47 CFR § 27.1421(c)</w:t>
      </w:r>
      <w:r w:rsidRPr="00394E64" w:rsidR="008752C8">
        <w:t>(3</w:t>
      </w:r>
      <w:r w:rsidRPr="00394E64" w:rsidR="001A47AF">
        <w:t>).</w:t>
      </w:r>
      <w:r w:rsidRPr="00371961">
        <w:t xml:space="preserve"> </w:t>
      </w:r>
    </w:p>
  </w:footnote>
  <w:footnote w:id="34">
    <w:p w:rsidR="00240585" w:rsidRPr="00371961" w:rsidP="00240585" w14:paraId="73EC367A" w14:textId="002E744B">
      <w:pPr>
        <w:pStyle w:val="FootnoteText"/>
        <w:spacing w:after="0"/>
      </w:pPr>
      <w:r w:rsidRPr="00D228B7">
        <w:rPr>
          <w:rStyle w:val="FootnoteReference"/>
          <w:sz w:val="20"/>
        </w:rPr>
        <w:footnoteRef/>
      </w:r>
      <w:r w:rsidRPr="007F1AF1">
        <w:t xml:space="preserve"> No entity may “in any written statement of fact, provide material factual information that is incorrect or omit material information that is necessary to prevent any material </w:t>
      </w:r>
      <w:r w:rsidRPr="00371961">
        <w:t>factual statement that is made from being incorrect or misleading without a reasonable basis for believing that any such material factual statement is correct and not</w:t>
      </w:r>
    </w:p>
    <w:p w:rsidR="00240585" w:rsidRPr="00371961" w:rsidP="00240585" w14:paraId="47F2D3CA" w14:textId="19B655F7">
      <w:pPr>
        <w:pStyle w:val="FootnoteText"/>
        <w:spacing w:after="0"/>
      </w:pPr>
      <w:r w:rsidRPr="00371961">
        <w:t xml:space="preserve">misleading.” </w:t>
      </w:r>
      <w:r w:rsidRPr="00371961" w:rsidR="00270623">
        <w:t xml:space="preserve"> </w:t>
      </w:r>
      <w:r w:rsidRPr="00371961">
        <w:t>47 CFR § 1.17(a)(2).</w:t>
      </w:r>
      <w:r w:rsidRPr="00371961" w:rsidR="00270623">
        <w:t xml:space="preserve"> </w:t>
      </w:r>
      <w:r w:rsidRPr="00371961">
        <w:t xml:space="preserve"> “In any investigatory or adjudicatory matter within the Commission's</w:t>
      </w:r>
    </w:p>
    <w:p w:rsidR="00240585" w:rsidRPr="00371961" w:rsidP="00240585" w14:paraId="49B3D4C2" w14:textId="77777777">
      <w:pPr>
        <w:pStyle w:val="FootnoteText"/>
        <w:spacing w:after="0"/>
      </w:pPr>
      <w:r w:rsidRPr="00371961">
        <w:t>jurisdiction (including, but not limited to, any informal adjudication or informal investigation but excluding any</w:t>
      </w:r>
    </w:p>
    <w:p w:rsidR="00240585" w:rsidRPr="00371961" w:rsidP="00240585" w14:paraId="12F5F14B" w14:textId="77777777">
      <w:pPr>
        <w:pStyle w:val="FootnoteText"/>
        <w:spacing w:after="0"/>
      </w:pPr>
      <w:r w:rsidRPr="00371961">
        <w:t>declaratory ruling proceeding) and in any proceeding to amend the FM or Television Table of Allotments (with</w:t>
      </w:r>
    </w:p>
    <w:p w:rsidR="00240585" w:rsidRPr="00371961" w:rsidP="00240585" w14:paraId="0036836C" w14:textId="77777777">
      <w:pPr>
        <w:pStyle w:val="FootnoteText"/>
        <w:spacing w:after="0"/>
      </w:pPr>
      <w:r w:rsidRPr="00371961">
        <w:t>respect to expressions of interest) or any tariff proceeding, no person subject to this rule shall; (1) In any written or</w:t>
      </w:r>
    </w:p>
    <w:p w:rsidR="00240585" w:rsidRPr="00371961" w:rsidP="00240585" w14:paraId="465C6A0D" w14:textId="77777777">
      <w:pPr>
        <w:pStyle w:val="FootnoteText"/>
        <w:spacing w:after="0"/>
      </w:pPr>
      <w:r w:rsidRPr="00371961">
        <w:t>oral statement of fact, intentionally provide material factual information that is incorrect or intentionally omit</w:t>
      </w:r>
    </w:p>
    <w:p w:rsidR="00240585" w:rsidRPr="00371961" w:rsidP="00240585" w14:paraId="625D47D1" w14:textId="77777777">
      <w:pPr>
        <w:pStyle w:val="FootnoteText"/>
        <w:spacing w:after="0"/>
      </w:pPr>
      <w:r w:rsidRPr="00371961">
        <w:t>material information that is necessary to prevent any material factual statement that is made from being incorrect or</w:t>
      </w:r>
    </w:p>
    <w:p w:rsidR="00240585" w:rsidRPr="00371961" w:rsidP="00240585" w14:paraId="2F991603" w14:textId="77777777">
      <w:pPr>
        <w:pStyle w:val="FootnoteText"/>
        <w:spacing w:after="0"/>
      </w:pPr>
      <w:r w:rsidRPr="00371961">
        <w:t>misleading; and (2) In any written statement of fact, provide material factual information that is incorrect or omit</w:t>
      </w:r>
    </w:p>
    <w:p w:rsidR="00240585" w:rsidRPr="00371961" w:rsidP="00240585" w14:paraId="1EEE38F3" w14:textId="77777777">
      <w:pPr>
        <w:pStyle w:val="FootnoteText"/>
        <w:spacing w:after="0"/>
      </w:pPr>
      <w:r w:rsidRPr="00371961">
        <w:t>material information that is necessary to prevent any material factual statement that is made from being incorrect or</w:t>
      </w:r>
    </w:p>
    <w:p w:rsidR="00240585" w:rsidRPr="00371961" w:rsidP="00240585" w14:paraId="340B7D2C" w14:textId="77777777">
      <w:pPr>
        <w:pStyle w:val="FootnoteText"/>
        <w:spacing w:after="0"/>
      </w:pPr>
      <w:r w:rsidRPr="00371961">
        <w:t>misleading without a reasonable basis for believing that any such material factual statement is correct and not</w:t>
      </w:r>
    </w:p>
    <w:p w:rsidR="00240585" w:rsidRPr="00371961" w:rsidP="003460B4" w14:paraId="1AE69E36" w14:textId="37CDD1FC">
      <w:pPr>
        <w:pStyle w:val="FootnoteText"/>
      </w:pPr>
      <w:r w:rsidRPr="00371961">
        <w:t>misleading.” 47 CFR § 1.17(a)(1)-(2).</w:t>
      </w:r>
    </w:p>
  </w:footnote>
  <w:footnote w:id="35">
    <w:p w:rsidR="00766F11" w:rsidRPr="00371961" w:rsidP="00766F11" w14:paraId="3919B804" w14:textId="030CAB04">
      <w:pPr>
        <w:pStyle w:val="FootnoteText"/>
      </w:pPr>
      <w:r w:rsidRPr="00D228B7">
        <w:rPr>
          <w:rStyle w:val="FootnoteReference"/>
          <w:sz w:val="20"/>
        </w:rPr>
        <w:footnoteRef/>
      </w:r>
      <w:r w:rsidRPr="007F1AF1">
        <w:t xml:space="preserve"> </w:t>
      </w:r>
      <w:r w:rsidRPr="00371961">
        <w:rPr>
          <w:i/>
          <w:iCs/>
        </w:rPr>
        <w:t>In Re Amend. of Section 1.17 of Commission's Rules Concerning Truthful Statements to Comm'n</w:t>
      </w:r>
      <w:r w:rsidRPr="00371961">
        <w:t xml:space="preserve">, 18 FCC </w:t>
      </w:r>
      <w:r w:rsidRPr="00371961">
        <w:t>Rcd</w:t>
      </w:r>
      <w:r w:rsidRPr="00371961" w:rsidR="002073B7">
        <w:t xml:space="preserve"> </w:t>
      </w:r>
      <w:r w:rsidRPr="00371961">
        <w:t>4016, 4021 at para. 12 (2003).</w:t>
      </w:r>
    </w:p>
  </w:footnote>
  <w:footnote w:id="36">
    <w:p w:rsidR="00151119" w:rsidRPr="00371961" w14:paraId="63C25936" w14:textId="66AB3987">
      <w:pPr>
        <w:pStyle w:val="FootnoteText"/>
      </w:pPr>
      <w:r w:rsidRPr="00D228B7">
        <w:rPr>
          <w:rStyle w:val="FootnoteReference"/>
          <w:sz w:val="20"/>
        </w:rPr>
        <w:footnoteRef/>
      </w:r>
      <w:r w:rsidRPr="007F1AF1">
        <w:t xml:space="preserve"> </w:t>
      </w:r>
      <w:r w:rsidRPr="00371961">
        <w:rPr>
          <w:i/>
          <w:iCs/>
        </w:rPr>
        <w:t>See</w:t>
      </w:r>
      <w:r w:rsidRPr="00371961">
        <w:t xml:space="preserve"> 47 CFR § 1.1208 (“Proceedings in which </w:t>
      </w:r>
      <w:r w:rsidRPr="00371961">
        <w:rPr>
          <w:i/>
          <w:iCs/>
        </w:rPr>
        <w:t>ex parte</w:t>
      </w:r>
      <w:r w:rsidRPr="00371961">
        <w:t xml:space="preserve"> presentations are prohibited, referred to as ‘restricted’ </w:t>
      </w:r>
      <w:r w:rsidRPr="00371961">
        <w:br/>
        <w:t>proceedings, include . . . all proceedings that have been designated for hearing . . .”)</w:t>
      </w:r>
      <w:r w:rsidRPr="00371961" w:rsidR="007168A3">
        <w:t>;</w:t>
      </w:r>
      <w:r w:rsidRPr="00371961" w:rsidR="007168A3">
        <w:rPr>
          <w:i/>
          <w:iCs/>
        </w:rPr>
        <w:t xml:space="preserve"> s</w:t>
      </w:r>
      <w:r w:rsidRPr="00371961">
        <w:rPr>
          <w:i/>
          <w:iCs/>
        </w:rPr>
        <w:t>ee also</w:t>
      </w:r>
      <w:r w:rsidRPr="00371961">
        <w:t xml:space="preserve"> 47 CFR §§ 1.1202(b) (describing what constitutes an </w:t>
      </w:r>
      <w:r w:rsidRPr="00371961">
        <w:rPr>
          <w:i/>
          <w:iCs/>
        </w:rPr>
        <w:t>ex parte</w:t>
      </w:r>
      <w:r w:rsidRPr="00371961">
        <w:t xml:space="preserve"> presentation), 1.1204 (</w:t>
      </w:r>
      <w:r w:rsidRPr="00371961" w:rsidR="00F9380D">
        <w:t>exemptions</w:t>
      </w:r>
      <w:r w:rsidRPr="00371961">
        <w:t>).</w:t>
      </w:r>
      <w:r w:rsidRPr="00371961" w:rsidR="00CC3607">
        <w:t xml:space="preserve">  The Bureau previously released a Public Notice creating WT Docket No. 21-333 </w:t>
      </w:r>
      <w:r w:rsidRPr="00371961" w:rsidR="00137158">
        <w:t xml:space="preserve">stating </w:t>
      </w:r>
      <w:r w:rsidRPr="00371961" w:rsidR="00CC3607">
        <w:t xml:space="preserve">that the proceeding was “permit-but-disclose.”  </w:t>
      </w:r>
      <w:r w:rsidRPr="00371961" w:rsidR="00D335DC">
        <w:rPr>
          <w:i/>
          <w:iCs/>
        </w:rPr>
        <w:t>Clearinghouse Appeals Docket Public Notice</w:t>
      </w:r>
      <w:r w:rsidRPr="00371961" w:rsidR="00027A6E">
        <w:rPr>
          <w:i/>
          <w:iCs/>
        </w:rPr>
        <w:t xml:space="preserve"> </w:t>
      </w:r>
      <w:r w:rsidRPr="00371961" w:rsidR="00027A6E">
        <w:t>at 1</w:t>
      </w:r>
      <w:r w:rsidRPr="00371961" w:rsidR="00CC3607">
        <w:t xml:space="preserve">.  We change the status of this proceeding to restricted under </w:t>
      </w:r>
      <w:r w:rsidRPr="00371961" w:rsidR="00137158">
        <w:t>s</w:t>
      </w:r>
      <w:r w:rsidRPr="00371961" w:rsidR="00CC3607">
        <w:t xml:space="preserve">ection 1.1208.  </w:t>
      </w:r>
      <w:r w:rsidRPr="00371961" w:rsidR="00D60456">
        <w:t>47 CFR § 1.1208.</w:t>
      </w:r>
      <w:r w:rsidRPr="00371961" w:rsidR="002A50D6">
        <w:t xml:space="preserve"> </w:t>
      </w:r>
      <w:r w:rsidRPr="00371961" w:rsidR="00D60456">
        <w:t xml:space="preserve"> </w:t>
      </w:r>
      <w:r w:rsidRPr="00371961" w:rsidR="00CC3607">
        <w:t>Submission</w:t>
      </w:r>
      <w:r w:rsidRPr="00371961" w:rsidR="00D60456">
        <w:t>s</w:t>
      </w:r>
      <w:r w:rsidRPr="00371961" w:rsidR="00CC3607">
        <w:t xml:space="preserve"> necessary for </w:t>
      </w:r>
      <w:r w:rsidRPr="00371961" w:rsidR="00137158">
        <w:t xml:space="preserve">any individual </w:t>
      </w:r>
      <w:r w:rsidRPr="00371961" w:rsidR="00CC3607">
        <w:t>appeals should still be filed in WT Docket No. 21-333.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905" w14:paraId="0E6E2C4C" w14:textId="07286CA2">
    <w:pPr>
      <w:tabs>
        <w:tab w:val="center" w:pos="4680"/>
        <w:tab w:val="right" w:pos="9360"/>
      </w:tabs>
    </w:pPr>
    <w:r>
      <w:rPr>
        <w:b/>
      </w:rPr>
      <w:tab/>
      <w:t>Federal Communications Commission</w:t>
    </w:r>
    <w:r>
      <w:rPr>
        <w:b/>
      </w:rPr>
      <w:tab/>
    </w:r>
    <w:r w:rsidR="00D229CE">
      <w:rPr>
        <w:b/>
      </w:rPr>
      <w:t>DA 22-</w:t>
    </w:r>
    <w:r w:rsidR="00B40F16">
      <w:rPr>
        <w:b/>
      </w:rPr>
      <w:t>300</w:t>
    </w:r>
  </w:p>
  <w:p w:rsidR="00091905" w14:paraId="33A61FF9" w14:textId="6F603A3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91905" w14:paraId="07256E6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905" w14:paraId="34A7BA7D" w14:textId="3888DE48">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27002"/>
    <w:multiLevelType w:val="hybridMultilevel"/>
    <w:tmpl w:val="B54830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7C3DF1"/>
    <w:multiLevelType w:val="hybridMultilevel"/>
    <w:tmpl w:val="31423B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1D5FE8"/>
    <w:multiLevelType w:val="hybridMultilevel"/>
    <w:tmpl w:val="8A66FDB6"/>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8AF023C"/>
    <w:multiLevelType w:val="hybridMultilevel"/>
    <w:tmpl w:val="D85021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DCB7C3F"/>
    <w:multiLevelType w:val="hybridMultilevel"/>
    <w:tmpl w:val="2FCAB3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10"/>
  </w:num>
  <w:num w:numId="3">
    <w:abstractNumId w:val="5"/>
  </w:num>
  <w:num w:numId="4">
    <w:abstractNumId w:val="6"/>
  </w:num>
  <w:num w:numId="5">
    <w:abstractNumId w:val="4"/>
  </w:num>
  <w:num w:numId="6">
    <w:abstractNumId w:val="0"/>
  </w:num>
  <w:num w:numId="7">
    <w:abstractNumId w:val="9"/>
  </w:num>
  <w:num w:numId="8">
    <w:abstractNumId w:val="1"/>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89"/>
    <w:rsid w:val="000011BF"/>
    <w:rsid w:val="0000289F"/>
    <w:rsid w:val="00002F1E"/>
    <w:rsid w:val="00004DF2"/>
    <w:rsid w:val="00012B31"/>
    <w:rsid w:val="00013AFC"/>
    <w:rsid w:val="000178D0"/>
    <w:rsid w:val="00020C16"/>
    <w:rsid w:val="00020CF5"/>
    <w:rsid w:val="000217B6"/>
    <w:rsid w:val="00021A68"/>
    <w:rsid w:val="000223D6"/>
    <w:rsid w:val="00022D61"/>
    <w:rsid w:val="00023B76"/>
    <w:rsid w:val="000259C0"/>
    <w:rsid w:val="00026869"/>
    <w:rsid w:val="00027A6E"/>
    <w:rsid w:val="000303E3"/>
    <w:rsid w:val="0003456A"/>
    <w:rsid w:val="000367B8"/>
    <w:rsid w:val="00036CAF"/>
    <w:rsid w:val="00037272"/>
    <w:rsid w:val="00040D4A"/>
    <w:rsid w:val="0004163E"/>
    <w:rsid w:val="000431EA"/>
    <w:rsid w:val="00043285"/>
    <w:rsid w:val="000472C0"/>
    <w:rsid w:val="0005026F"/>
    <w:rsid w:val="000528A7"/>
    <w:rsid w:val="00054549"/>
    <w:rsid w:val="000548EE"/>
    <w:rsid w:val="00055A22"/>
    <w:rsid w:val="000565E9"/>
    <w:rsid w:val="0006037F"/>
    <w:rsid w:val="000614C6"/>
    <w:rsid w:val="0006275C"/>
    <w:rsid w:val="00063093"/>
    <w:rsid w:val="000653C0"/>
    <w:rsid w:val="00067075"/>
    <w:rsid w:val="00067360"/>
    <w:rsid w:val="00067C85"/>
    <w:rsid w:val="00073E8D"/>
    <w:rsid w:val="00074CD8"/>
    <w:rsid w:val="0007503D"/>
    <w:rsid w:val="000777C0"/>
    <w:rsid w:val="00080F57"/>
    <w:rsid w:val="00082554"/>
    <w:rsid w:val="00083449"/>
    <w:rsid w:val="000845E7"/>
    <w:rsid w:val="000864BE"/>
    <w:rsid w:val="000872E1"/>
    <w:rsid w:val="00090436"/>
    <w:rsid w:val="00091905"/>
    <w:rsid w:val="00092D66"/>
    <w:rsid w:val="000A0173"/>
    <w:rsid w:val="000A1BA8"/>
    <w:rsid w:val="000A3371"/>
    <w:rsid w:val="000A4FAB"/>
    <w:rsid w:val="000A5A04"/>
    <w:rsid w:val="000B28B1"/>
    <w:rsid w:val="000B4273"/>
    <w:rsid w:val="000B64D5"/>
    <w:rsid w:val="000B7DA5"/>
    <w:rsid w:val="000C05C9"/>
    <w:rsid w:val="000C1D0A"/>
    <w:rsid w:val="000C2E18"/>
    <w:rsid w:val="000C50CF"/>
    <w:rsid w:val="000C585B"/>
    <w:rsid w:val="000D0133"/>
    <w:rsid w:val="000D23AF"/>
    <w:rsid w:val="000D29F7"/>
    <w:rsid w:val="000D50F9"/>
    <w:rsid w:val="000D5184"/>
    <w:rsid w:val="000E1684"/>
    <w:rsid w:val="000E3BCC"/>
    <w:rsid w:val="000E4A43"/>
    <w:rsid w:val="000E5E90"/>
    <w:rsid w:val="000E6F2A"/>
    <w:rsid w:val="000E7F37"/>
    <w:rsid w:val="000F4F29"/>
    <w:rsid w:val="000F6952"/>
    <w:rsid w:val="000F69CA"/>
    <w:rsid w:val="0010138E"/>
    <w:rsid w:val="00104714"/>
    <w:rsid w:val="00107949"/>
    <w:rsid w:val="00110CC0"/>
    <w:rsid w:val="001149EC"/>
    <w:rsid w:val="00115A14"/>
    <w:rsid w:val="0011623F"/>
    <w:rsid w:val="0011783E"/>
    <w:rsid w:val="00117B39"/>
    <w:rsid w:val="00122F76"/>
    <w:rsid w:val="0012326C"/>
    <w:rsid w:val="001239E4"/>
    <w:rsid w:val="00130166"/>
    <w:rsid w:val="00131C68"/>
    <w:rsid w:val="00134BE9"/>
    <w:rsid w:val="00137158"/>
    <w:rsid w:val="00140510"/>
    <w:rsid w:val="00150EDE"/>
    <w:rsid w:val="00151119"/>
    <w:rsid w:val="0015111C"/>
    <w:rsid w:val="001517C3"/>
    <w:rsid w:val="0015213B"/>
    <w:rsid w:val="00154A1D"/>
    <w:rsid w:val="001561CC"/>
    <w:rsid w:val="00156388"/>
    <w:rsid w:val="0015751C"/>
    <w:rsid w:val="00161CD8"/>
    <w:rsid w:val="001655CA"/>
    <w:rsid w:val="00165B23"/>
    <w:rsid w:val="00166A01"/>
    <w:rsid w:val="00167874"/>
    <w:rsid w:val="00170B98"/>
    <w:rsid w:val="001727C9"/>
    <w:rsid w:val="00173249"/>
    <w:rsid w:val="00173ACD"/>
    <w:rsid w:val="00174E85"/>
    <w:rsid w:val="00180AFF"/>
    <w:rsid w:val="00180D45"/>
    <w:rsid w:val="001838CB"/>
    <w:rsid w:val="00184EE6"/>
    <w:rsid w:val="00190B35"/>
    <w:rsid w:val="001950E1"/>
    <w:rsid w:val="00195EC7"/>
    <w:rsid w:val="0019785C"/>
    <w:rsid w:val="001A0BAF"/>
    <w:rsid w:val="001A3CCF"/>
    <w:rsid w:val="001A47AF"/>
    <w:rsid w:val="001A535D"/>
    <w:rsid w:val="001B0BA9"/>
    <w:rsid w:val="001B15A7"/>
    <w:rsid w:val="001B6328"/>
    <w:rsid w:val="001B6F7E"/>
    <w:rsid w:val="001C4947"/>
    <w:rsid w:val="001C79E7"/>
    <w:rsid w:val="001D44D8"/>
    <w:rsid w:val="001D4BE7"/>
    <w:rsid w:val="001D53A8"/>
    <w:rsid w:val="001D5706"/>
    <w:rsid w:val="001D59B1"/>
    <w:rsid w:val="001D6318"/>
    <w:rsid w:val="001E41B4"/>
    <w:rsid w:val="001E4898"/>
    <w:rsid w:val="001E6A7A"/>
    <w:rsid w:val="001E7568"/>
    <w:rsid w:val="001F1A4F"/>
    <w:rsid w:val="001F47B1"/>
    <w:rsid w:val="001F5725"/>
    <w:rsid w:val="001F5CE5"/>
    <w:rsid w:val="001F625C"/>
    <w:rsid w:val="001F644C"/>
    <w:rsid w:val="00203C21"/>
    <w:rsid w:val="00204A32"/>
    <w:rsid w:val="0020510C"/>
    <w:rsid w:val="002073B7"/>
    <w:rsid w:val="002115F2"/>
    <w:rsid w:val="00211F73"/>
    <w:rsid w:val="002122A6"/>
    <w:rsid w:val="0021454A"/>
    <w:rsid w:val="002151A8"/>
    <w:rsid w:val="00221001"/>
    <w:rsid w:val="002234CF"/>
    <w:rsid w:val="00223C47"/>
    <w:rsid w:val="00225AC0"/>
    <w:rsid w:val="00231D22"/>
    <w:rsid w:val="002331F8"/>
    <w:rsid w:val="002348DB"/>
    <w:rsid w:val="0023563E"/>
    <w:rsid w:val="002360E1"/>
    <w:rsid w:val="00240585"/>
    <w:rsid w:val="00243040"/>
    <w:rsid w:val="00247A6E"/>
    <w:rsid w:val="002515D9"/>
    <w:rsid w:val="00253FF9"/>
    <w:rsid w:val="00256D1A"/>
    <w:rsid w:val="00260559"/>
    <w:rsid w:val="00266B91"/>
    <w:rsid w:val="00270623"/>
    <w:rsid w:val="0027104A"/>
    <w:rsid w:val="00271204"/>
    <w:rsid w:val="0027304F"/>
    <w:rsid w:val="00275670"/>
    <w:rsid w:val="002808B5"/>
    <w:rsid w:val="002815F8"/>
    <w:rsid w:val="002839EA"/>
    <w:rsid w:val="00283DEC"/>
    <w:rsid w:val="0028714B"/>
    <w:rsid w:val="002909E8"/>
    <w:rsid w:val="00294B57"/>
    <w:rsid w:val="0029521E"/>
    <w:rsid w:val="0029610F"/>
    <w:rsid w:val="0029643A"/>
    <w:rsid w:val="002968D9"/>
    <w:rsid w:val="002A3386"/>
    <w:rsid w:val="002A50D6"/>
    <w:rsid w:val="002B049B"/>
    <w:rsid w:val="002B1101"/>
    <w:rsid w:val="002B2414"/>
    <w:rsid w:val="002B392C"/>
    <w:rsid w:val="002B53CD"/>
    <w:rsid w:val="002C5DE7"/>
    <w:rsid w:val="002C70B4"/>
    <w:rsid w:val="002C71EA"/>
    <w:rsid w:val="002D0230"/>
    <w:rsid w:val="002D1D43"/>
    <w:rsid w:val="002D2BC2"/>
    <w:rsid w:val="002D3207"/>
    <w:rsid w:val="002D60ED"/>
    <w:rsid w:val="002D75CE"/>
    <w:rsid w:val="002E0B1E"/>
    <w:rsid w:val="002E2AD1"/>
    <w:rsid w:val="002E51AF"/>
    <w:rsid w:val="002E5830"/>
    <w:rsid w:val="002E69E9"/>
    <w:rsid w:val="002F36B4"/>
    <w:rsid w:val="002F6AB1"/>
    <w:rsid w:val="00300858"/>
    <w:rsid w:val="003008A2"/>
    <w:rsid w:val="00302842"/>
    <w:rsid w:val="003037A9"/>
    <w:rsid w:val="00304721"/>
    <w:rsid w:val="003070FD"/>
    <w:rsid w:val="00310DAE"/>
    <w:rsid w:val="003128B8"/>
    <w:rsid w:val="00313132"/>
    <w:rsid w:val="0031504F"/>
    <w:rsid w:val="00317286"/>
    <w:rsid w:val="00320F87"/>
    <w:rsid w:val="0032272B"/>
    <w:rsid w:val="00322EEB"/>
    <w:rsid w:val="00324681"/>
    <w:rsid w:val="00342106"/>
    <w:rsid w:val="00342EF2"/>
    <w:rsid w:val="0034308F"/>
    <w:rsid w:val="003460B4"/>
    <w:rsid w:val="00346710"/>
    <w:rsid w:val="00350A78"/>
    <w:rsid w:val="00351F94"/>
    <w:rsid w:val="00352E1A"/>
    <w:rsid w:val="00353622"/>
    <w:rsid w:val="0036059F"/>
    <w:rsid w:val="0036085E"/>
    <w:rsid w:val="00361B40"/>
    <w:rsid w:val="003638FA"/>
    <w:rsid w:val="00365379"/>
    <w:rsid w:val="00365FD8"/>
    <w:rsid w:val="0036673A"/>
    <w:rsid w:val="00371961"/>
    <w:rsid w:val="003719E9"/>
    <w:rsid w:val="0037225D"/>
    <w:rsid w:val="00372F52"/>
    <w:rsid w:val="003749C5"/>
    <w:rsid w:val="00374B5B"/>
    <w:rsid w:val="00375BAF"/>
    <w:rsid w:val="00382309"/>
    <w:rsid w:val="00394E64"/>
    <w:rsid w:val="00395D3E"/>
    <w:rsid w:val="00396970"/>
    <w:rsid w:val="00396E33"/>
    <w:rsid w:val="0039757B"/>
    <w:rsid w:val="00397AC7"/>
    <w:rsid w:val="003A14D3"/>
    <w:rsid w:val="003A473F"/>
    <w:rsid w:val="003A6D43"/>
    <w:rsid w:val="003B1796"/>
    <w:rsid w:val="003B23CA"/>
    <w:rsid w:val="003B3F41"/>
    <w:rsid w:val="003B5297"/>
    <w:rsid w:val="003B6835"/>
    <w:rsid w:val="003B7DB8"/>
    <w:rsid w:val="003C087D"/>
    <w:rsid w:val="003C1744"/>
    <w:rsid w:val="003C1CAC"/>
    <w:rsid w:val="003C364B"/>
    <w:rsid w:val="003C36B2"/>
    <w:rsid w:val="003C6AD0"/>
    <w:rsid w:val="003D0DA1"/>
    <w:rsid w:val="003D1AE3"/>
    <w:rsid w:val="003D68DC"/>
    <w:rsid w:val="003D7B8E"/>
    <w:rsid w:val="003E167D"/>
    <w:rsid w:val="003F2C5C"/>
    <w:rsid w:val="003F5220"/>
    <w:rsid w:val="003F79BD"/>
    <w:rsid w:val="00403FDB"/>
    <w:rsid w:val="004056B8"/>
    <w:rsid w:val="00410B67"/>
    <w:rsid w:val="00414734"/>
    <w:rsid w:val="0042086D"/>
    <w:rsid w:val="0042150D"/>
    <w:rsid w:val="00424871"/>
    <w:rsid w:val="004254E2"/>
    <w:rsid w:val="00425C34"/>
    <w:rsid w:val="004368D2"/>
    <w:rsid w:val="004441D4"/>
    <w:rsid w:val="00445B34"/>
    <w:rsid w:val="0044709E"/>
    <w:rsid w:val="004470A1"/>
    <w:rsid w:val="00450C4B"/>
    <w:rsid w:val="00451CCC"/>
    <w:rsid w:val="004538B0"/>
    <w:rsid w:val="0045616E"/>
    <w:rsid w:val="0045637C"/>
    <w:rsid w:val="004679B5"/>
    <w:rsid w:val="004717D3"/>
    <w:rsid w:val="00472B8F"/>
    <w:rsid w:val="00473B01"/>
    <w:rsid w:val="00474514"/>
    <w:rsid w:val="00480C66"/>
    <w:rsid w:val="00484AB2"/>
    <w:rsid w:val="004858A8"/>
    <w:rsid w:val="004876FD"/>
    <w:rsid w:val="004916B4"/>
    <w:rsid w:val="004A0404"/>
    <w:rsid w:val="004A2527"/>
    <w:rsid w:val="004A2606"/>
    <w:rsid w:val="004A375B"/>
    <w:rsid w:val="004A596F"/>
    <w:rsid w:val="004A5A86"/>
    <w:rsid w:val="004A760B"/>
    <w:rsid w:val="004A7B89"/>
    <w:rsid w:val="004B4435"/>
    <w:rsid w:val="004B675E"/>
    <w:rsid w:val="004C2724"/>
    <w:rsid w:val="004C5701"/>
    <w:rsid w:val="004C6106"/>
    <w:rsid w:val="004C7A20"/>
    <w:rsid w:val="004D1B77"/>
    <w:rsid w:val="004D34BA"/>
    <w:rsid w:val="004D3EF6"/>
    <w:rsid w:val="004D46D3"/>
    <w:rsid w:val="004D5023"/>
    <w:rsid w:val="004D760B"/>
    <w:rsid w:val="004E028C"/>
    <w:rsid w:val="004E1D1C"/>
    <w:rsid w:val="004E3457"/>
    <w:rsid w:val="004E4FB2"/>
    <w:rsid w:val="004E6AFF"/>
    <w:rsid w:val="004F2470"/>
    <w:rsid w:val="005006D8"/>
    <w:rsid w:val="0050194C"/>
    <w:rsid w:val="0050257F"/>
    <w:rsid w:val="00505C47"/>
    <w:rsid w:val="0051061F"/>
    <w:rsid w:val="00520CEA"/>
    <w:rsid w:val="005217FA"/>
    <w:rsid w:val="00521F17"/>
    <w:rsid w:val="00523484"/>
    <w:rsid w:val="0052519D"/>
    <w:rsid w:val="00530548"/>
    <w:rsid w:val="0053201D"/>
    <w:rsid w:val="005322F4"/>
    <w:rsid w:val="005369AC"/>
    <w:rsid w:val="00537A84"/>
    <w:rsid w:val="00537B5E"/>
    <w:rsid w:val="00540184"/>
    <w:rsid w:val="00541761"/>
    <w:rsid w:val="00541C68"/>
    <w:rsid w:val="00541DAF"/>
    <w:rsid w:val="00544DCA"/>
    <w:rsid w:val="0054585A"/>
    <w:rsid w:val="005465C8"/>
    <w:rsid w:val="00553FF6"/>
    <w:rsid w:val="00554FD6"/>
    <w:rsid w:val="00555926"/>
    <w:rsid w:val="00555F72"/>
    <w:rsid w:val="00557972"/>
    <w:rsid w:val="00561AFA"/>
    <w:rsid w:val="005633C8"/>
    <w:rsid w:val="00567ADE"/>
    <w:rsid w:val="00570319"/>
    <w:rsid w:val="00573809"/>
    <w:rsid w:val="00573CFD"/>
    <w:rsid w:val="00580C95"/>
    <w:rsid w:val="00581178"/>
    <w:rsid w:val="005812D9"/>
    <w:rsid w:val="00581442"/>
    <w:rsid w:val="005824C1"/>
    <w:rsid w:val="00582A42"/>
    <w:rsid w:val="0058315E"/>
    <w:rsid w:val="005836E2"/>
    <w:rsid w:val="00584AF5"/>
    <w:rsid w:val="005855C8"/>
    <w:rsid w:val="005926AA"/>
    <w:rsid w:val="0059392B"/>
    <w:rsid w:val="00593AD0"/>
    <w:rsid w:val="00593F9B"/>
    <w:rsid w:val="00596939"/>
    <w:rsid w:val="00597203"/>
    <w:rsid w:val="00597464"/>
    <w:rsid w:val="00597BA3"/>
    <w:rsid w:val="00597E98"/>
    <w:rsid w:val="005A065F"/>
    <w:rsid w:val="005A2E85"/>
    <w:rsid w:val="005A3156"/>
    <w:rsid w:val="005A47A4"/>
    <w:rsid w:val="005A6612"/>
    <w:rsid w:val="005A678E"/>
    <w:rsid w:val="005A780F"/>
    <w:rsid w:val="005B150F"/>
    <w:rsid w:val="005B1803"/>
    <w:rsid w:val="005B4196"/>
    <w:rsid w:val="005B6C8D"/>
    <w:rsid w:val="005B6EE9"/>
    <w:rsid w:val="005C200B"/>
    <w:rsid w:val="005C200C"/>
    <w:rsid w:val="005C2E21"/>
    <w:rsid w:val="005C3F1C"/>
    <w:rsid w:val="005C427B"/>
    <w:rsid w:val="005C56CB"/>
    <w:rsid w:val="005C67E4"/>
    <w:rsid w:val="005C7A3E"/>
    <w:rsid w:val="005C7B5C"/>
    <w:rsid w:val="005D08AE"/>
    <w:rsid w:val="005D1A7F"/>
    <w:rsid w:val="005D1E35"/>
    <w:rsid w:val="005D2BB4"/>
    <w:rsid w:val="005D3FF5"/>
    <w:rsid w:val="005D6F14"/>
    <w:rsid w:val="005D70D0"/>
    <w:rsid w:val="005E0FD8"/>
    <w:rsid w:val="005E226F"/>
    <w:rsid w:val="005E2B3A"/>
    <w:rsid w:val="005E509C"/>
    <w:rsid w:val="005E6C5B"/>
    <w:rsid w:val="005E721D"/>
    <w:rsid w:val="005F0ECC"/>
    <w:rsid w:val="005F3548"/>
    <w:rsid w:val="00600BB2"/>
    <w:rsid w:val="00600F3C"/>
    <w:rsid w:val="006037C6"/>
    <w:rsid w:val="0060450B"/>
    <w:rsid w:val="0060531A"/>
    <w:rsid w:val="0060631A"/>
    <w:rsid w:val="00606476"/>
    <w:rsid w:val="00607801"/>
    <w:rsid w:val="00610D03"/>
    <w:rsid w:val="00613FF7"/>
    <w:rsid w:val="00614130"/>
    <w:rsid w:val="00617B9E"/>
    <w:rsid w:val="00622515"/>
    <w:rsid w:val="006236EE"/>
    <w:rsid w:val="00624785"/>
    <w:rsid w:val="00630F2D"/>
    <w:rsid w:val="0063165B"/>
    <w:rsid w:val="00635509"/>
    <w:rsid w:val="00636E44"/>
    <w:rsid w:val="00637DB2"/>
    <w:rsid w:val="00640330"/>
    <w:rsid w:val="00640B91"/>
    <w:rsid w:val="006412FF"/>
    <w:rsid w:val="00642107"/>
    <w:rsid w:val="00643331"/>
    <w:rsid w:val="0064495E"/>
    <w:rsid w:val="0064681F"/>
    <w:rsid w:val="00647247"/>
    <w:rsid w:val="006515F3"/>
    <w:rsid w:val="00652073"/>
    <w:rsid w:val="006522A1"/>
    <w:rsid w:val="00653F50"/>
    <w:rsid w:val="006551A4"/>
    <w:rsid w:val="006577CC"/>
    <w:rsid w:val="00665DBB"/>
    <w:rsid w:val="00671BDB"/>
    <w:rsid w:val="0067339B"/>
    <w:rsid w:val="0067458A"/>
    <w:rsid w:val="00674770"/>
    <w:rsid w:val="006803D8"/>
    <w:rsid w:val="0068075B"/>
    <w:rsid w:val="0068669B"/>
    <w:rsid w:val="00687389"/>
    <w:rsid w:val="00696412"/>
    <w:rsid w:val="006A03EA"/>
    <w:rsid w:val="006A055A"/>
    <w:rsid w:val="006A0585"/>
    <w:rsid w:val="006A42BF"/>
    <w:rsid w:val="006A5B4A"/>
    <w:rsid w:val="006A5FCE"/>
    <w:rsid w:val="006B0946"/>
    <w:rsid w:val="006B20DA"/>
    <w:rsid w:val="006B4456"/>
    <w:rsid w:val="006B5323"/>
    <w:rsid w:val="006C0B2B"/>
    <w:rsid w:val="006C22A9"/>
    <w:rsid w:val="006C6A33"/>
    <w:rsid w:val="006D155A"/>
    <w:rsid w:val="006D4214"/>
    <w:rsid w:val="006E036A"/>
    <w:rsid w:val="006E2068"/>
    <w:rsid w:val="006E561C"/>
    <w:rsid w:val="006E5824"/>
    <w:rsid w:val="006E69EF"/>
    <w:rsid w:val="006E74DB"/>
    <w:rsid w:val="006F2589"/>
    <w:rsid w:val="006F2FD7"/>
    <w:rsid w:val="006F73F2"/>
    <w:rsid w:val="0071222D"/>
    <w:rsid w:val="0071428C"/>
    <w:rsid w:val="00714741"/>
    <w:rsid w:val="007168A3"/>
    <w:rsid w:val="007206B0"/>
    <w:rsid w:val="00724DCC"/>
    <w:rsid w:val="00726214"/>
    <w:rsid w:val="00731994"/>
    <w:rsid w:val="00735437"/>
    <w:rsid w:val="00735D25"/>
    <w:rsid w:val="007405D6"/>
    <w:rsid w:val="00740C07"/>
    <w:rsid w:val="00741FB9"/>
    <w:rsid w:val="00741FCB"/>
    <w:rsid w:val="00742CC0"/>
    <w:rsid w:val="007534DC"/>
    <w:rsid w:val="00753693"/>
    <w:rsid w:val="00753968"/>
    <w:rsid w:val="00756515"/>
    <w:rsid w:val="007565E1"/>
    <w:rsid w:val="007571A0"/>
    <w:rsid w:val="00760EB4"/>
    <w:rsid w:val="00761157"/>
    <w:rsid w:val="007614E7"/>
    <w:rsid w:val="00761C5B"/>
    <w:rsid w:val="007629B3"/>
    <w:rsid w:val="00766AC5"/>
    <w:rsid w:val="00766F11"/>
    <w:rsid w:val="007679C8"/>
    <w:rsid w:val="00770738"/>
    <w:rsid w:val="00771F87"/>
    <w:rsid w:val="00772AF9"/>
    <w:rsid w:val="00772F41"/>
    <w:rsid w:val="00773202"/>
    <w:rsid w:val="0077416B"/>
    <w:rsid w:val="00774212"/>
    <w:rsid w:val="0077441E"/>
    <w:rsid w:val="00775BFC"/>
    <w:rsid w:val="00777C7D"/>
    <w:rsid w:val="00780578"/>
    <w:rsid w:val="0078298A"/>
    <w:rsid w:val="00784673"/>
    <w:rsid w:val="0078568B"/>
    <w:rsid w:val="00785DEC"/>
    <w:rsid w:val="007870CE"/>
    <w:rsid w:val="00787559"/>
    <w:rsid w:val="00787F05"/>
    <w:rsid w:val="00791BD6"/>
    <w:rsid w:val="00792388"/>
    <w:rsid w:val="00794807"/>
    <w:rsid w:val="007A2A69"/>
    <w:rsid w:val="007A3610"/>
    <w:rsid w:val="007A413B"/>
    <w:rsid w:val="007A48C8"/>
    <w:rsid w:val="007A4D8B"/>
    <w:rsid w:val="007A76BF"/>
    <w:rsid w:val="007A7D86"/>
    <w:rsid w:val="007B16DD"/>
    <w:rsid w:val="007B18DE"/>
    <w:rsid w:val="007B1B0F"/>
    <w:rsid w:val="007B3422"/>
    <w:rsid w:val="007B3CE2"/>
    <w:rsid w:val="007B517C"/>
    <w:rsid w:val="007B5AF4"/>
    <w:rsid w:val="007B5E89"/>
    <w:rsid w:val="007B5EEB"/>
    <w:rsid w:val="007B60D7"/>
    <w:rsid w:val="007B7C3C"/>
    <w:rsid w:val="007B7CDC"/>
    <w:rsid w:val="007C035E"/>
    <w:rsid w:val="007C0D5E"/>
    <w:rsid w:val="007C19A9"/>
    <w:rsid w:val="007C30BC"/>
    <w:rsid w:val="007C68A0"/>
    <w:rsid w:val="007C79FD"/>
    <w:rsid w:val="007D24C0"/>
    <w:rsid w:val="007D2C35"/>
    <w:rsid w:val="007D3382"/>
    <w:rsid w:val="007D378E"/>
    <w:rsid w:val="007E057A"/>
    <w:rsid w:val="007E3104"/>
    <w:rsid w:val="007E5E3B"/>
    <w:rsid w:val="007F0188"/>
    <w:rsid w:val="007F1288"/>
    <w:rsid w:val="007F1AF1"/>
    <w:rsid w:val="007F217D"/>
    <w:rsid w:val="007F26CD"/>
    <w:rsid w:val="007F51C8"/>
    <w:rsid w:val="007F522B"/>
    <w:rsid w:val="007F5868"/>
    <w:rsid w:val="007F698D"/>
    <w:rsid w:val="00800A4D"/>
    <w:rsid w:val="00801AE8"/>
    <w:rsid w:val="00803178"/>
    <w:rsid w:val="008037B2"/>
    <w:rsid w:val="0080602D"/>
    <w:rsid w:val="00806785"/>
    <w:rsid w:val="00806DF8"/>
    <w:rsid w:val="00811802"/>
    <w:rsid w:val="00811AA2"/>
    <w:rsid w:val="008124AA"/>
    <w:rsid w:val="0081549D"/>
    <w:rsid w:val="00815D2B"/>
    <w:rsid w:val="0082165E"/>
    <w:rsid w:val="00821C40"/>
    <w:rsid w:val="00821D40"/>
    <w:rsid w:val="0082429F"/>
    <w:rsid w:val="0082481B"/>
    <w:rsid w:val="0083068B"/>
    <w:rsid w:val="00832D35"/>
    <w:rsid w:val="00832F54"/>
    <w:rsid w:val="0083402A"/>
    <w:rsid w:val="00834D11"/>
    <w:rsid w:val="00835006"/>
    <w:rsid w:val="00836936"/>
    <w:rsid w:val="00844B97"/>
    <w:rsid w:val="00844ECA"/>
    <w:rsid w:val="00847158"/>
    <w:rsid w:val="008477DE"/>
    <w:rsid w:val="00854C4F"/>
    <w:rsid w:val="00855469"/>
    <w:rsid w:val="00855C28"/>
    <w:rsid w:val="00856468"/>
    <w:rsid w:val="00864572"/>
    <w:rsid w:val="00865D10"/>
    <w:rsid w:val="00872BB3"/>
    <w:rsid w:val="00872C50"/>
    <w:rsid w:val="008752C8"/>
    <w:rsid w:val="0088386F"/>
    <w:rsid w:val="00884635"/>
    <w:rsid w:val="00884933"/>
    <w:rsid w:val="008905C0"/>
    <w:rsid w:val="008934DC"/>
    <w:rsid w:val="0089371C"/>
    <w:rsid w:val="008957A4"/>
    <w:rsid w:val="00896A9B"/>
    <w:rsid w:val="008975D0"/>
    <w:rsid w:val="008A16A4"/>
    <w:rsid w:val="008A1DCF"/>
    <w:rsid w:val="008A4495"/>
    <w:rsid w:val="008A4C8C"/>
    <w:rsid w:val="008A7091"/>
    <w:rsid w:val="008A73FD"/>
    <w:rsid w:val="008B3E55"/>
    <w:rsid w:val="008B79F2"/>
    <w:rsid w:val="008C0834"/>
    <w:rsid w:val="008C375B"/>
    <w:rsid w:val="008C5CCB"/>
    <w:rsid w:val="008D3736"/>
    <w:rsid w:val="008D4219"/>
    <w:rsid w:val="008D59D3"/>
    <w:rsid w:val="008E2BE4"/>
    <w:rsid w:val="008E5CE2"/>
    <w:rsid w:val="008E64FB"/>
    <w:rsid w:val="008E6B61"/>
    <w:rsid w:val="008F0799"/>
    <w:rsid w:val="008F2F2E"/>
    <w:rsid w:val="008F31AF"/>
    <w:rsid w:val="0090021D"/>
    <w:rsid w:val="00900ED1"/>
    <w:rsid w:val="009011ED"/>
    <w:rsid w:val="009016F9"/>
    <w:rsid w:val="0090248D"/>
    <w:rsid w:val="009044EC"/>
    <w:rsid w:val="00905C1C"/>
    <w:rsid w:val="00911CE7"/>
    <w:rsid w:val="009157DC"/>
    <w:rsid w:val="009162AE"/>
    <w:rsid w:val="00920B15"/>
    <w:rsid w:val="00921076"/>
    <w:rsid w:val="0092365E"/>
    <w:rsid w:val="00923CAF"/>
    <w:rsid w:val="00924C81"/>
    <w:rsid w:val="0093769F"/>
    <w:rsid w:val="0094103C"/>
    <w:rsid w:val="00943F4F"/>
    <w:rsid w:val="00944C4C"/>
    <w:rsid w:val="00946000"/>
    <w:rsid w:val="00953106"/>
    <w:rsid w:val="00953D08"/>
    <w:rsid w:val="00954E43"/>
    <w:rsid w:val="00957A5D"/>
    <w:rsid w:val="009603FA"/>
    <w:rsid w:val="00961C3B"/>
    <w:rsid w:val="00962C8F"/>
    <w:rsid w:val="00967D73"/>
    <w:rsid w:val="0097012F"/>
    <w:rsid w:val="00970863"/>
    <w:rsid w:val="00970B5A"/>
    <w:rsid w:val="0097118F"/>
    <w:rsid w:val="00972222"/>
    <w:rsid w:val="00972EA3"/>
    <w:rsid w:val="00976AFA"/>
    <w:rsid w:val="00976D50"/>
    <w:rsid w:val="00980E6E"/>
    <w:rsid w:val="00981CC1"/>
    <w:rsid w:val="00983889"/>
    <w:rsid w:val="00985AD0"/>
    <w:rsid w:val="00996010"/>
    <w:rsid w:val="00996737"/>
    <w:rsid w:val="00996890"/>
    <w:rsid w:val="00997E1E"/>
    <w:rsid w:val="009A3554"/>
    <w:rsid w:val="009A368C"/>
    <w:rsid w:val="009A5EC1"/>
    <w:rsid w:val="009A70FB"/>
    <w:rsid w:val="009A770B"/>
    <w:rsid w:val="009A7E0F"/>
    <w:rsid w:val="009B072B"/>
    <w:rsid w:val="009B094C"/>
    <w:rsid w:val="009B3E56"/>
    <w:rsid w:val="009B5095"/>
    <w:rsid w:val="009B6237"/>
    <w:rsid w:val="009C251C"/>
    <w:rsid w:val="009C25EC"/>
    <w:rsid w:val="009C67AF"/>
    <w:rsid w:val="009C67EA"/>
    <w:rsid w:val="009C7E8A"/>
    <w:rsid w:val="009D3369"/>
    <w:rsid w:val="009D4E2D"/>
    <w:rsid w:val="009D525F"/>
    <w:rsid w:val="009D5951"/>
    <w:rsid w:val="009D7C87"/>
    <w:rsid w:val="009E0AB4"/>
    <w:rsid w:val="009E11AD"/>
    <w:rsid w:val="009E3896"/>
    <w:rsid w:val="009E3CF2"/>
    <w:rsid w:val="009F520F"/>
    <w:rsid w:val="009F7BBA"/>
    <w:rsid w:val="009F7FEF"/>
    <w:rsid w:val="00A02002"/>
    <w:rsid w:val="00A07771"/>
    <w:rsid w:val="00A07B05"/>
    <w:rsid w:val="00A10849"/>
    <w:rsid w:val="00A13211"/>
    <w:rsid w:val="00A13303"/>
    <w:rsid w:val="00A13EFE"/>
    <w:rsid w:val="00A152D5"/>
    <w:rsid w:val="00A20929"/>
    <w:rsid w:val="00A2096D"/>
    <w:rsid w:val="00A22087"/>
    <w:rsid w:val="00A248CA"/>
    <w:rsid w:val="00A24914"/>
    <w:rsid w:val="00A2703D"/>
    <w:rsid w:val="00A30A1F"/>
    <w:rsid w:val="00A3248A"/>
    <w:rsid w:val="00A3299F"/>
    <w:rsid w:val="00A32E56"/>
    <w:rsid w:val="00A343CB"/>
    <w:rsid w:val="00A35B61"/>
    <w:rsid w:val="00A40D87"/>
    <w:rsid w:val="00A42CD5"/>
    <w:rsid w:val="00A438B5"/>
    <w:rsid w:val="00A44315"/>
    <w:rsid w:val="00A46DE7"/>
    <w:rsid w:val="00A567E3"/>
    <w:rsid w:val="00A669C2"/>
    <w:rsid w:val="00A70B27"/>
    <w:rsid w:val="00A73DDB"/>
    <w:rsid w:val="00A8005A"/>
    <w:rsid w:val="00A83BCB"/>
    <w:rsid w:val="00A84991"/>
    <w:rsid w:val="00A91B7C"/>
    <w:rsid w:val="00A91DF4"/>
    <w:rsid w:val="00AA00B2"/>
    <w:rsid w:val="00AA042C"/>
    <w:rsid w:val="00AA1CCC"/>
    <w:rsid w:val="00AA58DF"/>
    <w:rsid w:val="00AA5BE6"/>
    <w:rsid w:val="00AA64BC"/>
    <w:rsid w:val="00AA72ED"/>
    <w:rsid w:val="00AB0599"/>
    <w:rsid w:val="00AB1157"/>
    <w:rsid w:val="00AB23A5"/>
    <w:rsid w:val="00AB4A9E"/>
    <w:rsid w:val="00AB6139"/>
    <w:rsid w:val="00AC1EDD"/>
    <w:rsid w:val="00AC1F02"/>
    <w:rsid w:val="00AC3301"/>
    <w:rsid w:val="00AC4052"/>
    <w:rsid w:val="00AC5EBF"/>
    <w:rsid w:val="00AD05C6"/>
    <w:rsid w:val="00AD0DAC"/>
    <w:rsid w:val="00AD311F"/>
    <w:rsid w:val="00AD7565"/>
    <w:rsid w:val="00AD79CC"/>
    <w:rsid w:val="00AE083E"/>
    <w:rsid w:val="00AE27D9"/>
    <w:rsid w:val="00AE56A2"/>
    <w:rsid w:val="00AE6787"/>
    <w:rsid w:val="00AF228E"/>
    <w:rsid w:val="00AF28BA"/>
    <w:rsid w:val="00AF3DFD"/>
    <w:rsid w:val="00AF6F5A"/>
    <w:rsid w:val="00B005F0"/>
    <w:rsid w:val="00B054D7"/>
    <w:rsid w:val="00B0673B"/>
    <w:rsid w:val="00B07FA3"/>
    <w:rsid w:val="00B11C64"/>
    <w:rsid w:val="00B14143"/>
    <w:rsid w:val="00B156E0"/>
    <w:rsid w:val="00B16044"/>
    <w:rsid w:val="00B1644A"/>
    <w:rsid w:val="00B16AD2"/>
    <w:rsid w:val="00B2160F"/>
    <w:rsid w:val="00B22A74"/>
    <w:rsid w:val="00B23B55"/>
    <w:rsid w:val="00B23FA8"/>
    <w:rsid w:val="00B264EC"/>
    <w:rsid w:val="00B27D51"/>
    <w:rsid w:val="00B303E2"/>
    <w:rsid w:val="00B31115"/>
    <w:rsid w:val="00B330A4"/>
    <w:rsid w:val="00B33FBD"/>
    <w:rsid w:val="00B35380"/>
    <w:rsid w:val="00B367CA"/>
    <w:rsid w:val="00B40F16"/>
    <w:rsid w:val="00B41DF8"/>
    <w:rsid w:val="00B43F17"/>
    <w:rsid w:val="00B466CA"/>
    <w:rsid w:val="00B46F4E"/>
    <w:rsid w:val="00B47D58"/>
    <w:rsid w:val="00B533D8"/>
    <w:rsid w:val="00B53615"/>
    <w:rsid w:val="00B541FA"/>
    <w:rsid w:val="00B5436B"/>
    <w:rsid w:val="00B576D9"/>
    <w:rsid w:val="00B601E7"/>
    <w:rsid w:val="00B61330"/>
    <w:rsid w:val="00B6422B"/>
    <w:rsid w:val="00B66626"/>
    <w:rsid w:val="00B6725F"/>
    <w:rsid w:val="00B72B9D"/>
    <w:rsid w:val="00B72D1C"/>
    <w:rsid w:val="00B73274"/>
    <w:rsid w:val="00B75655"/>
    <w:rsid w:val="00B75B70"/>
    <w:rsid w:val="00B80D4E"/>
    <w:rsid w:val="00B8617B"/>
    <w:rsid w:val="00B912E4"/>
    <w:rsid w:val="00B942A8"/>
    <w:rsid w:val="00B96B84"/>
    <w:rsid w:val="00BA2118"/>
    <w:rsid w:val="00BA5F27"/>
    <w:rsid w:val="00BA7DEE"/>
    <w:rsid w:val="00BB0FEC"/>
    <w:rsid w:val="00BB2F46"/>
    <w:rsid w:val="00BB4F42"/>
    <w:rsid w:val="00BB5FBC"/>
    <w:rsid w:val="00BB64AA"/>
    <w:rsid w:val="00BB7030"/>
    <w:rsid w:val="00BB79DF"/>
    <w:rsid w:val="00BC1994"/>
    <w:rsid w:val="00BC4E1F"/>
    <w:rsid w:val="00BC66EF"/>
    <w:rsid w:val="00BD6708"/>
    <w:rsid w:val="00BD7190"/>
    <w:rsid w:val="00BE0965"/>
    <w:rsid w:val="00BE4220"/>
    <w:rsid w:val="00BE4791"/>
    <w:rsid w:val="00BE481C"/>
    <w:rsid w:val="00BE7220"/>
    <w:rsid w:val="00BF0E51"/>
    <w:rsid w:val="00BF113A"/>
    <w:rsid w:val="00BF654A"/>
    <w:rsid w:val="00BF6C59"/>
    <w:rsid w:val="00BF717B"/>
    <w:rsid w:val="00C0045C"/>
    <w:rsid w:val="00C02FFB"/>
    <w:rsid w:val="00C04981"/>
    <w:rsid w:val="00C049F4"/>
    <w:rsid w:val="00C04FE5"/>
    <w:rsid w:val="00C05FC7"/>
    <w:rsid w:val="00C070DA"/>
    <w:rsid w:val="00C10A48"/>
    <w:rsid w:val="00C11785"/>
    <w:rsid w:val="00C13826"/>
    <w:rsid w:val="00C1451D"/>
    <w:rsid w:val="00C15515"/>
    <w:rsid w:val="00C15539"/>
    <w:rsid w:val="00C2479A"/>
    <w:rsid w:val="00C3094A"/>
    <w:rsid w:val="00C34C07"/>
    <w:rsid w:val="00C36484"/>
    <w:rsid w:val="00C40BFA"/>
    <w:rsid w:val="00C4125D"/>
    <w:rsid w:val="00C4557E"/>
    <w:rsid w:val="00C51DF9"/>
    <w:rsid w:val="00C52878"/>
    <w:rsid w:val="00C5565B"/>
    <w:rsid w:val="00C558B9"/>
    <w:rsid w:val="00C65510"/>
    <w:rsid w:val="00C70B96"/>
    <w:rsid w:val="00C730A6"/>
    <w:rsid w:val="00C73652"/>
    <w:rsid w:val="00C74B64"/>
    <w:rsid w:val="00C778B6"/>
    <w:rsid w:val="00C77FDE"/>
    <w:rsid w:val="00C80B62"/>
    <w:rsid w:val="00C83472"/>
    <w:rsid w:val="00C838E1"/>
    <w:rsid w:val="00C86640"/>
    <w:rsid w:val="00C86A14"/>
    <w:rsid w:val="00C90627"/>
    <w:rsid w:val="00C9093F"/>
    <w:rsid w:val="00C909C6"/>
    <w:rsid w:val="00C919D1"/>
    <w:rsid w:val="00C91E25"/>
    <w:rsid w:val="00C91FD2"/>
    <w:rsid w:val="00C93814"/>
    <w:rsid w:val="00C93E9B"/>
    <w:rsid w:val="00C9614A"/>
    <w:rsid w:val="00CA00F8"/>
    <w:rsid w:val="00CA1B82"/>
    <w:rsid w:val="00CA4B8F"/>
    <w:rsid w:val="00CA5152"/>
    <w:rsid w:val="00CA67A2"/>
    <w:rsid w:val="00CA7AA0"/>
    <w:rsid w:val="00CB6821"/>
    <w:rsid w:val="00CB6C91"/>
    <w:rsid w:val="00CC0E63"/>
    <w:rsid w:val="00CC1FF1"/>
    <w:rsid w:val="00CC3543"/>
    <w:rsid w:val="00CC3607"/>
    <w:rsid w:val="00CC3C5A"/>
    <w:rsid w:val="00CC5609"/>
    <w:rsid w:val="00CD4D15"/>
    <w:rsid w:val="00CD5CA0"/>
    <w:rsid w:val="00CD63B2"/>
    <w:rsid w:val="00CD696B"/>
    <w:rsid w:val="00CD73A8"/>
    <w:rsid w:val="00CE082C"/>
    <w:rsid w:val="00CE2934"/>
    <w:rsid w:val="00CE504F"/>
    <w:rsid w:val="00CF2B0E"/>
    <w:rsid w:val="00CF3094"/>
    <w:rsid w:val="00CF45DB"/>
    <w:rsid w:val="00CF4F42"/>
    <w:rsid w:val="00CF7D65"/>
    <w:rsid w:val="00D02481"/>
    <w:rsid w:val="00D03C33"/>
    <w:rsid w:val="00D05FCA"/>
    <w:rsid w:val="00D11AC7"/>
    <w:rsid w:val="00D1214E"/>
    <w:rsid w:val="00D13152"/>
    <w:rsid w:val="00D13252"/>
    <w:rsid w:val="00D155CE"/>
    <w:rsid w:val="00D21921"/>
    <w:rsid w:val="00D22474"/>
    <w:rsid w:val="00D228B7"/>
    <w:rsid w:val="00D229CE"/>
    <w:rsid w:val="00D22CBF"/>
    <w:rsid w:val="00D235A0"/>
    <w:rsid w:val="00D2422D"/>
    <w:rsid w:val="00D27530"/>
    <w:rsid w:val="00D27A2D"/>
    <w:rsid w:val="00D27C56"/>
    <w:rsid w:val="00D306F9"/>
    <w:rsid w:val="00D3095D"/>
    <w:rsid w:val="00D31978"/>
    <w:rsid w:val="00D335DC"/>
    <w:rsid w:val="00D376D8"/>
    <w:rsid w:val="00D400B5"/>
    <w:rsid w:val="00D420D3"/>
    <w:rsid w:val="00D46C21"/>
    <w:rsid w:val="00D471D8"/>
    <w:rsid w:val="00D47F48"/>
    <w:rsid w:val="00D5039E"/>
    <w:rsid w:val="00D52FDB"/>
    <w:rsid w:val="00D53B93"/>
    <w:rsid w:val="00D5517B"/>
    <w:rsid w:val="00D56BA8"/>
    <w:rsid w:val="00D60456"/>
    <w:rsid w:val="00D610D4"/>
    <w:rsid w:val="00D63939"/>
    <w:rsid w:val="00D64334"/>
    <w:rsid w:val="00D64614"/>
    <w:rsid w:val="00D65F1D"/>
    <w:rsid w:val="00D66947"/>
    <w:rsid w:val="00D73D7F"/>
    <w:rsid w:val="00D76F49"/>
    <w:rsid w:val="00D77163"/>
    <w:rsid w:val="00D7745F"/>
    <w:rsid w:val="00D808F8"/>
    <w:rsid w:val="00D82105"/>
    <w:rsid w:val="00D87549"/>
    <w:rsid w:val="00D87657"/>
    <w:rsid w:val="00D87DF3"/>
    <w:rsid w:val="00D91825"/>
    <w:rsid w:val="00D9551A"/>
    <w:rsid w:val="00DA3D1D"/>
    <w:rsid w:val="00DA5027"/>
    <w:rsid w:val="00DA5EE8"/>
    <w:rsid w:val="00DA7777"/>
    <w:rsid w:val="00DA7A15"/>
    <w:rsid w:val="00DB06E7"/>
    <w:rsid w:val="00DB0FAC"/>
    <w:rsid w:val="00DB3298"/>
    <w:rsid w:val="00DB5C16"/>
    <w:rsid w:val="00DB65F1"/>
    <w:rsid w:val="00DB66F7"/>
    <w:rsid w:val="00DC2576"/>
    <w:rsid w:val="00DC2C84"/>
    <w:rsid w:val="00DC4036"/>
    <w:rsid w:val="00DC604F"/>
    <w:rsid w:val="00DD12D8"/>
    <w:rsid w:val="00DD23F9"/>
    <w:rsid w:val="00DD4887"/>
    <w:rsid w:val="00DE0DA6"/>
    <w:rsid w:val="00DE214B"/>
    <w:rsid w:val="00DE3E13"/>
    <w:rsid w:val="00DE4FD6"/>
    <w:rsid w:val="00DE7347"/>
    <w:rsid w:val="00DE784E"/>
    <w:rsid w:val="00DF0153"/>
    <w:rsid w:val="00DF0881"/>
    <w:rsid w:val="00DF138A"/>
    <w:rsid w:val="00DF16D9"/>
    <w:rsid w:val="00DF1E62"/>
    <w:rsid w:val="00DF2D9B"/>
    <w:rsid w:val="00DF6AF0"/>
    <w:rsid w:val="00E008E9"/>
    <w:rsid w:val="00E0123C"/>
    <w:rsid w:val="00E01B76"/>
    <w:rsid w:val="00E11C3A"/>
    <w:rsid w:val="00E1388F"/>
    <w:rsid w:val="00E14BFC"/>
    <w:rsid w:val="00E14C43"/>
    <w:rsid w:val="00E154FF"/>
    <w:rsid w:val="00E20B66"/>
    <w:rsid w:val="00E20C81"/>
    <w:rsid w:val="00E212FE"/>
    <w:rsid w:val="00E22D2D"/>
    <w:rsid w:val="00E2332F"/>
    <w:rsid w:val="00E23B22"/>
    <w:rsid w:val="00E24BE4"/>
    <w:rsid w:val="00E24EEF"/>
    <w:rsid w:val="00E25CC4"/>
    <w:rsid w:val="00E26B33"/>
    <w:rsid w:val="00E316E3"/>
    <w:rsid w:val="00E3293A"/>
    <w:rsid w:val="00E3498A"/>
    <w:rsid w:val="00E3587E"/>
    <w:rsid w:val="00E420F1"/>
    <w:rsid w:val="00E4629B"/>
    <w:rsid w:val="00E4737D"/>
    <w:rsid w:val="00E475A3"/>
    <w:rsid w:val="00E47FC1"/>
    <w:rsid w:val="00E510D1"/>
    <w:rsid w:val="00E51578"/>
    <w:rsid w:val="00E52EAF"/>
    <w:rsid w:val="00E53D53"/>
    <w:rsid w:val="00E564B4"/>
    <w:rsid w:val="00E56853"/>
    <w:rsid w:val="00E60A38"/>
    <w:rsid w:val="00E63BC2"/>
    <w:rsid w:val="00E64D19"/>
    <w:rsid w:val="00E67203"/>
    <w:rsid w:val="00E70AB6"/>
    <w:rsid w:val="00E71E86"/>
    <w:rsid w:val="00E7467E"/>
    <w:rsid w:val="00E75B1D"/>
    <w:rsid w:val="00E81B87"/>
    <w:rsid w:val="00E83447"/>
    <w:rsid w:val="00E85351"/>
    <w:rsid w:val="00E86278"/>
    <w:rsid w:val="00E8717E"/>
    <w:rsid w:val="00E9168C"/>
    <w:rsid w:val="00E923C5"/>
    <w:rsid w:val="00E93BA4"/>
    <w:rsid w:val="00E94735"/>
    <w:rsid w:val="00E95D13"/>
    <w:rsid w:val="00E96463"/>
    <w:rsid w:val="00E97A88"/>
    <w:rsid w:val="00EA3C74"/>
    <w:rsid w:val="00EA421C"/>
    <w:rsid w:val="00EB35D6"/>
    <w:rsid w:val="00EB4345"/>
    <w:rsid w:val="00EB49CD"/>
    <w:rsid w:val="00EB5197"/>
    <w:rsid w:val="00EB7E17"/>
    <w:rsid w:val="00EC0180"/>
    <w:rsid w:val="00EC05D5"/>
    <w:rsid w:val="00EC09EF"/>
    <w:rsid w:val="00EC1052"/>
    <w:rsid w:val="00EC2057"/>
    <w:rsid w:val="00EC39AA"/>
    <w:rsid w:val="00EC3B17"/>
    <w:rsid w:val="00EC4187"/>
    <w:rsid w:val="00EC5110"/>
    <w:rsid w:val="00EC538C"/>
    <w:rsid w:val="00EC5457"/>
    <w:rsid w:val="00EC722D"/>
    <w:rsid w:val="00EC7534"/>
    <w:rsid w:val="00ED3CA6"/>
    <w:rsid w:val="00ED3D44"/>
    <w:rsid w:val="00EE00D5"/>
    <w:rsid w:val="00EE2D78"/>
    <w:rsid w:val="00EE3372"/>
    <w:rsid w:val="00EE5805"/>
    <w:rsid w:val="00EE5F28"/>
    <w:rsid w:val="00EE6C94"/>
    <w:rsid w:val="00EE79EF"/>
    <w:rsid w:val="00EF1477"/>
    <w:rsid w:val="00EF16BE"/>
    <w:rsid w:val="00EF1C17"/>
    <w:rsid w:val="00EF2738"/>
    <w:rsid w:val="00EF5451"/>
    <w:rsid w:val="00EF58B1"/>
    <w:rsid w:val="00EF6CEF"/>
    <w:rsid w:val="00F02092"/>
    <w:rsid w:val="00F0217F"/>
    <w:rsid w:val="00F05A7B"/>
    <w:rsid w:val="00F05D6C"/>
    <w:rsid w:val="00F1406A"/>
    <w:rsid w:val="00F15545"/>
    <w:rsid w:val="00F16C79"/>
    <w:rsid w:val="00F22FBE"/>
    <w:rsid w:val="00F43885"/>
    <w:rsid w:val="00F46D5A"/>
    <w:rsid w:val="00F47C9A"/>
    <w:rsid w:val="00F51463"/>
    <w:rsid w:val="00F519BC"/>
    <w:rsid w:val="00F528CF"/>
    <w:rsid w:val="00F54448"/>
    <w:rsid w:val="00F5653A"/>
    <w:rsid w:val="00F61298"/>
    <w:rsid w:val="00F61920"/>
    <w:rsid w:val="00F61C68"/>
    <w:rsid w:val="00F6410C"/>
    <w:rsid w:val="00F64B84"/>
    <w:rsid w:val="00F64F64"/>
    <w:rsid w:val="00F670E0"/>
    <w:rsid w:val="00F71F2A"/>
    <w:rsid w:val="00F752E9"/>
    <w:rsid w:val="00F762A9"/>
    <w:rsid w:val="00F8655B"/>
    <w:rsid w:val="00F86795"/>
    <w:rsid w:val="00F90BDD"/>
    <w:rsid w:val="00F91191"/>
    <w:rsid w:val="00F933B2"/>
    <w:rsid w:val="00F9380D"/>
    <w:rsid w:val="00F94047"/>
    <w:rsid w:val="00F97BCC"/>
    <w:rsid w:val="00FA0B7F"/>
    <w:rsid w:val="00FA2AF9"/>
    <w:rsid w:val="00FA530B"/>
    <w:rsid w:val="00FA54F7"/>
    <w:rsid w:val="00FA79C1"/>
    <w:rsid w:val="00FB2283"/>
    <w:rsid w:val="00FB3C75"/>
    <w:rsid w:val="00FB42C2"/>
    <w:rsid w:val="00FB522D"/>
    <w:rsid w:val="00FB767B"/>
    <w:rsid w:val="00FC0976"/>
    <w:rsid w:val="00FC18AF"/>
    <w:rsid w:val="00FC210C"/>
    <w:rsid w:val="00FC2BEC"/>
    <w:rsid w:val="00FC401B"/>
    <w:rsid w:val="00FC7742"/>
    <w:rsid w:val="00FD0C90"/>
    <w:rsid w:val="00FD19EE"/>
    <w:rsid w:val="00FD19FF"/>
    <w:rsid w:val="00FD4301"/>
    <w:rsid w:val="00FD63FD"/>
    <w:rsid w:val="00FE02C0"/>
    <w:rsid w:val="00FE1C08"/>
    <w:rsid w:val="00FE3529"/>
    <w:rsid w:val="00FE3C63"/>
    <w:rsid w:val="00FE528A"/>
    <w:rsid w:val="00FF4801"/>
    <w:rsid w:val="00FF62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B36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67B"/>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styleId="CommentReference">
    <w:name w:val="annotation reference"/>
    <w:basedOn w:val="DefaultParagraphFont"/>
    <w:uiPriority w:val="99"/>
    <w:semiHidden/>
    <w:unhideWhenUsed/>
    <w:rsid w:val="00A438B5"/>
    <w:rPr>
      <w:sz w:val="16"/>
      <w:szCs w:val="16"/>
    </w:rPr>
  </w:style>
  <w:style w:type="paragraph" w:styleId="CommentText">
    <w:name w:val="annotation text"/>
    <w:basedOn w:val="Normal"/>
    <w:link w:val="CommentTextChar"/>
    <w:uiPriority w:val="99"/>
    <w:unhideWhenUsed/>
    <w:rsid w:val="00A438B5"/>
    <w:rPr>
      <w:sz w:val="20"/>
    </w:rPr>
  </w:style>
  <w:style w:type="character" w:customStyle="1" w:styleId="CommentTextChar">
    <w:name w:val="Comment Text Char"/>
    <w:basedOn w:val="DefaultParagraphFont"/>
    <w:link w:val="CommentText"/>
    <w:uiPriority w:val="99"/>
    <w:rsid w:val="00A438B5"/>
    <w:rPr>
      <w:snapToGrid w:val="0"/>
      <w:kern w:val="28"/>
    </w:rPr>
  </w:style>
  <w:style w:type="paragraph" w:styleId="CommentSubject">
    <w:name w:val="annotation subject"/>
    <w:basedOn w:val="CommentText"/>
    <w:next w:val="CommentText"/>
    <w:link w:val="CommentSubjectChar"/>
    <w:uiPriority w:val="99"/>
    <w:semiHidden/>
    <w:unhideWhenUsed/>
    <w:rsid w:val="00A438B5"/>
    <w:rPr>
      <w:b/>
      <w:bCs/>
    </w:rPr>
  </w:style>
  <w:style w:type="character" w:customStyle="1" w:styleId="CommentSubjectChar">
    <w:name w:val="Comment Subject Char"/>
    <w:basedOn w:val="CommentTextChar"/>
    <w:link w:val="CommentSubject"/>
    <w:uiPriority w:val="99"/>
    <w:semiHidden/>
    <w:rsid w:val="00A438B5"/>
    <w:rPr>
      <w:b/>
      <w:bCs/>
      <w:snapToGrid w:val="0"/>
      <w:kern w:val="28"/>
    </w:rPr>
  </w:style>
  <w:style w:type="character" w:customStyle="1" w:styleId="FootnoteTextChar">
    <w:name w:val="Footnote Text Char"/>
    <w:basedOn w:val="DefaultParagraphFont"/>
    <w:link w:val="FootnoteText"/>
    <w:semiHidden/>
    <w:rsid w:val="00FB767B"/>
  </w:style>
  <w:style w:type="paragraph" w:styleId="ListParagraph">
    <w:name w:val="List Paragraph"/>
    <w:basedOn w:val="Normal"/>
    <w:uiPriority w:val="34"/>
    <w:qFormat/>
    <w:rsid w:val="00240585"/>
    <w:pPr>
      <w:ind w:left="720"/>
      <w:contextualSpacing/>
    </w:pPr>
  </w:style>
  <w:style w:type="character" w:customStyle="1" w:styleId="Mention">
    <w:name w:val="Mention"/>
    <w:basedOn w:val="DefaultParagraphFont"/>
    <w:uiPriority w:val="99"/>
    <w:unhideWhenUsed/>
    <w:rsid w:val="007F51C8"/>
    <w:rPr>
      <w:color w:val="2B579A"/>
      <w:shd w:val="clear" w:color="auto" w:fill="E1DFDD"/>
    </w:rPr>
  </w:style>
  <w:style w:type="paragraph" w:styleId="Revision">
    <w:name w:val="Revision"/>
    <w:hidden/>
    <w:uiPriority w:val="99"/>
    <w:semiHidden/>
    <w:rsid w:val="005C200C"/>
    <w:rPr>
      <w:snapToGrid w:val="0"/>
      <w:kern w:val="28"/>
      <w:sz w:val="22"/>
    </w:rPr>
  </w:style>
  <w:style w:type="character" w:customStyle="1" w:styleId="markedcontent">
    <w:name w:val="markedcontent"/>
    <w:basedOn w:val="DefaultParagraphFont"/>
    <w:rsid w:val="00DA7A15"/>
  </w:style>
  <w:style w:type="paragraph" w:customStyle="1" w:styleId="Default">
    <w:name w:val="Default"/>
    <w:rsid w:val="00C80B6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FC0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Susan.Mor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cbandrpc.com/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