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75590" w:rsidRPr="004A3D22" w:rsidP="00C75590" w14:paraId="1789DEC5" w14:textId="4A3D1A1A">
      <w:pPr>
        <w:jc w:val="right"/>
        <w:rPr>
          <w:b/>
          <w:szCs w:val="22"/>
        </w:rPr>
      </w:pPr>
      <w:r w:rsidRPr="004A3D22">
        <w:rPr>
          <w:b/>
          <w:szCs w:val="22"/>
        </w:rPr>
        <w:t>DA 2</w:t>
      </w:r>
      <w:r w:rsidR="004A426B">
        <w:rPr>
          <w:b/>
          <w:szCs w:val="22"/>
        </w:rPr>
        <w:t>2</w:t>
      </w:r>
      <w:r w:rsidRPr="004A3D22">
        <w:rPr>
          <w:b/>
          <w:szCs w:val="22"/>
        </w:rPr>
        <w:t>-</w:t>
      </w:r>
      <w:r w:rsidR="00234FBE">
        <w:rPr>
          <w:b/>
          <w:szCs w:val="22"/>
        </w:rPr>
        <w:t>307</w:t>
      </w:r>
    </w:p>
    <w:p w:rsidR="00C75590" w:rsidRPr="004A3D22" w:rsidP="00C75590" w14:paraId="1F33E7AA" w14:textId="7C909029">
      <w:pPr>
        <w:spacing w:before="60"/>
        <w:jc w:val="right"/>
        <w:rPr>
          <w:b/>
          <w:szCs w:val="22"/>
        </w:rPr>
      </w:pPr>
      <w:r w:rsidRPr="004A3D22">
        <w:rPr>
          <w:b/>
          <w:szCs w:val="22"/>
        </w:rPr>
        <w:t xml:space="preserve">Released:  </w:t>
      </w:r>
      <w:r w:rsidR="00234FBE">
        <w:rPr>
          <w:b/>
          <w:szCs w:val="22"/>
        </w:rPr>
        <w:t>March 23</w:t>
      </w:r>
      <w:r w:rsidRPr="004A3D22">
        <w:rPr>
          <w:b/>
          <w:szCs w:val="22"/>
        </w:rPr>
        <w:t>, 2022</w:t>
      </w:r>
    </w:p>
    <w:p w:rsidR="00C75590" w:rsidRPr="004A3D22" w:rsidP="00C75590" w14:paraId="6E947B66" w14:textId="77777777">
      <w:pPr>
        <w:spacing w:before="60"/>
        <w:jc w:val="right"/>
        <w:rPr>
          <w:b/>
          <w:szCs w:val="22"/>
        </w:rPr>
      </w:pPr>
    </w:p>
    <w:p w:rsidR="00C65251" w:rsidP="00C75590" w14:paraId="750223F9" w14:textId="77777777">
      <w:pPr>
        <w:jc w:val="center"/>
        <w:rPr>
          <w:b/>
          <w:caps/>
          <w:szCs w:val="22"/>
        </w:rPr>
      </w:pPr>
      <w:r w:rsidRPr="004A3D22">
        <w:rPr>
          <w:b/>
          <w:caps/>
          <w:szCs w:val="22"/>
        </w:rPr>
        <w:t xml:space="preserve">EFFECTIVE DATE OF NEW APPLICATION FEE RATES FOR THE </w:t>
      </w:r>
    </w:p>
    <w:p w:rsidR="00C75590" w:rsidRPr="004A3D22" w:rsidP="00C75590" w14:paraId="254B174D" w14:textId="26891BF4">
      <w:pPr>
        <w:jc w:val="center"/>
        <w:rPr>
          <w:b/>
          <w:caps/>
          <w:szCs w:val="22"/>
        </w:rPr>
      </w:pPr>
      <w:r w:rsidRPr="004A3D22">
        <w:rPr>
          <w:b/>
          <w:caps/>
          <w:szCs w:val="22"/>
        </w:rPr>
        <w:t>WIRELESS TELECOMMUNICATIONS BUREAU</w:t>
      </w:r>
    </w:p>
    <w:p w:rsidR="00C75590" w:rsidRPr="004A3D22" w:rsidP="00C75590" w14:paraId="4CC99916" w14:textId="54799192">
      <w:pPr>
        <w:jc w:val="center"/>
        <w:rPr>
          <w:b/>
          <w:szCs w:val="22"/>
        </w:rPr>
      </w:pPr>
      <w:bookmarkStart w:id="0" w:name="_Hlk60140804"/>
      <w:r w:rsidRPr="004A3D22">
        <w:rPr>
          <w:b/>
          <w:szCs w:val="22"/>
        </w:rPr>
        <w:t>MD Docket No. 20-270</w:t>
      </w:r>
      <w:bookmarkEnd w:id="0"/>
    </w:p>
    <w:p w:rsidR="00C75590" w:rsidRPr="004A3D22" w:rsidP="00C75590" w14:paraId="56D2816D" w14:textId="77777777">
      <w:pPr>
        <w:jc w:val="center"/>
        <w:rPr>
          <w:b/>
          <w:szCs w:val="22"/>
        </w:rPr>
      </w:pPr>
    </w:p>
    <w:p w:rsidR="00C75590" w:rsidRPr="004A3D22" w:rsidP="00C75590" w14:paraId="1BCDAA47" w14:textId="733ABBED">
      <w:pPr>
        <w:widowControl/>
        <w:spacing w:after="120"/>
        <w:ind w:firstLine="720"/>
        <w:rPr>
          <w:szCs w:val="22"/>
        </w:rPr>
      </w:pPr>
      <w:r w:rsidRPr="004A3D22">
        <w:rPr>
          <w:bCs/>
          <w:szCs w:val="22"/>
        </w:rPr>
        <w:t>On December 23, 2020, the Commission adopted a Report and Order implementing a new application fee schedule which significantly updated the Commission’s previous fee schedule.</w:t>
      </w:r>
      <w:r>
        <w:rPr>
          <w:rStyle w:val="FootnoteReference"/>
          <w:bCs/>
          <w:szCs w:val="22"/>
        </w:rPr>
        <w:footnoteReference w:id="3"/>
      </w:r>
      <w:r w:rsidRPr="004A3D22">
        <w:rPr>
          <w:bCs/>
          <w:szCs w:val="22"/>
        </w:rPr>
        <w:t xml:space="preserve">  As indicated in the </w:t>
      </w:r>
      <w:r w:rsidRPr="004A3D22">
        <w:rPr>
          <w:bCs/>
          <w:i/>
          <w:iCs/>
          <w:szCs w:val="22"/>
        </w:rPr>
        <w:t>2020</w:t>
      </w:r>
      <w:r w:rsidRPr="004A3D22">
        <w:rPr>
          <w:i/>
          <w:szCs w:val="22"/>
        </w:rPr>
        <w:t xml:space="preserve"> Application Fee Report and Order</w:t>
      </w:r>
      <w:r w:rsidRPr="004A3D22">
        <w:rPr>
          <w:szCs w:val="22"/>
        </w:rPr>
        <w:t>, the new application fee rates will become effective when the Commission’s “information technology systems and internal procedures have been updated, and the Commission publishes notice(s) in the Federal Register announcing the effective date of such rules.”</w:t>
      </w:r>
      <w:r>
        <w:rPr>
          <w:rStyle w:val="FootnoteReference"/>
          <w:szCs w:val="22"/>
        </w:rPr>
        <w:footnoteReference w:id="4"/>
      </w:r>
      <w:r w:rsidR="00D54EDD">
        <w:rPr>
          <w:szCs w:val="22"/>
        </w:rPr>
        <w:t xml:space="preserve">  On July </w:t>
      </w:r>
      <w:r w:rsidR="006B41DA">
        <w:rPr>
          <w:szCs w:val="22"/>
        </w:rPr>
        <w:t>6</w:t>
      </w:r>
      <w:r w:rsidR="00D54EDD">
        <w:rPr>
          <w:szCs w:val="22"/>
        </w:rPr>
        <w:t xml:space="preserve">, 2021, </w:t>
      </w:r>
      <w:r w:rsidRPr="00DF3877" w:rsidR="00D54EDD">
        <w:t>the Commission announced</w:t>
      </w:r>
      <w:r w:rsidR="006B41DA">
        <w:t xml:space="preserve"> the </w:t>
      </w:r>
      <w:r w:rsidRPr="00DF3877" w:rsidR="00D54EDD">
        <w:t>new application fee rates</w:t>
      </w:r>
      <w:r w:rsidR="00D54EDD">
        <w:t xml:space="preserve"> </w:t>
      </w:r>
      <w:r w:rsidRPr="00DF3877" w:rsidR="00D54EDD">
        <w:t>for the Office of Engineering and Technology</w:t>
      </w:r>
      <w:r w:rsidR="00D54EDD">
        <w:t xml:space="preserve"> </w:t>
      </w:r>
      <w:r w:rsidRPr="00DF3877" w:rsidR="00D54EDD">
        <w:t>and the Media Bureau</w:t>
      </w:r>
      <w:r w:rsidR="006B41DA">
        <w:t xml:space="preserve"> would become effective on July 15, 2021</w:t>
      </w:r>
      <w:r w:rsidRPr="00DF3877" w:rsidR="00D54EDD">
        <w:t>,</w:t>
      </w:r>
      <w:r>
        <w:rPr>
          <w:rStyle w:val="FootnoteReference"/>
        </w:rPr>
        <w:footnoteReference w:id="5"/>
      </w:r>
      <w:r w:rsidR="00D54EDD">
        <w:t xml:space="preserve"> </w:t>
      </w:r>
      <w:r w:rsidRPr="00DF3877" w:rsidR="00D54EDD">
        <w:t>and</w:t>
      </w:r>
      <w:r w:rsidR="00D54EDD">
        <w:t xml:space="preserve"> </w:t>
      </w:r>
      <w:r w:rsidRPr="00DF3877" w:rsidR="00D54EDD">
        <w:t xml:space="preserve">on December 15, 2021, </w:t>
      </w:r>
      <w:r w:rsidR="00D54EDD">
        <w:t xml:space="preserve">the Commission announced </w:t>
      </w:r>
      <w:r w:rsidR="006B41DA">
        <w:t xml:space="preserve">the </w:t>
      </w:r>
      <w:r w:rsidRPr="00DF3877" w:rsidR="00D54EDD">
        <w:t>new application fee rates for the Wireline Competition Bureau, the Enforcement Bureau, the International Bureau, and CALEA Petitions</w:t>
      </w:r>
      <w:r w:rsidR="006B41DA">
        <w:t xml:space="preserve"> would become effective on December 15, 2021</w:t>
      </w:r>
      <w:r w:rsidR="00D54EDD">
        <w:t>.</w:t>
      </w:r>
      <w:r>
        <w:rPr>
          <w:rStyle w:val="FootnoteReference"/>
        </w:rPr>
        <w:footnoteReference w:id="6"/>
      </w:r>
      <w:r w:rsidR="006B41DA">
        <w:t xml:space="preserve"> </w:t>
      </w:r>
      <w:r w:rsidRPr="004A3D22">
        <w:rPr>
          <w:szCs w:val="22"/>
        </w:rPr>
        <w:t xml:space="preserve">This Public Notice announces that </w:t>
      </w:r>
      <w:r w:rsidR="00D54EDD">
        <w:rPr>
          <w:szCs w:val="22"/>
        </w:rPr>
        <w:t xml:space="preserve">the </w:t>
      </w:r>
      <w:r w:rsidRPr="004A3D22">
        <w:rPr>
          <w:szCs w:val="22"/>
        </w:rPr>
        <w:t>new application fee rates for the Wireless Telecommunications Bureau, codified at 47 CFR</w:t>
      </w:r>
      <w:r w:rsidR="00DF3877">
        <w:rPr>
          <w:szCs w:val="22"/>
        </w:rPr>
        <w:t xml:space="preserve"> </w:t>
      </w:r>
      <w:r w:rsidRPr="004A3D22" w:rsidR="00DF3877">
        <w:rPr>
          <w:bCs/>
          <w:sz w:val="20"/>
        </w:rPr>
        <w:t>§</w:t>
      </w:r>
      <w:r w:rsidR="00DF3877">
        <w:rPr>
          <w:bCs/>
          <w:sz w:val="20"/>
        </w:rPr>
        <w:t xml:space="preserve"> </w:t>
      </w:r>
      <w:r w:rsidRPr="004A3D22">
        <w:rPr>
          <w:szCs w:val="22"/>
        </w:rPr>
        <w:t xml:space="preserve">1.1102, will become effective on </w:t>
      </w:r>
      <w:r w:rsidRPr="00364D87">
        <w:rPr>
          <w:b/>
          <w:bCs/>
          <w:szCs w:val="22"/>
        </w:rPr>
        <w:t>April 19, 2022</w:t>
      </w:r>
      <w:r w:rsidRPr="004A3D22">
        <w:rPr>
          <w:szCs w:val="22"/>
        </w:rPr>
        <w:t>.</w:t>
      </w:r>
      <w:r>
        <w:rPr>
          <w:rStyle w:val="FootnoteReference"/>
          <w:szCs w:val="22"/>
        </w:rPr>
        <w:footnoteReference w:id="7"/>
      </w:r>
      <w:r w:rsidRPr="004A3D22">
        <w:rPr>
          <w:szCs w:val="22"/>
        </w:rPr>
        <w:t xml:space="preserve">  Wireless application fees can be paid through the Commission’s Universal Licensing System</w:t>
      </w:r>
      <w:r w:rsidR="00DF3877">
        <w:rPr>
          <w:szCs w:val="22"/>
        </w:rPr>
        <w:t xml:space="preserve"> (ULS) </w:t>
      </w:r>
      <w:r w:rsidRPr="004A3D22">
        <w:rPr>
          <w:szCs w:val="22"/>
        </w:rPr>
        <w:t xml:space="preserve">at </w:t>
      </w:r>
      <w:hyperlink r:id="rId5" w:history="1">
        <w:r w:rsidRPr="004A3D22">
          <w:rPr>
            <w:rStyle w:val="Hyperlink"/>
            <w:szCs w:val="22"/>
          </w:rPr>
          <w:t>https://www.fcc.gov/wireless/universal-licensing-system</w:t>
        </w:r>
      </w:hyperlink>
      <w:r w:rsidRPr="004A3D22">
        <w:rPr>
          <w:szCs w:val="22"/>
          <w:u w:val="single"/>
        </w:rPr>
        <w:t>.</w:t>
      </w:r>
      <w:r>
        <w:rPr>
          <w:rStyle w:val="FootnoteReference"/>
          <w:szCs w:val="22"/>
          <w:u w:val="single"/>
        </w:rPr>
        <w:footnoteReference w:id="8"/>
      </w:r>
      <w:r w:rsidRPr="004A3D22">
        <w:rPr>
          <w:szCs w:val="22"/>
        </w:rPr>
        <w:t xml:space="preserve"> </w:t>
      </w:r>
    </w:p>
    <w:p w:rsidR="00152A02" w:rsidRPr="00723885" w:rsidP="00152A02" w14:paraId="6CEDCE10" w14:textId="2A755D2A">
      <w:pPr>
        <w:widowControl/>
        <w:ind w:firstLine="720"/>
        <w:rPr>
          <w:szCs w:val="22"/>
        </w:rPr>
      </w:pPr>
      <w:r w:rsidRPr="004A3D22">
        <w:rPr>
          <w:szCs w:val="22"/>
        </w:rPr>
        <w:t xml:space="preserve">For further </w:t>
      </w:r>
      <w:r w:rsidR="00DF3877">
        <w:rPr>
          <w:szCs w:val="22"/>
        </w:rPr>
        <w:t>guidance regar</w:t>
      </w:r>
      <w:r w:rsidRPr="004A3D22">
        <w:rPr>
          <w:szCs w:val="22"/>
        </w:rPr>
        <w:t>ding</w:t>
      </w:r>
      <w:r>
        <w:rPr>
          <w:szCs w:val="22"/>
        </w:rPr>
        <w:t xml:space="preserve"> </w:t>
      </w:r>
      <w:r w:rsidRPr="004A3D22">
        <w:rPr>
          <w:szCs w:val="22"/>
        </w:rPr>
        <w:t xml:space="preserve">Wireless Telecommunications Bureau application fees, please refer to the Wireless </w:t>
      </w:r>
      <w:r w:rsidR="00D54EDD">
        <w:rPr>
          <w:szCs w:val="22"/>
        </w:rPr>
        <w:t xml:space="preserve">Telecommunications </w:t>
      </w:r>
      <w:r w:rsidRPr="004A3D22">
        <w:rPr>
          <w:szCs w:val="22"/>
        </w:rPr>
        <w:t>Bureau Fee Filing Guide located at</w:t>
      </w:r>
      <w:r>
        <w:rPr>
          <w:szCs w:val="22"/>
        </w:rPr>
        <w:t xml:space="preserve"> </w:t>
      </w:r>
      <w:hyperlink r:id="rId6" w:history="1">
        <w:r w:rsidRPr="004A3D22">
          <w:rPr>
            <w:rStyle w:val="Hyperlink"/>
            <w:szCs w:val="22"/>
          </w:rPr>
          <w:t>https://www.fcc.gov/licensing-databases/fees/application-processing-fees</w:t>
        </w:r>
      </w:hyperlink>
      <w:r w:rsidRPr="004A3D22">
        <w:rPr>
          <w:szCs w:val="22"/>
          <w:u w:val="single"/>
        </w:rPr>
        <w:t>.</w:t>
      </w:r>
      <w:r w:rsidR="00D54EDD">
        <w:rPr>
          <w:szCs w:val="22"/>
        </w:rPr>
        <w:t xml:space="preserve">  </w:t>
      </w:r>
      <w:r w:rsidRPr="00723885">
        <w:rPr>
          <w:szCs w:val="22"/>
        </w:rPr>
        <w:t xml:space="preserve">For further information regarding this Public Notice, please contact </w:t>
      </w:r>
      <w:r>
        <w:rPr>
          <w:szCs w:val="22"/>
        </w:rPr>
        <w:t xml:space="preserve">Roland </w:t>
      </w:r>
      <w:r w:rsidRPr="00E15BA7">
        <w:rPr>
          <w:szCs w:val="22"/>
        </w:rPr>
        <w:t>Helvajian</w:t>
      </w:r>
      <w:r w:rsidRPr="00723885">
        <w:rPr>
          <w:szCs w:val="22"/>
        </w:rPr>
        <w:t xml:space="preserve">, </w:t>
      </w:r>
      <w:r>
        <w:rPr>
          <w:szCs w:val="22"/>
        </w:rPr>
        <w:t>Program Analyst</w:t>
      </w:r>
      <w:r w:rsidRPr="00723885">
        <w:rPr>
          <w:szCs w:val="22"/>
        </w:rPr>
        <w:t xml:space="preserve">, </w:t>
      </w:r>
      <w:r>
        <w:rPr>
          <w:szCs w:val="22"/>
        </w:rPr>
        <w:t xml:space="preserve">Financial Operations, </w:t>
      </w:r>
      <w:r w:rsidRPr="00723885">
        <w:rPr>
          <w:szCs w:val="22"/>
        </w:rPr>
        <w:t xml:space="preserve">Office of </w:t>
      </w:r>
      <w:r>
        <w:rPr>
          <w:szCs w:val="22"/>
        </w:rPr>
        <w:t xml:space="preserve">the </w:t>
      </w:r>
      <w:r w:rsidRPr="00723885">
        <w:rPr>
          <w:szCs w:val="22"/>
        </w:rPr>
        <w:t>Managing Directo</w:t>
      </w:r>
      <w:r>
        <w:rPr>
          <w:szCs w:val="22"/>
        </w:rPr>
        <w:t xml:space="preserve">r, </w:t>
      </w:r>
      <w:hyperlink r:id="rId7" w:history="1">
        <w:r w:rsidRPr="004C2082">
          <w:rPr>
            <w:rStyle w:val="Hyperlink"/>
            <w:szCs w:val="22"/>
          </w:rPr>
          <w:t>Roland.Helvajian@fcc.gov</w:t>
        </w:r>
      </w:hyperlink>
      <w:r w:rsidRPr="00723885">
        <w:rPr>
          <w:szCs w:val="22"/>
        </w:rPr>
        <w:t>.</w:t>
      </w:r>
      <w:r w:rsidRPr="00723885">
        <w:t xml:space="preserve">  </w:t>
      </w:r>
    </w:p>
    <w:p w:rsidR="00152A02" w:rsidRPr="00E94945" w:rsidP="00152A02" w14:paraId="7A0739FD" w14:textId="77777777">
      <w:pPr>
        <w:rPr>
          <w:bCs/>
          <w:szCs w:val="22"/>
        </w:rPr>
      </w:pPr>
    </w:p>
    <w:p w:rsidR="00152A02" w:rsidRPr="00F05396" w:rsidP="00152A02" w14:paraId="02489A9F" w14:textId="77777777">
      <w:pPr>
        <w:jc w:val="center"/>
        <w:rPr>
          <w:b/>
        </w:rPr>
      </w:pPr>
      <w:r w:rsidRPr="00F05396">
        <w:rPr>
          <w:b/>
        </w:rPr>
        <w:t>-FCC-</w:t>
      </w:r>
    </w:p>
    <w:p w:rsidR="00C75590" w:rsidRPr="004A3D22" w:rsidP="00C75590" w14:paraId="6CA024E8" w14:textId="3660750B">
      <w:pPr>
        <w:spacing w:after="120"/>
        <w:ind w:firstLine="720"/>
        <w:rPr>
          <w:szCs w:val="22"/>
          <w:u w:val="single"/>
        </w:rPr>
      </w:pPr>
    </w:p>
    <w:p w:rsidR="00E15BA7" w:rsidRPr="004A3D22" w:rsidP="00E15BA7" w14:paraId="066ECB86" w14:textId="00E620ED">
      <w:pPr>
        <w:spacing w:after="120"/>
        <w:ind w:firstLine="720"/>
        <w:rPr>
          <w:szCs w:val="22"/>
        </w:rPr>
      </w:pPr>
      <w:r w:rsidRPr="004A3D22">
        <w:rPr>
          <w:szCs w:val="22"/>
        </w:rPr>
        <w:t xml:space="preserve"> </w:t>
      </w:r>
    </w:p>
    <w:p w:rsidR="00696775" w:rsidRPr="00E94945" w14:paraId="121DF02D" w14:textId="77777777">
      <w:pPr>
        <w:rPr>
          <w:bCs/>
          <w:szCs w:val="22"/>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4F34C1F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96775" w14:paraId="360286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5F47819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649F8EF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5396" w14:paraId="7B423A74" w14:textId="77777777">
      <w:r>
        <w:separator/>
      </w:r>
    </w:p>
  </w:footnote>
  <w:footnote w:type="continuationSeparator" w:id="1">
    <w:p w:rsidR="00F05396" w14:paraId="6608EDC0" w14:textId="77777777">
      <w:pPr>
        <w:rPr>
          <w:sz w:val="20"/>
        </w:rPr>
      </w:pPr>
      <w:r>
        <w:rPr>
          <w:sz w:val="20"/>
        </w:rPr>
        <w:t xml:space="preserve">(Continued from previous page)  </w:t>
      </w:r>
      <w:r>
        <w:rPr>
          <w:sz w:val="20"/>
        </w:rPr>
        <w:separator/>
      </w:r>
    </w:p>
  </w:footnote>
  <w:footnote w:type="continuationNotice" w:id="2">
    <w:p w:rsidR="00F05396" w14:paraId="30F94672" w14:textId="77777777">
      <w:pPr>
        <w:jc w:val="right"/>
        <w:rPr>
          <w:sz w:val="20"/>
        </w:rPr>
      </w:pPr>
      <w:r>
        <w:rPr>
          <w:sz w:val="20"/>
        </w:rPr>
        <w:t>(continued….)</w:t>
      </w:r>
    </w:p>
  </w:footnote>
  <w:footnote w:id="3">
    <w:p w:rsidR="00C75590" w:rsidRPr="004A3D22" w:rsidP="00C75590" w14:paraId="56B4C00E" w14:textId="0D31CDBB">
      <w:pPr>
        <w:pStyle w:val="FootnoteText"/>
      </w:pPr>
      <w:r w:rsidRPr="004A3D22">
        <w:rPr>
          <w:rStyle w:val="FootnoteReference"/>
          <w:sz w:val="20"/>
        </w:rPr>
        <w:footnoteRef/>
      </w:r>
      <w:r w:rsidRPr="004A3D22">
        <w:t xml:space="preserve"> </w:t>
      </w:r>
      <w:r w:rsidRPr="004A3D22">
        <w:rPr>
          <w:i/>
          <w:iCs/>
        </w:rPr>
        <w:t>See</w:t>
      </w:r>
      <w:r w:rsidRPr="004A3D22">
        <w:rPr>
          <w:i/>
        </w:rPr>
        <w:t xml:space="preserve"> Amendment of the Schedule of Application Fees Set Forth in Sections 1.1102 through 1.1109 of the </w:t>
      </w:r>
      <w:r w:rsidRPr="004A3D22">
        <w:rPr>
          <w:i/>
          <w:iCs/>
        </w:rPr>
        <w:t>Commission</w:t>
      </w:r>
      <w:r w:rsidR="00DF3877">
        <w:rPr>
          <w:i/>
          <w:iCs/>
        </w:rPr>
        <w:t>’</w:t>
      </w:r>
      <w:r w:rsidRPr="004A3D22">
        <w:rPr>
          <w:i/>
          <w:iCs/>
        </w:rPr>
        <w:t>s</w:t>
      </w:r>
      <w:r w:rsidRPr="004A3D22">
        <w:rPr>
          <w:i/>
        </w:rPr>
        <w:t xml:space="preserve"> Rules</w:t>
      </w:r>
      <w:r w:rsidRPr="004A3D22">
        <w:t>, MD Docket No. 20-270, Report and Order, 35 FCC Rcd 15089 (2020) (</w:t>
      </w:r>
      <w:r w:rsidRPr="004A3D22">
        <w:rPr>
          <w:i/>
          <w:iCs/>
        </w:rPr>
        <w:t>2020 Application Fee Report and Order</w:t>
      </w:r>
      <w:r w:rsidRPr="004A3D22">
        <w:t xml:space="preserve">).  Pursuant to section 8(b)(1) of the Communications Act of 1934, as amended, the Commission is required to review the application fee schedule in every even-numbered year, adjust the fees to reflect increases or decreases in the Consumer Price Index, and round to the nearest $5 increment. </w:t>
      </w:r>
      <w:r w:rsidRPr="004A3D22">
        <w:rPr>
          <w:i/>
          <w:iCs/>
        </w:rPr>
        <w:t>See</w:t>
      </w:r>
      <w:r w:rsidRPr="004A3D22">
        <w:t xml:space="preserve"> 47 U.S.C. </w:t>
      </w:r>
      <w:r w:rsidRPr="004A3D22">
        <w:rPr>
          <w:bCs/>
        </w:rPr>
        <w:t>§</w:t>
      </w:r>
      <w:r w:rsidRPr="004A3D22">
        <w:t>158(b)(1).</w:t>
      </w:r>
      <w:r w:rsidRPr="004A3D22">
        <w:rPr>
          <w:rFonts w:ascii="Verdana" w:hAnsi="Verdana"/>
          <w:snapToGrid w:val="0"/>
          <w:color w:val="333333"/>
          <w:kern w:val="28"/>
          <w:shd w:val="clear" w:color="auto" w:fill="FFFFFF"/>
        </w:rPr>
        <w:t xml:space="preserve"> </w:t>
      </w:r>
      <w:r w:rsidRPr="004A3D22">
        <w:t xml:space="preserve">In addition to the adjustments required by subsection (b), the Commission shall also, by rule, amend the schedule of application fees established if the Commission determines that the schedule requires amendment so that: (1) such fees reflect increases or decreases in the costs of processing applications at the Commission or (2) such schedule reflects the consolidation or addition of new categories of applications. </w:t>
      </w:r>
      <w:r w:rsidRPr="004A3D22">
        <w:rPr>
          <w:i/>
          <w:iCs/>
        </w:rPr>
        <w:t>See</w:t>
      </w:r>
      <w:r w:rsidRPr="004A3D22">
        <w:t xml:space="preserve"> 47 U.S.C. </w:t>
      </w:r>
      <w:r w:rsidRPr="004A3D22">
        <w:rPr>
          <w:bCs/>
        </w:rPr>
        <w:t>§</w:t>
      </w:r>
      <w:r w:rsidR="00DF3877">
        <w:rPr>
          <w:bCs/>
        </w:rPr>
        <w:t xml:space="preserve"> </w:t>
      </w:r>
      <w:r w:rsidRPr="004A3D22">
        <w:t>158(c).</w:t>
      </w:r>
    </w:p>
  </w:footnote>
  <w:footnote w:id="4">
    <w:p w:rsidR="00C75590" w:rsidRPr="004A3D22" w:rsidP="00C75590" w14:paraId="6F38C8F4" w14:textId="77777777">
      <w:pPr>
        <w:pStyle w:val="FootnoteText"/>
      </w:pPr>
      <w:r w:rsidRPr="004A3D22">
        <w:rPr>
          <w:rStyle w:val="FootnoteReference"/>
          <w:sz w:val="20"/>
        </w:rPr>
        <w:footnoteRef/>
      </w:r>
      <w:r w:rsidRPr="004A3D22">
        <w:t xml:space="preserve"> </w:t>
      </w:r>
      <w:r w:rsidRPr="004A3D22">
        <w:rPr>
          <w:i/>
          <w:iCs/>
        </w:rPr>
        <w:t>2020 Application Fee Report and Order</w:t>
      </w:r>
      <w:r w:rsidRPr="004A3D22">
        <w:t xml:space="preserve"> at 15155, para. 201. </w:t>
      </w:r>
    </w:p>
  </w:footnote>
  <w:footnote w:id="5">
    <w:p w:rsidR="00D54EDD" w14:paraId="38EFD4D6" w14:textId="00F25BF0">
      <w:pPr>
        <w:pStyle w:val="FootnoteText"/>
      </w:pPr>
      <w:r>
        <w:rPr>
          <w:rStyle w:val="FootnoteReference"/>
        </w:rPr>
        <w:footnoteRef/>
      </w:r>
      <w:r>
        <w:t xml:space="preserve"> </w:t>
      </w:r>
      <w:r w:rsidRPr="00D54EDD">
        <w:rPr>
          <w:i/>
          <w:iCs/>
        </w:rPr>
        <w:t xml:space="preserve">See </w:t>
      </w:r>
      <w:r w:rsidRPr="004A3D22">
        <w:rPr>
          <w:i/>
          <w:iCs/>
        </w:rPr>
        <w:t>Effective Date of New Application Fees for the Office of Engineering and Technology and the Media Bureau</w:t>
      </w:r>
      <w:r w:rsidRPr="004A3D22">
        <w:t>, MD Docket No. 20-270, Public Notice, DA 21-747 (OMD 2021</w:t>
      </w:r>
      <w:r>
        <w:t>).</w:t>
      </w:r>
    </w:p>
  </w:footnote>
  <w:footnote w:id="6">
    <w:p w:rsidR="00D54EDD" w14:paraId="5249BE02" w14:textId="6DF1148B">
      <w:pPr>
        <w:pStyle w:val="FootnoteText"/>
      </w:pPr>
      <w:r>
        <w:rPr>
          <w:rStyle w:val="FootnoteReference"/>
        </w:rPr>
        <w:footnoteRef/>
      </w:r>
      <w:r>
        <w:t xml:space="preserve"> </w:t>
      </w:r>
      <w:r w:rsidRPr="00D54EDD">
        <w:rPr>
          <w:i/>
          <w:iCs/>
        </w:rPr>
        <w:t>See</w:t>
      </w:r>
      <w:r w:rsidRPr="004A3D22">
        <w:rPr>
          <w:i/>
          <w:iCs/>
        </w:rPr>
        <w:t xml:space="preserve"> Effective Date of New Application Fees for the Enforcement Bureau, the Wireline Competition Bureau, and the International Bureau, </w:t>
      </w:r>
      <w:r w:rsidRPr="004A3D22">
        <w:t>MD Docket No. 20-270, Public Notice, DA 21-1496 (OMD 2021).</w:t>
      </w:r>
      <w:r>
        <w:rPr>
          <w:snapToGrid w:val="0"/>
        </w:rPr>
        <w:t xml:space="preserve">  Note that, o</w:t>
      </w:r>
      <w:r w:rsidRPr="00194863">
        <w:rPr>
          <w:snapToGrid w:val="0"/>
        </w:rPr>
        <w:t xml:space="preserve">n December 15, 2021, </w:t>
      </w:r>
      <w:r w:rsidRPr="001538EF">
        <w:rPr>
          <w:snapToGrid w:val="0"/>
        </w:rPr>
        <w:t xml:space="preserve">the Commission </w:t>
      </w:r>
      <w:r>
        <w:rPr>
          <w:snapToGrid w:val="0"/>
        </w:rPr>
        <w:t xml:space="preserve">decommissioned and permanently discontinued </w:t>
      </w:r>
      <w:r w:rsidRPr="001538EF">
        <w:rPr>
          <w:snapToGrid w:val="0"/>
        </w:rPr>
        <w:t xml:space="preserve">its in-house online electronic payment system </w:t>
      </w:r>
      <w:r>
        <w:rPr>
          <w:snapToGrid w:val="0"/>
        </w:rPr>
        <w:t xml:space="preserve">known as </w:t>
      </w:r>
      <w:r w:rsidRPr="001538EF">
        <w:rPr>
          <w:snapToGrid w:val="0"/>
        </w:rPr>
        <w:t>Fee Filer</w:t>
      </w:r>
      <w:r>
        <w:rPr>
          <w:snapToGrid w:val="0"/>
        </w:rPr>
        <w:t xml:space="preserve"> </w:t>
      </w:r>
      <w:r w:rsidRPr="001538EF">
        <w:rPr>
          <w:snapToGrid w:val="0"/>
        </w:rPr>
        <w:t>and replace</w:t>
      </w:r>
      <w:r>
        <w:rPr>
          <w:snapToGrid w:val="0"/>
        </w:rPr>
        <w:t>d</w:t>
      </w:r>
      <w:r w:rsidRPr="001538EF">
        <w:rPr>
          <w:snapToGrid w:val="0"/>
        </w:rPr>
        <w:t xml:space="preserve"> it with a new payment module contained in the Commission’s Registration System</w:t>
      </w:r>
      <w:r>
        <w:rPr>
          <w:snapToGrid w:val="0"/>
        </w:rPr>
        <w:t xml:space="preserve"> </w:t>
      </w:r>
      <w:r w:rsidRPr="001538EF">
        <w:rPr>
          <w:snapToGrid w:val="0"/>
        </w:rPr>
        <w:t>(CORES)</w:t>
      </w:r>
      <w:r>
        <w:rPr>
          <w:snapToGrid w:val="0"/>
        </w:rPr>
        <w:t xml:space="preserve">.  </w:t>
      </w:r>
      <w:r w:rsidRPr="002B331E">
        <w:rPr>
          <w:i/>
          <w:iCs/>
          <w:snapToGrid w:val="0"/>
        </w:rPr>
        <w:t xml:space="preserve">See </w:t>
      </w:r>
      <w:r w:rsidRPr="00194863">
        <w:rPr>
          <w:i/>
          <w:iCs/>
          <w:snapToGrid w:val="0"/>
        </w:rPr>
        <w:t xml:space="preserve">FCC Announces Decommissioning of Fee Filer as Method of Payment and Replacement with New Payment Module within CORES and Decommissioning of the Commission’s Red Light Display System and Replacement with a New Module within CORES, </w:t>
      </w:r>
      <w:r w:rsidRPr="00194863">
        <w:rPr>
          <w:snapToGrid w:val="0"/>
        </w:rPr>
        <w:t>Public Notice</w:t>
      </w:r>
      <w:r>
        <w:rPr>
          <w:snapToGrid w:val="0"/>
        </w:rPr>
        <w:t xml:space="preserve"> (</w:t>
      </w:r>
      <w:r w:rsidRPr="00194863">
        <w:rPr>
          <w:snapToGrid w:val="0"/>
        </w:rPr>
        <w:t>Dec</w:t>
      </w:r>
      <w:r>
        <w:rPr>
          <w:snapToGrid w:val="0"/>
        </w:rPr>
        <w:t xml:space="preserve">. </w:t>
      </w:r>
      <w:r w:rsidRPr="00194863">
        <w:rPr>
          <w:snapToGrid w:val="0"/>
        </w:rPr>
        <w:t>1, 2021).</w:t>
      </w:r>
      <w:r>
        <w:rPr>
          <w:snapToGrid w:val="0"/>
        </w:rPr>
        <w:t xml:space="preserve"> </w:t>
      </w:r>
      <w:r>
        <w:t xml:space="preserve"> </w:t>
      </w:r>
    </w:p>
  </w:footnote>
  <w:footnote w:id="7">
    <w:p w:rsidR="00C75590" w:rsidRPr="004A3D22" w:rsidP="00C75590" w14:paraId="708219BF" w14:textId="1A34FC46">
      <w:pPr>
        <w:pStyle w:val="FootnoteText"/>
      </w:pPr>
      <w:r w:rsidRPr="004A3D22">
        <w:rPr>
          <w:rStyle w:val="FootnoteReference"/>
          <w:sz w:val="20"/>
        </w:rPr>
        <w:footnoteRef/>
      </w:r>
      <w:r w:rsidRPr="004A3D22">
        <w:t xml:space="preserve"> 47 CFR </w:t>
      </w:r>
      <w:bookmarkStart w:id="1" w:name="_Hlk98505394"/>
      <w:r w:rsidRPr="004A3D22">
        <w:rPr>
          <w:bCs/>
        </w:rPr>
        <w:t>§</w:t>
      </w:r>
      <w:r w:rsidR="00DF3877">
        <w:rPr>
          <w:bCs/>
        </w:rPr>
        <w:t xml:space="preserve"> </w:t>
      </w:r>
      <w:bookmarkEnd w:id="1"/>
      <w:r w:rsidRPr="004A3D22">
        <w:t>1.1102.</w:t>
      </w:r>
    </w:p>
  </w:footnote>
  <w:footnote w:id="8">
    <w:p w:rsidR="00DF3877" w:rsidP="001538EF" w14:paraId="09BAB1A9" w14:textId="4EB88D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464884D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18C39D13" w14:textId="40A5A4D5">
    <w:pPr>
      <w:pStyle w:val="Header"/>
      <w:rPr>
        <w:noProof/>
        <w:snapToGrid/>
      </w:rPr>
    </w:pPr>
    <w:r>
      <w:rPr>
        <w:noProof/>
        <w:snapToGrid/>
      </w:rPr>
      <w:drawing>
        <wp:inline distT="0" distB="0" distL="0" distR="0">
          <wp:extent cx="65722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2250" cy="1409700"/>
                  </a:xfrm>
                  <a:prstGeom prst="rect">
                    <a:avLst/>
                  </a:prstGeom>
                  <a:noFill/>
                  <a:ln>
                    <a:noFill/>
                  </a:ln>
                </pic:spPr>
              </pic:pic>
            </a:graphicData>
          </a:graphic>
        </wp:inline>
      </w:drawing>
    </w:r>
  </w:p>
  <w:p w:rsidR="00696775" w14:paraId="236D92AF"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91"/>
    <w:rsid w:val="00017235"/>
    <w:rsid w:val="00036A29"/>
    <w:rsid w:val="0004446E"/>
    <w:rsid w:val="0007307D"/>
    <w:rsid w:val="0009175A"/>
    <w:rsid w:val="000D3C77"/>
    <w:rsid w:val="00103F9E"/>
    <w:rsid w:val="001217C9"/>
    <w:rsid w:val="00122E18"/>
    <w:rsid w:val="00142A41"/>
    <w:rsid w:val="00152A02"/>
    <w:rsid w:val="001538EF"/>
    <w:rsid w:val="0016574D"/>
    <w:rsid w:val="001931B0"/>
    <w:rsid w:val="00194863"/>
    <w:rsid w:val="002348C7"/>
    <w:rsid w:val="00234FBE"/>
    <w:rsid w:val="002460E3"/>
    <w:rsid w:val="00267853"/>
    <w:rsid w:val="002B331E"/>
    <w:rsid w:val="002D013A"/>
    <w:rsid w:val="00320989"/>
    <w:rsid w:val="00321307"/>
    <w:rsid w:val="00364D87"/>
    <w:rsid w:val="003838DD"/>
    <w:rsid w:val="0039039E"/>
    <w:rsid w:val="003974D8"/>
    <w:rsid w:val="0039790B"/>
    <w:rsid w:val="003E055B"/>
    <w:rsid w:val="003E1F76"/>
    <w:rsid w:val="00401B77"/>
    <w:rsid w:val="00446D00"/>
    <w:rsid w:val="0045563D"/>
    <w:rsid w:val="00456E94"/>
    <w:rsid w:val="0046003A"/>
    <w:rsid w:val="00460D86"/>
    <w:rsid w:val="004748E4"/>
    <w:rsid w:val="00475DBF"/>
    <w:rsid w:val="0049107B"/>
    <w:rsid w:val="00492817"/>
    <w:rsid w:val="00492B71"/>
    <w:rsid w:val="004A3D22"/>
    <w:rsid w:val="004A426B"/>
    <w:rsid w:val="004A5C6A"/>
    <w:rsid w:val="004A7CDF"/>
    <w:rsid w:val="004B5F11"/>
    <w:rsid w:val="004B6757"/>
    <w:rsid w:val="004C2082"/>
    <w:rsid w:val="0051125E"/>
    <w:rsid w:val="0053557E"/>
    <w:rsid w:val="00562574"/>
    <w:rsid w:val="00567C66"/>
    <w:rsid w:val="00593904"/>
    <w:rsid w:val="005B2C90"/>
    <w:rsid w:val="005C2C7A"/>
    <w:rsid w:val="005C40C2"/>
    <w:rsid w:val="00653E28"/>
    <w:rsid w:val="006613F2"/>
    <w:rsid w:val="00686595"/>
    <w:rsid w:val="00696775"/>
    <w:rsid w:val="006B41DA"/>
    <w:rsid w:val="00701FD1"/>
    <w:rsid w:val="00723885"/>
    <w:rsid w:val="00723B20"/>
    <w:rsid w:val="0072736B"/>
    <w:rsid w:val="007343EC"/>
    <w:rsid w:val="00774393"/>
    <w:rsid w:val="0078154C"/>
    <w:rsid w:val="0078487D"/>
    <w:rsid w:val="00786BEA"/>
    <w:rsid w:val="007A46D7"/>
    <w:rsid w:val="007D5E80"/>
    <w:rsid w:val="007D72B9"/>
    <w:rsid w:val="007E5A47"/>
    <w:rsid w:val="007F1BC1"/>
    <w:rsid w:val="00800D8A"/>
    <w:rsid w:val="0084432A"/>
    <w:rsid w:val="00865A35"/>
    <w:rsid w:val="008763B0"/>
    <w:rsid w:val="00882D95"/>
    <w:rsid w:val="00896034"/>
    <w:rsid w:val="008B5C29"/>
    <w:rsid w:val="008E0B71"/>
    <w:rsid w:val="009063DB"/>
    <w:rsid w:val="0092102C"/>
    <w:rsid w:val="00956F9C"/>
    <w:rsid w:val="00975FDE"/>
    <w:rsid w:val="00983453"/>
    <w:rsid w:val="009F1C0F"/>
    <w:rsid w:val="00A03495"/>
    <w:rsid w:val="00A24442"/>
    <w:rsid w:val="00A260A1"/>
    <w:rsid w:val="00A35891"/>
    <w:rsid w:val="00A76D4B"/>
    <w:rsid w:val="00AE7C12"/>
    <w:rsid w:val="00AF33A2"/>
    <w:rsid w:val="00AF38D0"/>
    <w:rsid w:val="00B068B8"/>
    <w:rsid w:val="00B27FD6"/>
    <w:rsid w:val="00B54CE9"/>
    <w:rsid w:val="00B66D52"/>
    <w:rsid w:val="00B951FB"/>
    <w:rsid w:val="00BC608A"/>
    <w:rsid w:val="00C0481F"/>
    <w:rsid w:val="00C21A6F"/>
    <w:rsid w:val="00C30141"/>
    <w:rsid w:val="00C50C75"/>
    <w:rsid w:val="00C65251"/>
    <w:rsid w:val="00C75590"/>
    <w:rsid w:val="00C84ACB"/>
    <w:rsid w:val="00C87EAE"/>
    <w:rsid w:val="00C92D8C"/>
    <w:rsid w:val="00CC0A1A"/>
    <w:rsid w:val="00D03427"/>
    <w:rsid w:val="00D26BF5"/>
    <w:rsid w:val="00D341B4"/>
    <w:rsid w:val="00D36A0E"/>
    <w:rsid w:val="00D375A2"/>
    <w:rsid w:val="00D54CA1"/>
    <w:rsid w:val="00D54EDD"/>
    <w:rsid w:val="00D571F9"/>
    <w:rsid w:val="00DA3C5B"/>
    <w:rsid w:val="00DD36E3"/>
    <w:rsid w:val="00DF3877"/>
    <w:rsid w:val="00E01D63"/>
    <w:rsid w:val="00E15BA7"/>
    <w:rsid w:val="00E229F4"/>
    <w:rsid w:val="00E50202"/>
    <w:rsid w:val="00E55C10"/>
    <w:rsid w:val="00E617A5"/>
    <w:rsid w:val="00E94945"/>
    <w:rsid w:val="00EC0D36"/>
    <w:rsid w:val="00EE6A79"/>
    <w:rsid w:val="00F05396"/>
    <w:rsid w:val="00F26BB2"/>
    <w:rsid w:val="00F51A3F"/>
    <w:rsid w:val="00F53FA1"/>
    <w:rsid w:val="00FD374B"/>
    <w:rsid w:val="00FF70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A83DB4"/>
  <w15:chartTrackingRefBased/>
  <w15:docId w15:val="{60224040-9FC5-429F-A135-8D4917EC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1,Footnote Text Char Char,Footnote Text Char Char Char Char,Footnote Text Char1,Footnote Text Char1 Char Char,Footnote Text Char2,Footnote Text Char2 Char Char Char Char,f,fn,fn Char Char,fn Char1"/>
    <w:link w:val="FootnoteTextChar"/>
    <w:rsid w:val="00F05396"/>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sid w:val="00091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75A"/>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46003A"/>
    <w:rPr>
      <w:sz w:val="16"/>
      <w:szCs w:val="16"/>
    </w:rPr>
  </w:style>
  <w:style w:type="paragraph" w:styleId="CommentText">
    <w:name w:val="annotation text"/>
    <w:basedOn w:val="Normal"/>
    <w:link w:val="CommentTextChar"/>
    <w:uiPriority w:val="99"/>
    <w:unhideWhenUsed/>
    <w:rsid w:val="00F05396"/>
    <w:rPr>
      <w:sz w:val="20"/>
    </w:rPr>
  </w:style>
  <w:style w:type="character" w:customStyle="1" w:styleId="CommentTextChar">
    <w:name w:val="Comment Text Char"/>
    <w:basedOn w:val="DefaultParagraphFont"/>
    <w:link w:val="CommentText"/>
    <w:uiPriority w:val="99"/>
    <w:rsid w:val="0046003A"/>
    <w:rPr>
      <w:snapToGrid w:val="0"/>
      <w:kern w:val="28"/>
    </w:rPr>
  </w:style>
  <w:style w:type="paragraph" w:styleId="CommentSubject">
    <w:name w:val="annotation subject"/>
    <w:basedOn w:val="CommentText"/>
    <w:next w:val="CommentText"/>
    <w:link w:val="CommentSubjectChar"/>
    <w:uiPriority w:val="99"/>
    <w:semiHidden/>
    <w:unhideWhenUsed/>
    <w:rsid w:val="0046003A"/>
    <w:rPr>
      <w:b/>
      <w:bCs/>
    </w:rPr>
  </w:style>
  <w:style w:type="character" w:customStyle="1" w:styleId="CommentSubjectChar">
    <w:name w:val="Comment Subject Char"/>
    <w:basedOn w:val="CommentTextChar"/>
    <w:link w:val="CommentSubject"/>
    <w:uiPriority w:val="99"/>
    <w:semiHidden/>
    <w:rsid w:val="0046003A"/>
    <w:rPr>
      <w:b/>
      <w:bCs/>
      <w:snapToGrid w:val="0"/>
      <w:kern w:val="28"/>
    </w:rPr>
  </w:style>
  <w:style w:type="character" w:customStyle="1" w:styleId="UnresolvedMention">
    <w:name w:val="Unresolved Mention"/>
    <w:basedOn w:val="DefaultParagraphFont"/>
    <w:uiPriority w:val="99"/>
    <w:semiHidden/>
    <w:unhideWhenUsed/>
    <w:rsid w:val="00E15BA7"/>
    <w:rPr>
      <w:color w:val="605E5C"/>
      <w:shd w:val="clear" w:color="auto" w:fill="E1DFDD"/>
    </w:rPr>
  </w:style>
  <w:style w:type="character" w:customStyle="1" w:styleId="FootnoteTextChar">
    <w:name w:val="Footnote Text Char"/>
    <w:aliases w:val="ALTS FOOTNOTE Char Char Char,ALTS FOOTNOTE Char1 Char,Footnote Text Char Char Char,Footnote Text Char Char Char Char Char,Footnote Text Char1 Char,Footnote Text Char1 Char Char Char,Footnote Text Char2 Char,f Char,fn Char"/>
    <w:link w:val="FootnoteText"/>
    <w:rsid w:val="009F1C0F"/>
  </w:style>
  <w:style w:type="paragraph" w:styleId="Revision">
    <w:name w:val="Revision"/>
    <w:hidden/>
    <w:uiPriority w:val="99"/>
    <w:semiHidden/>
    <w:rsid w:val="004C2082"/>
    <w:rPr>
      <w:snapToGrid w:val="0"/>
      <w:kern w:val="28"/>
      <w:sz w:val="22"/>
    </w:rPr>
  </w:style>
  <w:style w:type="character" w:styleId="FollowedHyperlink">
    <w:name w:val="FollowedHyperlink"/>
    <w:basedOn w:val="DefaultParagraphFont"/>
    <w:uiPriority w:val="99"/>
    <w:semiHidden/>
    <w:unhideWhenUsed/>
    <w:rsid w:val="00397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universal-licensing-system" TargetMode="External" /><Relationship Id="rId6" Type="http://schemas.openxmlformats.org/officeDocument/2006/relationships/hyperlink" Target="https://www.fcc.gov/licensing-databases/fees/application-processing-fees" TargetMode="External" /><Relationship Id="rId7" Type="http://schemas.openxmlformats.org/officeDocument/2006/relationships/hyperlink" Target="mailto:Roland.Helvajia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