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01C66FD3">
            <w:pPr>
              <w:pStyle w:val="TOAHeading"/>
              <w:rPr>
                <w:szCs w:val="22"/>
              </w:rPr>
            </w:pPr>
            <w:r>
              <w:rPr>
                <w:szCs w:val="22"/>
              </w:rPr>
              <w:t>Complaint No</w:t>
            </w:r>
            <w:r w:rsidRPr="00EF2C5A">
              <w:rPr>
                <w:szCs w:val="22"/>
              </w:rPr>
              <w:t>.</w:t>
            </w:r>
            <w:r w:rsidR="006F2F56">
              <w:rPr>
                <w:szCs w:val="22"/>
              </w:rPr>
              <w:t xml:space="preserve"> </w:t>
            </w:r>
            <w:r w:rsidR="00104663">
              <w:rPr>
                <w:szCs w:val="22"/>
              </w:rPr>
              <w:t>5</w:t>
            </w:r>
            <w:r w:rsidR="00126D53">
              <w:rPr>
                <w:szCs w:val="22"/>
              </w:rPr>
              <w:t>340777</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18B58581">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7C4258">
        <w:rPr>
          <w:b/>
          <w:spacing w:val="-2"/>
        </w:rPr>
        <w:t>March</w:t>
      </w:r>
      <w:r w:rsidR="00FA590F">
        <w:rPr>
          <w:b/>
          <w:spacing w:val="-2"/>
        </w:rPr>
        <w:t xml:space="preserve"> 24</w:t>
      </w:r>
      <w:r w:rsidRPr="00142D97">
        <w:rPr>
          <w:b/>
          <w:spacing w:val="-2"/>
        </w:rPr>
        <w:t>, 20</w:t>
      </w:r>
      <w:r w:rsidR="006D6CC3">
        <w:rPr>
          <w:b/>
          <w:spacing w:val="-2"/>
        </w:rPr>
        <w:t>2</w:t>
      </w:r>
      <w:r w:rsidR="00126D53">
        <w:rPr>
          <w:b/>
          <w:spacing w:val="-2"/>
        </w:rPr>
        <w:t>2</w:t>
      </w:r>
      <w:r w:rsidRPr="00142D97">
        <w:rPr>
          <w:b/>
          <w:spacing w:val="-2"/>
        </w:rPr>
        <w:tab/>
      </w:r>
      <w:r w:rsidR="006F24F5">
        <w:rPr>
          <w:b/>
          <w:spacing w:val="-2"/>
        </w:rPr>
        <w:tab/>
      </w:r>
      <w:r w:rsidRPr="00142D97">
        <w:rPr>
          <w:b/>
          <w:spacing w:val="-2"/>
        </w:rPr>
        <w:t xml:space="preserve">Released: </w:t>
      </w:r>
      <w:r w:rsidR="00EB0A91">
        <w:rPr>
          <w:b/>
          <w:spacing w:val="-2"/>
        </w:rPr>
        <w:t xml:space="preserve"> </w:t>
      </w:r>
      <w:r w:rsidR="007C4258">
        <w:rPr>
          <w:b/>
          <w:spacing w:val="-2"/>
        </w:rPr>
        <w:t>March</w:t>
      </w:r>
      <w:r w:rsidR="00FA590F">
        <w:rPr>
          <w:b/>
          <w:spacing w:val="-2"/>
        </w:rPr>
        <w:t xml:space="preserve"> 24</w:t>
      </w:r>
      <w:r w:rsidRPr="00142D97">
        <w:rPr>
          <w:b/>
          <w:spacing w:val="-2"/>
        </w:rPr>
        <w:t>, 20</w:t>
      </w:r>
      <w:r w:rsidR="006D6CC3">
        <w:rPr>
          <w:b/>
          <w:spacing w:val="-2"/>
        </w:rPr>
        <w:t>2</w:t>
      </w:r>
      <w:r w:rsidR="00126D53">
        <w:rPr>
          <w:b/>
          <w:spacing w:val="-2"/>
        </w:rPr>
        <w:t>2</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0A1F9AA8">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757E61DC">
      <w:pPr>
        <w:pStyle w:val="ListParagraph"/>
        <w:widowControl/>
        <w:numPr>
          <w:ilvl w:val="0"/>
          <w:numId w:val="7"/>
        </w:numPr>
        <w:tabs>
          <w:tab w:val="clear" w:pos="1440"/>
        </w:tabs>
        <w:snapToGrid w:val="0"/>
        <w:spacing w:after="120"/>
        <w:ind w:left="0" w:firstLine="720"/>
        <w:contextualSpacing w:val="0"/>
        <w:rPr>
          <w:szCs w:val="22"/>
        </w:rPr>
      </w:pPr>
      <w:r w:rsidRPr="00B82B45">
        <w:rPr>
          <w:szCs w:val="22"/>
        </w:rPr>
        <w:t>In 2018, the Commission codified a rule to prohibit misrepresentations on sales calls to further reduce the incidence of slamming.</w:t>
      </w:r>
      <w:r>
        <w:rPr>
          <w:rStyle w:val="FootnoteReference"/>
          <w:szCs w:val="22"/>
        </w:rPr>
        <w:footnoteReference w:id="8"/>
      </w:r>
      <w:r w:rsidRPr="00B82B45">
        <w:rPr>
          <w:rStyle w:val="FootnoteReference"/>
          <w:szCs w:val="22"/>
        </w:rPr>
        <w:t xml:space="preserve"> </w:t>
      </w:r>
      <w:r w:rsidRPr="00B82B45">
        <w:rPr>
          <w:szCs w:val="22"/>
        </w:rPr>
        <w:t xml:space="preserve"> Under the revised rule, upon a finding of material </w:t>
      </w:r>
      <w:r w:rsidRPr="00B82B45">
        <w:rPr>
          <w:szCs w:val="22"/>
        </w:rPr>
        <w:t>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Pr>
          <w:szCs w:val="22"/>
        </w:rPr>
        <w:t>persuasive evidence to rebut the consumer’s claim that a misrepresentation was made on the sales call.</w:t>
      </w:r>
      <w:r>
        <w:rPr>
          <w:rStyle w:val="FootnoteReference"/>
          <w:szCs w:val="22"/>
        </w:rPr>
        <w:footnoteReference w:id="10"/>
      </w:r>
    </w:p>
    <w:p w:rsidR="005F3ED0" w:rsidRPr="00126D53" w:rsidP="00440166" w14:paraId="5292A789" w14:textId="3236E05F">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11"/>
      </w:r>
      <w:r w:rsidRPr="00142D97">
        <w:t xml:space="preserve">  </w:t>
      </w:r>
      <w:r>
        <w:rPr>
          <w:szCs w:val="22"/>
        </w:rPr>
        <w:t xml:space="preserve">In the complaint, </w:t>
      </w:r>
      <w:r w:rsidRPr="00126D53">
        <w:rPr>
          <w:szCs w:val="22"/>
        </w:rPr>
        <w:t xml:space="preserve">Complainant also alleges that </w:t>
      </w:r>
      <w:r w:rsidRPr="00126D53" w:rsidR="00104663">
        <w:rPr>
          <w:szCs w:val="22"/>
        </w:rPr>
        <w:t>Clear Rate</w:t>
      </w:r>
      <w:r w:rsidRPr="00126D53">
        <w:rPr>
          <w:szCs w:val="22"/>
        </w:rPr>
        <w:t xml:space="preserve">’s </w:t>
      </w:r>
      <w:r w:rsidR="003C2295">
        <w:rPr>
          <w:szCs w:val="22"/>
        </w:rPr>
        <w:t>sales representative</w:t>
      </w:r>
      <w:r w:rsidRPr="00126D53">
        <w:rPr>
          <w:szCs w:val="22"/>
        </w:rPr>
        <w:t xml:space="preserve"> </w:t>
      </w:r>
      <w:r w:rsidR="00111F8E">
        <w:rPr>
          <w:szCs w:val="22"/>
        </w:rPr>
        <w:t>misled him into believing they were with Verizon.</w:t>
      </w:r>
      <w:r>
        <w:rPr>
          <w:rStyle w:val="FootnoteReference"/>
          <w:szCs w:val="22"/>
        </w:rPr>
        <w:footnoteReference w:id="12"/>
      </w:r>
      <w:r w:rsidR="00111F8E">
        <w:rPr>
          <w:szCs w:val="22"/>
        </w:rPr>
        <w:t xml:space="preserve">  Complainant confirmed for Division staff that </w:t>
      </w:r>
      <w:r w:rsidR="00990DB6">
        <w:rPr>
          <w:szCs w:val="22"/>
        </w:rPr>
        <w:t>h</w:t>
      </w:r>
      <w:r w:rsidR="00710B10">
        <w:rPr>
          <w:szCs w:val="22"/>
        </w:rPr>
        <w:t xml:space="preserve">e asked the caller several times if they were with </w:t>
      </w:r>
      <w:r w:rsidR="00111F8E">
        <w:rPr>
          <w:szCs w:val="22"/>
        </w:rPr>
        <w:t xml:space="preserve">Verizon </w:t>
      </w:r>
      <w:r w:rsidR="00710B10">
        <w:rPr>
          <w:szCs w:val="22"/>
        </w:rPr>
        <w:t xml:space="preserve">and was told </w:t>
      </w:r>
      <w:r w:rsidR="00941E09">
        <w:rPr>
          <w:szCs w:val="22"/>
        </w:rPr>
        <w:t>Verizon</w:t>
      </w:r>
      <w:r w:rsidR="00710B10">
        <w:rPr>
          <w:szCs w:val="22"/>
        </w:rPr>
        <w:t xml:space="preserve"> w</w:t>
      </w:r>
      <w:r w:rsidR="00941E09">
        <w:rPr>
          <w:szCs w:val="22"/>
        </w:rPr>
        <w:t>as</w:t>
      </w:r>
      <w:r w:rsidR="00710B10">
        <w:rPr>
          <w:szCs w:val="22"/>
        </w:rPr>
        <w:t xml:space="preserve"> calling</w:t>
      </w:r>
      <w:r w:rsidR="00990DB6">
        <w:rPr>
          <w:szCs w:val="22"/>
        </w:rPr>
        <w:t xml:space="preserve"> to</w:t>
      </w:r>
      <w:r w:rsidR="00111F8E">
        <w:rPr>
          <w:szCs w:val="22"/>
        </w:rPr>
        <w:t xml:space="preserve"> review</w:t>
      </w:r>
      <w:r w:rsidR="00990DB6">
        <w:rPr>
          <w:szCs w:val="22"/>
        </w:rPr>
        <w:t xml:space="preserve"> his rate</w:t>
      </w:r>
      <w:r w:rsidR="00111F8E">
        <w:rPr>
          <w:szCs w:val="22"/>
        </w:rPr>
        <w:t>s</w:t>
      </w:r>
      <w:r w:rsidR="00990DB6">
        <w:rPr>
          <w:szCs w:val="22"/>
        </w:rPr>
        <w:t>.</w:t>
      </w:r>
      <w:r w:rsidRPr="00126D53">
        <w:rPr>
          <w:szCs w:val="22"/>
        </w:rPr>
        <w:t xml:space="preserve">  </w:t>
      </w:r>
    </w:p>
    <w:p w:rsidR="00710B10" w:rsidRPr="00710B10" w:rsidP="00A23350" w14:paraId="2A48663E" w14:textId="7D019F21">
      <w:pPr>
        <w:numPr>
          <w:ilvl w:val="0"/>
          <w:numId w:val="7"/>
        </w:numPr>
        <w:tabs>
          <w:tab w:val="clear" w:pos="1440"/>
        </w:tabs>
        <w:spacing w:after="120"/>
        <w:ind w:left="0" w:firstLine="720"/>
      </w:pPr>
      <w:r w:rsidRPr="00126D53">
        <w:t xml:space="preserve">Pursuant to our rules, we notified </w:t>
      </w:r>
      <w:r w:rsidRPr="00126D53" w:rsidR="00104663">
        <w:t>Clear Rate</w:t>
      </w:r>
      <w:r w:rsidRPr="00126D53">
        <w:t xml:space="preserve"> of the complaint.</w:t>
      </w:r>
      <w:r>
        <w:rPr>
          <w:rStyle w:val="FootnoteReference"/>
        </w:rPr>
        <w:footnoteReference w:id="13"/>
      </w:r>
      <w:r w:rsidRPr="00126D53">
        <w:t xml:space="preserve">  </w:t>
      </w:r>
      <w:r w:rsidR="00FF5368">
        <w:t>In its response, Clear Rate did not address the allegation of misrepresentation, stating only that it has</w:t>
      </w:r>
      <w:r w:rsidRPr="00126D53" w:rsidR="008A4A8D">
        <w:t xml:space="preserve"> a </w:t>
      </w:r>
      <w:r w:rsidR="00FF5368">
        <w:t>“</w:t>
      </w:r>
      <w:r w:rsidRPr="00126D53" w:rsidR="008A4A8D">
        <w:t>three part sales process</w:t>
      </w:r>
      <w:r w:rsidR="00FF5368">
        <w:t>”</w:t>
      </w:r>
      <w:r w:rsidRPr="00126D53" w:rsidR="00A8283A">
        <w:t xml:space="preserve"> that includes the initial sale</w:t>
      </w:r>
      <w:r w:rsidR="00FF5368">
        <w:t>s call</w:t>
      </w:r>
      <w:r w:rsidRPr="00126D53" w:rsidR="00A8283A">
        <w:t>,</w:t>
      </w:r>
      <w:r w:rsidR="00FF5368">
        <w:t xml:space="preserve"> a third</w:t>
      </w:r>
      <w:r w:rsidR="00F26CC7">
        <w:t>-</w:t>
      </w:r>
      <w:r w:rsidR="00FF5368">
        <w:t>party verification call,</w:t>
      </w:r>
      <w:r w:rsidRPr="00126D53" w:rsidR="001211C2">
        <w:t xml:space="preserve"> and a quality assurance call</w:t>
      </w:r>
      <w:r w:rsidRPr="00126D53" w:rsidR="008A4A8D">
        <w:t xml:space="preserve"> that </w:t>
      </w:r>
      <w:r w:rsidR="00462CB1">
        <w:t>“</w:t>
      </w:r>
      <w:r w:rsidRPr="00126D53" w:rsidR="008A4A8D">
        <w:t xml:space="preserve">ensures </w:t>
      </w:r>
      <w:r w:rsidR="00462CB1">
        <w:t>our</w:t>
      </w:r>
      <w:r w:rsidRPr="00126D53" w:rsidR="008A4A8D">
        <w:t xml:space="preserve"> customers are not </w:t>
      </w:r>
      <w:r w:rsidR="00462CB1">
        <w:t>‘</w:t>
      </w:r>
      <w:r w:rsidRPr="00126D53" w:rsidR="008A4A8D">
        <w:t>slammed</w:t>
      </w:r>
      <w:r w:rsidR="00462CB1">
        <w:t>’</w:t>
      </w:r>
      <w:r w:rsidR="00941E09">
        <w:t>”</w:t>
      </w:r>
      <w:r w:rsidRPr="00126D53" w:rsidR="008A4A8D">
        <w:t xml:space="preserve"> </w:t>
      </w:r>
      <w:r w:rsidRPr="00126D53" w:rsidR="00A8283A">
        <w:t xml:space="preserve">and are </w:t>
      </w:r>
      <w:r w:rsidR="00462CB1">
        <w:t xml:space="preserve">“aware and </w:t>
      </w:r>
      <w:r w:rsidRPr="00126D53" w:rsidR="00A8283A">
        <w:t>informed of the transfer of service</w:t>
      </w:r>
      <w:r w:rsidR="00462CB1">
        <w:t>s.”</w:t>
      </w:r>
      <w:r>
        <w:rPr>
          <w:rStyle w:val="FootnoteReference"/>
        </w:rPr>
        <w:footnoteReference w:id="14"/>
      </w:r>
      <w:r w:rsidRPr="00126D53" w:rsidR="0044528B">
        <w:t xml:space="preserve">  </w:t>
      </w:r>
      <w:r w:rsidRPr="00126D53" w:rsidR="00104663">
        <w:rPr>
          <w:szCs w:val="24"/>
        </w:rPr>
        <w:t>Clear Rate</w:t>
      </w:r>
      <w:r w:rsidRPr="00126D53" w:rsidR="00B82B45">
        <w:rPr>
          <w:szCs w:val="24"/>
        </w:rPr>
        <w:t xml:space="preserve"> </w:t>
      </w:r>
      <w:r w:rsidRPr="00126D53" w:rsidR="00440166">
        <w:rPr>
          <w:szCs w:val="24"/>
        </w:rPr>
        <w:t xml:space="preserve">provided the TPV recording, but </w:t>
      </w:r>
      <w:r w:rsidR="00990DB6">
        <w:rPr>
          <w:szCs w:val="24"/>
        </w:rPr>
        <w:t>did not</w:t>
      </w:r>
      <w:r w:rsidRPr="00126D53" w:rsidR="00B82B45">
        <w:rPr>
          <w:szCs w:val="24"/>
        </w:rPr>
        <w:t xml:space="preserve"> provide the sales call recording or any other evidence related to t</w:t>
      </w:r>
      <w:r w:rsidR="00030E44">
        <w:rPr>
          <w:szCs w:val="24"/>
        </w:rPr>
        <w:t xml:space="preserve">he sales call </w:t>
      </w:r>
      <w:r w:rsidRPr="00126D53" w:rsidR="00B82B45">
        <w:rPr>
          <w:szCs w:val="24"/>
        </w:rPr>
        <w:t xml:space="preserve">to rebut Complainant’s claim of misrepresentation.  </w:t>
      </w:r>
      <w:r w:rsidRPr="00126D53" w:rsidR="006D7D9E">
        <w:rPr>
          <w:szCs w:val="24"/>
        </w:rPr>
        <w:t>The Division thoroughly</w:t>
      </w:r>
      <w:r w:rsidRPr="00CB7D2F" w:rsidR="006D7D9E">
        <w:rPr>
          <w:szCs w:val="24"/>
        </w:rPr>
        <w:t xml:space="preserve"> reviewed all the evidence in the record provided by both the Complainant and </w:t>
      </w:r>
      <w:r w:rsidR="00104663">
        <w:rPr>
          <w:szCs w:val="24"/>
        </w:rPr>
        <w:t>Clear Rate</w:t>
      </w:r>
      <w:r w:rsidRPr="00CB7D2F" w:rsidR="006D7D9E">
        <w:rPr>
          <w:szCs w:val="24"/>
        </w:rPr>
        <w:t xml:space="preserve">. </w:t>
      </w:r>
      <w:r w:rsidRPr="00CB7D2F" w:rsidR="006D7D9E">
        <w:rPr>
          <w:szCs w:val="22"/>
        </w:rPr>
        <w:t xml:space="preserve"> </w:t>
      </w:r>
    </w:p>
    <w:p w:rsidR="00E87EC4" w:rsidP="00A23350" w14:paraId="7E5B2A35" w14:textId="631EA90E">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5"/>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16"/>
      </w:r>
      <w:r w:rsidRPr="00A23350" w:rsidR="00FD5F16">
        <w:rPr>
          <w:szCs w:val="24"/>
        </w:rPr>
        <w:t xml:space="preserve">      </w:t>
      </w:r>
    </w:p>
    <w:p w:rsidR="00E87EC4" w:rsidP="004A1870" w14:paraId="0A6F2D17" w14:textId="1269D977">
      <w:pPr>
        <w:widowControl/>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7"/>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18"/>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9"/>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3F77E708">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4B6373BF">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EB0A91">
        <w:t>5</w:t>
      </w:r>
      <w:r w:rsidR="00126D53">
        <w:t>340777</w:t>
      </w:r>
      <w:r>
        <w:t xml:space="preserve"> (filed </w:t>
      </w:r>
      <w:r w:rsidR="00126D53">
        <w:t>Mar</w:t>
      </w:r>
      <w:r w:rsidR="00111F8E">
        <w:t>.</w:t>
      </w:r>
      <w:r w:rsidR="003D262D">
        <w:t xml:space="preserve"> </w:t>
      </w:r>
      <w:r w:rsidR="00126D53">
        <w:t>8</w:t>
      </w:r>
      <w:r>
        <w:t>, 202</w:t>
      </w:r>
      <w:r w:rsidR="00126D53">
        <w:t>2</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5AE31F8D">
      <w:pPr>
        <w:pStyle w:val="FootnoteText"/>
      </w:pPr>
      <w:r>
        <w:rPr>
          <w:rStyle w:val="FootnoteReference"/>
        </w:rPr>
        <w:footnoteRef/>
      </w:r>
      <w:r>
        <w:t xml:space="preserve"> </w:t>
      </w:r>
      <w:r w:rsidRPr="000C7E88">
        <w:rPr>
          <w:i/>
          <w:iCs/>
        </w:rPr>
        <w:t>See</w:t>
      </w:r>
      <w:r>
        <w:t xml:space="preserve"> Informal Complaint No. </w:t>
      </w:r>
      <w:r w:rsidR="00EB0A91">
        <w:t>5</w:t>
      </w:r>
      <w:r w:rsidR="00990DB6">
        <w:t>340777</w:t>
      </w:r>
      <w:r>
        <w:t>.</w:t>
      </w:r>
    </w:p>
  </w:footnote>
  <w:footnote w:id="12">
    <w:p w:rsidR="00941E09" w:rsidP="00941E09" w14:paraId="0E05B72C" w14:textId="77777777">
      <w:pPr>
        <w:pStyle w:val="FootnoteText"/>
      </w:pPr>
      <w:r>
        <w:rPr>
          <w:rStyle w:val="FootnoteReference"/>
        </w:rPr>
        <w:footnoteRef/>
      </w:r>
      <w:r>
        <w:t xml:space="preserve"> </w:t>
      </w:r>
      <w:r w:rsidRPr="002C43CB">
        <w:rPr>
          <w:i/>
          <w:iCs/>
        </w:rPr>
        <w:t>Id.</w:t>
      </w:r>
    </w:p>
  </w:footnote>
  <w:footnote w:id="13">
    <w:p w:rsidR="00E87EC4" w:rsidP="00E87EC4" w14:paraId="3B3D0754" w14:textId="077EA8AF">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p>
  </w:footnote>
  <w:footnote w:id="14">
    <w:p w:rsidR="00996AA4" w14:paraId="4022C8EC" w14:textId="425458AF">
      <w:pPr>
        <w:pStyle w:val="FootnoteText"/>
      </w:pPr>
      <w:r>
        <w:rPr>
          <w:rStyle w:val="FootnoteReference"/>
        </w:rPr>
        <w:footnoteRef/>
      </w:r>
      <w:r>
        <w:t xml:space="preserve"> </w:t>
      </w:r>
      <w:r w:rsidRPr="00996AA4">
        <w:rPr>
          <w:i/>
          <w:iCs/>
        </w:rPr>
        <w:t>See</w:t>
      </w:r>
      <w:r>
        <w:t xml:space="preserve"> </w:t>
      </w:r>
      <w:r w:rsidR="00104663">
        <w:t>Clear Rate</w:t>
      </w:r>
      <w:r>
        <w:t xml:space="preserve"> Response to Informal Complaint No. </w:t>
      </w:r>
      <w:r w:rsidR="00EB0A91">
        <w:t>5</w:t>
      </w:r>
      <w:r w:rsidR="007257B8">
        <w:t>340777</w:t>
      </w:r>
      <w:r>
        <w:t xml:space="preserve"> (filed </w:t>
      </w:r>
      <w:r w:rsidR="007257B8">
        <w:t>Mar</w:t>
      </w:r>
      <w:r w:rsidR="006C2B4B">
        <w:t>.</w:t>
      </w:r>
      <w:r w:rsidR="007257B8">
        <w:t xml:space="preserve"> 16</w:t>
      </w:r>
      <w:r>
        <w:t>, 202</w:t>
      </w:r>
      <w:r w:rsidR="007257B8">
        <w:t>2).</w:t>
      </w:r>
      <w:r w:rsidR="002F77BE">
        <w:t xml:space="preserve"> </w:t>
      </w:r>
    </w:p>
  </w:footnote>
  <w:footnote w:id="15">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6">
    <w:p w:rsidR="006D7D9E" w:rsidP="006D7D9E" w14:paraId="76F398F1"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7">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8">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9">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286F366E">
    <w:pPr>
      <w:pStyle w:val="Header"/>
      <w:rPr>
        <w:b w:val="0"/>
      </w:rPr>
    </w:pPr>
    <w:r>
      <w:tab/>
      <w:t>Federal Communications Commission</w:t>
    </w:r>
    <w:r>
      <w:tab/>
    </w:r>
    <w:r w:rsidR="00AE241C">
      <w:t xml:space="preserve">DA </w:t>
    </w:r>
    <w:r w:rsidR="003D262D">
      <w:t>2</w:t>
    </w:r>
    <w:r w:rsidR="00126D53">
      <w:t>2</w:t>
    </w:r>
    <w:r w:rsidR="003D262D">
      <w:t>-</w:t>
    </w:r>
    <w:r w:rsidR="00FA590F">
      <w:t>316</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03C999F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126D53">
      <w:rPr>
        <w:spacing w:val="-2"/>
      </w:rPr>
      <w:t>2</w:t>
    </w:r>
    <w:r w:rsidR="003D262D">
      <w:rPr>
        <w:spacing w:val="-2"/>
      </w:rPr>
      <w:t>-</w:t>
    </w:r>
    <w:r w:rsidR="00FA590F">
      <w:rPr>
        <w:spacing w:val="-2"/>
      </w:rPr>
      <w:t>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37AB"/>
    <w:rsid w:val="000267DE"/>
    <w:rsid w:val="00030E44"/>
    <w:rsid w:val="00036039"/>
    <w:rsid w:val="00037F90"/>
    <w:rsid w:val="000409FA"/>
    <w:rsid w:val="00056F0B"/>
    <w:rsid w:val="000875BF"/>
    <w:rsid w:val="00096D8C"/>
    <w:rsid w:val="000A1D19"/>
    <w:rsid w:val="000C0B65"/>
    <w:rsid w:val="000C7E88"/>
    <w:rsid w:val="000E05FE"/>
    <w:rsid w:val="000E3D42"/>
    <w:rsid w:val="00104663"/>
    <w:rsid w:val="00111F8E"/>
    <w:rsid w:val="001211C2"/>
    <w:rsid w:val="00122BD5"/>
    <w:rsid w:val="00126D53"/>
    <w:rsid w:val="00133F79"/>
    <w:rsid w:val="00142D97"/>
    <w:rsid w:val="00194A66"/>
    <w:rsid w:val="001C1F54"/>
    <w:rsid w:val="001D6BCF"/>
    <w:rsid w:val="001E01CA"/>
    <w:rsid w:val="001F3959"/>
    <w:rsid w:val="00210356"/>
    <w:rsid w:val="00275CF5"/>
    <w:rsid w:val="0028301F"/>
    <w:rsid w:val="0028304E"/>
    <w:rsid w:val="00285017"/>
    <w:rsid w:val="002A2D2E"/>
    <w:rsid w:val="002C00E8"/>
    <w:rsid w:val="002C43CB"/>
    <w:rsid w:val="002F09DF"/>
    <w:rsid w:val="002F77BE"/>
    <w:rsid w:val="00305DCB"/>
    <w:rsid w:val="00343749"/>
    <w:rsid w:val="003605AE"/>
    <w:rsid w:val="003660ED"/>
    <w:rsid w:val="0037166F"/>
    <w:rsid w:val="00384F89"/>
    <w:rsid w:val="003B0550"/>
    <w:rsid w:val="003B341C"/>
    <w:rsid w:val="003B694F"/>
    <w:rsid w:val="003C2295"/>
    <w:rsid w:val="003D1861"/>
    <w:rsid w:val="003D262D"/>
    <w:rsid w:val="003F171C"/>
    <w:rsid w:val="00412FC5"/>
    <w:rsid w:val="00422276"/>
    <w:rsid w:val="004242F1"/>
    <w:rsid w:val="00424582"/>
    <w:rsid w:val="00440166"/>
    <w:rsid w:val="00442324"/>
    <w:rsid w:val="0044528B"/>
    <w:rsid w:val="00445A00"/>
    <w:rsid w:val="00451B0F"/>
    <w:rsid w:val="00462CB1"/>
    <w:rsid w:val="00484334"/>
    <w:rsid w:val="004A1870"/>
    <w:rsid w:val="004A7371"/>
    <w:rsid w:val="004B41C6"/>
    <w:rsid w:val="004C2EE3"/>
    <w:rsid w:val="004E4A22"/>
    <w:rsid w:val="005029C9"/>
    <w:rsid w:val="00511968"/>
    <w:rsid w:val="0055614C"/>
    <w:rsid w:val="00566D06"/>
    <w:rsid w:val="0059509C"/>
    <w:rsid w:val="005E14C2"/>
    <w:rsid w:val="005F3ED0"/>
    <w:rsid w:val="005F7CD1"/>
    <w:rsid w:val="00607BA5"/>
    <w:rsid w:val="0061180A"/>
    <w:rsid w:val="00626EB6"/>
    <w:rsid w:val="00653ADB"/>
    <w:rsid w:val="00655D03"/>
    <w:rsid w:val="00683388"/>
    <w:rsid w:val="00683F84"/>
    <w:rsid w:val="006A6A81"/>
    <w:rsid w:val="006C2B4B"/>
    <w:rsid w:val="006D6CC3"/>
    <w:rsid w:val="006D7D9E"/>
    <w:rsid w:val="006F24F5"/>
    <w:rsid w:val="006F2F56"/>
    <w:rsid w:val="006F7393"/>
    <w:rsid w:val="0070224F"/>
    <w:rsid w:val="00710B10"/>
    <w:rsid w:val="007115F7"/>
    <w:rsid w:val="007257B8"/>
    <w:rsid w:val="00766B85"/>
    <w:rsid w:val="00785689"/>
    <w:rsid w:val="0079754B"/>
    <w:rsid w:val="007A1E6D"/>
    <w:rsid w:val="007B0EB2"/>
    <w:rsid w:val="007C4258"/>
    <w:rsid w:val="00810B6F"/>
    <w:rsid w:val="00822CE0"/>
    <w:rsid w:val="00841AB1"/>
    <w:rsid w:val="00855334"/>
    <w:rsid w:val="00856985"/>
    <w:rsid w:val="008A32BF"/>
    <w:rsid w:val="008A4A8D"/>
    <w:rsid w:val="008B5281"/>
    <w:rsid w:val="008C68F1"/>
    <w:rsid w:val="00910DFB"/>
    <w:rsid w:val="00921803"/>
    <w:rsid w:val="00923668"/>
    <w:rsid w:val="00926503"/>
    <w:rsid w:val="00941E09"/>
    <w:rsid w:val="00955FC0"/>
    <w:rsid w:val="009726D8"/>
    <w:rsid w:val="00990DB6"/>
    <w:rsid w:val="00996AA4"/>
    <w:rsid w:val="009D7308"/>
    <w:rsid w:val="009F0064"/>
    <w:rsid w:val="009F6F0E"/>
    <w:rsid w:val="009F76DB"/>
    <w:rsid w:val="00A15D6E"/>
    <w:rsid w:val="00A23350"/>
    <w:rsid w:val="00A32C3B"/>
    <w:rsid w:val="00A45F4F"/>
    <w:rsid w:val="00A600A9"/>
    <w:rsid w:val="00A8283A"/>
    <w:rsid w:val="00A92978"/>
    <w:rsid w:val="00AA55B7"/>
    <w:rsid w:val="00AA5B9E"/>
    <w:rsid w:val="00AB2407"/>
    <w:rsid w:val="00AB53DF"/>
    <w:rsid w:val="00AE241C"/>
    <w:rsid w:val="00B06C6D"/>
    <w:rsid w:val="00B07E5C"/>
    <w:rsid w:val="00B205BD"/>
    <w:rsid w:val="00B30D69"/>
    <w:rsid w:val="00B469CE"/>
    <w:rsid w:val="00B64743"/>
    <w:rsid w:val="00B811F7"/>
    <w:rsid w:val="00B82B45"/>
    <w:rsid w:val="00B841CA"/>
    <w:rsid w:val="00B91DEB"/>
    <w:rsid w:val="00BA5DC6"/>
    <w:rsid w:val="00BA6196"/>
    <w:rsid w:val="00BC6D8C"/>
    <w:rsid w:val="00C34006"/>
    <w:rsid w:val="00C36B4C"/>
    <w:rsid w:val="00C426B1"/>
    <w:rsid w:val="00C525ED"/>
    <w:rsid w:val="00C66160"/>
    <w:rsid w:val="00C721AC"/>
    <w:rsid w:val="00C90D6A"/>
    <w:rsid w:val="00CA247E"/>
    <w:rsid w:val="00CA6D21"/>
    <w:rsid w:val="00CB7D2F"/>
    <w:rsid w:val="00CC72B6"/>
    <w:rsid w:val="00CE1F45"/>
    <w:rsid w:val="00CE5BF4"/>
    <w:rsid w:val="00CF10D8"/>
    <w:rsid w:val="00D0218D"/>
    <w:rsid w:val="00D22481"/>
    <w:rsid w:val="00D25FB5"/>
    <w:rsid w:val="00D26C2C"/>
    <w:rsid w:val="00D44223"/>
    <w:rsid w:val="00D60674"/>
    <w:rsid w:val="00D64893"/>
    <w:rsid w:val="00DA2529"/>
    <w:rsid w:val="00DB130A"/>
    <w:rsid w:val="00DB2EBB"/>
    <w:rsid w:val="00DC10A1"/>
    <w:rsid w:val="00DC655F"/>
    <w:rsid w:val="00DD0B59"/>
    <w:rsid w:val="00DD7EBD"/>
    <w:rsid w:val="00DF62B6"/>
    <w:rsid w:val="00E07225"/>
    <w:rsid w:val="00E5409F"/>
    <w:rsid w:val="00E87EC4"/>
    <w:rsid w:val="00EB0A91"/>
    <w:rsid w:val="00ED0DB7"/>
    <w:rsid w:val="00EE6488"/>
    <w:rsid w:val="00EF2C5A"/>
    <w:rsid w:val="00F021FA"/>
    <w:rsid w:val="00F2035B"/>
    <w:rsid w:val="00F26CC7"/>
    <w:rsid w:val="00F62E97"/>
    <w:rsid w:val="00F64209"/>
    <w:rsid w:val="00F86B2C"/>
    <w:rsid w:val="00F93BF5"/>
    <w:rsid w:val="00FA1C98"/>
    <w:rsid w:val="00FA590F"/>
    <w:rsid w:val="00FA75A5"/>
    <w:rsid w:val="00FD5F16"/>
    <w:rsid w:val="00FF53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