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7AC9EAE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D440B" w:rsidRPr="00AD440B" w:rsidP="00AD440B" w14:paraId="2F4697FC" w14:textId="5A023E93">
      <w:pPr>
        <w:widowControl w:val="0"/>
        <w:jc w:val="right"/>
        <w:rPr>
          <w:b/>
          <w:snapToGrid w:val="0"/>
          <w:kern w:val="28"/>
          <w:sz w:val="24"/>
        </w:rPr>
      </w:pPr>
      <w:bookmarkStart w:id="1" w:name="_Hlk26280526"/>
      <w:bookmarkStart w:id="2" w:name="_Hlk64383480"/>
      <w:r w:rsidRPr="00AD440B">
        <w:rPr>
          <w:b/>
          <w:snapToGrid w:val="0"/>
          <w:kern w:val="28"/>
          <w:sz w:val="24"/>
        </w:rPr>
        <w:t>DA 2</w:t>
      </w:r>
      <w:r w:rsidR="0089666B">
        <w:rPr>
          <w:b/>
          <w:snapToGrid w:val="0"/>
          <w:kern w:val="28"/>
          <w:sz w:val="24"/>
        </w:rPr>
        <w:t>2</w:t>
      </w:r>
      <w:r w:rsidRPr="00AD440B">
        <w:rPr>
          <w:b/>
          <w:snapToGrid w:val="0"/>
          <w:kern w:val="28"/>
          <w:sz w:val="24"/>
        </w:rPr>
        <w:t>-</w:t>
      </w:r>
      <w:r w:rsidR="00E05096">
        <w:rPr>
          <w:b/>
          <w:snapToGrid w:val="0"/>
          <w:kern w:val="28"/>
          <w:sz w:val="24"/>
        </w:rPr>
        <w:t>31</w:t>
      </w:r>
    </w:p>
    <w:p w:rsidR="00AD440B" w:rsidRPr="00AD440B" w:rsidP="00AD440B" w14:paraId="42416B33" w14:textId="717CC915">
      <w:pPr>
        <w:widowControl w:val="0"/>
        <w:spacing w:before="60"/>
        <w:jc w:val="right"/>
        <w:rPr>
          <w:b/>
          <w:snapToGrid w:val="0"/>
          <w:kern w:val="28"/>
          <w:sz w:val="24"/>
        </w:rPr>
      </w:pPr>
      <w:r w:rsidRPr="00AD440B">
        <w:rPr>
          <w:b/>
          <w:snapToGrid w:val="0"/>
          <w:kern w:val="28"/>
          <w:sz w:val="24"/>
        </w:rPr>
        <w:t xml:space="preserve">Released:  </w:t>
      </w:r>
      <w:r w:rsidR="0089666B">
        <w:rPr>
          <w:b/>
          <w:snapToGrid w:val="0"/>
          <w:kern w:val="28"/>
          <w:sz w:val="24"/>
        </w:rPr>
        <w:t>January</w:t>
      </w:r>
      <w:r w:rsidRPr="00AD440B">
        <w:rPr>
          <w:b/>
          <w:snapToGrid w:val="0"/>
          <w:kern w:val="28"/>
          <w:sz w:val="24"/>
        </w:rPr>
        <w:t xml:space="preserve"> </w:t>
      </w:r>
      <w:r w:rsidR="00425FF2">
        <w:rPr>
          <w:b/>
          <w:snapToGrid w:val="0"/>
          <w:kern w:val="28"/>
          <w:sz w:val="24"/>
        </w:rPr>
        <w:t>12</w:t>
      </w:r>
      <w:r w:rsidRPr="00AD440B">
        <w:rPr>
          <w:b/>
          <w:snapToGrid w:val="0"/>
          <w:kern w:val="28"/>
          <w:sz w:val="24"/>
        </w:rPr>
        <w:t>, 202</w:t>
      </w:r>
      <w:r w:rsidR="0089666B">
        <w:rPr>
          <w:b/>
          <w:snapToGrid w:val="0"/>
          <w:kern w:val="28"/>
          <w:sz w:val="24"/>
        </w:rPr>
        <w:t>2</w:t>
      </w:r>
    </w:p>
    <w:p w:rsidR="00AD440B" w:rsidRPr="00AD440B" w:rsidP="00AD440B" w14:paraId="62BA5665" w14:textId="77777777">
      <w:pPr>
        <w:widowControl w:val="0"/>
        <w:spacing w:before="60"/>
        <w:jc w:val="center"/>
        <w:rPr>
          <w:b/>
          <w:snapToGrid w:val="0"/>
          <w:kern w:val="28"/>
          <w:sz w:val="24"/>
        </w:rPr>
      </w:pPr>
    </w:p>
    <w:p w:rsidR="00A47EA1" w:rsidP="00A47EA1" w14:paraId="21915CDA" w14:textId="77777777">
      <w:pPr>
        <w:jc w:val="center"/>
        <w:rPr>
          <w:b/>
          <w:bCs/>
          <w:szCs w:val="22"/>
        </w:rPr>
      </w:pPr>
      <w:r>
        <w:rPr>
          <w:b/>
          <w:bCs/>
          <w:szCs w:val="22"/>
        </w:rPr>
        <w:t xml:space="preserve">DOMESTIC </w:t>
      </w:r>
      <w:r>
        <w:rPr>
          <w:b/>
          <w:bCs/>
          <w:caps/>
          <w:szCs w:val="22"/>
        </w:rPr>
        <w:t>SECTION</w:t>
      </w:r>
      <w:r>
        <w:rPr>
          <w:b/>
          <w:bCs/>
          <w:szCs w:val="22"/>
        </w:rPr>
        <w:t xml:space="preserve"> 214 APPLICATION FILED FOR THE </w:t>
      </w:r>
    </w:p>
    <w:p w:rsidR="009564D0" w:rsidP="009564D0" w14:paraId="44898799" w14:textId="77777777">
      <w:pPr>
        <w:jc w:val="center"/>
        <w:rPr>
          <w:b/>
          <w:bCs/>
          <w:caps/>
          <w:szCs w:val="22"/>
        </w:rPr>
      </w:pPr>
      <w:r>
        <w:rPr>
          <w:b/>
          <w:bCs/>
          <w:caps/>
          <w:szCs w:val="22"/>
        </w:rPr>
        <w:t xml:space="preserve">ACQUISITION OF CERTAIN ASSETS OF HARGRAY OF TALLAHASSEE, LLC </w:t>
      </w:r>
    </w:p>
    <w:p w:rsidR="00AD440B" w:rsidRPr="009564D0" w:rsidP="009564D0" w14:paraId="06835B95" w14:textId="0D95CB7D">
      <w:pPr>
        <w:jc w:val="center"/>
        <w:rPr>
          <w:b/>
          <w:bCs/>
          <w:caps/>
          <w:szCs w:val="22"/>
        </w:rPr>
      </w:pPr>
      <w:r>
        <w:rPr>
          <w:b/>
          <w:bCs/>
          <w:caps/>
          <w:szCs w:val="22"/>
        </w:rPr>
        <w:t>AND LOW COUNTRY CARRIERS, INC. D/B/A HARGRAY LONG DISTANCE</w:t>
      </w:r>
      <w:r w:rsidR="00C16A22">
        <w:rPr>
          <w:b/>
          <w:bCs/>
          <w:caps/>
          <w:szCs w:val="22"/>
        </w:rPr>
        <w:br/>
      </w:r>
      <w:r>
        <w:rPr>
          <w:b/>
          <w:bCs/>
          <w:caps/>
          <w:szCs w:val="22"/>
        </w:rPr>
        <w:t>BY</w:t>
      </w:r>
      <w:r w:rsidRPr="00CD6760" w:rsidR="0029098D">
        <w:rPr>
          <w:b/>
          <w:bCs/>
          <w:caps/>
          <w:szCs w:val="22"/>
        </w:rPr>
        <w:t xml:space="preserve"> MetroNet</w:t>
      </w:r>
      <w:r w:rsidR="00B57D2A">
        <w:rPr>
          <w:b/>
          <w:bCs/>
          <w:szCs w:val="22"/>
        </w:rPr>
        <w:t xml:space="preserve"> </w:t>
      </w:r>
      <w:r w:rsidRPr="00CD6760" w:rsidR="0029098D">
        <w:rPr>
          <w:b/>
          <w:bCs/>
          <w:caps/>
          <w:szCs w:val="22"/>
        </w:rPr>
        <w:t>Systems</w:t>
      </w:r>
      <w:r w:rsidR="00EA5434">
        <w:rPr>
          <w:b/>
          <w:bCs/>
          <w:caps/>
          <w:szCs w:val="22"/>
        </w:rPr>
        <w:t xml:space="preserve">, </w:t>
      </w:r>
      <w:r w:rsidRPr="00CD6760" w:rsidR="0029098D">
        <w:rPr>
          <w:b/>
          <w:bCs/>
          <w:caps/>
          <w:szCs w:val="22"/>
        </w:rPr>
        <w:t>LLC</w:t>
      </w:r>
    </w:p>
    <w:p w:rsidR="00AD440B" w:rsidRPr="00AD440B" w:rsidP="00AD440B" w14:paraId="785D1D1F" w14:textId="77777777">
      <w:pPr>
        <w:jc w:val="center"/>
        <w:rPr>
          <w:b/>
          <w:bCs/>
          <w:szCs w:val="22"/>
        </w:rPr>
      </w:pPr>
      <w:r w:rsidRPr="00AD440B">
        <w:rPr>
          <w:b/>
          <w:bCs/>
          <w:caps/>
          <w:szCs w:val="22"/>
        </w:rPr>
        <w:t xml:space="preserve"> </w:t>
      </w:r>
    </w:p>
    <w:p w:rsidR="00AD440B" w:rsidRPr="00AD440B" w:rsidP="00AD440B" w14:paraId="27331EBB" w14:textId="77777777">
      <w:pPr>
        <w:jc w:val="center"/>
        <w:rPr>
          <w:b/>
          <w:szCs w:val="22"/>
        </w:rPr>
      </w:pPr>
      <w:r w:rsidRPr="00AD440B">
        <w:rPr>
          <w:b/>
          <w:szCs w:val="22"/>
        </w:rPr>
        <w:t>STREAMLINED PLEADING CYCLE ESTABLISHED</w:t>
      </w:r>
    </w:p>
    <w:p w:rsidR="00AD440B" w:rsidRPr="00AD440B" w:rsidP="00AD440B" w14:paraId="6F2EB822" w14:textId="77777777">
      <w:pPr>
        <w:widowControl w:val="0"/>
        <w:spacing w:before="60"/>
        <w:jc w:val="center"/>
        <w:rPr>
          <w:b/>
          <w:snapToGrid w:val="0"/>
          <w:kern w:val="28"/>
          <w:sz w:val="24"/>
        </w:rPr>
      </w:pPr>
    </w:p>
    <w:p w:rsidR="00AD440B" w:rsidRPr="00AD440B" w:rsidP="00AD440B" w14:paraId="6E5AE623" w14:textId="2AF8353B">
      <w:pPr>
        <w:widowControl w:val="0"/>
        <w:spacing w:before="60"/>
        <w:jc w:val="center"/>
        <w:rPr>
          <w:b/>
          <w:snapToGrid w:val="0"/>
          <w:kern w:val="28"/>
          <w:szCs w:val="22"/>
        </w:rPr>
      </w:pPr>
      <w:r w:rsidRPr="00AD440B">
        <w:rPr>
          <w:b/>
          <w:snapToGrid w:val="0"/>
          <w:kern w:val="28"/>
          <w:szCs w:val="22"/>
        </w:rPr>
        <w:t>WC Docket No. 21-</w:t>
      </w:r>
      <w:r w:rsidR="0089666B">
        <w:rPr>
          <w:b/>
          <w:snapToGrid w:val="0"/>
          <w:kern w:val="28"/>
          <w:szCs w:val="22"/>
        </w:rPr>
        <w:t>504</w:t>
      </w:r>
    </w:p>
    <w:p w:rsidR="00E94F15" w:rsidP="00AD440B" w14:paraId="508A3995" w14:textId="77777777">
      <w:pPr>
        <w:rPr>
          <w:b/>
          <w:szCs w:val="22"/>
        </w:rPr>
      </w:pPr>
    </w:p>
    <w:p w:rsidR="00AD440B" w:rsidRPr="00AD440B" w:rsidP="00AD440B" w14:paraId="7E8AC3A3" w14:textId="67E70C56">
      <w:pPr>
        <w:rPr>
          <w:b/>
          <w:szCs w:val="22"/>
        </w:rPr>
      </w:pPr>
      <w:r w:rsidRPr="00AD440B">
        <w:rPr>
          <w:b/>
          <w:szCs w:val="22"/>
        </w:rPr>
        <w:t xml:space="preserve">Comments Due:  </w:t>
      </w:r>
      <w:r w:rsidR="0089666B">
        <w:rPr>
          <w:b/>
          <w:szCs w:val="22"/>
        </w:rPr>
        <w:t>January</w:t>
      </w:r>
      <w:r w:rsidRPr="00AD440B">
        <w:rPr>
          <w:b/>
          <w:szCs w:val="22"/>
        </w:rPr>
        <w:t xml:space="preserve"> </w:t>
      </w:r>
      <w:r w:rsidR="00425FF2">
        <w:rPr>
          <w:b/>
          <w:szCs w:val="22"/>
        </w:rPr>
        <w:t>2</w:t>
      </w:r>
      <w:r w:rsidR="000E4938">
        <w:rPr>
          <w:b/>
          <w:szCs w:val="22"/>
        </w:rPr>
        <w:t>6</w:t>
      </w:r>
      <w:r w:rsidRPr="00AD440B">
        <w:rPr>
          <w:b/>
          <w:szCs w:val="22"/>
        </w:rPr>
        <w:t>, 202</w:t>
      </w:r>
      <w:r w:rsidR="0089666B">
        <w:rPr>
          <w:b/>
          <w:szCs w:val="22"/>
        </w:rPr>
        <w:t>2</w:t>
      </w:r>
      <w:r w:rsidRPr="00AD440B">
        <w:rPr>
          <w:b/>
          <w:szCs w:val="22"/>
        </w:rPr>
        <w:t xml:space="preserve"> </w:t>
      </w:r>
    </w:p>
    <w:p w:rsidR="00AD440B" w:rsidRPr="00AD440B" w:rsidP="00AD440B" w14:paraId="2C803210" w14:textId="67116EDE">
      <w:pPr>
        <w:rPr>
          <w:b/>
          <w:szCs w:val="22"/>
        </w:rPr>
      </w:pPr>
      <w:r w:rsidRPr="00AD440B">
        <w:rPr>
          <w:b/>
          <w:szCs w:val="22"/>
        </w:rPr>
        <w:t xml:space="preserve">Reply Comment Due:  </w:t>
      </w:r>
      <w:r w:rsidR="00425FF2">
        <w:rPr>
          <w:b/>
          <w:szCs w:val="22"/>
        </w:rPr>
        <w:t>Febr</w:t>
      </w:r>
      <w:r w:rsidR="0089666B">
        <w:rPr>
          <w:b/>
          <w:szCs w:val="22"/>
        </w:rPr>
        <w:t>uary</w:t>
      </w:r>
      <w:r w:rsidRPr="00AD440B">
        <w:rPr>
          <w:b/>
          <w:szCs w:val="22"/>
        </w:rPr>
        <w:t xml:space="preserve"> </w:t>
      </w:r>
      <w:r w:rsidR="000E4938">
        <w:rPr>
          <w:b/>
          <w:szCs w:val="22"/>
        </w:rPr>
        <w:t>2</w:t>
      </w:r>
      <w:r w:rsidRPr="00AD440B">
        <w:rPr>
          <w:b/>
          <w:szCs w:val="22"/>
        </w:rPr>
        <w:t>, 202</w:t>
      </w:r>
      <w:r w:rsidR="0089666B">
        <w:rPr>
          <w:b/>
          <w:szCs w:val="22"/>
        </w:rPr>
        <w:t>2</w:t>
      </w:r>
      <w:r w:rsidRPr="00AD440B">
        <w:rPr>
          <w:b/>
          <w:szCs w:val="22"/>
        </w:rPr>
        <w:t xml:space="preserve"> </w:t>
      </w:r>
    </w:p>
    <w:p w:rsidR="00AD440B" w:rsidRPr="00AD440B" w:rsidP="00AD440B" w14:paraId="4D0D4E61" w14:textId="77777777">
      <w:pPr>
        <w:rPr>
          <w:b/>
          <w:szCs w:val="22"/>
        </w:rPr>
      </w:pPr>
    </w:p>
    <w:p w:rsidR="007A6E5A" w:rsidRPr="007A6E5A" w:rsidP="00E74981" w14:paraId="1284AC6B" w14:textId="55315CCE">
      <w:pPr>
        <w:autoSpaceDE w:val="0"/>
        <w:autoSpaceDN w:val="0"/>
        <w:adjustRightInd w:val="0"/>
        <w:spacing w:after="120"/>
        <w:ind w:firstLine="720"/>
        <w:rPr>
          <w:szCs w:val="22"/>
        </w:rPr>
      </w:pPr>
      <w:r w:rsidRPr="00CD711A">
        <w:rPr>
          <w:szCs w:val="22"/>
        </w:rPr>
        <w:t>By this Public Notice, the Wireline Competition Bureau</w:t>
      </w:r>
      <w:r>
        <w:rPr>
          <w:szCs w:val="22"/>
        </w:rPr>
        <w:t xml:space="preserve"> </w:t>
      </w:r>
      <w:r w:rsidR="0042593D">
        <w:rPr>
          <w:szCs w:val="22"/>
        </w:rPr>
        <w:t xml:space="preserve">(Bureau)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Pr>
          <w:szCs w:val="22"/>
        </w:rPr>
        <w:t>Hargray of Tallahassee LLC (HOT), Low Country Carriers, Inc. d/b/a Hargray Long Distance (LCC), and MetroNet System</w:t>
      </w:r>
      <w:r w:rsidR="00EA5434">
        <w:rPr>
          <w:szCs w:val="22"/>
        </w:rPr>
        <w:t>s</w:t>
      </w:r>
      <w:r>
        <w:rPr>
          <w:szCs w:val="22"/>
        </w:rPr>
        <w:t xml:space="preserve">, LLC (MetroNet) </w:t>
      </w:r>
      <w:bookmarkEnd w:id="3"/>
      <w:r>
        <w:rPr>
          <w:szCs w:val="22"/>
        </w:rPr>
        <w:t>(collectively, Applicants),</w:t>
      </w:r>
      <w:r w:rsidRPr="00CD20C1">
        <w:rPr>
          <w:szCs w:val="22"/>
        </w:rPr>
        <w:t xml:space="preserve"> </w:t>
      </w:r>
      <w:r w:rsidRPr="00CD711A">
        <w:rPr>
          <w:szCs w:val="22"/>
        </w:rPr>
        <w:t>pursuant to section 214 of the Communications Act of 1934, as amended, and sections 63.03-04 of the Commission’s rules</w:t>
      </w:r>
      <w:r>
        <w:rPr>
          <w:szCs w:val="22"/>
        </w:rPr>
        <w:t>, requesting consent to transfer certain assets and customers of HOT and LLC to MetroNet.</w:t>
      </w:r>
      <w:bookmarkEnd w:id="4"/>
      <w:bookmarkEnd w:id="5"/>
      <w:r>
        <w:rPr>
          <w:szCs w:val="22"/>
          <w:vertAlign w:val="superscript"/>
        </w:rPr>
        <w:footnoteReference w:id="3"/>
      </w:r>
      <w:r w:rsidRPr="00AD440B" w:rsidR="0029098D">
        <w:rPr>
          <w:szCs w:val="22"/>
        </w:rPr>
        <w:t xml:space="preserve"> </w:t>
      </w:r>
    </w:p>
    <w:p w:rsidR="0089666B" w:rsidRPr="0011599F" w:rsidP="0011599F" w14:paraId="3CE649EB" w14:textId="3F9AD97F">
      <w:pPr>
        <w:autoSpaceDE w:val="0"/>
        <w:autoSpaceDN w:val="0"/>
        <w:adjustRightInd w:val="0"/>
        <w:spacing w:after="120"/>
        <w:ind w:firstLine="720"/>
        <w:rPr>
          <w:szCs w:val="22"/>
        </w:rPr>
      </w:pPr>
      <w:r>
        <w:rPr>
          <w:szCs w:val="22"/>
        </w:rPr>
        <w:t>HOT</w:t>
      </w:r>
      <w:r w:rsidR="006C6FE0">
        <w:rPr>
          <w:szCs w:val="22"/>
        </w:rPr>
        <w:t>,</w:t>
      </w:r>
      <w:r>
        <w:rPr>
          <w:szCs w:val="22"/>
        </w:rPr>
        <w:t xml:space="preserve"> a Delaware limited liability company</w:t>
      </w:r>
      <w:r w:rsidR="006C6FE0">
        <w:rPr>
          <w:szCs w:val="22"/>
        </w:rPr>
        <w:t>,</w:t>
      </w:r>
      <w:r>
        <w:rPr>
          <w:szCs w:val="22"/>
        </w:rPr>
        <w:t xml:space="preserve"> </w:t>
      </w:r>
      <w:r w:rsidR="006C6FE0">
        <w:rPr>
          <w:szCs w:val="22"/>
        </w:rPr>
        <w:t>is</w:t>
      </w:r>
      <w:r>
        <w:rPr>
          <w:szCs w:val="22"/>
        </w:rPr>
        <w:t xml:space="preserve"> a competitive local exchange carrier (LEC) in Florida.  </w:t>
      </w:r>
      <w:r w:rsidR="00616757">
        <w:rPr>
          <w:szCs w:val="22"/>
        </w:rPr>
        <w:t>Applicants state that</w:t>
      </w:r>
      <w:r w:rsidR="00837B07">
        <w:rPr>
          <w:szCs w:val="22"/>
        </w:rPr>
        <w:t>, pursuant to an internal reorganization</w:t>
      </w:r>
      <w:r w:rsidR="00E74981">
        <w:rPr>
          <w:szCs w:val="22"/>
        </w:rPr>
        <w:t xml:space="preserve"> prior to consummation of the proposed transaction</w:t>
      </w:r>
      <w:r w:rsidR="00837B07">
        <w:rPr>
          <w:szCs w:val="22"/>
        </w:rPr>
        <w:t>,</w:t>
      </w:r>
      <w:r w:rsidR="00616757">
        <w:rPr>
          <w:szCs w:val="22"/>
        </w:rPr>
        <w:t xml:space="preserve"> HOT’s affiliate, Hargray of Florida, Inc. (HOF), will transfer certain assets and customer</w:t>
      </w:r>
      <w:r w:rsidR="00465520">
        <w:rPr>
          <w:szCs w:val="22"/>
        </w:rPr>
        <w:t>s</w:t>
      </w:r>
      <w:r w:rsidR="00616757">
        <w:rPr>
          <w:szCs w:val="22"/>
        </w:rPr>
        <w:t xml:space="preserve"> to HOT in and around </w:t>
      </w:r>
      <w:r w:rsidR="00EA5434">
        <w:rPr>
          <w:szCs w:val="22"/>
        </w:rPr>
        <w:t xml:space="preserve">the </w:t>
      </w:r>
      <w:r w:rsidR="00616757">
        <w:rPr>
          <w:szCs w:val="22"/>
        </w:rPr>
        <w:t xml:space="preserve">Tallahassee, Florida area.  </w:t>
      </w:r>
      <w:r>
        <w:rPr>
          <w:szCs w:val="22"/>
        </w:rPr>
        <w:t>LCC</w:t>
      </w:r>
      <w:r w:rsidR="0011599F">
        <w:rPr>
          <w:szCs w:val="22"/>
        </w:rPr>
        <w:t>,</w:t>
      </w:r>
      <w:r>
        <w:rPr>
          <w:szCs w:val="22"/>
        </w:rPr>
        <w:t xml:space="preserve"> a South Carolina corporation</w:t>
      </w:r>
      <w:r w:rsidR="0011599F">
        <w:rPr>
          <w:szCs w:val="22"/>
        </w:rPr>
        <w:t>,</w:t>
      </w:r>
      <w:r>
        <w:rPr>
          <w:szCs w:val="22"/>
        </w:rPr>
        <w:t xml:space="preserve"> is an interexchange carrier in South Carolina and provides services exclusively to the customers of its affiliated carriers, including HOT and HOF.  </w:t>
      </w:r>
      <w:r w:rsidR="0004648D">
        <w:rPr>
          <w:szCs w:val="22"/>
        </w:rPr>
        <w:t>HOT</w:t>
      </w:r>
      <w:r w:rsidR="0042593D">
        <w:rPr>
          <w:szCs w:val="22"/>
        </w:rPr>
        <w:t xml:space="preserve"> </w:t>
      </w:r>
      <w:r w:rsidR="0004648D">
        <w:rPr>
          <w:szCs w:val="22"/>
        </w:rPr>
        <w:t xml:space="preserve">and </w:t>
      </w:r>
      <w:r>
        <w:rPr>
          <w:szCs w:val="22"/>
        </w:rPr>
        <w:t>LCC a</w:t>
      </w:r>
      <w:r w:rsidR="0004648D">
        <w:rPr>
          <w:szCs w:val="22"/>
        </w:rPr>
        <w:t>re</w:t>
      </w:r>
      <w:r>
        <w:rPr>
          <w:szCs w:val="22"/>
        </w:rPr>
        <w:t xml:space="preserve"> subsidiar</w:t>
      </w:r>
      <w:r w:rsidR="0004648D">
        <w:rPr>
          <w:szCs w:val="22"/>
        </w:rPr>
        <w:t>ies</w:t>
      </w:r>
      <w:r>
        <w:rPr>
          <w:szCs w:val="22"/>
        </w:rPr>
        <w:t xml:space="preserve"> of </w:t>
      </w:r>
      <w:r>
        <w:rPr>
          <w:szCs w:val="22"/>
        </w:rPr>
        <w:t>Cable One</w:t>
      </w:r>
      <w:r w:rsidR="00E74981">
        <w:rPr>
          <w:szCs w:val="22"/>
        </w:rPr>
        <w:t>, Inc.</w:t>
      </w:r>
      <w:r w:rsidR="0042593D">
        <w:rPr>
          <w:szCs w:val="22"/>
        </w:rPr>
        <w:t xml:space="preserve"> (Cable One)</w:t>
      </w:r>
      <w:r w:rsidR="00E74981">
        <w:rPr>
          <w:szCs w:val="22"/>
        </w:rPr>
        <w:t>, a Delaware corporation</w:t>
      </w:r>
      <w:r w:rsidR="00EA5434">
        <w:rPr>
          <w:szCs w:val="22"/>
        </w:rPr>
        <w:t xml:space="preserve"> providing telecommunications and other services in 24 states</w:t>
      </w:r>
      <w:r>
        <w:rPr>
          <w:szCs w:val="22"/>
        </w:rPr>
        <w:t>.</w:t>
      </w:r>
      <w:r>
        <w:rPr>
          <w:rStyle w:val="FootnoteReference"/>
          <w:szCs w:val="22"/>
        </w:rPr>
        <w:footnoteReference w:id="4"/>
      </w:r>
    </w:p>
    <w:p w:rsidR="00AD690B" w:rsidRPr="00C67FE7" w:rsidP="00C67FE7" w14:paraId="0A1DBA0F" w14:textId="0E9135CD">
      <w:pPr>
        <w:autoSpaceDE w:val="0"/>
        <w:autoSpaceDN w:val="0"/>
        <w:adjustRightInd w:val="0"/>
        <w:spacing w:after="120"/>
        <w:ind w:firstLine="720"/>
        <w:rPr>
          <w:szCs w:val="22"/>
        </w:rPr>
      </w:pPr>
      <w:r w:rsidRPr="00B97629">
        <w:rPr>
          <w:snapToGrid w:val="0"/>
          <w:kern w:val="28"/>
          <w:szCs w:val="22"/>
        </w:rPr>
        <w:t xml:space="preserve">MetroNet, </w:t>
      </w:r>
      <w:r w:rsidRPr="00B97629" w:rsidR="00AD440B">
        <w:rPr>
          <w:snapToGrid w:val="0"/>
          <w:kern w:val="28"/>
          <w:szCs w:val="22"/>
        </w:rPr>
        <w:t>a Delaware limited liability company</w:t>
      </w:r>
      <w:r w:rsidRPr="00B97629" w:rsidR="00BF54A4">
        <w:rPr>
          <w:snapToGrid w:val="0"/>
          <w:kern w:val="28"/>
          <w:szCs w:val="22"/>
        </w:rPr>
        <w:t>, is</w:t>
      </w:r>
      <w:r w:rsidRPr="00B97629">
        <w:rPr>
          <w:snapToGrid w:val="0"/>
          <w:kern w:val="28"/>
          <w:szCs w:val="22"/>
        </w:rPr>
        <w:t xml:space="preserve"> a</w:t>
      </w:r>
      <w:r w:rsidR="00EA5434">
        <w:rPr>
          <w:snapToGrid w:val="0"/>
          <w:kern w:val="28"/>
          <w:szCs w:val="22"/>
        </w:rPr>
        <w:t>n</w:t>
      </w:r>
      <w:r w:rsidRPr="00B97629">
        <w:rPr>
          <w:snapToGrid w:val="0"/>
          <w:kern w:val="28"/>
          <w:szCs w:val="22"/>
        </w:rPr>
        <w:t xml:space="preserve"> </w:t>
      </w:r>
      <w:r w:rsidR="00EA5434">
        <w:rPr>
          <w:snapToGrid w:val="0"/>
          <w:kern w:val="28"/>
          <w:szCs w:val="22"/>
        </w:rPr>
        <w:t>in</w:t>
      </w:r>
      <w:r w:rsidRPr="00B97629">
        <w:rPr>
          <w:snapToGrid w:val="0"/>
          <w:kern w:val="28"/>
          <w:szCs w:val="22"/>
        </w:rPr>
        <w:t>direct, wholly</w:t>
      </w:r>
      <w:r w:rsidR="00EA5434">
        <w:rPr>
          <w:snapToGrid w:val="0"/>
          <w:kern w:val="28"/>
          <w:szCs w:val="22"/>
        </w:rPr>
        <w:t>-</w:t>
      </w:r>
      <w:r w:rsidRPr="00B97629">
        <w:rPr>
          <w:snapToGrid w:val="0"/>
          <w:kern w:val="28"/>
          <w:szCs w:val="22"/>
        </w:rPr>
        <w:t>owned subsidiary of Metro</w:t>
      </w:r>
      <w:r w:rsidR="00EA5434">
        <w:rPr>
          <w:snapToGrid w:val="0"/>
          <w:kern w:val="28"/>
          <w:szCs w:val="22"/>
        </w:rPr>
        <w:t>N</w:t>
      </w:r>
      <w:r w:rsidRPr="00B97629">
        <w:rPr>
          <w:snapToGrid w:val="0"/>
          <w:kern w:val="28"/>
          <w:szCs w:val="22"/>
        </w:rPr>
        <w:t>et Holdings, LLC (Holdings)</w:t>
      </w:r>
      <w:r w:rsidRPr="00B97629" w:rsidR="00AD440B">
        <w:rPr>
          <w:snapToGrid w:val="0"/>
          <w:kern w:val="28"/>
          <w:szCs w:val="22"/>
        </w:rPr>
        <w:t xml:space="preserve">. </w:t>
      </w:r>
      <w:r w:rsidRPr="00B97629" w:rsidR="0070755C">
        <w:rPr>
          <w:snapToGrid w:val="0"/>
          <w:kern w:val="28"/>
          <w:szCs w:val="22"/>
        </w:rPr>
        <w:t xml:space="preserve"> </w:t>
      </w:r>
      <w:r w:rsidRPr="00B97629">
        <w:rPr>
          <w:snapToGrid w:val="0"/>
          <w:kern w:val="28"/>
          <w:szCs w:val="22"/>
        </w:rPr>
        <w:t>Holdings</w:t>
      </w:r>
      <w:r w:rsidRPr="00B97629" w:rsidR="0070755C">
        <w:rPr>
          <w:snapToGrid w:val="0"/>
          <w:kern w:val="28"/>
          <w:szCs w:val="22"/>
        </w:rPr>
        <w:t>,</w:t>
      </w:r>
      <w:r w:rsidRPr="00B97629">
        <w:rPr>
          <w:snapToGrid w:val="0"/>
          <w:kern w:val="28"/>
          <w:szCs w:val="22"/>
        </w:rPr>
        <w:t xml:space="preserve"> a Delaware </w:t>
      </w:r>
      <w:r w:rsidRPr="00B97629" w:rsidR="00D90B6C">
        <w:rPr>
          <w:snapToGrid w:val="0"/>
          <w:kern w:val="28"/>
          <w:szCs w:val="22"/>
        </w:rPr>
        <w:t>holding company,</w:t>
      </w:r>
      <w:r w:rsidRPr="00B97629">
        <w:rPr>
          <w:snapToGrid w:val="0"/>
          <w:kern w:val="28"/>
          <w:szCs w:val="22"/>
        </w:rPr>
        <w:t xml:space="preserve"> provides</w:t>
      </w:r>
      <w:r w:rsidRPr="00B97629" w:rsidR="0051681C">
        <w:rPr>
          <w:snapToGrid w:val="0"/>
          <w:kern w:val="28"/>
          <w:szCs w:val="22"/>
        </w:rPr>
        <w:t xml:space="preserve"> </w:t>
      </w:r>
      <w:r w:rsidRPr="00B97629" w:rsidR="00B64D59">
        <w:rPr>
          <w:snapToGrid w:val="0"/>
          <w:kern w:val="28"/>
          <w:szCs w:val="22"/>
        </w:rPr>
        <w:t xml:space="preserve">telecommunications </w:t>
      </w:r>
      <w:r w:rsidRPr="00B97629" w:rsidR="0051681C">
        <w:rPr>
          <w:snapToGrid w:val="0"/>
          <w:kern w:val="28"/>
          <w:szCs w:val="22"/>
        </w:rPr>
        <w:t xml:space="preserve">and other </w:t>
      </w:r>
      <w:r w:rsidRPr="00B97629" w:rsidR="00B64D59">
        <w:rPr>
          <w:snapToGrid w:val="0"/>
          <w:kern w:val="28"/>
          <w:szCs w:val="22"/>
        </w:rPr>
        <w:t>services</w:t>
      </w:r>
      <w:r w:rsidRPr="00B97629" w:rsidR="0051681C">
        <w:rPr>
          <w:snapToGrid w:val="0"/>
          <w:kern w:val="28"/>
          <w:szCs w:val="22"/>
        </w:rPr>
        <w:t xml:space="preserve"> through the following U.S.-based subsidiaries</w:t>
      </w:r>
      <w:r w:rsidRPr="00B97629" w:rsidR="00B64D59">
        <w:rPr>
          <w:snapToGrid w:val="0"/>
          <w:kern w:val="28"/>
          <w:szCs w:val="22"/>
        </w:rPr>
        <w:t xml:space="preserve">:  </w:t>
      </w:r>
      <w:r w:rsidR="00F84F1C">
        <w:rPr>
          <w:snapToGrid w:val="0"/>
          <w:kern w:val="28"/>
          <w:szCs w:val="22"/>
        </w:rPr>
        <w:t xml:space="preserve">Climax, an incumbent LEC and competitive LEC in Michigan; </w:t>
      </w:r>
      <w:r w:rsidRPr="00B97629" w:rsidR="00B64D59">
        <w:rPr>
          <w:snapToGrid w:val="0"/>
          <w:kern w:val="28"/>
          <w:szCs w:val="22"/>
        </w:rPr>
        <w:t>CMN</w:t>
      </w:r>
      <w:r w:rsidR="00EA5434">
        <w:rPr>
          <w:snapToGrid w:val="0"/>
          <w:kern w:val="28"/>
          <w:szCs w:val="22"/>
        </w:rPr>
        <w:t>-RUS, Inc.</w:t>
      </w:r>
      <w:r w:rsidRPr="00B97629" w:rsidR="00B64D59">
        <w:rPr>
          <w:snapToGrid w:val="0"/>
          <w:kern w:val="28"/>
          <w:szCs w:val="22"/>
        </w:rPr>
        <w:t>, a competitive LEC and interexchange carrier in Indiana and Kentucky; Jaguar</w:t>
      </w:r>
      <w:r w:rsidR="00EA5434">
        <w:rPr>
          <w:snapToGrid w:val="0"/>
          <w:kern w:val="28"/>
          <w:szCs w:val="22"/>
        </w:rPr>
        <w:t xml:space="preserve"> Communications, Inc.</w:t>
      </w:r>
      <w:r w:rsidRPr="00B97629" w:rsidR="00B64D59">
        <w:rPr>
          <w:snapToGrid w:val="0"/>
          <w:kern w:val="28"/>
          <w:szCs w:val="22"/>
        </w:rPr>
        <w:t xml:space="preserve">, a competitive LEC and interexchange provider </w:t>
      </w:r>
      <w:r w:rsidR="00EA5434">
        <w:rPr>
          <w:snapToGrid w:val="0"/>
          <w:kern w:val="28"/>
          <w:szCs w:val="22"/>
        </w:rPr>
        <w:t xml:space="preserve">in </w:t>
      </w:r>
      <w:r w:rsidRPr="00B97629" w:rsidR="00B64D59">
        <w:rPr>
          <w:snapToGrid w:val="0"/>
          <w:kern w:val="28"/>
          <w:szCs w:val="22"/>
        </w:rPr>
        <w:t>Minnesota;</w:t>
      </w:r>
      <w:r w:rsidRPr="00B97629" w:rsidR="00B427E6">
        <w:rPr>
          <w:rStyle w:val="FootnoteReference"/>
          <w:szCs w:val="22"/>
        </w:rPr>
        <w:t xml:space="preserve"> </w:t>
      </w:r>
      <w:r w:rsidRPr="00B97629" w:rsidR="00B64D59">
        <w:rPr>
          <w:snapToGrid w:val="0"/>
          <w:kern w:val="28"/>
          <w:szCs w:val="22"/>
        </w:rPr>
        <w:t xml:space="preserve">and </w:t>
      </w:r>
      <w:r w:rsidR="00EA5434">
        <w:rPr>
          <w:snapToGrid w:val="0"/>
          <w:kern w:val="28"/>
          <w:szCs w:val="22"/>
        </w:rPr>
        <w:t>Metro FiberNet, LLC (</w:t>
      </w:r>
      <w:r w:rsidRPr="00B97629" w:rsidR="00B64D59">
        <w:rPr>
          <w:snapToGrid w:val="0"/>
          <w:kern w:val="28"/>
          <w:szCs w:val="22"/>
        </w:rPr>
        <w:t>MFN</w:t>
      </w:r>
      <w:r w:rsidR="00EA5434">
        <w:rPr>
          <w:snapToGrid w:val="0"/>
          <w:kern w:val="28"/>
          <w:szCs w:val="22"/>
        </w:rPr>
        <w:t>)</w:t>
      </w:r>
      <w:r w:rsidRPr="00B97629" w:rsidR="00B64D59">
        <w:rPr>
          <w:snapToGrid w:val="0"/>
          <w:kern w:val="28"/>
          <w:szCs w:val="22"/>
        </w:rPr>
        <w:t xml:space="preserve">, a competitive LEC </w:t>
      </w:r>
      <w:r w:rsidRPr="00B97629" w:rsidR="0051681C">
        <w:rPr>
          <w:snapToGrid w:val="0"/>
          <w:kern w:val="28"/>
          <w:szCs w:val="22"/>
        </w:rPr>
        <w:t>and</w:t>
      </w:r>
      <w:r w:rsidRPr="00B97629" w:rsidR="00B64D59">
        <w:rPr>
          <w:snapToGrid w:val="0"/>
          <w:kern w:val="28"/>
          <w:szCs w:val="22"/>
        </w:rPr>
        <w:t xml:space="preserve"> interexchange provider in Florida, Illinois, Indiana, Iowa, Kentucky, Michigan, Minnesota, North Carolina, Wisconsin, and Virginia.</w:t>
      </w:r>
      <w:r w:rsidRPr="00B97629" w:rsidR="00776827">
        <w:rPr>
          <w:snapToGrid w:val="0"/>
          <w:kern w:val="28"/>
          <w:szCs w:val="22"/>
        </w:rPr>
        <w:t xml:space="preserve">  </w:t>
      </w:r>
      <w:r w:rsidRPr="00B97629" w:rsidR="003C2000">
        <w:rPr>
          <w:snapToGrid w:val="0"/>
          <w:kern w:val="28"/>
          <w:szCs w:val="22"/>
        </w:rPr>
        <w:t xml:space="preserve">The following entities hold a 10% or greater interest in Holdings: </w:t>
      </w:r>
      <w:r w:rsidRPr="00B97629" w:rsidR="0051681C">
        <w:rPr>
          <w:snapToGrid w:val="0"/>
          <w:kern w:val="28"/>
          <w:szCs w:val="22"/>
        </w:rPr>
        <w:t xml:space="preserve"> </w:t>
      </w:r>
      <w:r w:rsidRPr="00B97629" w:rsidR="003C2000">
        <w:rPr>
          <w:snapToGrid w:val="0"/>
          <w:kern w:val="28"/>
          <w:szCs w:val="22"/>
        </w:rPr>
        <w:t>the Oak Hill Investors;</w:t>
      </w:r>
      <w:r>
        <w:rPr>
          <w:rStyle w:val="FootnoteReference"/>
          <w:szCs w:val="22"/>
        </w:rPr>
        <w:footnoteReference w:id="5"/>
      </w:r>
      <w:r w:rsidRPr="00B97629" w:rsidR="003C2000">
        <w:rPr>
          <w:snapToGrid w:val="0"/>
          <w:kern w:val="28"/>
          <w:szCs w:val="22"/>
        </w:rPr>
        <w:t xml:space="preserve"> the Cinelli Investors;</w:t>
      </w:r>
      <w:r>
        <w:rPr>
          <w:rStyle w:val="FootnoteReference"/>
          <w:szCs w:val="22"/>
        </w:rPr>
        <w:footnoteReference w:id="6"/>
      </w:r>
      <w:r w:rsidRPr="00B97629" w:rsidR="003C2000">
        <w:rPr>
          <w:snapToGrid w:val="0"/>
          <w:kern w:val="28"/>
          <w:szCs w:val="22"/>
        </w:rPr>
        <w:t xml:space="preserve"> and funds advised and/or managed by indirect subsidiaries of KKR &amp; Co. Inc. (KKR).</w:t>
      </w:r>
      <w:r>
        <w:rPr>
          <w:rStyle w:val="FootnoteReference"/>
          <w:snapToGrid w:val="0"/>
          <w:kern w:val="28"/>
          <w:szCs w:val="22"/>
        </w:rPr>
        <w:footnoteReference w:id="7"/>
      </w:r>
      <w:r w:rsidRPr="00B97629" w:rsidR="003C2000">
        <w:rPr>
          <w:snapToGrid w:val="0"/>
          <w:kern w:val="28"/>
          <w:szCs w:val="22"/>
        </w:rPr>
        <w:t xml:space="preserve"> </w:t>
      </w:r>
      <w:r w:rsidRPr="00B97629" w:rsidR="00C67FE7">
        <w:rPr>
          <w:snapToGrid w:val="0"/>
          <w:kern w:val="28"/>
          <w:szCs w:val="22"/>
        </w:rPr>
        <w:t xml:space="preserve"> </w:t>
      </w:r>
      <w:r w:rsidRPr="00B97629" w:rsidR="00B621AB">
        <w:rPr>
          <w:snapToGrid w:val="0"/>
          <w:kern w:val="28"/>
          <w:szCs w:val="22"/>
        </w:rPr>
        <w:t xml:space="preserve">Applicants state that </w:t>
      </w:r>
      <w:r w:rsidRPr="00B97629" w:rsidR="004A59CA">
        <w:rPr>
          <w:szCs w:val="22"/>
        </w:rPr>
        <w:t xml:space="preserve">the Oak Hill Investors and the Cinelli Investors each </w:t>
      </w:r>
      <w:r w:rsidRPr="00B97629" w:rsidR="00776827">
        <w:rPr>
          <w:szCs w:val="22"/>
        </w:rPr>
        <w:t>hav</w:t>
      </w:r>
      <w:r w:rsidRPr="00B97629" w:rsidR="004A59CA">
        <w:rPr>
          <w:szCs w:val="22"/>
        </w:rPr>
        <w:t>e</w:t>
      </w:r>
      <w:r w:rsidRPr="00B97629" w:rsidR="00776827">
        <w:rPr>
          <w:szCs w:val="22"/>
        </w:rPr>
        <w:t xml:space="preserve"> negative </w:t>
      </w:r>
      <w:r w:rsidRPr="00B97629" w:rsidR="00776827">
        <w:rPr>
          <w:i/>
          <w:iCs/>
          <w:szCs w:val="22"/>
        </w:rPr>
        <w:t xml:space="preserve">de facto </w:t>
      </w:r>
      <w:r w:rsidRPr="00B97629" w:rsidR="00776827">
        <w:rPr>
          <w:szCs w:val="22"/>
        </w:rPr>
        <w:t>control</w:t>
      </w:r>
      <w:r w:rsidR="0063611E">
        <w:rPr>
          <w:szCs w:val="22"/>
        </w:rPr>
        <w:t xml:space="preserve"> of Holdings</w:t>
      </w:r>
      <w:r w:rsidR="00F04342">
        <w:rPr>
          <w:szCs w:val="22"/>
        </w:rPr>
        <w:t>.</w:t>
      </w:r>
      <w:r w:rsidRPr="00F22A55" w:rsidR="00776827">
        <w:rPr>
          <w:szCs w:val="22"/>
        </w:rPr>
        <w:t xml:space="preserve">  </w:t>
      </w:r>
    </w:p>
    <w:p w:rsidR="00AD690B" w:rsidRPr="00AD440B" w:rsidP="00B621AB" w14:paraId="317786B9" w14:textId="49DE8053">
      <w:pPr>
        <w:autoSpaceDE w:val="0"/>
        <w:autoSpaceDN w:val="0"/>
        <w:adjustRightInd w:val="0"/>
        <w:spacing w:after="120"/>
        <w:ind w:firstLine="720"/>
        <w:rPr>
          <w:szCs w:val="22"/>
        </w:rPr>
      </w:pPr>
      <w:r w:rsidRPr="00AD440B">
        <w:rPr>
          <w:snapToGrid w:val="0"/>
          <w:kern w:val="28"/>
          <w:szCs w:val="22"/>
        </w:rPr>
        <w:t xml:space="preserve">Pursuant to the terms the proposed transaction, </w:t>
      </w:r>
      <w:bookmarkStart w:id="11" w:name="_Hlk83807160"/>
      <w:r w:rsidRPr="00AD690B">
        <w:rPr>
          <w:szCs w:val="22"/>
        </w:rPr>
        <w:t xml:space="preserve">MetroNet </w:t>
      </w:r>
      <w:bookmarkEnd w:id="11"/>
      <w:r w:rsidRPr="00AD690B">
        <w:rPr>
          <w:szCs w:val="22"/>
        </w:rPr>
        <w:t xml:space="preserve">will </w:t>
      </w:r>
      <w:r w:rsidR="009C4538">
        <w:rPr>
          <w:szCs w:val="22"/>
        </w:rPr>
        <w:t>purchase certain assets and customers of HOT, including certain customer accounts</w:t>
      </w:r>
      <w:r w:rsidR="0002566C">
        <w:rPr>
          <w:szCs w:val="22"/>
        </w:rPr>
        <w:t xml:space="preserve">, </w:t>
      </w:r>
      <w:r w:rsidR="009C4538">
        <w:rPr>
          <w:szCs w:val="22"/>
        </w:rPr>
        <w:t xml:space="preserve">certain </w:t>
      </w:r>
      <w:r w:rsidR="00F04342">
        <w:rPr>
          <w:szCs w:val="22"/>
        </w:rPr>
        <w:t xml:space="preserve">customer and vendor agreements and contracts, and certain </w:t>
      </w:r>
      <w:r w:rsidR="009C4538">
        <w:rPr>
          <w:szCs w:val="22"/>
        </w:rPr>
        <w:t xml:space="preserve">equipment in and around the Tallahassee, Florida area.  As a result, MetroNet </w:t>
      </w:r>
      <w:r w:rsidR="0054677E">
        <w:rPr>
          <w:szCs w:val="22"/>
        </w:rPr>
        <w:t>and/</w:t>
      </w:r>
      <w:r w:rsidR="009C4538">
        <w:rPr>
          <w:szCs w:val="22"/>
        </w:rPr>
        <w:t xml:space="preserve">or its affiliates will provide </w:t>
      </w:r>
      <w:r w:rsidR="00F04342">
        <w:rPr>
          <w:szCs w:val="22"/>
        </w:rPr>
        <w:t xml:space="preserve">telecommunications </w:t>
      </w:r>
      <w:r w:rsidR="009C4538">
        <w:rPr>
          <w:szCs w:val="22"/>
        </w:rPr>
        <w:t>services to the affected customers.</w:t>
      </w:r>
      <w:r w:rsidR="00F04342">
        <w:rPr>
          <w:szCs w:val="22"/>
        </w:rPr>
        <w:t xml:space="preserve">  </w:t>
      </w:r>
      <w:r w:rsidR="00E94F15">
        <w:rPr>
          <w:szCs w:val="22"/>
        </w:rPr>
        <w:t>After consummation of the proposed transaction, HOT would no longer provide any services.</w:t>
      </w:r>
    </w:p>
    <w:p w:rsidR="00AD440B" w:rsidRPr="00AD440B" w:rsidP="00AD440B" w14:paraId="517846AA" w14:textId="2BB03F7E">
      <w:pPr>
        <w:autoSpaceDE w:val="0"/>
        <w:autoSpaceDN w:val="0"/>
        <w:adjustRightInd w:val="0"/>
        <w:spacing w:after="120"/>
        <w:ind w:firstLine="720"/>
        <w:rPr>
          <w:b/>
          <w:bCs/>
          <w:szCs w:val="22"/>
        </w:rPr>
      </w:pPr>
      <w:r w:rsidRPr="00AD440B">
        <w:rPr>
          <w:bCs/>
          <w:szCs w:val="22"/>
        </w:rPr>
        <w:t xml:space="preserve">Applicants request streamlined treatment of the proposed transaction under the Commission’s rules and assert that a grant of the </w:t>
      </w:r>
      <w:r w:rsidR="00B621AB">
        <w:rPr>
          <w:bCs/>
          <w:szCs w:val="22"/>
        </w:rPr>
        <w:t>A</w:t>
      </w:r>
      <w:r w:rsidRPr="00AD440B">
        <w:rPr>
          <w:bCs/>
          <w:szCs w:val="22"/>
        </w:rPr>
        <w:t>pplication would serve the public interest, convenience, and necessity.</w:t>
      </w:r>
      <w:r>
        <w:rPr>
          <w:rStyle w:val="FootnoteReference"/>
          <w:bCs/>
          <w:szCs w:val="22"/>
        </w:rPr>
        <w:footnoteReference w:id="8"/>
      </w:r>
      <w:r w:rsidRPr="00AD440B">
        <w:rPr>
          <w:bCs/>
          <w:szCs w:val="22"/>
        </w:rPr>
        <w:t xml:space="preserve">  We accept the </w:t>
      </w:r>
      <w:r w:rsidR="00B621AB">
        <w:rPr>
          <w:bCs/>
          <w:szCs w:val="22"/>
        </w:rPr>
        <w:t>A</w:t>
      </w:r>
      <w:r w:rsidRPr="00AD440B">
        <w:rPr>
          <w:bCs/>
          <w:szCs w:val="22"/>
        </w:rPr>
        <w:t xml:space="preserve">pplication for filing under section </w:t>
      </w:r>
      <w:r w:rsidRPr="00B621AB">
        <w:rPr>
          <w:bCs/>
          <w:szCs w:val="22"/>
        </w:rPr>
        <w:t>63.03(b)(2)(i</w:t>
      </w:r>
      <w:r w:rsidRPr="00B621AB" w:rsidR="008C3B0F">
        <w:rPr>
          <w:bCs/>
          <w:szCs w:val="22"/>
        </w:rPr>
        <w:t>i</w:t>
      </w:r>
      <w:r w:rsidRPr="00B621AB">
        <w:rPr>
          <w:bCs/>
          <w:szCs w:val="22"/>
        </w:rPr>
        <w:t>) of</w:t>
      </w:r>
      <w:r w:rsidRPr="00AD440B">
        <w:rPr>
          <w:bCs/>
          <w:szCs w:val="22"/>
        </w:rPr>
        <w:t xml:space="preserve"> the Commission’s rules.</w:t>
      </w:r>
      <w:r>
        <w:rPr>
          <w:bCs/>
          <w:szCs w:val="22"/>
          <w:vertAlign w:val="superscript"/>
        </w:rPr>
        <w:footnoteReference w:id="9"/>
      </w:r>
      <w:r w:rsidRPr="00AD440B">
        <w:rPr>
          <w:bCs/>
          <w:szCs w:val="22"/>
        </w:rPr>
        <w:t xml:space="preserve"> </w:t>
      </w:r>
      <w:r w:rsidRPr="00AD440B">
        <w:rPr>
          <w:b/>
          <w:bCs/>
          <w:szCs w:val="22"/>
        </w:rPr>
        <w:t xml:space="preserve">  </w:t>
      </w:r>
    </w:p>
    <w:p w:rsidR="00AD440B" w:rsidRPr="00AD440B" w:rsidP="00E94F15" w14:paraId="0497600C" w14:textId="279C6D70">
      <w:pPr>
        <w:ind w:left="720"/>
        <w:rPr>
          <w:szCs w:val="22"/>
        </w:rPr>
      </w:pPr>
      <w:r w:rsidRPr="00AD440B">
        <w:rPr>
          <w:szCs w:val="22"/>
        </w:rPr>
        <w:t xml:space="preserve">Domestic Section 214 Application Filed for the </w:t>
      </w:r>
      <w:r w:rsidR="00464B4D">
        <w:rPr>
          <w:szCs w:val="22"/>
        </w:rPr>
        <w:t>Acquisition of Certain Assets</w:t>
      </w:r>
      <w:r w:rsidRPr="002519DF">
        <w:rPr>
          <w:szCs w:val="22"/>
        </w:rPr>
        <w:t xml:space="preserve"> </w:t>
      </w:r>
      <w:r w:rsidRPr="002519DF" w:rsidR="00FF30FF">
        <w:rPr>
          <w:szCs w:val="22"/>
        </w:rPr>
        <w:t>of</w:t>
      </w:r>
      <w:r w:rsidRPr="002519DF">
        <w:rPr>
          <w:szCs w:val="22"/>
        </w:rPr>
        <w:t xml:space="preserve"> </w:t>
      </w:r>
      <w:r w:rsidR="00464B4D">
        <w:rPr>
          <w:szCs w:val="22"/>
        </w:rPr>
        <w:t xml:space="preserve">Hargray </w:t>
      </w:r>
      <w:r w:rsidRPr="002519DF" w:rsidR="00D57FBF">
        <w:rPr>
          <w:szCs w:val="22"/>
        </w:rPr>
        <w:t>of</w:t>
      </w:r>
      <w:r w:rsidR="00464B4D">
        <w:rPr>
          <w:szCs w:val="22"/>
        </w:rPr>
        <w:t xml:space="preserve"> Tallahassee LLC and Low Country Carriers, Inc. d/b/a Hargray Long Distance </w:t>
      </w:r>
      <w:r w:rsidR="00E94F15">
        <w:rPr>
          <w:szCs w:val="22"/>
        </w:rPr>
        <w:t xml:space="preserve">by MetroNet Systems, LLC, </w:t>
      </w:r>
      <w:r w:rsidRPr="00AD440B">
        <w:rPr>
          <w:szCs w:val="22"/>
        </w:rPr>
        <w:t>WC Docket No. 21-</w:t>
      </w:r>
      <w:r w:rsidR="00464B4D">
        <w:rPr>
          <w:szCs w:val="22"/>
        </w:rPr>
        <w:t>504</w:t>
      </w:r>
      <w:r w:rsidRPr="00AD440B">
        <w:rPr>
          <w:szCs w:val="22"/>
        </w:rPr>
        <w:t xml:space="preserve"> (filed </w:t>
      </w:r>
      <w:r w:rsidR="00464B4D">
        <w:rPr>
          <w:szCs w:val="22"/>
        </w:rPr>
        <w:t>Dec</w:t>
      </w:r>
      <w:r w:rsidRPr="00AD440B">
        <w:rPr>
          <w:szCs w:val="22"/>
        </w:rPr>
        <w:t>. 2</w:t>
      </w:r>
      <w:r w:rsidR="00464B4D">
        <w:rPr>
          <w:szCs w:val="22"/>
        </w:rPr>
        <w:t>3</w:t>
      </w:r>
      <w:r w:rsidRPr="00AD440B">
        <w:rPr>
          <w:szCs w:val="22"/>
        </w:rPr>
        <w:t>, 2021).</w:t>
      </w:r>
    </w:p>
    <w:p w:rsidR="00AD440B" w:rsidRPr="00AD440B" w:rsidP="00AD440B" w14:paraId="3E4C562B" w14:textId="77777777">
      <w:pPr>
        <w:widowControl w:val="0"/>
        <w:rPr>
          <w:snapToGrid w:val="0"/>
          <w:kern w:val="28"/>
          <w:szCs w:val="22"/>
        </w:rPr>
      </w:pPr>
    </w:p>
    <w:p w:rsidR="00AD440B" w:rsidRPr="00AD440B" w:rsidP="00AD440B" w14:paraId="1192971A" w14:textId="77777777">
      <w:pPr>
        <w:autoSpaceDE w:val="0"/>
        <w:autoSpaceDN w:val="0"/>
        <w:adjustRightInd w:val="0"/>
        <w:rPr>
          <w:szCs w:val="22"/>
        </w:rPr>
      </w:pPr>
      <w:r w:rsidRPr="00AD440B">
        <w:rPr>
          <w:b/>
          <w:szCs w:val="22"/>
          <w:u w:val="single"/>
        </w:rPr>
        <w:t>GENERAL INFORMATION</w:t>
      </w:r>
    </w:p>
    <w:p w:rsidR="00AD440B" w:rsidRPr="00AD440B" w:rsidP="00AD440B" w14:paraId="3FBB6E01" w14:textId="77777777">
      <w:pPr>
        <w:autoSpaceDE w:val="0"/>
        <w:autoSpaceDN w:val="0"/>
        <w:adjustRightInd w:val="0"/>
        <w:rPr>
          <w:szCs w:val="22"/>
        </w:rPr>
      </w:pPr>
    </w:p>
    <w:p w:rsidR="00AD440B" w:rsidRPr="00AD440B" w:rsidP="00AD440B" w14:paraId="1477E0A0" w14:textId="6BEC1327">
      <w:pPr>
        <w:autoSpaceDE w:val="0"/>
        <w:autoSpaceDN w:val="0"/>
        <w:adjustRightInd w:val="0"/>
        <w:spacing w:after="120"/>
        <w:ind w:firstLine="720"/>
        <w:rPr>
          <w:szCs w:val="22"/>
        </w:rPr>
      </w:pPr>
      <w:r w:rsidRPr="00AD440B">
        <w:rPr>
          <w:szCs w:val="22"/>
        </w:rPr>
        <w:t xml:space="preserve">The transfer of </w:t>
      </w:r>
      <w:r w:rsidR="00464B4D">
        <w:rPr>
          <w:szCs w:val="22"/>
        </w:rPr>
        <w:t xml:space="preserve">assets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464B4D">
        <w:rPr>
          <w:b/>
          <w:szCs w:val="22"/>
        </w:rPr>
        <w:t>January</w:t>
      </w:r>
      <w:r w:rsidRPr="00AD440B">
        <w:rPr>
          <w:b/>
          <w:szCs w:val="22"/>
        </w:rPr>
        <w:t xml:space="preserve"> </w:t>
      </w:r>
      <w:r w:rsidR="008A2C82">
        <w:rPr>
          <w:b/>
          <w:szCs w:val="22"/>
        </w:rPr>
        <w:t>26</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0E4938">
        <w:rPr>
          <w:b/>
          <w:szCs w:val="22"/>
        </w:rPr>
        <w:t>Febr</w:t>
      </w:r>
      <w:r w:rsidR="00464B4D">
        <w:rPr>
          <w:b/>
          <w:szCs w:val="22"/>
        </w:rPr>
        <w:t>uary</w:t>
      </w:r>
      <w:r w:rsidRPr="00AD440B">
        <w:rPr>
          <w:b/>
          <w:szCs w:val="22"/>
        </w:rPr>
        <w:t xml:space="preserve"> </w:t>
      </w:r>
      <w:r w:rsidR="000E4938">
        <w:rPr>
          <w:b/>
          <w:szCs w:val="22"/>
        </w:rPr>
        <w:t>2</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55F11FC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1E5E1F31"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D440B" w:rsidRPr="00AD440B" w:rsidP="00AD440B" w14:paraId="1BDF7039" w14:textId="346B4D6B">
      <w:pPr>
        <w:widowControl w:val="0"/>
        <w:numPr>
          <w:ilvl w:val="0"/>
          <w:numId w:val="18"/>
        </w:numPr>
        <w:autoSpaceDE w:val="0"/>
        <w:autoSpaceDN w:val="0"/>
        <w:adjustRightInd w:val="0"/>
        <w:spacing w:after="120"/>
        <w:rPr>
          <w:szCs w:val="22"/>
        </w:rPr>
      </w:pPr>
      <w:r>
        <w:rPr>
          <w:szCs w:val="22"/>
        </w:rPr>
        <w:t>Tracey Wilson</w:t>
      </w:r>
      <w:r w:rsidRPr="00AD440B" w:rsidR="0029098D">
        <w:rPr>
          <w:szCs w:val="22"/>
        </w:rPr>
        <w:t xml:space="preserve">, Competition Policy Division, Wireline Competition Bureau,  </w:t>
      </w:r>
      <w:hyperlink r:id="rId8" w:history="1">
        <w:r w:rsidRPr="00C42D1B" w:rsidR="00601476">
          <w:rPr>
            <w:rStyle w:val="Hyperlink"/>
            <w:szCs w:val="22"/>
          </w:rPr>
          <w:t>tracey.wilson@fcc.gov</w:t>
        </w:r>
      </w:hyperlink>
      <w:r w:rsidRPr="00AD440B" w:rsidR="0029098D">
        <w:rPr>
          <w:szCs w:val="22"/>
        </w:rPr>
        <w:t>;</w:t>
      </w:r>
    </w:p>
    <w:p w:rsidR="00AD440B" w:rsidRPr="00AD440B" w:rsidP="00AD440B" w14:paraId="65E0F0E1" w14:textId="77777777">
      <w:pPr>
        <w:widowControl w:val="0"/>
        <w:numPr>
          <w:ilvl w:val="0"/>
          <w:numId w:val="18"/>
        </w:numPr>
        <w:autoSpaceDE w:val="0"/>
        <w:autoSpaceDN w:val="0"/>
        <w:adjustRightInd w:val="0"/>
        <w:spacing w:after="120"/>
        <w:rPr>
          <w:szCs w:val="22"/>
        </w:rPr>
      </w:pPr>
      <w:r>
        <w:rPr>
          <w:szCs w:val="22"/>
        </w:rPr>
        <w:t>Dennis Johnson</w:t>
      </w:r>
      <w:r w:rsidRPr="00AD440B">
        <w:rPr>
          <w:szCs w:val="22"/>
        </w:rPr>
        <w:t xml:space="preserve">, Competition Policy Division, Wireline Competition Bureau, </w:t>
      </w:r>
      <w:hyperlink r:id="rId9" w:history="1">
        <w:r w:rsidRPr="00D74088" w:rsidR="00CB56E5">
          <w:rPr>
            <w:rStyle w:val="Hyperlink"/>
            <w:szCs w:val="22"/>
          </w:rPr>
          <w:t>dennis.johnson@fcc.gov</w:t>
        </w:r>
      </w:hyperlink>
      <w:r w:rsidRPr="00AD440B">
        <w:rPr>
          <w:szCs w:val="22"/>
        </w:rPr>
        <w:t xml:space="preserve">; </w:t>
      </w:r>
    </w:p>
    <w:p w:rsidR="00AD440B" w:rsidRPr="00AD440B" w:rsidP="00AD440B" w14:paraId="0185CE18" w14:textId="77777777">
      <w:pPr>
        <w:widowControl w:val="0"/>
        <w:numPr>
          <w:ilvl w:val="0"/>
          <w:numId w:val="18"/>
        </w:numPr>
        <w:autoSpaceDE w:val="0"/>
        <w:autoSpaceDN w:val="0"/>
        <w:adjustRightInd w:val="0"/>
        <w:spacing w:after="120"/>
        <w:rPr>
          <w:szCs w:val="22"/>
        </w:rPr>
      </w:pPr>
      <w:r w:rsidRPr="00AD440B">
        <w:rPr>
          <w:szCs w:val="22"/>
        </w:rPr>
        <w:t xml:space="preserve">David Krech, Telecommunications and Analysis Division, International Bureau, </w:t>
      </w:r>
      <w:hyperlink r:id="rId10" w:history="1">
        <w:r w:rsidRPr="00AD440B">
          <w:rPr>
            <w:color w:val="0000FF"/>
            <w:szCs w:val="22"/>
            <w:u w:val="single"/>
          </w:rPr>
          <w:t>david.krech@fcc.gov</w:t>
        </w:r>
      </w:hyperlink>
      <w:r w:rsidRPr="00AD440B">
        <w:rPr>
          <w:szCs w:val="22"/>
        </w:rPr>
        <w:t>; and</w:t>
      </w:r>
    </w:p>
    <w:p w:rsidR="00AD440B" w:rsidRPr="00AD440B" w:rsidP="00AD440B" w14:paraId="054026D8" w14:textId="77777777">
      <w:pPr>
        <w:widowControl w:val="0"/>
        <w:numPr>
          <w:ilvl w:val="0"/>
          <w:numId w:val="18"/>
        </w:numPr>
        <w:autoSpaceDE w:val="0"/>
        <w:autoSpaceDN w:val="0"/>
        <w:adjustRightInd w:val="0"/>
        <w:spacing w:after="120"/>
        <w:rPr>
          <w:szCs w:val="22"/>
        </w:rPr>
      </w:pPr>
      <w:r w:rsidRPr="00AD440B">
        <w:rPr>
          <w:szCs w:val="22"/>
        </w:rPr>
        <w:t xml:space="preserve">Jim Bird, Office of General Counsel, </w:t>
      </w:r>
      <w:hyperlink r:id="rId11" w:history="1">
        <w:r w:rsidRPr="00AD440B">
          <w:rPr>
            <w:color w:val="0000FF"/>
            <w:szCs w:val="22"/>
            <w:u w:val="single"/>
          </w:rPr>
          <w:t>jim.bird@fcc.gov</w:t>
        </w:r>
      </w:hyperlink>
      <w:r w:rsidRPr="00AD440B">
        <w:rPr>
          <w:szCs w:val="22"/>
        </w:rPr>
        <w:t>.</w:t>
      </w:r>
    </w:p>
    <w:p w:rsidR="00AD440B" w:rsidRPr="00AD440B" w:rsidP="00AD440B" w14:paraId="091EE1D3"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2"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0CA00DB"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08F714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79FAC5FC" w14:textId="163B70E0">
      <w:pPr>
        <w:autoSpaceDE w:val="0"/>
        <w:autoSpaceDN w:val="0"/>
        <w:adjustRightInd w:val="0"/>
        <w:spacing w:after="120"/>
        <w:ind w:firstLine="720"/>
        <w:rPr>
          <w:szCs w:val="22"/>
        </w:rPr>
      </w:pPr>
      <w:r w:rsidRPr="00AD440B">
        <w:rPr>
          <w:szCs w:val="22"/>
        </w:rPr>
        <w:t xml:space="preserve">For further information, please contact </w:t>
      </w:r>
      <w:r w:rsidR="00601476">
        <w:rPr>
          <w:szCs w:val="22"/>
        </w:rPr>
        <w:t>Tracey Wilson</w:t>
      </w:r>
      <w:r w:rsidRPr="00AD440B">
        <w:rPr>
          <w:szCs w:val="22"/>
        </w:rPr>
        <w:t xml:space="preserve"> at (202) 418-1</w:t>
      </w:r>
      <w:r w:rsidR="00601476">
        <w:rPr>
          <w:szCs w:val="22"/>
        </w:rPr>
        <w:t>394</w:t>
      </w:r>
      <w:r w:rsidRPr="00AD440B">
        <w:rPr>
          <w:szCs w:val="22"/>
        </w:rPr>
        <w:t xml:space="preserve"> or </w:t>
      </w:r>
      <w:r w:rsidR="00190745">
        <w:rPr>
          <w:szCs w:val="22"/>
        </w:rPr>
        <w:t>Dennis Johnson</w:t>
      </w:r>
      <w:r w:rsidRPr="00AD440B">
        <w:rPr>
          <w:szCs w:val="22"/>
        </w:rPr>
        <w:t xml:space="preserve"> at (202) 418-</w:t>
      </w:r>
      <w:r w:rsidR="00190745">
        <w:rPr>
          <w:szCs w:val="22"/>
        </w:rPr>
        <w:t>0809</w:t>
      </w:r>
      <w:r w:rsidRPr="00AD440B">
        <w:rPr>
          <w:szCs w:val="22"/>
        </w:rPr>
        <w:t>.</w:t>
      </w:r>
    </w:p>
    <w:p w:rsidR="00AD440B" w:rsidRPr="00AD440B" w:rsidP="00AD440B" w14:paraId="248A4DB5" w14:textId="77777777">
      <w:pPr>
        <w:autoSpaceDE w:val="0"/>
        <w:autoSpaceDN w:val="0"/>
        <w:adjustRightInd w:val="0"/>
        <w:rPr>
          <w:szCs w:val="22"/>
        </w:rPr>
      </w:pPr>
    </w:p>
    <w:p w:rsidR="00E7033D" w:rsidRPr="00AD440B" w:rsidP="00AD440B" w14:paraId="68D3E7A7" w14:textId="77777777">
      <w:pPr>
        <w:autoSpaceDE w:val="0"/>
        <w:autoSpaceDN w:val="0"/>
        <w:adjustRightInd w:val="0"/>
        <w:jc w:val="center"/>
        <w:rPr>
          <w:color w:val="000000"/>
          <w:szCs w:val="22"/>
        </w:rPr>
      </w:pPr>
      <w:r w:rsidRPr="00AD440B">
        <w:rPr>
          <w:b/>
          <w:szCs w:val="22"/>
        </w:rPr>
        <w:t>FCC</w:t>
      </w:r>
      <w:bookmarkEnd w:id="1"/>
      <w:bookmarkEnd w:id="2"/>
    </w:p>
    <w:p w:rsidR="00524D79" w14:paraId="246AD5C6"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24667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1FC8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E2D0F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31B9D3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DA1095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75EF4D47" w14:textId="77777777"/>
  <w:p w:rsidR="005D4020" w14:paraId="787489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08F3" w14:paraId="75AD10D7" w14:textId="77777777">
      <w:r>
        <w:separator/>
      </w:r>
    </w:p>
  </w:footnote>
  <w:footnote w:type="continuationSeparator" w:id="1">
    <w:p w:rsidR="003D08F3" w14:paraId="464EC113" w14:textId="77777777">
      <w:r>
        <w:continuationSeparator/>
      </w:r>
    </w:p>
  </w:footnote>
  <w:footnote w:type="continuationNotice" w:id="2">
    <w:p w:rsidR="003D08F3" w14:paraId="1914BACC" w14:textId="77777777"/>
  </w:footnote>
  <w:footnote w:id="3">
    <w:p w:rsidR="00AD440B" w:rsidRPr="00E64254" w:rsidP="00AD440B" w14:paraId="31F4B36D" w14:textId="765DFE99">
      <w:pPr>
        <w:spacing w:after="120"/>
        <w:rPr>
          <w:bCs/>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U.S.C. § 214; 47 CFR §§ 63.03-04.</w:t>
      </w:r>
      <w:r w:rsidR="00E1390B">
        <w:rPr>
          <w:sz w:val="20"/>
        </w:rPr>
        <w:t xml:space="preserve">  </w:t>
      </w:r>
      <w:r w:rsidR="00840199">
        <w:rPr>
          <w:sz w:val="20"/>
        </w:rPr>
        <w:t>Joint Application for Authority</w:t>
      </w:r>
      <w:r w:rsidR="00B07DCE">
        <w:rPr>
          <w:sz w:val="20"/>
        </w:rPr>
        <w:t xml:space="preserve"> to Assign Assets</w:t>
      </w:r>
      <w:r w:rsidR="00840199">
        <w:rPr>
          <w:sz w:val="20"/>
        </w:rPr>
        <w:t xml:space="preserve"> </w:t>
      </w:r>
      <w:r w:rsidR="00B07DCE">
        <w:rPr>
          <w:sz w:val="20"/>
        </w:rPr>
        <w:t xml:space="preserve">of Hargray of Tallahassee, LLC and Low Country Carriers, Inc. </w:t>
      </w:r>
      <w:r w:rsidR="00E94F15">
        <w:rPr>
          <w:sz w:val="20"/>
        </w:rPr>
        <w:t>d</w:t>
      </w:r>
      <w:r w:rsidR="00B07DCE">
        <w:rPr>
          <w:sz w:val="20"/>
        </w:rPr>
        <w:t>/</w:t>
      </w:r>
      <w:r w:rsidR="00E94F15">
        <w:rPr>
          <w:sz w:val="20"/>
        </w:rPr>
        <w:t>b</w:t>
      </w:r>
      <w:r w:rsidR="00B07DCE">
        <w:rPr>
          <w:sz w:val="20"/>
        </w:rPr>
        <w:t>/</w:t>
      </w:r>
      <w:r w:rsidR="00E94F15">
        <w:rPr>
          <w:sz w:val="20"/>
        </w:rPr>
        <w:t>a</w:t>
      </w:r>
      <w:r w:rsidR="00B07DCE">
        <w:rPr>
          <w:sz w:val="20"/>
        </w:rPr>
        <w:t xml:space="preserve"> Hargray Long Distance</w:t>
      </w:r>
      <w:r w:rsidR="00840199">
        <w:rPr>
          <w:sz w:val="20"/>
        </w:rPr>
        <w:t xml:space="preserve"> </w:t>
      </w:r>
      <w:r w:rsidR="00B07DCE">
        <w:rPr>
          <w:sz w:val="20"/>
        </w:rPr>
        <w:t>to</w:t>
      </w:r>
      <w:r w:rsidR="00840199">
        <w:rPr>
          <w:sz w:val="20"/>
        </w:rPr>
        <w:t xml:space="preserve"> </w:t>
      </w:r>
      <w:r w:rsidR="00B07DCE">
        <w:rPr>
          <w:sz w:val="20"/>
        </w:rPr>
        <w:t>MetroNet Systems</w:t>
      </w:r>
      <w:r w:rsidR="00840199">
        <w:rPr>
          <w:sz w:val="20"/>
        </w:rPr>
        <w:t>, LLC, WC Docket No. 21-</w:t>
      </w:r>
      <w:r w:rsidR="00B07DCE">
        <w:rPr>
          <w:sz w:val="20"/>
        </w:rPr>
        <w:t>504</w:t>
      </w:r>
      <w:r w:rsidR="00840199">
        <w:rPr>
          <w:sz w:val="20"/>
        </w:rPr>
        <w:t xml:space="preserve"> (filed </w:t>
      </w:r>
      <w:r w:rsidR="0004648D">
        <w:rPr>
          <w:sz w:val="20"/>
        </w:rPr>
        <w:t>Dec</w:t>
      </w:r>
      <w:r w:rsidR="00840199">
        <w:rPr>
          <w:sz w:val="20"/>
        </w:rPr>
        <w:t>. 2</w:t>
      </w:r>
      <w:r w:rsidR="0004648D">
        <w:rPr>
          <w:sz w:val="20"/>
        </w:rPr>
        <w:t>3</w:t>
      </w:r>
      <w:r w:rsidR="00840199">
        <w:rPr>
          <w:sz w:val="20"/>
        </w:rPr>
        <w:t xml:space="preserve">, 2021) (Application).  </w:t>
      </w:r>
      <w:r w:rsidR="00253AB2">
        <w:rPr>
          <w:sz w:val="20"/>
        </w:rPr>
        <w:t xml:space="preserve">Applicants filed a supplement to their application on January 10, 2022.  </w:t>
      </w:r>
      <w:r w:rsidR="004435EE">
        <w:rPr>
          <w:sz w:val="20"/>
        </w:rPr>
        <w:t>Letter from Nancy J. Victory to Marlene H. Dortch, Secretary, Federal Communications Commission, WC Docket No. 21-504 (filed Jan. 10, 2022)</w:t>
      </w:r>
      <w:r w:rsidR="00965889">
        <w:rPr>
          <w:sz w:val="20"/>
        </w:rPr>
        <w:t xml:space="preserve"> (Supplement Letter)</w:t>
      </w:r>
      <w:r w:rsidR="004435EE">
        <w:rPr>
          <w:sz w:val="20"/>
        </w:rPr>
        <w:t xml:space="preserve">.  </w:t>
      </w:r>
      <w:r w:rsidRPr="00E1390B" w:rsidR="00E1390B">
        <w:rPr>
          <w:sz w:val="20"/>
        </w:rPr>
        <w:t xml:space="preserve">Applicants also filed applications for the transfer of authorizations </w:t>
      </w:r>
      <w:r w:rsidRPr="00E64254" w:rsidR="00E1390B">
        <w:rPr>
          <w:sz w:val="20"/>
        </w:rPr>
        <w:t xml:space="preserve">associated with international services.  </w:t>
      </w:r>
      <w:r w:rsidRPr="00E64254">
        <w:rPr>
          <w:sz w:val="20"/>
        </w:rPr>
        <w:t>Any action on this domestic section 214 application is without prejudice to Commission action on other related, pending applications</w:t>
      </w:r>
      <w:r w:rsidRPr="00E64254">
        <w:rPr>
          <w:bCs/>
          <w:sz w:val="20"/>
        </w:rPr>
        <w:t>.</w:t>
      </w:r>
    </w:p>
  </w:footnote>
  <w:footnote w:id="4">
    <w:p w:rsidR="0042593D" w:rsidRPr="0054677E" w:rsidP="008A2C82" w14:paraId="29387D15" w14:textId="6936F889">
      <w:pPr>
        <w:pStyle w:val="FootnoteText"/>
        <w:spacing w:after="120"/>
        <w:rPr>
          <w:sz w:val="20"/>
        </w:rPr>
      </w:pPr>
      <w:r>
        <w:rPr>
          <w:rStyle w:val="FootnoteReference"/>
        </w:rPr>
        <w:footnoteRef/>
      </w:r>
      <w:r>
        <w:t xml:space="preserve"> </w:t>
      </w:r>
      <w:r w:rsidRPr="0054677E">
        <w:rPr>
          <w:sz w:val="20"/>
        </w:rPr>
        <w:t>On December 20, 2021, the Bureau granted the domestic section 214 applica</w:t>
      </w:r>
      <w:r w:rsidRPr="0054677E" w:rsidR="0054677E">
        <w:rPr>
          <w:sz w:val="20"/>
        </w:rPr>
        <w:t>t</w:t>
      </w:r>
      <w:r w:rsidRPr="0054677E">
        <w:rPr>
          <w:sz w:val="20"/>
        </w:rPr>
        <w:t>ion to transfer control of HOF</w:t>
      </w:r>
      <w:r w:rsidR="0054677E">
        <w:rPr>
          <w:sz w:val="20"/>
        </w:rPr>
        <w:t>, a subsidiary of Cable One,</w:t>
      </w:r>
      <w:r w:rsidRPr="0054677E">
        <w:rPr>
          <w:sz w:val="20"/>
        </w:rPr>
        <w:t xml:space="preserve"> to NewCo, a joint venture between Cable One </w:t>
      </w:r>
      <w:r w:rsidRPr="0054677E" w:rsidR="0054677E">
        <w:rPr>
          <w:sz w:val="20"/>
        </w:rPr>
        <w:t xml:space="preserve">and certain investors.  </w:t>
      </w:r>
      <w:r w:rsidRPr="0054677E" w:rsidR="0054677E">
        <w:rPr>
          <w:i/>
          <w:iCs/>
          <w:sz w:val="20"/>
        </w:rPr>
        <w:t>Notice of Domestic Section 214 Authorization Granted</w:t>
      </w:r>
      <w:r w:rsidRPr="0054677E" w:rsidR="0054677E">
        <w:rPr>
          <w:sz w:val="20"/>
        </w:rPr>
        <w:t>, WC Docket No. 21-431, Public Notice, DA 21-1608 (WCB 2021).</w:t>
      </w:r>
    </w:p>
  </w:footnote>
  <w:footnote w:id="5">
    <w:p w:rsidR="006619A7" w:rsidRPr="0054677E" w:rsidP="00F04342" w14:paraId="380D5774" w14:textId="4B5CCABD">
      <w:pPr>
        <w:pStyle w:val="FootnoteText"/>
        <w:spacing w:after="120"/>
        <w:rPr>
          <w:sz w:val="20"/>
        </w:rPr>
      </w:pPr>
      <w:r>
        <w:rPr>
          <w:rStyle w:val="FootnoteReference"/>
        </w:rPr>
        <w:footnoteRef/>
      </w:r>
      <w:r>
        <w:t xml:space="preserve"> </w:t>
      </w:r>
      <w:bookmarkStart w:id="6" w:name="_Hlk92458306"/>
      <w:r w:rsidR="008A2C82">
        <w:t xml:space="preserve">The </w:t>
      </w:r>
      <w:r w:rsidRPr="00840199" w:rsidR="00840199">
        <w:rPr>
          <w:sz w:val="20"/>
        </w:rPr>
        <w:t xml:space="preserve">Application at </w:t>
      </w:r>
      <w:r w:rsidR="00B13AC2">
        <w:rPr>
          <w:sz w:val="20"/>
        </w:rPr>
        <w:t>7-1</w:t>
      </w:r>
      <w:r w:rsidR="008F67DB">
        <w:rPr>
          <w:sz w:val="20"/>
        </w:rPr>
        <w:t>2</w:t>
      </w:r>
      <w:r w:rsidR="00965889">
        <w:rPr>
          <w:sz w:val="20"/>
        </w:rPr>
        <w:t xml:space="preserve"> </w:t>
      </w:r>
      <w:bookmarkStart w:id="7" w:name="_Hlk92802077"/>
      <w:r w:rsidR="00965889">
        <w:rPr>
          <w:sz w:val="20"/>
        </w:rPr>
        <w:t>and Supplement Letter</w:t>
      </w:r>
      <w:r w:rsidR="00F04342">
        <w:rPr>
          <w:sz w:val="20"/>
        </w:rPr>
        <w:t xml:space="preserve"> at</w:t>
      </w:r>
      <w:r w:rsidR="00B13AC2">
        <w:rPr>
          <w:sz w:val="20"/>
        </w:rPr>
        <w:t xml:space="preserve"> </w:t>
      </w:r>
      <w:r w:rsidRPr="00840199" w:rsidR="00840199">
        <w:rPr>
          <w:sz w:val="20"/>
        </w:rPr>
        <w:t>E</w:t>
      </w:r>
      <w:r w:rsidR="00253AB2">
        <w:rPr>
          <w:sz w:val="20"/>
        </w:rPr>
        <w:t>x.</w:t>
      </w:r>
      <w:r w:rsidRPr="00840199" w:rsidR="00840199">
        <w:rPr>
          <w:sz w:val="20"/>
        </w:rPr>
        <w:t xml:space="preserve"> </w:t>
      </w:r>
      <w:r w:rsidR="00B13AC2">
        <w:rPr>
          <w:sz w:val="20"/>
        </w:rPr>
        <w:t>A</w:t>
      </w:r>
      <w:r w:rsidR="00AA04BA">
        <w:rPr>
          <w:sz w:val="20"/>
        </w:rPr>
        <w:t xml:space="preserve"> </w:t>
      </w:r>
      <w:r w:rsidR="00965889">
        <w:rPr>
          <w:sz w:val="20"/>
        </w:rPr>
        <w:t xml:space="preserve">(Post-Transaction Ownership of MetroNet Systems, LLC) </w:t>
      </w:r>
      <w:r w:rsidR="00AA04BA">
        <w:rPr>
          <w:sz w:val="20"/>
        </w:rPr>
        <w:t xml:space="preserve">at </w:t>
      </w:r>
      <w:r w:rsidR="00F03FBE">
        <w:rPr>
          <w:sz w:val="20"/>
        </w:rPr>
        <w:t>2-3</w:t>
      </w:r>
      <w:bookmarkEnd w:id="7"/>
      <w:r w:rsidR="00F04342">
        <w:rPr>
          <w:sz w:val="20"/>
        </w:rPr>
        <w:t xml:space="preserve"> </w:t>
      </w:r>
      <w:bookmarkStart w:id="8" w:name="_Hlk92802789"/>
      <w:r w:rsidRPr="00840199" w:rsidR="00840199">
        <w:rPr>
          <w:sz w:val="20"/>
        </w:rPr>
        <w:t xml:space="preserve">describes in detail the post-transaction ownership of </w:t>
      </w:r>
      <w:bookmarkEnd w:id="8"/>
      <w:r w:rsidR="00EA5089">
        <w:rPr>
          <w:sz w:val="20"/>
        </w:rPr>
        <w:t>the Oak Hill Investors</w:t>
      </w:r>
      <w:r w:rsidR="00B13AC2">
        <w:rPr>
          <w:sz w:val="20"/>
        </w:rPr>
        <w:t xml:space="preserve"> and </w:t>
      </w:r>
      <w:r w:rsidR="00F04342">
        <w:rPr>
          <w:sz w:val="20"/>
        </w:rPr>
        <w:t>MetroNet</w:t>
      </w:r>
      <w:r w:rsidRPr="00840199" w:rsidR="00840199">
        <w:rPr>
          <w:sz w:val="20"/>
        </w:rPr>
        <w:t>.</w:t>
      </w:r>
      <w:r w:rsidR="00840199">
        <w:t xml:space="preserve">  </w:t>
      </w:r>
      <w:bookmarkEnd w:id="6"/>
      <w:r w:rsidR="00F04342">
        <w:t xml:space="preserve">The </w:t>
      </w:r>
      <w:r w:rsidRPr="005C342C" w:rsidR="00F149F6">
        <w:rPr>
          <w:sz w:val="20"/>
        </w:rPr>
        <w:t xml:space="preserve">Oak Hill </w:t>
      </w:r>
      <w:r w:rsidR="00F149F6">
        <w:rPr>
          <w:sz w:val="20"/>
        </w:rPr>
        <w:t xml:space="preserve">Investors </w:t>
      </w:r>
      <w:r w:rsidR="00226656">
        <w:rPr>
          <w:sz w:val="20"/>
        </w:rPr>
        <w:t xml:space="preserve">are affiliated with Oak Hill Capital Management and </w:t>
      </w:r>
      <w:r w:rsidR="00DE74F2">
        <w:rPr>
          <w:sz w:val="20"/>
        </w:rPr>
        <w:t>i</w:t>
      </w:r>
      <w:r w:rsidR="00226656">
        <w:rPr>
          <w:sz w:val="20"/>
        </w:rPr>
        <w:t xml:space="preserve">nclude OHCP MGP V, Ltd. </w:t>
      </w:r>
      <w:r w:rsidR="008177D0">
        <w:rPr>
          <w:sz w:val="20"/>
        </w:rPr>
        <w:t>(</w:t>
      </w:r>
      <w:r w:rsidR="001B2FBB">
        <w:rPr>
          <w:sz w:val="20"/>
        </w:rPr>
        <w:t xml:space="preserve">OHCP </w:t>
      </w:r>
      <w:r w:rsidR="008177D0">
        <w:rPr>
          <w:sz w:val="20"/>
        </w:rPr>
        <w:t xml:space="preserve">MGP V) </w:t>
      </w:r>
      <w:r w:rsidR="00B26819">
        <w:rPr>
          <w:sz w:val="20"/>
        </w:rPr>
        <w:t>a</w:t>
      </w:r>
      <w:r w:rsidR="00226656">
        <w:rPr>
          <w:sz w:val="20"/>
        </w:rPr>
        <w:t xml:space="preserve">nd certain funds and entities that it controls and </w:t>
      </w:r>
      <w:bookmarkStart w:id="9" w:name="_Hlk85031080"/>
      <w:r w:rsidR="00226656">
        <w:rPr>
          <w:sz w:val="20"/>
        </w:rPr>
        <w:t xml:space="preserve">OHCP GenPar Super HoldCo GP, Ltd. </w:t>
      </w:r>
      <w:bookmarkEnd w:id="9"/>
      <w:r w:rsidR="00B26819">
        <w:rPr>
          <w:sz w:val="20"/>
        </w:rPr>
        <w:t>a</w:t>
      </w:r>
      <w:r w:rsidR="00226656">
        <w:rPr>
          <w:sz w:val="20"/>
        </w:rPr>
        <w:t>nd certain funds an</w:t>
      </w:r>
      <w:r w:rsidR="00B26819">
        <w:rPr>
          <w:sz w:val="20"/>
        </w:rPr>
        <w:t>d</w:t>
      </w:r>
      <w:r w:rsidR="00226656">
        <w:rPr>
          <w:sz w:val="20"/>
        </w:rPr>
        <w:t xml:space="preserve"> entities that it controls.  </w:t>
      </w:r>
      <w:r w:rsidR="00B26819">
        <w:rPr>
          <w:sz w:val="20"/>
        </w:rPr>
        <w:t xml:space="preserve">Oak Hill Capital Management, a private equity fund, is based in the U.S. but whose funds are organized in the Cayman Islands.  Control of these funds ultimately rests in U.S. entities or citizens.  </w:t>
      </w:r>
      <w:r w:rsidR="001B2FBB">
        <w:rPr>
          <w:sz w:val="20"/>
        </w:rPr>
        <w:t>OHCP MGP V</w:t>
      </w:r>
      <w:r w:rsidR="003F398A">
        <w:rPr>
          <w:sz w:val="20"/>
        </w:rPr>
        <w:t>, a Cayman Islands entity,</w:t>
      </w:r>
      <w:r w:rsidR="001B2FBB">
        <w:rPr>
          <w:sz w:val="20"/>
        </w:rPr>
        <w:t xml:space="preserve"> is the ultimate general partner of certain </w:t>
      </w:r>
      <w:r w:rsidR="00B26819">
        <w:rPr>
          <w:sz w:val="20"/>
        </w:rPr>
        <w:t>Oak Hill Investors</w:t>
      </w:r>
      <w:r w:rsidR="001B2FBB">
        <w:rPr>
          <w:sz w:val="20"/>
        </w:rPr>
        <w:t xml:space="preserve">.  </w:t>
      </w:r>
      <w:r w:rsidR="00EA37A1">
        <w:rPr>
          <w:sz w:val="20"/>
        </w:rPr>
        <w:t xml:space="preserve">OHCP </w:t>
      </w:r>
      <w:r w:rsidRPr="00DE74F2" w:rsidR="00EA37A1">
        <w:rPr>
          <w:sz w:val="20"/>
        </w:rPr>
        <w:t>MGP V</w:t>
      </w:r>
      <w:r w:rsidRPr="00AD2147" w:rsidR="00EA37A1">
        <w:rPr>
          <w:sz w:val="20"/>
        </w:rPr>
        <w:t xml:space="preserve"> </w:t>
      </w:r>
      <w:r w:rsidR="00EA37A1">
        <w:rPr>
          <w:sz w:val="20"/>
        </w:rPr>
        <w:t>indirectly holds a 39.9%</w:t>
      </w:r>
      <w:r w:rsidRPr="00AD2147" w:rsidR="00EA37A1">
        <w:rPr>
          <w:sz w:val="20"/>
        </w:rPr>
        <w:t xml:space="preserve"> </w:t>
      </w:r>
      <w:r w:rsidR="00EA37A1">
        <w:rPr>
          <w:sz w:val="20"/>
        </w:rPr>
        <w:t xml:space="preserve">interest in Holdings, with its </w:t>
      </w:r>
      <w:r w:rsidRPr="00AD2147" w:rsidR="00EA37A1">
        <w:rPr>
          <w:sz w:val="20"/>
        </w:rPr>
        <w:t xml:space="preserve">shares distributed equally among </w:t>
      </w:r>
      <w:r w:rsidR="00EA37A1">
        <w:rPr>
          <w:sz w:val="20"/>
        </w:rPr>
        <w:t>twelve</w:t>
      </w:r>
      <w:r w:rsidRPr="00AD2147" w:rsidR="00EA37A1">
        <w:rPr>
          <w:sz w:val="20"/>
        </w:rPr>
        <w:t xml:space="preserve"> U.S. citizens.</w:t>
      </w:r>
      <w:r w:rsidR="00EA37A1">
        <w:rPr>
          <w:sz w:val="20"/>
        </w:rPr>
        <w:t xml:space="preserve"> </w:t>
      </w:r>
      <w:r w:rsidR="00EA37A1">
        <w:rPr>
          <w:szCs w:val="22"/>
        </w:rPr>
        <w:t xml:space="preserve"> </w:t>
      </w:r>
      <w:r w:rsidR="001B2FBB">
        <w:rPr>
          <w:sz w:val="20"/>
        </w:rPr>
        <w:t>Through the Oak Hill Investors that it control</w:t>
      </w:r>
      <w:r w:rsidR="008950DE">
        <w:rPr>
          <w:sz w:val="20"/>
        </w:rPr>
        <w:t>s</w:t>
      </w:r>
      <w:r w:rsidR="001B2FBB">
        <w:rPr>
          <w:sz w:val="20"/>
        </w:rPr>
        <w:t xml:space="preserve">, </w:t>
      </w:r>
      <w:bookmarkStart w:id="10" w:name="_Hlk84594632"/>
      <w:r w:rsidR="001B2FBB">
        <w:rPr>
          <w:sz w:val="20"/>
        </w:rPr>
        <w:t xml:space="preserve">OHCP MGP V </w:t>
      </w:r>
      <w:bookmarkEnd w:id="10"/>
      <w:r w:rsidR="001B2FBB">
        <w:rPr>
          <w:sz w:val="20"/>
        </w:rPr>
        <w:t xml:space="preserve">currently holds a 10% or greater interest in </w:t>
      </w:r>
      <w:r w:rsidR="0051681C">
        <w:rPr>
          <w:sz w:val="20"/>
        </w:rPr>
        <w:t>Otelco, Inc. and its subsidiaries</w:t>
      </w:r>
      <w:r w:rsidR="00106F5A">
        <w:rPr>
          <w:sz w:val="20"/>
        </w:rPr>
        <w:t xml:space="preserve">, </w:t>
      </w:r>
      <w:r w:rsidR="0051681C">
        <w:rPr>
          <w:sz w:val="20"/>
        </w:rPr>
        <w:t xml:space="preserve">Ontario Telephone Company, Trumansburg Telephone Company, Inc., and </w:t>
      </w:r>
      <w:r w:rsidR="001B2FBB">
        <w:rPr>
          <w:sz w:val="20"/>
        </w:rPr>
        <w:t>F</w:t>
      </w:r>
      <w:r w:rsidR="0051681C">
        <w:rPr>
          <w:sz w:val="20"/>
        </w:rPr>
        <w:t xml:space="preserve">inger </w:t>
      </w:r>
      <w:r w:rsidR="001B2FBB">
        <w:rPr>
          <w:sz w:val="20"/>
        </w:rPr>
        <w:t>L</w:t>
      </w:r>
      <w:r w:rsidR="0051681C">
        <w:rPr>
          <w:sz w:val="20"/>
        </w:rPr>
        <w:t>akes Communications Group, Inc.</w:t>
      </w:r>
      <w:r w:rsidR="001B2FBB">
        <w:rPr>
          <w:sz w:val="20"/>
        </w:rPr>
        <w:t>, all of which provide incumbent LEC and competitive LEC services in multiple states.</w:t>
      </w:r>
      <w:r w:rsidR="00EA37A1">
        <w:rPr>
          <w:sz w:val="20"/>
        </w:rPr>
        <w:t xml:space="preserve"> </w:t>
      </w:r>
      <w:r w:rsidR="001B2FBB">
        <w:rPr>
          <w:sz w:val="20"/>
        </w:rPr>
        <w:t xml:space="preserve"> </w:t>
      </w:r>
      <w:r w:rsidR="00106F5A">
        <w:rPr>
          <w:sz w:val="20"/>
        </w:rPr>
        <w:t xml:space="preserve">OHCP MGP V also holds a 10% or greater interest in several other entities providing competitive telecommunications, cable service, and other services in multiple states.  </w:t>
      </w:r>
      <w:r w:rsidR="007C06D5">
        <w:rPr>
          <w:sz w:val="20"/>
        </w:rPr>
        <w:t xml:space="preserve">OHCP GenPar Super HoldCo GP, Ltd. has three equal shareholders, all of which are U.S. citizens. </w:t>
      </w:r>
      <w:r>
        <w:rPr>
          <w:szCs w:val="22"/>
        </w:rPr>
        <w:t xml:space="preserve"> </w:t>
      </w:r>
      <w:r w:rsidRPr="0054677E" w:rsidR="003B26B4">
        <w:rPr>
          <w:sz w:val="20"/>
        </w:rPr>
        <w:t>According to Applicants, s</w:t>
      </w:r>
      <w:r w:rsidRPr="0054677E" w:rsidR="00890CFD">
        <w:rPr>
          <w:sz w:val="20"/>
        </w:rPr>
        <w:t>even indivi</w:t>
      </w:r>
      <w:r w:rsidRPr="0054677E" w:rsidR="007C06D5">
        <w:rPr>
          <w:sz w:val="20"/>
        </w:rPr>
        <w:t xml:space="preserve">duals </w:t>
      </w:r>
      <w:r w:rsidRPr="0054677E" w:rsidR="003B26B4">
        <w:rPr>
          <w:sz w:val="20"/>
        </w:rPr>
        <w:t>who hold interests in one</w:t>
      </w:r>
      <w:r w:rsidRPr="0054677E" w:rsidR="0054677E">
        <w:rPr>
          <w:sz w:val="20"/>
        </w:rPr>
        <w:t xml:space="preserve"> </w:t>
      </w:r>
      <w:r w:rsidRPr="0054677E" w:rsidR="003B26B4">
        <w:rPr>
          <w:sz w:val="20"/>
        </w:rPr>
        <w:t>or more Oak Hill Investors may hold a greater than 10% in</w:t>
      </w:r>
      <w:r w:rsidRPr="0054677E" w:rsidR="007C06D5">
        <w:rPr>
          <w:sz w:val="20"/>
        </w:rPr>
        <w:t xml:space="preserve">terest in </w:t>
      </w:r>
      <w:r w:rsidRPr="0054677E" w:rsidR="003B26B4">
        <w:rPr>
          <w:sz w:val="20"/>
        </w:rPr>
        <w:t>MetroNet.</w:t>
      </w:r>
      <w:r w:rsidRPr="0054677E" w:rsidR="007C06D5">
        <w:rPr>
          <w:sz w:val="20"/>
        </w:rPr>
        <w:t xml:space="preserve">  </w:t>
      </w:r>
    </w:p>
  </w:footnote>
  <w:footnote w:id="6">
    <w:p w:rsidR="006619A7" w:rsidRPr="005C342C" w:rsidP="006619A7" w14:paraId="72E0E00B" w14:textId="57702298">
      <w:pPr>
        <w:pStyle w:val="FootnoteText"/>
        <w:spacing w:after="120"/>
        <w:rPr>
          <w:sz w:val="20"/>
        </w:rPr>
      </w:pPr>
      <w:r w:rsidRPr="005C342C">
        <w:rPr>
          <w:rStyle w:val="FootnoteReference"/>
          <w:sz w:val="20"/>
        </w:rPr>
        <w:footnoteRef/>
      </w:r>
      <w:r w:rsidRPr="005C342C">
        <w:rPr>
          <w:sz w:val="20"/>
        </w:rPr>
        <w:t xml:space="preserve"> Applicants provide</w:t>
      </w:r>
      <w:r w:rsidR="00554E17">
        <w:rPr>
          <w:sz w:val="20"/>
        </w:rPr>
        <w:t xml:space="preserve"> </w:t>
      </w:r>
      <w:r w:rsidRPr="005C342C">
        <w:rPr>
          <w:sz w:val="20"/>
        </w:rPr>
        <w:t>information on each of the entities and individuals who are included in the Cinelli Investors</w:t>
      </w:r>
      <w:r w:rsidR="00554E17">
        <w:rPr>
          <w:sz w:val="20"/>
        </w:rPr>
        <w:t xml:space="preserve"> in the Application</w:t>
      </w:r>
      <w:r w:rsidR="0072750E">
        <w:rPr>
          <w:sz w:val="20"/>
        </w:rPr>
        <w:t xml:space="preserve"> at </w:t>
      </w:r>
      <w:r w:rsidR="005D64C0">
        <w:rPr>
          <w:sz w:val="20"/>
        </w:rPr>
        <w:t>7-9</w:t>
      </w:r>
      <w:r w:rsidRPr="005C342C">
        <w:rPr>
          <w:sz w:val="20"/>
        </w:rPr>
        <w:t xml:space="preserve">.  Applicants state that </w:t>
      </w:r>
      <w:r w:rsidRPr="005C342C" w:rsidR="00B26819">
        <w:rPr>
          <w:sz w:val="20"/>
        </w:rPr>
        <w:t>all</w:t>
      </w:r>
      <w:r w:rsidRPr="005C342C">
        <w:rPr>
          <w:sz w:val="20"/>
        </w:rPr>
        <w:t xml:space="preserve"> the Cinelli Investors are U.S. citizens, trusts, or entities.  </w:t>
      </w:r>
      <w:r w:rsidRPr="002F5F38" w:rsidR="00F149F6">
        <w:rPr>
          <w:sz w:val="20"/>
        </w:rPr>
        <w:t>John Cinelli and Janet Cinelli</w:t>
      </w:r>
      <w:r w:rsidR="00106F5A">
        <w:rPr>
          <w:sz w:val="20"/>
        </w:rPr>
        <w:t>, both U.S. citizens,</w:t>
      </w:r>
      <w:r w:rsidRPr="002F5F38" w:rsidR="00F149F6">
        <w:rPr>
          <w:sz w:val="20"/>
        </w:rPr>
        <w:t xml:space="preserve"> are the Co-Trustees and control Cinelli Investors.  </w:t>
      </w:r>
    </w:p>
  </w:footnote>
  <w:footnote w:id="7">
    <w:p w:rsidR="00C67FE7" w:rsidRPr="002F5F38" w:rsidP="00E94F15" w14:paraId="37FFFD35" w14:textId="262581CD">
      <w:pPr>
        <w:pStyle w:val="FootnoteText"/>
        <w:spacing w:after="120"/>
        <w:rPr>
          <w:sz w:val="20"/>
        </w:rPr>
      </w:pPr>
      <w:r w:rsidRPr="002F5F38">
        <w:rPr>
          <w:rStyle w:val="FootnoteReference"/>
          <w:sz w:val="20"/>
        </w:rPr>
        <w:footnoteRef/>
      </w:r>
      <w:r w:rsidRPr="002F5F38">
        <w:rPr>
          <w:sz w:val="20"/>
        </w:rPr>
        <w:t xml:space="preserve"> </w:t>
      </w:r>
      <w:r w:rsidR="008A2C82">
        <w:rPr>
          <w:sz w:val="20"/>
        </w:rPr>
        <w:t xml:space="preserve">The </w:t>
      </w:r>
      <w:r w:rsidRPr="00840199" w:rsidR="00171181">
        <w:rPr>
          <w:sz w:val="20"/>
        </w:rPr>
        <w:t xml:space="preserve">Application at </w:t>
      </w:r>
      <w:r w:rsidR="00171181">
        <w:rPr>
          <w:sz w:val="20"/>
        </w:rPr>
        <w:t>7-</w:t>
      </w:r>
      <w:r w:rsidR="0003099A">
        <w:rPr>
          <w:sz w:val="20"/>
        </w:rPr>
        <w:t>9, 13-17</w:t>
      </w:r>
      <w:r w:rsidR="00171181">
        <w:rPr>
          <w:sz w:val="20"/>
        </w:rPr>
        <w:t xml:space="preserve">, </w:t>
      </w:r>
      <w:r w:rsidR="00F04342">
        <w:rPr>
          <w:sz w:val="20"/>
        </w:rPr>
        <w:t xml:space="preserve">and </w:t>
      </w:r>
      <w:r w:rsidR="00D57598">
        <w:rPr>
          <w:sz w:val="20"/>
        </w:rPr>
        <w:t xml:space="preserve">Supplement Letter at </w:t>
      </w:r>
      <w:r w:rsidRPr="00840199" w:rsidR="00D57598">
        <w:rPr>
          <w:sz w:val="20"/>
        </w:rPr>
        <w:t>E</w:t>
      </w:r>
      <w:r w:rsidR="00D57598">
        <w:rPr>
          <w:sz w:val="20"/>
        </w:rPr>
        <w:t>x.</w:t>
      </w:r>
      <w:r w:rsidRPr="00840199" w:rsidR="00D57598">
        <w:rPr>
          <w:sz w:val="20"/>
        </w:rPr>
        <w:t xml:space="preserve"> </w:t>
      </w:r>
      <w:r w:rsidR="00D57598">
        <w:rPr>
          <w:sz w:val="20"/>
        </w:rPr>
        <w:t>A at 4</w:t>
      </w:r>
      <w:r w:rsidRPr="00840199" w:rsidR="00171181">
        <w:rPr>
          <w:sz w:val="20"/>
        </w:rPr>
        <w:t xml:space="preserve"> </w:t>
      </w:r>
      <w:r w:rsidRPr="00840199" w:rsidR="00425FF2">
        <w:rPr>
          <w:sz w:val="20"/>
        </w:rPr>
        <w:t xml:space="preserve">describes in detail the post-transaction ownership of </w:t>
      </w:r>
      <w:r w:rsidR="0003099A">
        <w:rPr>
          <w:sz w:val="20"/>
        </w:rPr>
        <w:t>the KKR investor entities</w:t>
      </w:r>
      <w:r w:rsidRPr="00840199" w:rsidR="00171181">
        <w:rPr>
          <w:sz w:val="20"/>
        </w:rPr>
        <w:t>.</w:t>
      </w:r>
      <w:r w:rsidR="00171181">
        <w:t xml:space="preserve">  </w:t>
      </w:r>
      <w:r w:rsidR="002F5F38">
        <w:rPr>
          <w:sz w:val="20"/>
        </w:rPr>
        <w:t>KKR</w:t>
      </w:r>
      <w:r w:rsidR="00B621AB">
        <w:rPr>
          <w:sz w:val="20"/>
        </w:rPr>
        <w:t>, an</w:t>
      </w:r>
      <w:r w:rsidR="002F5F38">
        <w:rPr>
          <w:sz w:val="20"/>
        </w:rPr>
        <w:t xml:space="preserve"> investment firm</w:t>
      </w:r>
      <w:r w:rsidR="00106F5A">
        <w:rPr>
          <w:sz w:val="20"/>
        </w:rPr>
        <w:t>,</w:t>
      </w:r>
      <w:r w:rsidR="002F5F38">
        <w:rPr>
          <w:sz w:val="20"/>
        </w:rPr>
        <w:t xml:space="preserve"> </w:t>
      </w:r>
      <w:r w:rsidR="008177D0">
        <w:rPr>
          <w:sz w:val="20"/>
        </w:rPr>
        <w:t xml:space="preserve">and the KKR investor entities are </w:t>
      </w:r>
      <w:r w:rsidR="002F5F38">
        <w:rPr>
          <w:sz w:val="20"/>
        </w:rPr>
        <w:t>owned by one or more funds advised and/or managed by indirect subsidiaries of KKR,</w:t>
      </w:r>
      <w:r w:rsidR="00106F5A">
        <w:rPr>
          <w:sz w:val="20"/>
        </w:rPr>
        <w:t xml:space="preserve"> a publicly-traded Delaware corporation</w:t>
      </w:r>
      <w:r w:rsidRPr="00F149F6" w:rsidR="002F5F38">
        <w:rPr>
          <w:sz w:val="20"/>
        </w:rPr>
        <w:t xml:space="preserve">. </w:t>
      </w:r>
      <w:r w:rsidR="00EE59BC">
        <w:rPr>
          <w:sz w:val="20"/>
        </w:rPr>
        <w:t xml:space="preserve"> Two U.S. citizens jointly control KKR Management L</w:t>
      </w:r>
      <w:r w:rsidR="00B621AB">
        <w:rPr>
          <w:sz w:val="20"/>
        </w:rPr>
        <w:t>P</w:t>
      </w:r>
      <w:r w:rsidR="00EE59BC">
        <w:rPr>
          <w:sz w:val="20"/>
        </w:rPr>
        <w:t>L, a Delaware limited liability partnership, which hold</w:t>
      </w:r>
      <w:r w:rsidR="00840199">
        <w:rPr>
          <w:sz w:val="20"/>
        </w:rPr>
        <w:t>s</w:t>
      </w:r>
      <w:r w:rsidR="00EE59BC">
        <w:rPr>
          <w:sz w:val="20"/>
        </w:rPr>
        <w:t xml:space="preserve"> the right to elect and remove the members of KKR &amp; Co. Inc.’s board of directors.  </w:t>
      </w:r>
    </w:p>
  </w:footnote>
  <w:footnote w:id="8">
    <w:p w:rsidR="0035663A" w:rsidRPr="002F2901" w14:paraId="72A1B3CA" w14:textId="77777777">
      <w:pPr>
        <w:pStyle w:val="FootnoteText"/>
        <w:rPr>
          <w:sz w:val="20"/>
        </w:rPr>
      </w:pPr>
      <w:r w:rsidRPr="002F2901">
        <w:rPr>
          <w:rStyle w:val="FootnoteReference"/>
          <w:sz w:val="20"/>
        </w:rPr>
        <w:footnoteRef/>
      </w:r>
      <w:r w:rsidRPr="002F2901">
        <w:rPr>
          <w:sz w:val="20"/>
        </w:rPr>
        <w:t xml:space="preserve"> </w:t>
      </w:r>
      <w:r w:rsidRPr="002F2901" w:rsidR="002F2901">
        <w:rPr>
          <w:sz w:val="20"/>
        </w:rPr>
        <w:t xml:space="preserve">In the </w:t>
      </w:r>
      <w:r w:rsidRPr="008177D0" w:rsidR="002F2901">
        <w:rPr>
          <w:i/>
          <w:iCs/>
          <w:sz w:val="20"/>
        </w:rPr>
        <w:t>Executive Branch Review Process Order</w:t>
      </w:r>
      <w:r w:rsidR="002F2901">
        <w:rPr>
          <w:sz w:val="20"/>
        </w:rPr>
        <w:t xml:space="preserve">, the Commission set out categories of applications with reportable foreign ownership that may be excluded from referral to the Executive Branch for review for national security, law enforcement, foreign policy, and trade policy issues.  </w:t>
      </w:r>
      <w:r w:rsidRPr="008177D0" w:rsidR="002F2901">
        <w:rPr>
          <w:i/>
          <w:iCs/>
          <w:sz w:val="20"/>
        </w:rPr>
        <w:t>See Process Reform for Executive Branch Review of Certain FCC Applications and Petitions Involving Foreign Ownership</w:t>
      </w:r>
      <w:r w:rsidR="002F2901">
        <w:rPr>
          <w:sz w:val="20"/>
        </w:rPr>
        <w:t>, IB Docket 16-155, Report and Order, 35 FCC 10927, 10938-42, paras. 29-39 (2020)</w:t>
      </w:r>
      <w:r w:rsidR="00211CCB">
        <w:rPr>
          <w:sz w:val="20"/>
        </w:rPr>
        <w:t xml:space="preserve"> (</w:t>
      </w:r>
      <w:r w:rsidRPr="00211CCB" w:rsidR="00211CCB">
        <w:rPr>
          <w:i/>
          <w:iCs/>
          <w:sz w:val="20"/>
        </w:rPr>
        <w:t>Executive Brach Review Process Order</w:t>
      </w:r>
      <w:r w:rsidR="00211CCB">
        <w:rPr>
          <w:sz w:val="20"/>
        </w:rPr>
        <w:t>)</w:t>
      </w:r>
      <w:r w:rsidR="002F2901">
        <w:rPr>
          <w:sz w:val="20"/>
        </w:rPr>
        <w:t xml:space="preserve">.  Applicants have made a showing that the only reportable foreign ownership in MetroNet Holdings, LLC is through passive, offshore intermediary holding companies and that 100% of the ultimate control is held by U.S. citizens or entities.  We are exercising our discretion and are not referring this application to the </w:t>
      </w:r>
      <w:r w:rsidR="00D218FF">
        <w:rPr>
          <w:sz w:val="20"/>
        </w:rPr>
        <w:t xml:space="preserve">Executive Branch agencies.  </w:t>
      </w:r>
      <w:r w:rsidRPr="00D218FF" w:rsidR="00D218FF">
        <w:rPr>
          <w:i/>
          <w:iCs/>
          <w:sz w:val="20"/>
        </w:rPr>
        <w:t>See id.</w:t>
      </w:r>
      <w:r w:rsidR="00D218FF">
        <w:rPr>
          <w:sz w:val="20"/>
        </w:rPr>
        <w:t xml:space="preserve"> at 10941, para. 36</w:t>
      </w:r>
      <w:r w:rsidR="00211CCB">
        <w:rPr>
          <w:sz w:val="20"/>
        </w:rPr>
        <w:t>,</w:t>
      </w:r>
      <w:r w:rsidR="00D218FF">
        <w:rPr>
          <w:sz w:val="20"/>
        </w:rPr>
        <w:t xml:space="preserve"> n.99; </w:t>
      </w:r>
      <w:r w:rsidRPr="00D218FF" w:rsidR="00D218FF">
        <w:rPr>
          <w:i/>
          <w:iCs/>
          <w:sz w:val="20"/>
        </w:rPr>
        <w:t>see also id.</w:t>
      </w:r>
      <w:r w:rsidR="00D218FF">
        <w:rPr>
          <w:sz w:val="20"/>
        </w:rPr>
        <w:t xml:space="preserve"> at 10957, para. 81, n.205. </w:t>
      </w:r>
    </w:p>
  </w:footnote>
  <w:footnote w:id="9">
    <w:p w:rsidR="00AD440B" w:rsidRPr="00351689" w:rsidP="00AD440B" w14:paraId="407B4EE9" w14:textId="23809FD0">
      <w:pPr>
        <w:pStyle w:val="FootnoteText"/>
        <w:spacing w:after="120"/>
        <w:rPr>
          <w:sz w:val="20"/>
        </w:rPr>
      </w:pPr>
      <w:r w:rsidRPr="00B621AB">
        <w:rPr>
          <w:rStyle w:val="FootnoteReference"/>
          <w:sz w:val="20"/>
        </w:rPr>
        <w:footnoteRef/>
      </w:r>
      <w:r w:rsidRPr="00B621AB">
        <w:rPr>
          <w:sz w:val="20"/>
        </w:rPr>
        <w:t xml:space="preserve"> </w:t>
      </w:r>
      <w:r w:rsidRPr="00B621AB">
        <w:rPr>
          <w:color w:val="020100"/>
          <w:sz w:val="20"/>
        </w:rPr>
        <w:t>47 CFR § 63.03(b)(2)(i</w:t>
      </w:r>
      <w:r w:rsidRPr="00B621AB" w:rsidR="008C3B0F">
        <w:rPr>
          <w:color w:val="020100"/>
          <w:sz w:val="20"/>
        </w:rPr>
        <w:t>i</w:t>
      </w:r>
      <w:r w:rsidRPr="00B621AB">
        <w:rPr>
          <w:color w:val="020100"/>
          <w:sz w:val="20"/>
        </w:rPr>
        <w:t>).</w:t>
      </w:r>
    </w:p>
  </w:footnote>
  <w:footnote w:id="10">
    <w:p w:rsidR="00AD440B" w:rsidRPr="00351689" w:rsidP="00AD440B" w14:paraId="558F044E"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3DDCE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6D77499" w14:textId="77777777">
                <w:pPr>
                  <w:rPr>
                    <w:rFonts w:ascii="Arial" w:hAnsi="Arial"/>
                    <w:b/>
                  </w:rPr>
                </w:pPr>
                <w:r>
                  <w:rPr>
                    <w:rFonts w:ascii="Arial" w:hAnsi="Arial"/>
                    <w:b/>
                  </w:rPr>
                  <w:t>Federal Communications Commission</w:t>
                </w:r>
              </w:p>
              <w:p w:rsidR="005D4020" w14:paraId="22A0E401" w14:textId="77777777">
                <w:pPr>
                  <w:rPr>
                    <w:rFonts w:ascii="Arial" w:hAnsi="Arial"/>
                    <w:b/>
                  </w:rPr>
                </w:pPr>
                <w:r>
                  <w:rPr>
                    <w:rFonts w:ascii="Arial" w:hAnsi="Arial"/>
                    <w:b/>
                  </w:rPr>
                  <w:t>45 L St., N.E.</w:t>
                </w:r>
              </w:p>
              <w:p w:rsidR="005D4020" w14:paraId="1157CCB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5B4FDFC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0EBF30A4" w14:textId="77777777">
                <w:pPr>
                  <w:spacing w:before="40"/>
                  <w:jc w:val="right"/>
                  <w:rPr>
                    <w:rFonts w:ascii="Arial" w:hAnsi="Arial"/>
                    <w:b/>
                    <w:sz w:val="16"/>
                  </w:rPr>
                </w:pPr>
                <w:r>
                  <w:rPr>
                    <w:rFonts w:ascii="Arial" w:hAnsi="Arial"/>
                    <w:b/>
                    <w:sz w:val="16"/>
                  </w:rPr>
                  <w:t>News Media Information 202 / 418-0500</w:t>
                </w:r>
              </w:p>
              <w:p w:rsidR="005D4020" w14:paraId="57B9AC6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09183820" w14:textId="77777777">
                <w:pPr>
                  <w:jc w:val="right"/>
                  <w:rPr>
                    <w:rFonts w:ascii="Arial" w:hAnsi="Arial"/>
                    <w:b/>
                    <w:sz w:val="16"/>
                  </w:rPr>
                </w:pPr>
              </w:p>
              <w:p w:rsidR="005D4020" w14:paraId="012DE065" w14:textId="77777777">
                <w:pPr>
                  <w:jc w:val="right"/>
                </w:pPr>
              </w:p>
            </w:txbxContent>
          </v:textbox>
        </v:shape>
      </w:pict>
    </w:r>
  </w:p>
  <w:p w:rsidR="005D4020" w14:paraId="2249DEE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27F94A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5C00"/>
    <w:rsid w:val="0001608E"/>
    <w:rsid w:val="00017A3A"/>
    <w:rsid w:val="00024494"/>
    <w:rsid w:val="0002566C"/>
    <w:rsid w:val="00025A42"/>
    <w:rsid w:val="00026F70"/>
    <w:rsid w:val="00027342"/>
    <w:rsid w:val="0003099A"/>
    <w:rsid w:val="00032A4A"/>
    <w:rsid w:val="000330E3"/>
    <w:rsid w:val="00035419"/>
    <w:rsid w:val="00035F32"/>
    <w:rsid w:val="00040610"/>
    <w:rsid w:val="00040B01"/>
    <w:rsid w:val="00040BA0"/>
    <w:rsid w:val="00040DAF"/>
    <w:rsid w:val="00041B38"/>
    <w:rsid w:val="00041C01"/>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46FB"/>
    <w:rsid w:val="0009534A"/>
    <w:rsid w:val="00097AB0"/>
    <w:rsid w:val="000A24AA"/>
    <w:rsid w:val="000A2EEF"/>
    <w:rsid w:val="000B0795"/>
    <w:rsid w:val="000B1C31"/>
    <w:rsid w:val="000B2362"/>
    <w:rsid w:val="000B3146"/>
    <w:rsid w:val="000B390D"/>
    <w:rsid w:val="000B48A6"/>
    <w:rsid w:val="000B4EDD"/>
    <w:rsid w:val="000B5635"/>
    <w:rsid w:val="000B6839"/>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9F"/>
    <w:rsid w:val="00117529"/>
    <w:rsid w:val="001226CB"/>
    <w:rsid w:val="0012329A"/>
    <w:rsid w:val="0012437D"/>
    <w:rsid w:val="00126DDB"/>
    <w:rsid w:val="00131952"/>
    <w:rsid w:val="0013405D"/>
    <w:rsid w:val="00134FFC"/>
    <w:rsid w:val="001356E5"/>
    <w:rsid w:val="0014084C"/>
    <w:rsid w:val="00141388"/>
    <w:rsid w:val="00142ED5"/>
    <w:rsid w:val="001449F9"/>
    <w:rsid w:val="00144E61"/>
    <w:rsid w:val="001470F0"/>
    <w:rsid w:val="001513B4"/>
    <w:rsid w:val="0015217F"/>
    <w:rsid w:val="00152CF6"/>
    <w:rsid w:val="00156EA3"/>
    <w:rsid w:val="00161A99"/>
    <w:rsid w:val="00171181"/>
    <w:rsid w:val="00176BD0"/>
    <w:rsid w:val="00187617"/>
    <w:rsid w:val="00190745"/>
    <w:rsid w:val="001947E9"/>
    <w:rsid w:val="00194E1E"/>
    <w:rsid w:val="001A00A7"/>
    <w:rsid w:val="001A2DFA"/>
    <w:rsid w:val="001A3813"/>
    <w:rsid w:val="001A3E67"/>
    <w:rsid w:val="001A47EC"/>
    <w:rsid w:val="001A5568"/>
    <w:rsid w:val="001B2C26"/>
    <w:rsid w:val="001B2FBB"/>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7926"/>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9098D"/>
    <w:rsid w:val="00297F1D"/>
    <w:rsid w:val="002A1D13"/>
    <w:rsid w:val="002A30D9"/>
    <w:rsid w:val="002A7BD3"/>
    <w:rsid w:val="002B16FA"/>
    <w:rsid w:val="002B1948"/>
    <w:rsid w:val="002B1EF7"/>
    <w:rsid w:val="002B26A1"/>
    <w:rsid w:val="002B34DB"/>
    <w:rsid w:val="002B6B43"/>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D50"/>
    <w:rsid w:val="00315FCD"/>
    <w:rsid w:val="0031636F"/>
    <w:rsid w:val="00321F97"/>
    <w:rsid w:val="00325988"/>
    <w:rsid w:val="00325E35"/>
    <w:rsid w:val="0032625B"/>
    <w:rsid w:val="00334E6C"/>
    <w:rsid w:val="0033631D"/>
    <w:rsid w:val="00340881"/>
    <w:rsid w:val="00345CA2"/>
    <w:rsid w:val="003471AE"/>
    <w:rsid w:val="003479C9"/>
    <w:rsid w:val="00351689"/>
    <w:rsid w:val="00351D1D"/>
    <w:rsid w:val="00353CB5"/>
    <w:rsid w:val="0035663A"/>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01B9"/>
    <w:rsid w:val="003B26B4"/>
    <w:rsid w:val="003B43C3"/>
    <w:rsid w:val="003B5CEE"/>
    <w:rsid w:val="003C18DA"/>
    <w:rsid w:val="003C2000"/>
    <w:rsid w:val="003C23FE"/>
    <w:rsid w:val="003C4A02"/>
    <w:rsid w:val="003C7229"/>
    <w:rsid w:val="003D08F3"/>
    <w:rsid w:val="003D0F71"/>
    <w:rsid w:val="003D0F8F"/>
    <w:rsid w:val="003D4F94"/>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989"/>
    <w:rsid w:val="004435EE"/>
    <w:rsid w:val="00444548"/>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D13"/>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2447"/>
    <w:rsid w:val="004F3603"/>
    <w:rsid w:val="004F3CEC"/>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4677E"/>
    <w:rsid w:val="005473A6"/>
    <w:rsid w:val="005505CE"/>
    <w:rsid w:val="00551202"/>
    <w:rsid w:val="00551ADB"/>
    <w:rsid w:val="005524B6"/>
    <w:rsid w:val="00554E17"/>
    <w:rsid w:val="0055684E"/>
    <w:rsid w:val="0056058F"/>
    <w:rsid w:val="0056467B"/>
    <w:rsid w:val="00567286"/>
    <w:rsid w:val="00573CA8"/>
    <w:rsid w:val="00576EDE"/>
    <w:rsid w:val="00580DBD"/>
    <w:rsid w:val="00581792"/>
    <w:rsid w:val="0059084B"/>
    <w:rsid w:val="00592F09"/>
    <w:rsid w:val="005932BA"/>
    <w:rsid w:val="00597ABB"/>
    <w:rsid w:val="005A13D0"/>
    <w:rsid w:val="005A24CD"/>
    <w:rsid w:val="005A256B"/>
    <w:rsid w:val="005A3E2A"/>
    <w:rsid w:val="005A56D4"/>
    <w:rsid w:val="005A64A7"/>
    <w:rsid w:val="005B2105"/>
    <w:rsid w:val="005B2E8A"/>
    <w:rsid w:val="005B376F"/>
    <w:rsid w:val="005B3D27"/>
    <w:rsid w:val="005B4CA6"/>
    <w:rsid w:val="005B57F1"/>
    <w:rsid w:val="005C0AE1"/>
    <w:rsid w:val="005C2ADB"/>
    <w:rsid w:val="005C342C"/>
    <w:rsid w:val="005C3E2F"/>
    <w:rsid w:val="005C403A"/>
    <w:rsid w:val="005C44C6"/>
    <w:rsid w:val="005C5C55"/>
    <w:rsid w:val="005C740F"/>
    <w:rsid w:val="005C7DC4"/>
    <w:rsid w:val="005D4020"/>
    <w:rsid w:val="005D55CB"/>
    <w:rsid w:val="005D5B08"/>
    <w:rsid w:val="005D64C0"/>
    <w:rsid w:val="005D6BD0"/>
    <w:rsid w:val="005D7F49"/>
    <w:rsid w:val="005E1BF3"/>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967"/>
    <w:rsid w:val="00626D16"/>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91C"/>
    <w:rsid w:val="006C6FE0"/>
    <w:rsid w:val="006D4FB7"/>
    <w:rsid w:val="006E099D"/>
    <w:rsid w:val="006E3B3B"/>
    <w:rsid w:val="006E3E11"/>
    <w:rsid w:val="006E4EF0"/>
    <w:rsid w:val="006E61ED"/>
    <w:rsid w:val="006E643F"/>
    <w:rsid w:val="006E7452"/>
    <w:rsid w:val="006E77B7"/>
    <w:rsid w:val="006F2F1F"/>
    <w:rsid w:val="006F3441"/>
    <w:rsid w:val="006F4360"/>
    <w:rsid w:val="006F4B1B"/>
    <w:rsid w:val="006F4D60"/>
    <w:rsid w:val="00702B72"/>
    <w:rsid w:val="00703543"/>
    <w:rsid w:val="0070514A"/>
    <w:rsid w:val="007052BE"/>
    <w:rsid w:val="007067E2"/>
    <w:rsid w:val="00706D49"/>
    <w:rsid w:val="0070755C"/>
    <w:rsid w:val="0071041E"/>
    <w:rsid w:val="00710722"/>
    <w:rsid w:val="00710BA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7017E"/>
    <w:rsid w:val="00771214"/>
    <w:rsid w:val="0077396E"/>
    <w:rsid w:val="00774E30"/>
    <w:rsid w:val="007758B4"/>
    <w:rsid w:val="00775CD4"/>
    <w:rsid w:val="00776827"/>
    <w:rsid w:val="00777B41"/>
    <w:rsid w:val="00777F32"/>
    <w:rsid w:val="00780F55"/>
    <w:rsid w:val="007904D9"/>
    <w:rsid w:val="00790DDF"/>
    <w:rsid w:val="007915C7"/>
    <w:rsid w:val="00796E19"/>
    <w:rsid w:val="00796E54"/>
    <w:rsid w:val="00797794"/>
    <w:rsid w:val="007A2155"/>
    <w:rsid w:val="007A41CD"/>
    <w:rsid w:val="007A4B45"/>
    <w:rsid w:val="007A6E5A"/>
    <w:rsid w:val="007B1EAE"/>
    <w:rsid w:val="007B4269"/>
    <w:rsid w:val="007B4D1E"/>
    <w:rsid w:val="007B4DB8"/>
    <w:rsid w:val="007B5F97"/>
    <w:rsid w:val="007B7204"/>
    <w:rsid w:val="007C06D5"/>
    <w:rsid w:val="007C2014"/>
    <w:rsid w:val="007C263F"/>
    <w:rsid w:val="007C4108"/>
    <w:rsid w:val="007D03E3"/>
    <w:rsid w:val="007D2657"/>
    <w:rsid w:val="007D2E71"/>
    <w:rsid w:val="007D31F7"/>
    <w:rsid w:val="007D3B6A"/>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3C90"/>
    <w:rsid w:val="0087554B"/>
    <w:rsid w:val="00876629"/>
    <w:rsid w:val="0087685F"/>
    <w:rsid w:val="00877D35"/>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4D2D"/>
    <w:rsid w:val="008F67DB"/>
    <w:rsid w:val="008F6981"/>
    <w:rsid w:val="0090059F"/>
    <w:rsid w:val="00903154"/>
    <w:rsid w:val="00903330"/>
    <w:rsid w:val="00903DE0"/>
    <w:rsid w:val="009075DA"/>
    <w:rsid w:val="009101A4"/>
    <w:rsid w:val="00912D13"/>
    <w:rsid w:val="00913852"/>
    <w:rsid w:val="009161AD"/>
    <w:rsid w:val="009211C4"/>
    <w:rsid w:val="009236BF"/>
    <w:rsid w:val="0093491F"/>
    <w:rsid w:val="009375A4"/>
    <w:rsid w:val="0094117D"/>
    <w:rsid w:val="00950639"/>
    <w:rsid w:val="00951B8C"/>
    <w:rsid w:val="0095318C"/>
    <w:rsid w:val="009558A7"/>
    <w:rsid w:val="00956255"/>
    <w:rsid w:val="009564D0"/>
    <w:rsid w:val="00960857"/>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1999"/>
    <w:rsid w:val="009C209E"/>
    <w:rsid w:val="009C27E9"/>
    <w:rsid w:val="009C2C26"/>
    <w:rsid w:val="009C3304"/>
    <w:rsid w:val="009C3EC2"/>
    <w:rsid w:val="009C4538"/>
    <w:rsid w:val="009C5CEB"/>
    <w:rsid w:val="009C7BE4"/>
    <w:rsid w:val="009D0956"/>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24AF"/>
    <w:rsid w:val="00A826F0"/>
    <w:rsid w:val="00A85921"/>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90B"/>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4549"/>
    <w:rsid w:val="00B04DDD"/>
    <w:rsid w:val="00B07DCE"/>
    <w:rsid w:val="00B11E8B"/>
    <w:rsid w:val="00B13AC2"/>
    <w:rsid w:val="00B252B2"/>
    <w:rsid w:val="00B26819"/>
    <w:rsid w:val="00B30941"/>
    <w:rsid w:val="00B309DB"/>
    <w:rsid w:val="00B32670"/>
    <w:rsid w:val="00B32A8C"/>
    <w:rsid w:val="00B33058"/>
    <w:rsid w:val="00B335D6"/>
    <w:rsid w:val="00B3405E"/>
    <w:rsid w:val="00B427E6"/>
    <w:rsid w:val="00B43A08"/>
    <w:rsid w:val="00B500E9"/>
    <w:rsid w:val="00B506FC"/>
    <w:rsid w:val="00B50FF2"/>
    <w:rsid w:val="00B52C92"/>
    <w:rsid w:val="00B5576C"/>
    <w:rsid w:val="00B55A93"/>
    <w:rsid w:val="00B565D8"/>
    <w:rsid w:val="00B56E1B"/>
    <w:rsid w:val="00B57D2A"/>
    <w:rsid w:val="00B621AB"/>
    <w:rsid w:val="00B64D59"/>
    <w:rsid w:val="00B66A71"/>
    <w:rsid w:val="00B71C43"/>
    <w:rsid w:val="00B72F45"/>
    <w:rsid w:val="00B73211"/>
    <w:rsid w:val="00B73AED"/>
    <w:rsid w:val="00B82819"/>
    <w:rsid w:val="00B83A8F"/>
    <w:rsid w:val="00B856DD"/>
    <w:rsid w:val="00B908C9"/>
    <w:rsid w:val="00B91444"/>
    <w:rsid w:val="00B934A6"/>
    <w:rsid w:val="00B9373D"/>
    <w:rsid w:val="00B93BD0"/>
    <w:rsid w:val="00B951D6"/>
    <w:rsid w:val="00B958E7"/>
    <w:rsid w:val="00B97629"/>
    <w:rsid w:val="00BA42C4"/>
    <w:rsid w:val="00BA45FE"/>
    <w:rsid w:val="00BA47A9"/>
    <w:rsid w:val="00BA496C"/>
    <w:rsid w:val="00BA6803"/>
    <w:rsid w:val="00BB0D72"/>
    <w:rsid w:val="00BB1216"/>
    <w:rsid w:val="00BB16F2"/>
    <w:rsid w:val="00BB24EB"/>
    <w:rsid w:val="00BB7CEB"/>
    <w:rsid w:val="00BC0F23"/>
    <w:rsid w:val="00BC7555"/>
    <w:rsid w:val="00BD2520"/>
    <w:rsid w:val="00BD3278"/>
    <w:rsid w:val="00BD5AFA"/>
    <w:rsid w:val="00BD5F83"/>
    <w:rsid w:val="00BD6631"/>
    <w:rsid w:val="00BE0364"/>
    <w:rsid w:val="00BE063A"/>
    <w:rsid w:val="00BE1FC9"/>
    <w:rsid w:val="00BE4C7C"/>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7FE7"/>
    <w:rsid w:val="00C70494"/>
    <w:rsid w:val="00C72423"/>
    <w:rsid w:val="00C744C3"/>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6E5"/>
    <w:rsid w:val="00CB5D7D"/>
    <w:rsid w:val="00CC3DC6"/>
    <w:rsid w:val="00CC70CB"/>
    <w:rsid w:val="00CD20C1"/>
    <w:rsid w:val="00CD3CBE"/>
    <w:rsid w:val="00CD5614"/>
    <w:rsid w:val="00CD6760"/>
    <w:rsid w:val="00CD711A"/>
    <w:rsid w:val="00CE03DE"/>
    <w:rsid w:val="00CE3D85"/>
    <w:rsid w:val="00CE49B4"/>
    <w:rsid w:val="00CF1452"/>
    <w:rsid w:val="00CF569B"/>
    <w:rsid w:val="00CF6960"/>
    <w:rsid w:val="00D00C86"/>
    <w:rsid w:val="00D02269"/>
    <w:rsid w:val="00D04963"/>
    <w:rsid w:val="00D04DB0"/>
    <w:rsid w:val="00D05475"/>
    <w:rsid w:val="00D111DF"/>
    <w:rsid w:val="00D130E3"/>
    <w:rsid w:val="00D13A95"/>
    <w:rsid w:val="00D1542F"/>
    <w:rsid w:val="00D209FB"/>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0F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C0C"/>
    <w:rsid w:val="00E11A1D"/>
    <w:rsid w:val="00E1390B"/>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4722"/>
    <w:rsid w:val="00E547F0"/>
    <w:rsid w:val="00E55A96"/>
    <w:rsid w:val="00E577F2"/>
    <w:rsid w:val="00E63C52"/>
    <w:rsid w:val="00E64254"/>
    <w:rsid w:val="00E6637B"/>
    <w:rsid w:val="00E67D1E"/>
    <w:rsid w:val="00E7033D"/>
    <w:rsid w:val="00E74981"/>
    <w:rsid w:val="00E84DF2"/>
    <w:rsid w:val="00E84F99"/>
    <w:rsid w:val="00E86FCB"/>
    <w:rsid w:val="00E87A1A"/>
    <w:rsid w:val="00E90A56"/>
    <w:rsid w:val="00E92F16"/>
    <w:rsid w:val="00E94F15"/>
    <w:rsid w:val="00EA02F6"/>
    <w:rsid w:val="00EA27A2"/>
    <w:rsid w:val="00EA28AA"/>
    <w:rsid w:val="00EA37A1"/>
    <w:rsid w:val="00EA4948"/>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6A08"/>
    <w:rsid w:val="00EE0450"/>
    <w:rsid w:val="00EE37C8"/>
    <w:rsid w:val="00EE59BC"/>
    <w:rsid w:val="00EE7A85"/>
    <w:rsid w:val="00EF45D4"/>
    <w:rsid w:val="00EF59CB"/>
    <w:rsid w:val="00F0047B"/>
    <w:rsid w:val="00F016FA"/>
    <w:rsid w:val="00F02173"/>
    <w:rsid w:val="00F03FBE"/>
    <w:rsid w:val="00F04342"/>
    <w:rsid w:val="00F048D9"/>
    <w:rsid w:val="00F04E22"/>
    <w:rsid w:val="00F05755"/>
    <w:rsid w:val="00F125FF"/>
    <w:rsid w:val="00F12E9C"/>
    <w:rsid w:val="00F13E8E"/>
    <w:rsid w:val="00F149F6"/>
    <w:rsid w:val="00F22A55"/>
    <w:rsid w:val="00F23F94"/>
    <w:rsid w:val="00F24030"/>
    <w:rsid w:val="00F242B0"/>
    <w:rsid w:val="00F242B2"/>
    <w:rsid w:val="00F257E5"/>
    <w:rsid w:val="00F25C6B"/>
    <w:rsid w:val="00F270D4"/>
    <w:rsid w:val="00F27F09"/>
    <w:rsid w:val="00F3027E"/>
    <w:rsid w:val="00F3092F"/>
    <w:rsid w:val="00F30EA4"/>
    <w:rsid w:val="00F3488E"/>
    <w:rsid w:val="00F36FF9"/>
    <w:rsid w:val="00F3762F"/>
    <w:rsid w:val="00F41DFE"/>
    <w:rsid w:val="00F43CCF"/>
    <w:rsid w:val="00F4490B"/>
    <w:rsid w:val="00F451CB"/>
    <w:rsid w:val="00F51F08"/>
    <w:rsid w:val="00F54AF5"/>
    <w:rsid w:val="00F57A04"/>
    <w:rsid w:val="00F644CD"/>
    <w:rsid w:val="00F65523"/>
    <w:rsid w:val="00F6664A"/>
    <w:rsid w:val="00F674FB"/>
    <w:rsid w:val="00F7052D"/>
    <w:rsid w:val="00F737C1"/>
    <w:rsid w:val="00F768B9"/>
    <w:rsid w:val="00F80D9C"/>
    <w:rsid w:val="00F825B6"/>
    <w:rsid w:val="00F83075"/>
    <w:rsid w:val="00F84F1C"/>
    <w:rsid w:val="00FA093F"/>
    <w:rsid w:val="00FA3E37"/>
    <w:rsid w:val="00FA546C"/>
    <w:rsid w:val="00FA76F1"/>
    <w:rsid w:val="00FB15A3"/>
    <w:rsid w:val="00FB2DB4"/>
    <w:rsid w:val="00FB729A"/>
    <w:rsid w:val="00FC3E30"/>
    <w:rsid w:val="00FC4B01"/>
    <w:rsid w:val="00FC55AB"/>
    <w:rsid w:val="00FC6A56"/>
    <w:rsid w:val="00FC74B1"/>
    <w:rsid w:val="00FD107E"/>
    <w:rsid w:val="00FD40F2"/>
    <w:rsid w:val="00FD5090"/>
    <w:rsid w:val="00FD5B6B"/>
    <w:rsid w:val="00FD7085"/>
    <w:rsid w:val="00FE2544"/>
    <w:rsid w:val="00FE41D5"/>
    <w:rsid w:val="00FE43B3"/>
    <w:rsid w:val="00FE48E3"/>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02C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
    <w:name w:val="Unresolved Mention"/>
    <w:rsid w:val="0060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