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E05799" w:rsidP="00140750" w14:paraId="175ECE24" w14:textId="7CD74B0B">
            <w:pPr>
              <w:tabs>
                <w:tab w:val="center" w:pos="4680"/>
              </w:tabs>
              <w:suppressAutoHyphens/>
              <w:rPr>
                <w:b/>
                <w:bCs/>
                <w:spacing w:val="-2"/>
              </w:rPr>
            </w:pPr>
            <w:r>
              <w:rPr>
                <w:b/>
                <w:bCs/>
                <w:spacing w:val="-2"/>
              </w:rPr>
              <w:t xml:space="preserve">THE ESTATE OF </w:t>
            </w:r>
            <w:r w:rsidRPr="00CC60FC" w:rsidR="00CC60FC">
              <w:rPr>
                <w:b/>
                <w:bCs/>
                <w:spacing w:val="-2"/>
              </w:rPr>
              <w:t>E</w:t>
            </w:r>
            <w:r>
              <w:rPr>
                <w:b/>
                <w:bCs/>
                <w:spacing w:val="-2"/>
              </w:rPr>
              <w:t>TTIE CLARK</w:t>
            </w:r>
          </w:p>
          <w:p w:rsidR="00CC60FC" w:rsidP="00140750" w14:paraId="6C41DE8B" w14:textId="77777777">
            <w:pPr>
              <w:tabs>
                <w:tab w:val="center" w:pos="4680"/>
              </w:tabs>
              <w:suppressAutoHyphens/>
              <w:rPr>
                <w:spacing w:val="-2"/>
              </w:rPr>
            </w:pPr>
          </w:p>
          <w:p w:rsidR="00140750" w:rsidRPr="00140750" w:rsidP="00140750" w14:paraId="2120163C" w14:textId="63384E7E">
            <w:pPr>
              <w:tabs>
                <w:tab w:val="center" w:pos="4680"/>
              </w:tabs>
              <w:suppressAutoHyphens/>
              <w:rPr>
                <w:spacing w:val="-2"/>
              </w:rPr>
            </w:pPr>
            <w:r w:rsidRPr="00140750">
              <w:rPr>
                <w:spacing w:val="-2"/>
              </w:rPr>
              <w:t xml:space="preserve">For </w:t>
            </w:r>
            <w:r w:rsidR="00596F9E">
              <w:rPr>
                <w:spacing w:val="-2"/>
              </w:rPr>
              <w:t>License to Cover</w:t>
            </w:r>
          </w:p>
          <w:p w:rsidR="00140750" w:rsidRPr="00140750" w:rsidP="00140750" w14:paraId="6701BC9C" w14:textId="161C96F2">
            <w:pPr>
              <w:tabs>
                <w:tab w:val="center" w:pos="4680"/>
              </w:tabs>
              <w:suppressAutoHyphens/>
              <w:rPr>
                <w:spacing w:val="-2"/>
              </w:rPr>
            </w:pPr>
            <w:r>
              <w:rPr>
                <w:spacing w:val="-2"/>
              </w:rPr>
              <w:t xml:space="preserve">Low Power </w:t>
            </w:r>
            <w:r w:rsidR="00DC5A5B">
              <w:rPr>
                <w:spacing w:val="-2"/>
              </w:rPr>
              <w:t xml:space="preserve">Television Station </w:t>
            </w:r>
            <w:r w:rsidR="00736FAD">
              <w:rPr>
                <w:spacing w:val="-2"/>
              </w:rPr>
              <w:t>WSFG-LD</w:t>
            </w:r>
          </w:p>
          <w:p w:rsidR="004C2EE3" w:rsidRPr="007115F7" w:rsidP="00140750" w14:paraId="310B4D25" w14:textId="46653887">
            <w:pPr>
              <w:tabs>
                <w:tab w:val="center" w:pos="4680"/>
              </w:tabs>
              <w:suppressAutoHyphens/>
              <w:rPr>
                <w:spacing w:val="-2"/>
              </w:rPr>
            </w:pPr>
            <w:r>
              <w:rPr>
                <w:spacing w:val="-2"/>
              </w:rPr>
              <w:t>B</w:t>
            </w:r>
            <w:r w:rsidR="00736FAD">
              <w:rPr>
                <w:spacing w:val="-2"/>
              </w:rPr>
              <w:t>erry, Alabama</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E05799" w14:paraId="6739BDB0" w14:textId="229957FD">
            <w:pPr>
              <w:tabs>
                <w:tab w:val="center" w:pos="4680"/>
              </w:tabs>
              <w:suppressAutoHyphens/>
              <w:rPr>
                <w:b/>
                <w:spacing w:val="-2"/>
              </w:rPr>
            </w:pPr>
            <w:r>
              <w:rPr>
                <w:b/>
                <w:spacing w:val="-2"/>
              </w:rPr>
              <w:t>)</w:t>
            </w:r>
          </w:p>
          <w:p w:rsidR="00E05799" w:rsidRPr="00140750" w14:paraId="4951B5EC" w14:textId="2B16E75D">
            <w:pPr>
              <w:tabs>
                <w:tab w:val="center" w:pos="4680"/>
              </w:tabs>
              <w:suppressAutoHyphens/>
              <w:rPr>
                <w:b/>
                <w:spacing w:val="-2"/>
              </w:rPr>
            </w:pP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7F51F49F">
            <w:pPr>
              <w:pStyle w:val="TOAHeading"/>
              <w:tabs>
                <w:tab w:val="center" w:pos="4680"/>
              </w:tabs>
              <w:rPr>
                <w:spacing w:val="-2"/>
              </w:rPr>
            </w:pPr>
            <w:r w:rsidRPr="00140750">
              <w:rPr>
                <w:spacing w:val="-2"/>
              </w:rPr>
              <w:t xml:space="preserve">Facility ID No. </w:t>
            </w:r>
            <w:r w:rsidR="00736FAD">
              <w:rPr>
                <w:spacing w:val="-2"/>
              </w:rPr>
              <w:t>168769</w:t>
            </w:r>
          </w:p>
          <w:p w:rsidR="00140750" w:rsidRPr="00140750" w:rsidP="00140750" w14:paraId="31F6B7E1" w14:textId="28461DD9">
            <w:pPr>
              <w:pStyle w:val="TOAHeading"/>
              <w:tabs>
                <w:tab w:val="center" w:pos="4680"/>
              </w:tabs>
              <w:rPr>
                <w:spacing w:val="-2"/>
              </w:rPr>
            </w:pPr>
            <w:r w:rsidRPr="00140750">
              <w:rPr>
                <w:spacing w:val="-2"/>
              </w:rPr>
              <w:t xml:space="preserve">NAL/Acct. No. </w:t>
            </w:r>
            <w:r w:rsidR="00E12BA1">
              <w:rPr>
                <w:spacing w:val="-2"/>
              </w:rPr>
              <w:t>202241420003</w:t>
            </w:r>
          </w:p>
          <w:p w:rsidR="00140750" w:rsidRPr="00140750" w:rsidP="00140750" w14:paraId="60F8F9FE" w14:textId="43E46F0D">
            <w:pPr>
              <w:pStyle w:val="TOAHeading"/>
              <w:tabs>
                <w:tab w:val="center" w:pos="4680"/>
              </w:tabs>
              <w:rPr>
                <w:spacing w:val="-2"/>
              </w:rPr>
            </w:pPr>
            <w:r w:rsidRPr="00140750">
              <w:rPr>
                <w:spacing w:val="-2"/>
              </w:rPr>
              <w:t>FRN:</w:t>
            </w:r>
            <w:r w:rsidR="002172BD">
              <w:rPr>
                <w:spacing w:val="-2"/>
              </w:rPr>
              <w:t xml:space="preserve"> </w:t>
            </w:r>
            <w:r w:rsidRPr="00736FAD" w:rsidR="00736FAD">
              <w:rPr>
                <w:spacing w:val="-2"/>
              </w:rPr>
              <w:t>0031576168</w:t>
            </w:r>
          </w:p>
          <w:p w:rsidR="004C2EE3" w:rsidP="00140750" w14:paraId="0C593CF4" w14:textId="7A08A300">
            <w:pPr>
              <w:tabs>
                <w:tab w:val="center" w:pos="4680"/>
              </w:tabs>
              <w:suppressAutoHyphens/>
              <w:rPr>
                <w:spacing w:val="-2"/>
              </w:rPr>
            </w:pPr>
            <w:r w:rsidRPr="00140750">
              <w:rPr>
                <w:spacing w:val="-2"/>
              </w:rPr>
              <w:t xml:space="preserve">File No. </w:t>
            </w:r>
            <w:r w:rsidR="00596F9E">
              <w:rPr>
                <w:spacing w:val="-2"/>
              </w:rPr>
              <w:t>0000</w:t>
            </w:r>
            <w:r w:rsidR="00736FAD">
              <w:rPr>
                <w:spacing w:val="-2"/>
              </w:rPr>
              <w:t>176885</w:t>
            </w:r>
          </w:p>
        </w:tc>
      </w:tr>
    </w:tbl>
    <w:p w:rsidR="00434675" w:rsidP="00E05799"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DC5A5B" w14:paraId="46331C01" w14:textId="04FABAE5">
      <w:pPr>
        <w:tabs>
          <w:tab w:val="left" w:pos="720"/>
          <w:tab w:val="left" w:pos="5760"/>
          <w:tab w:val="right" w:pos="9360"/>
        </w:tabs>
        <w:suppressAutoHyphens/>
        <w:spacing w:line="227" w:lineRule="auto"/>
        <w:rPr>
          <w:spacing w:val="-2"/>
        </w:rPr>
      </w:pPr>
      <w:r w:rsidRPr="003F17E2">
        <w:rPr>
          <w:b/>
          <w:spacing w:val="-2"/>
        </w:rPr>
        <w:t xml:space="preserve">Adopted:  </w:t>
      </w:r>
      <w:r w:rsidR="00B25EF6">
        <w:rPr>
          <w:b/>
          <w:spacing w:val="-2"/>
        </w:rPr>
        <w:t>March 28, 2022</w:t>
      </w:r>
      <w:r w:rsidR="00DC5A5B">
        <w:rPr>
          <w:b/>
          <w:spacing w:val="-2"/>
        </w:rPr>
        <w:tab/>
      </w:r>
      <w:r w:rsidRPr="003F17E2" w:rsidR="00822CE0">
        <w:rPr>
          <w:b/>
          <w:spacing w:val="-2"/>
        </w:rPr>
        <w:t>Released</w:t>
      </w:r>
      <w:r w:rsidRPr="003F17E2">
        <w:rPr>
          <w:b/>
          <w:spacing w:val="-2"/>
        </w:rPr>
        <w:t>:</w:t>
      </w:r>
      <w:r w:rsidR="001F365E">
        <w:rPr>
          <w:b/>
          <w:spacing w:val="-2"/>
        </w:rPr>
        <w:t xml:space="preserve"> </w:t>
      </w:r>
      <w:r w:rsidRPr="003F17E2" w:rsidR="00822CE0">
        <w:rPr>
          <w:b/>
          <w:spacing w:val="-2"/>
        </w:rPr>
        <w:t xml:space="preserve"> </w:t>
      </w:r>
      <w:r w:rsidRPr="003F17E2">
        <w:rPr>
          <w:b/>
          <w:spacing w:val="-2"/>
        </w:rPr>
        <w:t xml:space="preserve"> </w:t>
      </w:r>
      <w:r w:rsidR="00B25EF6">
        <w:rPr>
          <w:b/>
          <w:spacing w:val="-2"/>
        </w:rPr>
        <w:t>March 28, 2022</w:t>
      </w:r>
    </w:p>
    <w:p w:rsidR="00822CE0" w:rsidRPr="003F17E2" w:rsidP="003F17E2" w14:paraId="31C63126" w14:textId="77777777"/>
    <w:p w:rsidR="004C2EE3" w:rsidP="003F17E2" w14:paraId="1B585008" w14:textId="52807F0A">
      <w:pPr>
        <w:rPr>
          <w:spacing w:val="-2"/>
        </w:rPr>
      </w:pPr>
      <w:r>
        <w:t xml:space="preserve">By </w:t>
      </w:r>
      <w:r w:rsidR="004E4A22">
        <w:t>the</w:t>
      </w:r>
      <w:r w:rsidR="002A2D2E">
        <w:t xml:space="preserve"> </w:t>
      </w:r>
      <w:r w:rsidRPr="003F17E2" w:rsidR="00140750">
        <w:rPr>
          <w:spacing w:val="-2"/>
        </w:rPr>
        <w:t xml:space="preserve">Chief, </w:t>
      </w:r>
      <w:r w:rsidR="00DC5A5B">
        <w:rPr>
          <w:spacing w:val="-2"/>
        </w:rPr>
        <w:t>Video</w:t>
      </w:r>
      <w:r w:rsidRPr="003F17E2" w:rsidR="00140750">
        <w:rPr>
          <w:spacing w:val="-2"/>
        </w:rPr>
        <w:t xml:space="preserve">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747B0" w14:paraId="190707B4" w14:textId="1744BB97">
      <w:pPr>
        <w:pStyle w:val="ParaNum"/>
        <w:rPr>
          <w:szCs w:val="22"/>
        </w:rPr>
      </w:pPr>
      <w:r>
        <w:t xml:space="preserve">The Media Bureau (Bureau) has before it the </w:t>
      </w:r>
      <w:r w:rsidR="00596F9E">
        <w:t xml:space="preserve">above-captioned </w:t>
      </w:r>
      <w:r>
        <w:t>application (Application)</w:t>
      </w:r>
      <w:r w:rsidR="00596F9E">
        <w:t xml:space="preserve"> of</w:t>
      </w:r>
      <w:r>
        <w:t xml:space="preserve"> </w:t>
      </w:r>
      <w:bookmarkStart w:id="0" w:name="_Hlk94684400"/>
      <w:bookmarkStart w:id="1" w:name="_Hlk89869077"/>
      <w:r w:rsidR="00736FAD">
        <w:t>The Estate of Ettie Clark</w:t>
      </w:r>
      <w:r w:rsidR="00CC60FC">
        <w:t xml:space="preserve"> </w:t>
      </w:r>
      <w:bookmarkEnd w:id="0"/>
      <w:r w:rsidR="00CC60FC">
        <w:t>(</w:t>
      </w:r>
      <w:bookmarkEnd w:id="1"/>
      <w:r w:rsidR="00596F9E">
        <w:t>Permittee</w:t>
      </w:r>
      <w:r w:rsidRPr="00DB10EE" w:rsidR="00DB10EE">
        <w:t>)</w:t>
      </w:r>
      <w:r w:rsidR="00221720">
        <w:t>,</w:t>
      </w:r>
      <w:r w:rsidRPr="00DB10EE" w:rsidR="00DB10EE">
        <w:t xml:space="preserve"> for </w:t>
      </w:r>
      <w:r w:rsidR="00596F9E">
        <w:t>a license to cover</w:t>
      </w:r>
      <w:r w:rsidRPr="00DB10EE" w:rsidR="00DB10EE">
        <w:t xml:space="preserve"> </w:t>
      </w:r>
      <w:r w:rsidR="00CC60FC">
        <w:t xml:space="preserve">low power </w:t>
      </w:r>
      <w:r w:rsidR="00DC5A5B">
        <w:t>television</w:t>
      </w:r>
      <w:r w:rsidRPr="00DB10EE" w:rsidR="00DB10EE">
        <w:t xml:space="preserve"> </w:t>
      </w:r>
      <w:r w:rsidR="00CC60FC">
        <w:t xml:space="preserve">(LPTV) </w:t>
      </w:r>
      <w:r w:rsidRPr="00DB10EE" w:rsidR="00DB10EE">
        <w:t>station</w:t>
      </w:r>
      <w:r w:rsidR="00736FAD">
        <w:t xml:space="preserve"> WSFG-LD, Berry, Alabama (WSFG-LD</w:t>
      </w:r>
      <w:r w:rsidR="00CC60FC">
        <w:t xml:space="preserve"> or Station</w:t>
      </w:r>
      <w:r w:rsidRPr="00DB10EE" w:rsidR="00DB10EE">
        <w:t xml:space="preserve">).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3"/>
      </w:r>
      <w:r w:rsidRPr="00947B4D">
        <w:rPr>
          <w:i/>
        </w:rPr>
        <w:t xml:space="preserve"> </w:t>
      </w:r>
      <w:r w:rsidR="00596F9E">
        <w:t xml:space="preserve">we find that the Permittee apparently willfully violated </w:t>
      </w:r>
      <w:r w:rsidR="006255CA">
        <w:t>s</w:t>
      </w:r>
      <w:r w:rsidR="00596F9E">
        <w:t>ection 7</w:t>
      </w:r>
      <w:r w:rsidR="00F27BC4">
        <w:t>4.788</w:t>
      </w:r>
      <w:r>
        <w:rPr>
          <w:rStyle w:val="FootnoteReference"/>
          <w:color w:val="000000"/>
        </w:rPr>
        <w:footnoteReference w:id="4"/>
      </w:r>
      <w:r w:rsidR="00596F9E">
        <w:t xml:space="preserve"> of the Rules by failing to timely file a </w:t>
      </w:r>
      <w:r w:rsidR="00A27808">
        <w:t>l</w:t>
      </w:r>
      <w:r w:rsidR="00596F9E">
        <w:t xml:space="preserve">icense to </w:t>
      </w:r>
      <w:r w:rsidR="00A27808">
        <w:t>c</w:t>
      </w:r>
      <w:r w:rsidR="00596F9E">
        <w:t xml:space="preserve">over </w:t>
      </w:r>
      <w:r w:rsidR="00A27808">
        <w:t>a</w:t>
      </w:r>
      <w:r w:rsidR="00596F9E">
        <w:t>pplication, and willfully and repeatedly violated section 301 of the Act,</w:t>
      </w:r>
      <w:r>
        <w:rPr>
          <w:rStyle w:val="FootnoteReference"/>
          <w:color w:val="000000"/>
        </w:rPr>
        <w:footnoteReference w:id="5"/>
      </w:r>
      <w:r w:rsidR="00596F9E">
        <w:t xml:space="preserve"> by engaging in unauthorized operation of the </w:t>
      </w:r>
      <w:r w:rsidR="00CC60FC">
        <w:t>Station</w:t>
      </w:r>
      <w:r w:rsidR="00596F9E">
        <w:t xml:space="preserve"> after </w:t>
      </w:r>
      <w:r w:rsidR="006255CA">
        <w:t>its</w:t>
      </w:r>
      <w:r w:rsidR="00596F9E">
        <w:t xml:space="preserve"> construction permit had expired.  Based upon our review of the facts and circumstances before us, we conclude that the Permittee </w:t>
      </w:r>
      <w:r w:rsidR="00C27060">
        <w:t xml:space="preserve">is </w:t>
      </w:r>
      <w:r w:rsidR="00596F9E">
        <w:t xml:space="preserve">apparently liable for a monetary forfeiture in the amount of </w:t>
      </w:r>
      <w:r w:rsidR="00736FAD">
        <w:t>six</w:t>
      </w:r>
      <w:r w:rsidR="00596F9E">
        <w:t xml:space="preserve"> thousand </w:t>
      </w:r>
      <w:r w:rsidR="00C27060">
        <w:t>five hundred d</w:t>
      </w:r>
      <w:r w:rsidR="00596F9E">
        <w:t>ollars ($</w:t>
      </w:r>
      <w:r w:rsidR="00736FAD">
        <w:t>6</w:t>
      </w:r>
      <w:r w:rsidR="00596F9E">
        <w:t>,500)</w:t>
      </w:r>
      <w:r w:rsidR="00596F9E">
        <w:rPr>
          <w:szCs w:val="22"/>
        </w:rPr>
        <w:t>.</w:t>
      </w:r>
    </w:p>
    <w:p w:rsidR="00140750" w:rsidRPr="00146D8A" w:rsidP="00B978E4" w14:paraId="3DBF3911" w14:textId="77777777">
      <w:pPr>
        <w:pStyle w:val="Heading1"/>
      </w:pPr>
      <w:r w:rsidRPr="00947B4D">
        <w:t>BACKGROUN</w:t>
      </w:r>
      <w:r>
        <w:t>D</w:t>
      </w:r>
    </w:p>
    <w:p w:rsidR="004254D2" w:rsidRPr="00F85070" w:rsidP="00716FA8" w14:paraId="3F7D4130" w14:textId="7DC5E877">
      <w:pPr>
        <w:pStyle w:val="ParaNum"/>
      </w:pPr>
      <w:r>
        <w:t>The Bureau issued Permittee a</w:t>
      </w:r>
      <w:r w:rsidR="006A2A9F">
        <w:t xml:space="preserve"> displacement</w:t>
      </w:r>
      <w:r>
        <w:t xml:space="preserve"> construction permit</w:t>
      </w:r>
      <w:r w:rsidR="00F85070">
        <w:t xml:space="preserve"> (Displacement CP)</w:t>
      </w:r>
      <w:r>
        <w:rPr>
          <w:rStyle w:val="FootnoteReference"/>
        </w:rPr>
        <w:footnoteReference w:id="6"/>
      </w:r>
      <w:r w:rsidR="00CC60FC">
        <w:t xml:space="preserve"> </w:t>
      </w:r>
      <w:r>
        <w:t xml:space="preserve">for the </w:t>
      </w:r>
      <w:r w:rsidR="00CC60FC">
        <w:t>LPTV station</w:t>
      </w:r>
      <w:r>
        <w:t xml:space="preserve"> on </w:t>
      </w:r>
      <w:r w:rsidR="006A2A9F">
        <w:t>June 20, 2018</w:t>
      </w:r>
      <w:r>
        <w:t>, with an expiration date of J</w:t>
      </w:r>
      <w:r w:rsidR="00C30C7E">
        <w:t>u</w:t>
      </w:r>
      <w:r w:rsidR="006A2A9F">
        <w:t>ne 20</w:t>
      </w:r>
      <w:r>
        <w:t>, 2021.</w:t>
      </w:r>
      <w:r w:rsidRPr="001F365E" w:rsidR="00CC60FC">
        <w:rPr>
          <w:snapToGrid/>
          <w:kern w:val="0"/>
          <w:szCs w:val="22"/>
        </w:rPr>
        <w:t xml:space="preserve">  </w:t>
      </w:r>
      <w:r w:rsidR="00275A56">
        <w:t>However, Permittee</w:t>
      </w:r>
      <w:r w:rsidR="00C27060">
        <w:t xml:space="preserve"> </w:t>
      </w:r>
      <w:r w:rsidR="00275A56">
        <w:t xml:space="preserve">did </w:t>
      </w:r>
      <w:r w:rsidR="001F365E">
        <w:t xml:space="preserve">not </w:t>
      </w:r>
      <w:r w:rsidR="00275A56">
        <w:t>file a</w:t>
      </w:r>
      <w:r w:rsidR="00FE5C99">
        <w:t xml:space="preserve">n application for license to cover </w:t>
      </w:r>
      <w:r w:rsidR="00275A56">
        <w:t xml:space="preserve">by </w:t>
      </w:r>
      <w:r w:rsidR="007E569D">
        <w:t>J</w:t>
      </w:r>
      <w:r w:rsidR="00C30C7E">
        <w:t>u</w:t>
      </w:r>
      <w:r w:rsidR="006A2A9F">
        <w:t>ne 20, 2021</w:t>
      </w:r>
      <w:r w:rsidR="00275A56">
        <w:t>, and the</w:t>
      </w:r>
      <w:r w:rsidR="00A41060">
        <w:t xml:space="preserve"> </w:t>
      </w:r>
      <w:r w:rsidR="00F85070">
        <w:t>Displacement CP</w:t>
      </w:r>
      <w:r w:rsidR="00A41060">
        <w:t xml:space="preserve"> expired on its own terms that day</w:t>
      </w:r>
      <w:r w:rsidR="00275A56">
        <w:t xml:space="preserve"> </w:t>
      </w:r>
      <w:r w:rsidR="00AF350B">
        <w:t>pursuant</w:t>
      </w:r>
      <w:r w:rsidR="00275A56">
        <w:t xml:space="preserve"> to section 7</w:t>
      </w:r>
      <w:r w:rsidR="00C30C7E">
        <w:t>4.788(</w:t>
      </w:r>
      <w:r w:rsidR="00B50636">
        <w:t>b</w:t>
      </w:r>
      <w:r w:rsidR="00C30C7E">
        <w:t>)</w:t>
      </w:r>
      <w:r w:rsidR="00275A56">
        <w:t xml:space="preserve"> of the </w:t>
      </w:r>
      <w:r w:rsidR="001747B0">
        <w:t>R</w:t>
      </w:r>
      <w:r w:rsidR="00F92630">
        <w:t>ules</w:t>
      </w:r>
      <w:r w:rsidR="00A41060">
        <w:t>.</w:t>
      </w:r>
      <w:r>
        <w:rPr>
          <w:bCs/>
          <w:snapToGrid/>
          <w:kern w:val="0"/>
          <w:sz w:val="20"/>
          <w:vertAlign w:val="superscript"/>
        </w:rPr>
        <w:footnoteReference w:id="7"/>
      </w:r>
      <w:r w:rsidR="00A41060">
        <w:t xml:space="preserve"> </w:t>
      </w:r>
      <w:r w:rsidR="00025331">
        <w:t xml:space="preserve"> </w:t>
      </w:r>
      <w:bookmarkStart w:id="2" w:name="_Hlk80302111"/>
      <w:r w:rsidR="00D6392C">
        <w:t xml:space="preserve">Permittee filed the Application on </w:t>
      </w:r>
      <w:r w:rsidR="006A2A9F">
        <w:t xml:space="preserve">December </w:t>
      </w:r>
      <w:r w:rsidR="006A2A9F">
        <w:t>6</w:t>
      </w:r>
      <w:r w:rsidR="004F7274">
        <w:t>, 202</w:t>
      </w:r>
      <w:r w:rsidR="006A2A9F">
        <w:t xml:space="preserve">1 and amendment </w:t>
      </w:r>
      <w:r w:rsidR="00F85070">
        <w:t>on March 7, 2022</w:t>
      </w:r>
      <w:r w:rsidR="004C33DA">
        <w:t>,</w:t>
      </w:r>
      <w:r w:rsidR="00F85070">
        <w:t xml:space="preserve"> wherein the Permittee represents that construction of the facilities set forth in the Displacement CP </w:t>
      </w:r>
      <w:r w:rsidR="004C33DA">
        <w:t xml:space="preserve">were </w:t>
      </w:r>
      <w:r w:rsidR="00F85070">
        <w:t xml:space="preserve">completed </w:t>
      </w:r>
      <w:r w:rsidR="00C02B03">
        <w:t>in the Fall of 2018</w:t>
      </w:r>
      <w:r w:rsidR="004C33DA">
        <w:t>,</w:t>
      </w:r>
      <w:r w:rsidR="00C02B03">
        <w:t xml:space="preserve"> </w:t>
      </w:r>
      <w:r w:rsidR="00F85070">
        <w:t>but that the Permittee inadvertently failed to file a license to cover</w:t>
      </w:r>
      <w:r w:rsidR="00C02B03">
        <w:t xml:space="preserve"> at that time</w:t>
      </w:r>
      <w:r w:rsidR="00F85070">
        <w:t xml:space="preserve">.  Permittee submits documentation to demonstrate that the Displacement CP facilities were constructed and that the Station is currently operating pursuant to those facilities.  </w:t>
      </w:r>
      <w:bookmarkEnd w:id="2"/>
      <w:r w:rsidR="00716FA8">
        <w:t xml:space="preserve">Accordingly, Permittee filed the Application, more than three years after completing construction and almost six months after the Permit expired.  Permittee requests waiver of the rules, reinstatement of the Displacement CP, and grant of the Application.    </w:t>
      </w:r>
    </w:p>
    <w:p w:rsidR="00140750" w:rsidRPr="00146D8A" w:rsidP="004254D2" w14:paraId="663EEE6D" w14:textId="06D89FF5">
      <w:pPr>
        <w:pStyle w:val="Heading1"/>
        <w:rPr>
          <w:szCs w:val="22"/>
        </w:rPr>
      </w:pPr>
      <w:r w:rsidRPr="00753410">
        <w:t>DISCUSSION</w:t>
      </w:r>
    </w:p>
    <w:p w:rsidR="00140750" w:rsidRPr="00146D8A" w:rsidP="001747B0" w14:paraId="174DC642" w14:textId="6C16101D">
      <w:pPr>
        <w:pStyle w:val="ParaNum"/>
      </w:pPr>
      <w:r w:rsidRPr="000B44EA">
        <w:rPr>
          <w:i/>
          <w:color w:val="000000"/>
        </w:rPr>
        <w:t>Proposed Forfeiture</w:t>
      </w:r>
      <w:r w:rsidRPr="000B44EA">
        <w:rPr>
          <w:color w:val="000000"/>
        </w:rPr>
        <w:t xml:space="preserve">. </w:t>
      </w:r>
      <w:r w:rsidRPr="000B44EA" w:rsidR="000B44EA">
        <w:rPr>
          <w:i/>
          <w:iCs/>
          <w:spacing w:val="-3"/>
        </w:rPr>
        <w:t xml:space="preserve"> </w:t>
      </w:r>
      <w:r w:rsidR="00F94259">
        <w:t>T</w:t>
      </w:r>
      <w:r w:rsidR="000B44EA">
        <w:t xml:space="preserve">he </w:t>
      </w:r>
      <w:r w:rsidR="003946B0">
        <w:t>Permittee</w:t>
      </w:r>
      <w:r w:rsidR="000B44EA">
        <w:t xml:space="preserve"> failed to timely file a </w:t>
      </w:r>
      <w:r w:rsidR="00FE5C99">
        <w:t>license to cover</w:t>
      </w:r>
      <w:r w:rsidR="000B44EA">
        <w:t xml:space="preserve"> as required by </w:t>
      </w:r>
      <w:r w:rsidR="00F94259">
        <w:t>s</w:t>
      </w:r>
      <w:r w:rsidR="000B44EA">
        <w:t>ection 7</w:t>
      </w:r>
      <w:r w:rsidR="00F50D67">
        <w:t>4.788</w:t>
      </w:r>
      <w:r w:rsidR="000B44EA">
        <w:t xml:space="preserve"> of the Rules</w:t>
      </w:r>
      <w:r w:rsidR="00F94259">
        <w:t>,</w:t>
      </w:r>
      <w:r>
        <w:rPr>
          <w:rStyle w:val="FootnoteReference"/>
        </w:rPr>
        <w:footnoteReference w:id="8"/>
      </w:r>
      <w:r w:rsidR="00F94259">
        <w:t xml:space="preserve"> and</w:t>
      </w:r>
      <w:r w:rsidR="000B44EA">
        <w:t xml:space="preserve"> continued </w:t>
      </w:r>
      <w:r w:rsidR="0080179B">
        <w:t>Station</w:t>
      </w:r>
      <w:r w:rsidR="000B44EA">
        <w:t xml:space="preserve"> operations with the permitted facilities after the </w:t>
      </w:r>
      <w:r w:rsidR="00F94259">
        <w:t>P</w:t>
      </w:r>
      <w:r w:rsidR="000B44EA">
        <w:t xml:space="preserve">ermit expired on </w:t>
      </w:r>
      <w:r w:rsidR="00F94259">
        <w:t>J</w:t>
      </w:r>
      <w:r w:rsidR="00C30C7E">
        <w:t>u</w:t>
      </w:r>
      <w:r w:rsidR="00C02B03">
        <w:t>ne 20</w:t>
      </w:r>
      <w:r w:rsidR="00F94259">
        <w:t>, 2021</w:t>
      </w:r>
      <w:r w:rsidR="000B44EA">
        <w:t xml:space="preserve">, before </w:t>
      </w:r>
      <w:r w:rsidR="00D3524E">
        <w:t>filing the Application</w:t>
      </w:r>
      <w:r w:rsidR="000B44EA">
        <w:t xml:space="preserve">, and did not seek </w:t>
      </w:r>
      <w:r w:rsidR="00F94259">
        <w:t>special temporary authority</w:t>
      </w:r>
      <w:r w:rsidR="000B44EA">
        <w:t xml:space="preserve"> to operate with those facilities. </w:t>
      </w:r>
      <w:r w:rsidR="001747B0">
        <w:t xml:space="preserve"> </w:t>
      </w:r>
      <w:r w:rsidR="006A1DAF">
        <w:t xml:space="preserve">In its Petition, Permittee stated that it completed construction of the </w:t>
      </w:r>
      <w:r w:rsidR="0080179B">
        <w:t>Station</w:t>
      </w:r>
      <w:r w:rsidR="006A1DAF">
        <w:t xml:space="preserve"> in accordance with the construction permit granted by the Commission and </w:t>
      </w:r>
      <w:r w:rsidR="00C02B03">
        <w:t xml:space="preserve">previously </w:t>
      </w:r>
      <w:r w:rsidR="006A1DAF">
        <w:t>commenced operation of those facilities</w:t>
      </w:r>
      <w:r w:rsidR="00C02B03">
        <w:t xml:space="preserve"> in the Fall of 2018</w:t>
      </w:r>
      <w:r w:rsidR="001747B0">
        <w:t xml:space="preserve">.  Permittee states that it </w:t>
      </w:r>
      <w:r w:rsidR="0080179B">
        <w:t>overlooked</w:t>
      </w:r>
      <w:r w:rsidRPr="00277113" w:rsidR="00277113">
        <w:t xml:space="preserve"> </w:t>
      </w:r>
      <w:r w:rsidR="00C02B03">
        <w:t xml:space="preserve">submitting the license to cover at that time.  </w:t>
      </w:r>
      <w:r w:rsidR="006A1DAF">
        <w:t>I</w:t>
      </w:r>
      <w:r w:rsidRPr="001D7A5D" w:rsidR="006A1DAF">
        <w:t xml:space="preserve">t is well settled that </w:t>
      </w:r>
      <w:r w:rsidR="00C2541D">
        <w:t>administrative oversight is not an excuse for failure to comply with the Commission’s rules.</w:t>
      </w:r>
      <w:r>
        <w:rPr>
          <w:rStyle w:val="FootnoteReference"/>
        </w:rPr>
        <w:footnoteReference w:id="9"/>
      </w:r>
      <w:r w:rsidR="00C2541D">
        <w:t xml:space="preserve"> </w:t>
      </w:r>
      <w:r w:rsidR="006A1DAF">
        <w:t xml:space="preserve"> </w:t>
      </w:r>
      <w:r w:rsidR="00276FFA">
        <w:t>Further</w:t>
      </w:r>
      <w:r w:rsidRPr="00EF5DBB" w:rsidR="00EF5DBB">
        <w:t xml:space="preserve">, </w:t>
      </w:r>
      <w:r w:rsidR="00EF5DBB">
        <w:t>as a result of its late filing</w:t>
      </w:r>
      <w:r w:rsidR="00C11811">
        <w:t>,</w:t>
      </w:r>
      <w:r w:rsidR="00EF5DBB">
        <w:t xml:space="preserve"> </w:t>
      </w:r>
      <w:r w:rsidRPr="00EF5DBB" w:rsidR="00EF5DBB">
        <w:t>Permittee</w:t>
      </w:r>
      <w:r w:rsidR="00EF5DBB">
        <w:t xml:space="preserve"> also</w:t>
      </w:r>
      <w:r w:rsidRPr="00EF5DBB" w:rsidR="00EF5DBB">
        <w:t xml:space="preserve"> engaged in unauthorized operation </w:t>
      </w:r>
      <w:r w:rsidR="000B44EA">
        <w:t xml:space="preserve">in violation of </w:t>
      </w:r>
      <w:r w:rsidR="00D6392C">
        <w:t>s</w:t>
      </w:r>
      <w:r w:rsidR="000B44EA">
        <w:t>ection 301 of the Act.</w:t>
      </w:r>
      <w:r>
        <w:rPr>
          <w:rStyle w:val="FootnoteReference"/>
        </w:rPr>
        <w:footnoteReference w:id="10"/>
      </w:r>
    </w:p>
    <w:p w:rsidR="00D9623F" w:rsidRPr="00146D8A" w:rsidP="00C2541D" w14:paraId="594AEE1B" w14:textId="3DB01573">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w:t>
      </w:r>
      <w:r>
        <w:rPr>
          <w:rStyle w:val="FootnoteReference"/>
          <w:rFonts w:eastAsia="SimSun"/>
        </w:rPr>
        <w:footnoteReference w:id="11"/>
      </w:r>
      <w:r w:rsidRPr="00600AB4">
        <w:rPr>
          <w:rFonts w:eastAsia="SimSun"/>
        </w:rPr>
        <w:t xml:space="preserve">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2"/>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3"/>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4"/>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5"/>
      </w:r>
      <w:r w:rsidR="00BF575C">
        <w:rPr>
          <w:rFonts w:eastAsia="SimSun"/>
        </w:rPr>
        <w:t xml:space="preserve">  </w:t>
      </w:r>
      <w:r w:rsidRPr="008D30C5" w:rsidR="00BF575C">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6"/>
      </w:r>
      <w:r w:rsidRPr="008D30C5" w:rsidR="00BF575C">
        <w:t xml:space="preserve">  </w:t>
      </w:r>
    </w:p>
    <w:p w:rsidR="00D6392C" w:rsidRPr="004E079F" w:rsidP="00D9623F" w14:paraId="50057BAA" w14:textId="4138CF11">
      <w:pPr>
        <w:pStyle w:val="ParaNum"/>
        <w:rPr>
          <w:szCs w:val="22"/>
        </w:rPr>
      </w:pPr>
      <w:r>
        <w:t xml:space="preserve">The Commission's </w:t>
      </w:r>
      <w:r>
        <w:rPr>
          <w:i/>
        </w:rPr>
        <w:t>Forfeiture Policy Statement</w:t>
      </w:r>
      <w:r>
        <w:t xml:space="preserve"> and section 1.80(b)(</w:t>
      </w:r>
      <w:r w:rsidR="000B44EA">
        <w:t>10</w:t>
      </w:r>
      <w:r>
        <w:t>) of the Rules establish a base forfeiture amount of $3,000 for the failure to file a required form.</w:t>
      </w:r>
      <w:r>
        <w:rPr>
          <w:rStyle w:val="FootnoteReference"/>
          <w:szCs w:val="22"/>
        </w:rPr>
        <w:footnoteReference w:id="17"/>
      </w:r>
      <w:r w:rsidR="00BF575C">
        <w:t xml:space="preserve">  The guidelines also specify a base forfeiture amount of $10,000 for construction and/or operation without an instrument of </w:t>
      </w:r>
      <w:r w:rsidR="00BF575C">
        <w:t>authorization for the service.</w:t>
      </w:r>
      <w:r>
        <w:rPr>
          <w:rStyle w:val="FootnoteReference"/>
        </w:rPr>
        <w:footnoteReference w:id="18"/>
      </w:r>
      <w:r w:rsidR="00BF575C">
        <w:t xml:space="preserve">  </w:t>
      </w:r>
      <w:r>
        <w:t>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9"/>
      </w:r>
      <w:r>
        <w:t xml:space="preserve">  </w:t>
      </w:r>
    </w:p>
    <w:p w:rsidR="00140750" w:rsidRPr="00221720" w:rsidP="00FF6072" w14:paraId="36D2D6B7" w14:textId="017BFE20">
      <w:pPr>
        <w:pStyle w:val="ParaNum"/>
        <w:widowControl/>
        <w:rPr>
          <w:color w:val="000000"/>
        </w:rPr>
      </w:pPr>
      <w:r>
        <w:t>Based on our review of the facts and circumstances, we tentatively find that a $</w:t>
      </w:r>
      <w:r w:rsidR="00736FAD">
        <w:t>13</w:t>
      </w:r>
      <w:r w:rsidR="00D6392C">
        <w:t>,000</w:t>
      </w:r>
      <w:r>
        <w:t xml:space="preserve"> </w:t>
      </w:r>
      <w:r w:rsidR="006255CA">
        <w:t xml:space="preserve">base </w:t>
      </w:r>
      <w:r>
        <w:t>forfeiture is appropriate.</w:t>
      </w:r>
      <w:r>
        <w:rPr>
          <w:rStyle w:val="FootnoteReference"/>
        </w:rPr>
        <w:footnoteReference w:id="20"/>
      </w:r>
      <w:r>
        <w:t xml:space="preserve"> </w:t>
      </w:r>
      <w:r w:rsidR="00FE5C99">
        <w:t xml:space="preserve"> The</w:t>
      </w:r>
      <w:r>
        <w:t xml:space="preserve"> </w:t>
      </w:r>
      <w:r>
        <w:t xml:space="preserve">Licensee failed to file a </w:t>
      </w:r>
      <w:r w:rsidR="00BF575C">
        <w:t xml:space="preserve">timely </w:t>
      </w:r>
      <w:r w:rsidR="00FE5C99">
        <w:t xml:space="preserve">license to cover </w:t>
      </w:r>
      <w:r>
        <w:t xml:space="preserve">for the </w:t>
      </w:r>
      <w:r w:rsidR="00C2541D">
        <w:t>Station</w:t>
      </w:r>
      <w:r w:rsidR="00C02B03">
        <w:t xml:space="preserve"> when it completed construction of its Displacement CP facilities in the Fall of 2018</w:t>
      </w:r>
      <w:r w:rsidR="00736FAD">
        <w:t xml:space="preserve">, </w:t>
      </w:r>
      <w:r>
        <w:t xml:space="preserve">and </w:t>
      </w:r>
      <w:r w:rsidR="00DD5602">
        <w:t xml:space="preserve">not only filed its Application nearly six months after its construction permit expired, but </w:t>
      </w:r>
      <w:r>
        <w:t xml:space="preserve">engaged in unauthorized operation of the </w:t>
      </w:r>
      <w:r w:rsidR="00C2541D">
        <w:t>Station</w:t>
      </w:r>
      <w:r w:rsidR="004C33DA">
        <w:t xml:space="preserve"> for over three years</w:t>
      </w:r>
      <w:r>
        <w:t>.</w:t>
      </w:r>
      <w:r>
        <w:t xml:space="preserv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w:t>
      </w:r>
      <w:r w:rsidR="00736FAD">
        <w:rPr>
          <w:szCs w:val="22"/>
        </w:rPr>
        <w:t>6</w:t>
      </w:r>
      <w:r>
        <w:rPr>
          <w:szCs w:val="22"/>
        </w:rPr>
        <w:t>,500 because, as a</w:t>
      </w:r>
      <w:r w:rsidR="00C2541D">
        <w:rPr>
          <w:szCs w:val="22"/>
        </w:rPr>
        <w:t>n LPTV station</w:t>
      </w:r>
      <w:r>
        <w:rPr>
          <w:szCs w:val="22"/>
        </w:rPr>
        <w:t xml:space="preserve">, the </w:t>
      </w:r>
      <w:r w:rsidR="00C2541D">
        <w:rPr>
          <w:szCs w:val="22"/>
        </w:rPr>
        <w:t>Station</w:t>
      </w:r>
      <w:r w:rsidR="006255CA">
        <w:rPr>
          <w:szCs w:val="22"/>
        </w:rPr>
        <w:t xml:space="preserve"> </w:t>
      </w:r>
      <w:r>
        <w:rPr>
          <w:szCs w:val="22"/>
        </w:rPr>
        <w:t>is providing a secondary service.</w:t>
      </w:r>
      <w:r>
        <w:rPr>
          <w:rStyle w:val="FootnoteReference"/>
          <w:szCs w:val="22"/>
        </w:rPr>
        <w:footnoteReference w:id="21"/>
      </w:r>
      <w:r>
        <w:t xml:space="preserve"> </w:t>
      </w:r>
      <w:r w:rsidR="006255CA">
        <w:t xml:space="preserve"> </w:t>
      </w:r>
      <w:r w:rsidR="00117940">
        <w:t>While</w:t>
      </w:r>
      <w:r w:rsidR="004C33DA">
        <w:t xml:space="preserve"> in other cases we have only fined other LPTV licensees $3,500 for similar violations,</w:t>
      </w:r>
      <w:r>
        <w:rPr>
          <w:rStyle w:val="FootnoteReference"/>
        </w:rPr>
        <w:footnoteReference w:id="22"/>
      </w:r>
      <w:r w:rsidR="004C33DA">
        <w:t xml:space="preserve"> we believe an increased amount is warranted here given the </w:t>
      </w:r>
      <w:r w:rsidR="004174DB">
        <w:t>lengthy period</w:t>
      </w:r>
      <w:r w:rsidR="004C33DA">
        <w:t xml:space="preserve"> of time </w:t>
      </w:r>
      <w:r w:rsidR="004174DB">
        <w:t xml:space="preserve">(over three years) </w:t>
      </w:r>
      <w:r w:rsidR="004C33DA">
        <w:t>the station engaged in unauthorized operation</w:t>
      </w:r>
      <w:r w:rsidR="00DD5602">
        <w:t xml:space="preserve"> compared to those other cases</w:t>
      </w:r>
      <w:r w:rsidR="004C33DA">
        <w:t xml:space="preserve">.  Stations are only </w:t>
      </w:r>
      <w:r w:rsidR="00E35CBC">
        <w:t xml:space="preserve">permitted to </w:t>
      </w:r>
      <w:r w:rsidR="00716FA8">
        <w:t>commence operation</w:t>
      </w:r>
      <w:r w:rsidR="004C33DA">
        <w:t xml:space="preserve"> pursuant to a valid instrument of authorization</w:t>
      </w:r>
      <w:r w:rsidR="00E35CBC">
        <w:t xml:space="preserve"> and we find the </w:t>
      </w:r>
      <w:r w:rsidR="004174DB">
        <w:t>L</w:t>
      </w:r>
      <w:r w:rsidR="00E35CBC">
        <w:t xml:space="preserve">icensee’s </w:t>
      </w:r>
      <w:r w:rsidR="004C33DA">
        <w:t xml:space="preserve">failure </w:t>
      </w:r>
      <w:r w:rsidR="00E35CBC">
        <w:t>represents extreme disregard</w:t>
      </w:r>
      <w:r w:rsidR="007070ED">
        <w:t>,</w:t>
      </w:r>
      <w:r w:rsidR="00E35CBC">
        <w:t xml:space="preserve"> </w:t>
      </w:r>
      <w:r w:rsidR="00716FA8">
        <w:t>or at best ignorance</w:t>
      </w:r>
      <w:r w:rsidR="007070ED">
        <w:t>,</w:t>
      </w:r>
      <w:r w:rsidR="00716FA8">
        <w:t xml:space="preserve"> of </w:t>
      </w:r>
      <w:r w:rsidR="00E35CBC">
        <w:t>Commission’s licensing processes</w:t>
      </w:r>
      <w:r w:rsidR="00DD5602">
        <w:t xml:space="preserve"> and the Act itself</w:t>
      </w:r>
      <w:r w:rsidR="00117940">
        <w:t>.</w:t>
      </w:r>
      <w:r w:rsidR="004C33DA">
        <w:t xml:space="preserve">  </w:t>
      </w:r>
      <w:r>
        <w:t>We</w:t>
      </w:r>
      <w:r w:rsidR="009373AE">
        <w:t xml:space="preserve"> </w:t>
      </w:r>
      <w:r w:rsidR="00C11811">
        <w:t xml:space="preserve">will also </w:t>
      </w:r>
      <w:r w:rsidR="00534FDC">
        <w:t xml:space="preserve">grant the Permittees waiver request and waive </w:t>
      </w:r>
      <w:r w:rsidRPr="00C11811" w:rsidR="00C11811">
        <w:t>section 7</w:t>
      </w:r>
      <w:r w:rsidR="00C11811">
        <w:t>4</w:t>
      </w:r>
      <w:r w:rsidRPr="00C11811" w:rsidR="00C11811">
        <w:t>.</w:t>
      </w:r>
      <w:r w:rsidR="00C11811">
        <w:t>788</w:t>
      </w:r>
      <w:r w:rsidRPr="00C11811" w:rsidR="00C11811">
        <w:t xml:space="preserve"> of the Rules</w:t>
      </w:r>
      <w:r w:rsidRPr="009373AE" w:rsidR="009373AE">
        <w:t>,</w:t>
      </w:r>
      <w:r>
        <w:rPr>
          <w:rStyle w:val="FootnoteReference"/>
        </w:rPr>
        <w:footnoteReference w:id="23"/>
      </w:r>
      <w:r w:rsidRPr="009373AE" w:rsidR="009373AE">
        <w:t xml:space="preserve"> reinstate the </w:t>
      </w:r>
      <w:r w:rsidR="00C2541D">
        <w:t>construction p</w:t>
      </w:r>
      <w:r w:rsidRPr="009373AE" w:rsidR="009373AE">
        <w:t>ermit</w:t>
      </w:r>
      <w:r w:rsidR="007E5877">
        <w:t>,</w:t>
      </w:r>
      <w:r w:rsidR="009373AE">
        <w:t xml:space="preserve"> and </w:t>
      </w:r>
      <w:r>
        <w:t xml:space="preserve">grant the Application by separate action upon the conclusion of this forfeiture </w:t>
      </w:r>
      <w:r>
        <w:t>proceeding if there are no issues other than the apparent violation that would preclude grant of the Application.</w:t>
      </w:r>
    </w:p>
    <w:p w:rsidR="00140750" w:rsidRPr="00146D8A" w:rsidP="004174DB" w14:paraId="5183F3D6" w14:textId="77777777">
      <w:pPr>
        <w:pStyle w:val="Heading1"/>
        <w:keepLines/>
      </w:pPr>
      <w:r w:rsidRPr="00947B4D">
        <w:t>ORDERING CLAUSES</w:t>
      </w:r>
    </w:p>
    <w:p w:rsidR="00140750" w:rsidRPr="00146D8A" w:rsidP="004174DB" w14:paraId="4E2E2BE9" w14:textId="6DAA8ACD">
      <w:pPr>
        <w:pStyle w:val="ParaNum"/>
        <w:keepNext/>
        <w:keepLines/>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4"/>
      </w:r>
      <w:r w:rsidRPr="00947B4D">
        <w:t xml:space="preserve"> </w:t>
      </w:r>
      <w:r w:rsidR="00C02B03">
        <w:t>The Estate of Ettie Clark</w:t>
      </w:r>
      <w:r w:rsidRPr="00C2541D" w:rsidR="00C2541D">
        <w:t xml:space="preserve"> </w:t>
      </w:r>
      <w:r w:rsidRPr="00DB10EE" w:rsidR="00DB10EE">
        <w:t xml:space="preserve">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rsidR="00736FAD">
        <w:t>six</w:t>
      </w:r>
      <w:r w:rsidR="003946B0">
        <w:t xml:space="preserve"> </w:t>
      </w:r>
      <w:r>
        <w:t>thousand five hundred dollars (</w:t>
      </w:r>
      <w:r w:rsidRPr="00947B4D">
        <w:t>$</w:t>
      </w:r>
      <w:r w:rsidR="00736FAD">
        <w:t>6</w:t>
      </w:r>
      <w:r>
        <w:t>,500)</w:t>
      </w:r>
      <w:r w:rsidRPr="00947B4D">
        <w:t xml:space="preserve"> for </w:t>
      </w:r>
      <w:r w:rsidR="00943ACD">
        <w:t>its</w:t>
      </w:r>
      <w:r w:rsidR="00F67AFF">
        <w:t xml:space="preserve"> </w:t>
      </w:r>
      <w:r>
        <w:t>apparent willful violation of section 7</w:t>
      </w:r>
      <w:r w:rsidR="00467CEE">
        <w:t>4.788</w:t>
      </w:r>
      <w:r w:rsidRPr="00947B4D">
        <w:t xml:space="preserve"> of the</w:t>
      </w:r>
      <w:r>
        <w:t xml:space="preserve"> </w:t>
      </w:r>
      <w:r w:rsidRPr="00947B4D">
        <w:t xml:space="preserve">Commission’s </w:t>
      </w:r>
      <w:r>
        <w:t>r</w:t>
      </w:r>
      <w:r w:rsidRPr="00947B4D">
        <w:t>ules</w:t>
      </w:r>
      <w:r w:rsidR="00B3712A">
        <w:t xml:space="preserve"> and section 301 of the Communications Act of 1934, as amended</w:t>
      </w:r>
      <w:r w:rsidRPr="00947B4D">
        <w:t>.</w:t>
      </w:r>
      <w:r>
        <w:rPr>
          <w:rStyle w:val="FootnoteReference"/>
        </w:rPr>
        <w:footnoteReference w:id="25"/>
      </w:r>
    </w:p>
    <w:p w:rsidR="00140750" w:rsidRPr="00146D8A" w:rsidP="00D9623F" w14:paraId="5C577B4F" w14:textId="56F4BFEB">
      <w:pPr>
        <w:pStyle w:val="ParaNum"/>
      </w:pPr>
      <w:r w:rsidRPr="003F17E2">
        <w:rPr>
          <w:b/>
        </w:rPr>
        <w:t>IT IS FURTHER ORDERED</w:t>
      </w:r>
      <w:r w:rsidRPr="00947B4D">
        <w:t xml:space="preserve">, pursuant to </w:t>
      </w:r>
      <w:r>
        <w:t>s</w:t>
      </w:r>
      <w:r w:rsidRPr="00947B4D">
        <w:t xml:space="preserve">ection 1.80 of the Commission’s </w:t>
      </w:r>
      <w:r>
        <w:t>r</w:t>
      </w:r>
      <w:r w:rsidRPr="00947B4D">
        <w:t>ules,</w:t>
      </w:r>
      <w:r>
        <w:rPr>
          <w:rStyle w:val="FootnoteReference"/>
        </w:rPr>
        <w:footnoteReference w:id="26"/>
      </w:r>
      <w:r w:rsidRPr="00947B4D">
        <w:t xml:space="preserve"> that, within thirty (30) days of the release date of this </w:t>
      </w:r>
      <w:r w:rsidRPr="00947B4D">
        <w:rPr>
          <w:i/>
        </w:rPr>
        <w:t>NAL</w:t>
      </w:r>
      <w:r>
        <w:rPr>
          <w:i/>
        </w:rPr>
        <w:t>,</w:t>
      </w:r>
      <w:r w:rsidR="00F11399">
        <w:rPr>
          <w:i/>
        </w:rPr>
        <w:t xml:space="preserve"> </w:t>
      </w:r>
      <w:r w:rsidR="00C02B03">
        <w:rPr>
          <w:iCs/>
        </w:rPr>
        <w:t>The Estate of Ettie Clark</w:t>
      </w:r>
      <w:r w:rsidRPr="00C2541D" w:rsidR="00C2541D">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B978E4" w:rsidRPr="00BE3744" w:rsidP="00D9623F" w14:paraId="13581B7B" w14:textId="475E5A36">
      <w:pPr>
        <w:pStyle w:val="ParaNum"/>
      </w:pPr>
      <w:r w:rsidRPr="00514C8E">
        <w:t xml:space="preserve">Payment of the </w:t>
      </w:r>
      <w:r w:rsidR="00FC07F1">
        <w:t>forfeiture</w:t>
      </w:r>
      <w:r w:rsidRPr="00514C8E">
        <w:t xml:space="preserve"> must be made by credit card, ACH (Automated Clearing House) debit from a bank account using </w:t>
      </w:r>
      <w:r>
        <w:t>CORES</w:t>
      </w:r>
      <w:r w:rsidRPr="00514C8E">
        <w:t xml:space="preserve"> (the Commission’s online payment system),</w:t>
      </w:r>
      <w:r>
        <w:rPr>
          <w:rStyle w:val="FootnoteReference"/>
          <w:szCs w:val="22"/>
        </w:rPr>
        <w:footnoteReference w:id="27"/>
      </w:r>
      <w:r w:rsidRPr="00514C8E">
        <w:t xml:space="preserve"> or by wire transfer.  </w:t>
      </w:r>
      <w:r>
        <w:t>P</w:t>
      </w:r>
      <w:r w:rsidRPr="00514C8E">
        <w:t>ayments by check or money order</w:t>
      </w:r>
      <w:r>
        <w:t xml:space="preserve"> to pay </w:t>
      </w:r>
      <w:r w:rsidR="00FC07F1">
        <w:t xml:space="preserve">a forfeiture </w:t>
      </w:r>
      <w:r>
        <w:t>are no longer accepted</w:t>
      </w:r>
      <w:r w:rsidRPr="00514C8E">
        <w:t>.  Below are instructions that payors should follow based on the form of payment selected:</w:t>
      </w:r>
      <w:r>
        <w:rPr>
          <w:rStyle w:val="FootnoteReference"/>
          <w:szCs w:val="22"/>
        </w:rPr>
        <w:footnoteReference w:id="28"/>
      </w:r>
      <w:r w:rsidRPr="00514C8E">
        <w:t xml:space="preserve"> </w:t>
      </w:r>
    </w:p>
    <w:p w:rsidR="00B978E4" w:rsidRPr="00514C8E" w:rsidP="00D9623F" w14:paraId="3622F3DC" w14:textId="77777777">
      <w:pPr>
        <w:widowControl/>
        <w:numPr>
          <w:ilvl w:val="0"/>
          <w:numId w:val="7"/>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B978E4" w:rsidRPr="00D9623F" w:rsidP="00D9623F" w14:paraId="75F1FEE8" w14:textId="431C986A">
      <w:pPr>
        <w:pStyle w:val="ParaNum"/>
        <w:widowControl/>
        <w:numPr>
          <w:ilvl w:val="0"/>
          <w:numId w:val="7"/>
        </w:num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B978E4" w:rsidRPr="00D9623F" w:rsidP="00D9623F" w14:paraId="5FCD0F21" w14:textId="755E21C1">
      <w:pPr>
        <w:pStyle w:val="ParaNum"/>
        <w:widowControl/>
        <w:numPr>
          <w:ilvl w:val="0"/>
          <w:numId w:val="12"/>
        </w:numPr>
        <w:ind w:left="1080"/>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C11811"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30"/>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9" w:history="1">
        <w:r w:rsidRPr="00264220">
          <w:rPr>
            <w:rStyle w:val="Hyperlink"/>
          </w:rPr>
          <w:t>ARINQUIRIES@fcc.gov</w:t>
        </w:r>
      </w:hyperlink>
      <w:r w:rsidRPr="00264220">
        <w:t>.</w:t>
      </w:r>
    </w:p>
    <w:p w:rsidR="00EF5DBB" w:rsidP="00C11811" w14:paraId="3EEA7E39" w14:textId="4973F937">
      <w:pPr>
        <w:pStyle w:val="ParaNum"/>
      </w:pPr>
      <w:r w:rsidRPr="00EF5DBB">
        <w:t>Any written response seeking reduction or cancellation of the proposed forfeiture must include a detailed factual statement supported by appropriate documentation and affidavits pursuant to sections 1.16 and 1.80(</w:t>
      </w:r>
      <w:r w:rsidRPr="00EF5DBB" w:rsidR="001C5F2F">
        <w:t>g</w:t>
      </w:r>
      <w:r w:rsidRPr="00EF5DBB">
        <w:t>)(3) of the Commission’s rules.</w:t>
      </w:r>
      <w:r>
        <w:rPr>
          <w:rStyle w:val="FootnoteReference"/>
          <w:szCs w:val="22"/>
        </w:rPr>
        <w:footnoteReference w:id="31"/>
      </w:r>
      <w:r w:rsidRPr="00EF5DBB">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Shaun Maher, Attorney</w:t>
      </w:r>
      <w:r w:rsidRPr="00947B4D">
        <w:t xml:space="preserve">, </w:t>
      </w:r>
      <w:r>
        <w:t>Video</w:t>
      </w:r>
      <w:r w:rsidRPr="00947B4D">
        <w:t xml:space="preserve"> Division, Media Bureau, and </w:t>
      </w:r>
      <w:r w:rsidRPr="00EF5DBB">
        <w:rPr>
          <w:b/>
        </w:rPr>
        <w:t>MUST INCLUDE</w:t>
      </w:r>
      <w:r w:rsidRPr="00947B4D">
        <w:t xml:space="preserve"> the NAL/Acct. No. referenced above.</w:t>
      </w:r>
      <w:r>
        <w:t xml:space="preserve">  </w:t>
      </w:r>
      <w:r w:rsidRPr="00EF5DBB">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32"/>
      </w:r>
      <w:r>
        <w:t xml:space="preserve"> </w:t>
      </w:r>
      <w:r w:rsidRPr="00514C8E">
        <w:t xml:space="preserve">A courtesy copy </w:t>
      </w:r>
      <w:r>
        <w:t xml:space="preserve">should also be </w:t>
      </w:r>
      <w:r w:rsidRPr="00514C8E">
        <w:t xml:space="preserve">emailed to </w:t>
      </w:r>
      <w:hyperlink r:id="rId10" w:history="1">
        <w:r w:rsidRPr="007E5877">
          <w:rPr>
            <w:rStyle w:val="Hyperlink"/>
            <w:szCs w:val="22"/>
          </w:rPr>
          <w:t>Shaun.Maher@fcc.gov</w:t>
        </w:r>
      </w:hyperlink>
      <w:r w:rsidRPr="00514C8E">
        <w:t xml:space="preserve"> </w:t>
      </w:r>
      <w:r>
        <w:t>to</w:t>
      </w:r>
      <w:r w:rsidRPr="00514C8E">
        <w:t xml:space="preserve"> assist in processing the response.</w:t>
      </w:r>
    </w:p>
    <w:p w:rsidR="00C6145C" w:rsidRPr="00C6145C" w:rsidP="004254D2" w14:paraId="68143363" w14:textId="77777777">
      <w:pPr>
        <w:pStyle w:val="ParaNum"/>
        <w:widowControl/>
        <w:numPr>
          <w:ilvl w:val="0"/>
          <w:numId w:val="10"/>
        </w:numPr>
        <w:tabs>
          <w:tab w:val="num" w:pos="1440"/>
        </w:tabs>
      </w:pPr>
      <w:r w:rsidRPr="00C6145C">
        <w:t xml:space="preserve">Commercial overnight mail (other than U.S. Postal Service Express Mail and Priority Mail) must be sent to 9050 Junction Drive, Annapolis Junction, MD 20701. </w:t>
      </w:r>
    </w:p>
    <w:p w:rsidR="00140750" w:rsidP="00C6145C" w14:paraId="70F00440" w14:textId="116B0FAD">
      <w:pPr>
        <w:pStyle w:val="ParaNum"/>
        <w:numPr>
          <w:ilvl w:val="0"/>
          <w:numId w:val="10"/>
        </w:numPr>
      </w:pPr>
      <w:r w:rsidRPr="00C6145C">
        <w:t>Postal Service first-class, Express, and Priority mail must be addressed to 45 L Street, NE, Washington, DC 20554.</w:t>
      </w:r>
    </w:p>
    <w:p w:rsidR="00D9623F" w:rsidRPr="00146D8A" w:rsidP="00C2541D" w14:paraId="3CEC5587" w14:textId="2D0192C9">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33"/>
      </w:r>
      <w:r w:rsidRPr="005F7F74" w:rsidR="005F7F74">
        <w:t xml:space="preserve">  </w:t>
      </w:r>
    </w:p>
    <w:p w:rsidR="004E079F" w:rsidRPr="008D4F70" w:rsidP="007070ED" w14:paraId="108E6BD5" w14:textId="313F0C48">
      <w:pPr>
        <w:pStyle w:val="ParaNum"/>
        <w:keepNext/>
        <w:keepLines/>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5A4E21">
        <w:t>The Estate of Ettie Clark,  660 County Road 123, Berry, Alabama 35546</w:t>
      </w:r>
      <w:r w:rsidR="007A58D9">
        <w:t xml:space="preserve">, as well as </w:t>
      </w:r>
      <w:r w:rsidR="00FC07F1">
        <w:t>e-mailed to</w:t>
      </w:r>
      <w:r w:rsidR="00C2541D">
        <w:t xml:space="preserve"> </w:t>
      </w:r>
      <w:hyperlink r:id="rId11" w:history="1">
        <w:r w:rsidRPr="00241F3E" w:rsidR="005A4E21">
          <w:rPr>
            <w:rStyle w:val="Hyperlink"/>
          </w:rPr>
          <w:t>j2wilsonbrown@yahoo.com</w:t>
        </w:r>
      </w:hyperlink>
      <w:r w:rsidR="007A58D9">
        <w:rPr>
          <w:rStyle w:val="Hyperlink"/>
        </w:rPr>
        <w:t xml:space="preserve">, </w:t>
      </w:r>
      <w:r w:rsidR="007A58D9">
        <w:t xml:space="preserve">and to its counsel, </w:t>
      </w:r>
      <w:r w:rsidR="005A4E21">
        <w:t>Dan J Alpert, Esq., 2120 21st Rd. N, Arlington, VA 22201</w:t>
      </w:r>
      <w:r w:rsidR="007A58D9">
        <w:t>, as well as e-mailed t</w:t>
      </w:r>
      <w:r w:rsidR="005A4E21">
        <w:t xml:space="preserve">o </w:t>
      </w:r>
      <w:hyperlink r:id="rId12" w:history="1">
        <w:r w:rsidRPr="00241F3E" w:rsidR="005A4E21">
          <w:rPr>
            <w:rStyle w:val="Hyperlink"/>
          </w:rPr>
          <w:t>DJA@COMMLAW.TV</w:t>
        </w:r>
      </w:hyperlink>
      <w:r w:rsidR="005A4E21">
        <w:t>.</w:t>
      </w:r>
      <w:r w:rsidR="007A58D9">
        <w:t xml:space="preserve"> </w:t>
      </w:r>
    </w:p>
    <w:p w:rsidR="00E80F48" w:rsidP="007070ED" w14:paraId="1F0D33F4" w14:textId="77777777">
      <w:pPr>
        <w:keepNext/>
        <w:keepLines/>
      </w:pPr>
    </w:p>
    <w:p w:rsidR="00E80F48" w:rsidP="007070ED" w14:paraId="7C7A16C4" w14:textId="77777777">
      <w:pPr>
        <w:keepNext/>
        <w:keepLines/>
      </w:pPr>
    </w:p>
    <w:p w:rsidR="00140750" w:rsidP="007070ED" w14:paraId="0D7BDCF6" w14:textId="588EE1D2">
      <w:pPr>
        <w:keepNext/>
        <w:keepLines/>
      </w:pPr>
      <w:r>
        <w:tab/>
      </w:r>
      <w:r>
        <w:tab/>
      </w:r>
      <w:r>
        <w:tab/>
      </w:r>
      <w:r>
        <w:tab/>
      </w:r>
      <w:r>
        <w:tab/>
      </w:r>
      <w:r>
        <w:tab/>
        <w:t>FEDERAL COMMUNICATIONS COMMISSION</w:t>
      </w:r>
    </w:p>
    <w:p w:rsidR="00140750" w:rsidP="007070ED" w14:paraId="63D88502" w14:textId="77777777">
      <w:pPr>
        <w:keepNext/>
        <w:keepLines/>
      </w:pPr>
    </w:p>
    <w:p w:rsidR="00140750" w:rsidP="007070ED" w14:paraId="04738E0C" w14:textId="5FADBAF7">
      <w:pPr>
        <w:keepNext/>
        <w:keepLines/>
      </w:pPr>
      <w:r>
        <w:tab/>
      </w:r>
      <w:r>
        <w:tab/>
      </w:r>
      <w:r>
        <w:tab/>
      </w:r>
      <w:r>
        <w:tab/>
      </w:r>
      <w:r>
        <w:tab/>
      </w:r>
      <w:r>
        <w:tab/>
      </w:r>
    </w:p>
    <w:p w:rsidR="00140750" w:rsidP="007070ED" w14:paraId="587691EB" w14:textId="77777777">
      <w:pPr>
        <w:keepNext/>
        <w:keepLines/>
      </w:pPr>
    </w:p>
    <w:p w:rsidR="00140750" w:rsidP="007070ED" w14:paraId="57C8D643" w14:textId="73AA9803">
      <w:pPr>
        <w:keepNext/>
        <w:keepLines/>
      </w:pPr>
      <w:r>
        <w:tab/>
      </w:r>
      <w:r>
        <w:tab/>
      </w:r>
      <w:r>
        <w:tab/>
      </w:r>
      <w:r>
        <w:tab/>
      </w:r>
      <w:r>
        <w:tab/>
      </w:r>
      <w:r>
        <w:tab/>
      </w:r>
      <w:r w:rsidR="004E079F">
        <w:t>Barbara A. Kreisman</w:t>
      </w:r>
    </w:p>
    <w:p w:rsidR="00140750" w:rsidP="007070ED" w14:paraId="4ED0A5C6" w14:textId="7884803F">
      <w:pPr>
        <w:keepNext/>
        <w:keepLines/>
      </w:pPr>
      <w:r>
        <w:tab/>
      </w:r>
      <w:r>
        <w:tab/>
      </w:r>
      <w:r>
        <w:tab/>
      </w:r>
      <w:r>
        <w:tab/>
      </w:r>
      <w:r>
        <w:tab/>
      </w:r>
      <w:r>
        <w:tab/>
        <w:t xml:space="preserve">Chief, </w:t>
      </w:r>
      <w:r w:rsidR="00652009">
        <w:t>Video</w:t>
      </w:r>
      <w:r>
        <w:t xml:space="preserve"> Division</w:t>
      </w:r>
    </w:p>
    <w:p w:rsidR="00412FC5" w:rsidP="007070ED" w14:paraId="5A1D65FF" w14:textId="4414A7C5">
      <w:pPr>
        <w:keepNext/>
        <w:keepLines/>
      </w:pPr>
      <w:r>
        <w:tab/>
      </w:r>
      <w:r>
        <w:tab/>
      </w:r>
      <w:r>
        <w:tab/>
      </w:r>
      <w:r>
        <w:tab/>
      </w:r>
      <w:r>
        <w:tab/>
      </w:r>
      <w:r>
        <w:tab/>
        <w:t>Media Bureau</w:t>
      </w:r>
    </w:p>
    <w:sectPr w:rsidSect="00DC5A5B">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4561" w14:paraId="641AC020" w14:textId="77777777">
      <w:r>
        <w:separator/>
      </w:r>
    </w:p>
  </w:footnote>
  <w:footnote w:type="continuationSeparator" w:id="1">
    <w:p w:rsidR="00164561" w:rsidP="00C721AC" w14:paraId="2B5B4EA6" w14:textId="77777777">
      <w:pPr>
        <w:spacing w:before="120"/>
        <w:rPr>
          <w:sz w:val="20"/>
        </w:rPr>
      </w:pPr>
      <w:r>
        <w:rPr>
          <w:sz w:val="20"/>
        </w:rPr>
        <w:t xml:space="preserve">(Continued from previous page)  </w:t>
      </w:r>
      <w:r>
        <w:rPr>
          <w:sz w:val="20"/>
        </w:rPr>
        <w:separator/>
      </w:r>
    </w:p>
  </w:footnote>
  <w:footnote w:type="continuationNotice" w:id="2">
    <w:p w:rsidR="00164561" w:rsidP="00C721AC" w14:paraId="3510FF7A" w14:textId="77777777">
      <w:pPr>
        <w:jc w:val="right"/>
        <w:rPr>
          <w:sz w:val="20"/>
        </w:rPr>
      </w:pPr>
      <w:r>
        <w:rPr>
          <w:sz w:val="20"/>
        </w:rPr>
        <w:t>(continued….)</w:t>
      </w:r>
    </w:p>
  </w:footnote>
  <w:footnote w:id="3">
    <w:p w:rsidR="00140750" w:rsidRPr="000A4DEF" w:rsidP="003F17E2" w14:paraId="512D603B" w14:textId="75DC9899">
      <w:pPr>
        <w:pStyle w:val="FootnoteText"/>
        <w:widowControl w:val="0"/>
      </w:pPr>
      <w:r w:rsidRPr="000A4DEF">
        <w:rPr>
          <w:rStyle w:val="FootnoteReference"/>
        </w:rPr>
        <w:footnoteRef/>
      </w:r>
      <w:r w:rsidRPr="000A4DEF">
        <w:t xml:space="preserve"> This </w:t>
      </w:r>
      <w:r w:rsidRPr="000A4DEF">
        <w:rPr>
          <w:i/>
        </w:rPr>
        <w:t xml:space="preserve">NAL </w:t>
      </w:r>
      <w:r w:rsidRPr="000A4DEF">
        <w:t xml:space="preserve">is issued pursuant to sections 309(k) and 503(b) of the Communications Act of 1934, as amended (Act), and section 1.80 of the Commission’s rules (Rules).  </w:t>
      </w:r>
      <w:r w:rsidRPr="000A4DEF">
        <w:rPr>
          <w:i/>
        </w:rPr>
        <w:t>See</w:t>
      </w:r>
      <w:r w:rsidRPr="000A4DEF">
        <w:t xml:space="preserve"> 47 U.S.C. §§ 309(k), 503(b); 47 CFR § 1.80.  The Bureau has delegated authority to issue the </w:t>
      </w:r>
      <w:r w:rsidRPr="000A4DEF">
        <w:rPr>
          <w:i/>
          <w:iCs/>
        </w:rPr>
        <w:t>NAL</w:t>
      </w:r>
      <w:r w:rsidRPr="000A4DEF">
        <w:t xml:space="preserve"> under section 0.283 of the </w:t>
      </w:r>
      <w:r w:rsidRPr="000A4DEF" w:rsidR="00C6145C">
        <w:t>Rules</w:t>
      </w:r>
      <w:r w:rsidRPr="000A4DEF">
        <w:t xml:space="preserve">.  </w:t>
      </w:r>
      <w:r w:rsidRPr="000A4DEF">
        <w:rPr>
          <w:i/>
        </w:rPr>
        <w:t>See</w:t>
      </w:r>
      <w:r w:rsidRPr="000A4DEF">
        <w:t xml:space="preserve"> 47 CFR § 0.283.</w:t>
      </w:r>
    </w:p>
  </w:footnote>
  <w:footnote w:id="4">
    <w:p w:rsidR="00596F9E" w:rsidRPr="000A4DEF" w:rsidP="00596F9E" w14:paraId="60B36F5A" w14:textId="43C79E7C">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iCs/>
          <w:sz w:val="20"/>
        </w:rPr>
        <w:t xml:space="preserve">See </w:t>
      </w:r>
      <w:r w:rsidRPr="000A4DEF">
        <w:rPr>
          <w:sz w:val="20"/>
        </w:rPr>
        <w:t>47 C</w:t>
      </w:r>
      <w:r w:rsidRPr="000A4DEF" w:rsidR="00F27BC4">
        <w:rPr>
          <w:sz w:val="20"/>
        </w:rPr>
        <w:t>FR</w:t>
      </w:r>
      <w:r w:rsidRPr="000A4DEF">
        <w:rPr>
          <w:sz w:val="20"/>
        </w:rPr>
        <w:t xml:space="preserve"> § 7</w:t>
      </w:r>
      <w:r w:rsidRPr="000A4DEF" w:rsidR="00F27BC4">
        <w:rPr>
          <w:sz w:val="20"/>
        </w:rPr>
        <w:t>4.788</w:t>
      </w:r>
      <w:r w:rsidRPr="000A4DEF">
        <w:rPr>
          <w:sz w:val="20"/>
        </w:rPr>
        <w:t>.</w:t>
      </w:r>
    </w:p>
  </w:footnote>
  <w:footnote w:id="5">
    <w:p w:rsidR="00596F9E" w:rsidRPr="000A4DEF" w:rsidP="00596F9E" w14:paraId="180E879C" w14:textId="28E6B4E0">
      <w:pPr>
        <w:shd w:val="clear" w:color="auto" w:fill="FFFFFF"/>
        <w:tabs>
          <w:tab w:val="left" w:pos="125"/>
        </w:tabs>
        <w:spacing w:after="120"/>
        <w:ind w:left="14"/>
        <w:rPr>
          <w:sz w:val="20"/>
        </w:rPr>
      </w:pPr>
      <w:r w:rsidRPr="000A4DEF">
        <w:rPr>
          <w:rStyle w:val="FootnoteReference"/>
        </w:rPr>
        <w:footnoteRef/>
      </w:r>
      <w:r w:rsidRPr="000A4DEF">
        <w:rPr>
          <w:sz w:val="20"/>
        </w:rPr>
        <w:t xml:space="preserve"> </w:t>
      </w:r>
      <w:r w:rsidRPr="000A4DEF">
        <w:rPr>
          <w:i/>
          <w:sz w:val="20"/>
        </w:rPr>
        <w:t>See</w:t>
      </w:r>
      <w:r w:rsidRPr="000A4DEF">
        <w:rPr>
          <w:sz w:val="20"/>
        </w:rPr>
        <w:t xml:space="preserve"> 47 U.S.C. § 301.</w:t>
      </w:r>
    </w:p>
  </w:footnote>
  <w:footnote w:id="6">
    <w:p w:rsidR="00CC60FC" w:rsidRPr="000A4DEF" w:rsidP="00CC60FC" w14:paraId="6FD977BB" w14:textId="50C4F5EB">
      <w:pPr>
        <w:pStyle w:val="FootnoteText"/>
      </w:pPr>
      <w:r w:rsidRPr="000A4DEF">
        <w:rPr>
          <w:rStyle w:val="FootnoteReference"/>
        </w:rPr>
        <w:footnoteRef/>
      </w:r>
      <w:r w:rsidRPr="000A4DEF">
        <w:t xml:space="preserve"> </w:t>
      </w:r>
      <w:r w:rsidRPr="000A4DEF">
        <w:rPr>
          <w:i/>
          <w:iCs/>
        </w:rPr>
        <w:t>See</w:t>
      </w:r>
      <w:r w:rsidR="006A2A9F">
        <w:t xml:space="preserve"> LMS File No. </w:t>
      </w:r>
      <w:r w:rsidRPr="006A2A9F" w:rsidR="006A2A9F">
        <w:t>0000029418</w:t>
      </w:r>
      <w:r w:rsidRPr="000A4DEF">
        <w:t>.</w:t>
      </w:r>
    </w:p>
  </w:footnote>
  <w:footnote w:id="7">
    <w:p w:rsidR="00A41060" w:rsidRPr="000A4DEF" w:rsidP="00A41060" w14:paraId="4353A7E7" w14:textId="2429C85D">
      <w:pPr>
        <w:pStyle w:val="FootnoteText"/>
      </w:pPr>
      <w:r w:rsidRPr="000A4DEF">
        <w:rPr>
          <w:rStyle w:val="FootnoteReference"/>
        </w:rPr>
        <w:footnoteRef/>
      </w:r>
      <w:r w:rsidRPr="000A4DEF">
        <w:t xml:space="preserve"> 47 CFR § 7</w:t>
      </w:r>
      <w:r w:rsidRPr="000A4DEF" w:rsidR="00C30C7E">
        <w:t>4.788(</w:t>
      </w:r>
      <w:r w:rsidRPr="000A4DEF" w:rsidR="00B50636">
        <w:t>b</w:t>
      </w:r>
      <w:r w:rsidRPr="000A4DEF" w:rsidR="00C30C7E">
        <w:t>)</w:t>
      </w:r>
      <w:r w:rsidRPr="000A4DEF">
        <w:t>.</w:t>
      </w:r>
      <w:r w:rsidRPr="000A4DEF" w:rsidR="00276FFA">
        <w:t xml:space="preserve">  We note that because the construction permit had not yet been canceled in LMS the Station was able to file a license to cover application against its expired permit.  Cancellation of a station’s construction permit and deletion of its call sign by Media Bureau (Bureau) staff in the Licensing and Management System (LMS) is an administerial function and does not constitute an official Commission action nor require any affirmative cancellation by the Commission.  </w:t>
      </w:r>
      <w:r w:rsidRPr="000A4DEF" w:rsidR="00276FFA">
        <w:rPr>
          <w:i/>
          <w:iCs/>
        </w:rPr>
        <w:t>See</w:t>
      </w:r>
      <w:r w:rsidRPr="000A4DEF" w:rsidR="00276FFA">
        <w:t xml:space="preserve"> </w:t>
      </w:r>
      <w:r w:rsidRPr="000A4DEF" w:rsidR="00276FFA">
        <w:rPr>
          <w:i/>
          <w:iCs/>
        </w:rPr>
        <w:t>Media Bureau Reminds Remaining Low Power Television and Television Translator Stations that the July 13, 2021 Digital Transition Date and Oher Important Deadlines are One Week Away</w:t>
      </w:r>
      <w:r w:rsidRPr="000A4DEF" w:rsidR="00276FFA">
        <w:t>, Public Notice, DA 21-786 (rel. July 6, 2021); 47 CFR §74.788(b).  As a result, failure by Bureau staff to cancel a construction permit in LMS does not result in an expired construction permit remaining valid.</w:t>
      </w:r>
    </w:p>
  </w:footnote>
  <w:footnote w:id="8">
    <w:p w:rsidR="000A4DEF" w:rsidRPr="000A4DEF" w14:paraId="57524B4E" w14:textId="76651332">
      <w:pPr>
        <w:pStyle w:val="FootnoteText"/>
      </w:pPr>
      <w:r w:rsidRPr="000A4DEF">
        <w:rPr>
          <w:rStyle w:val="FootnoteReference"/>
        </w:rPr>
        <w:footnoteRef/>
      </w:r>
      <w:r w:rsidRPr="000A4DEF">
        <w:t xml:space="preserve"> </w:t>
      </w:r>
      <w:r w:rsidRPr="000A4DEF">
        <w:rPr>
          <w:i/>
          <w:iCs/>
        </w:rPr>
        <w:t>See</w:t>
      </w:r>
      <w:r w:rsidRPr="000A4DEF">
        <w:t xml:space="preserve"> 47 CFR § 74.788.</w:t>
      </w:r>
    </w:p>
  </w:footnote>
  <w:footnote w:id="9">
    <w:p w:rsidR="00C2541D" w:rsidRPr="000A4DEF" w14:paraId="0AF7AFB1" w14:textId="32028EF9">
      <w:pPr>
        <w:pStyle w:val="FootnoteText"/>
      </w:pPr>
      <w:r w:rsidRPr="000A4DEF">
        <w:rPr>
          <w:rStyle w:val="FootnoteReference"/>
        </w:rPr>
        <w:footnoteRef/>
      </w:r>
      <w:r w:rsidRPr="000A4DEF">
        <w:t xml:space="preserve"> </w:t>
      </w:r>
      <w:r w:rsidRPr="000A4DEF">
        <w:rPr>
          <w:i/>
          <w:iCs/>
        </w:rPr>
        <w:t>Townsquare Media of El Paso, Inc., Notice of Apparent Liability for Forfeiture</w:t>
      </w:r>
      <w:r w:rsidRPr="000A4DEF">
        <w:t xml:space="preserve">, 35 FCC Rcd 6661, 6665, para. 5 </w:t>
      </w:r>
      <w:r w:rsidRPr="000A4DEF" w:rsidR="000A4DEF">
        <w:t>and</w:t>
      </w:r>
      <w:r w:rsidRPr="000A4DEF">
        <w:t xml:space="preserve"> n. 37 (EB 2020) (“It is immaterial whether . . . violations were inadvertent, the result of ignorance of the law, or the product of administrative oversight”).</w:t>
      </w:r>
    </w:p>
  </w:footnote>
  <w:footnote w:id="10">
    <w:p w:rsidR="004C33DA" w14:paraId="257520A6" w14:textId="3DF0105A">
      <w:pPr>
        <w:pStyle w:val="FootnoteText"/>
      </w:pPr>
      <w:r>
        <w:rPr>
          <w:rStyle w:val="FootnoteReference"/>
        </w:rPr>
        <w:footnoteRef/>
      </w:r>
      <w:r>
        <w:t xml:space="preserve"> </w:t>
      </w:r>
      <w:r w:rsidRPr="000A4DEF">
        <w:rPr>
          <w:i/>
        </w:rPr>
        <w:t>See</w:t>
      </w:r>
      <w:r w:rsidRPr="000A4DEF">
        <w:t xml:space="preserve"> 47 U.S.C. § 301.</w:t>
      </w:r>
    </w:p>
  </w:footnote>
  <w:footnote w:id="11">
    <w:p w:rsidR="004C33DA" w14:paraId="2733C4EE" w14:textId="733AEF63">
      <w:pPr>
        <w:pStyle w:val="FootnoteText"/>
      </w:pPr>
      <w:r>
        <w:rPr>
          <w:rStyle w:val="FootnoteReference"/>
        </w:rPr>
        <w:footnoteRef/>
      </w:r>
      <w:r>
        <w:t xml:space="preserve"> </w:t>
      </w:r>
      <w:r w:rsidRPr="000A4DEF">
        <w:t>47 U.S.C. § 503(b)(</w:t>
      </w:r>
      <w:r>
        <w:t>1</w:t>
      </w:r>
      <w:r w:rsidRPr="000A4DEF">
        <w:t>)(</w:t>
      </w:r>
      <w:r>
        <w:t>B</w:t>
      </w:r>
      <w:r w:rsidRPr="000A4DEF">
        <w:t>)</w:t>
      </w:r>
      <w:r w:rsidR="00716FA8">
        <w:t>.</w:t>
      </w:r>
    </w:p>
  </w:footnote>
  <w:footnote w:id="12">
    <w:p w:rsidR="00140750" w:rsidRPr="000A4DEF" w:rsidP="003F17E2" w14:paraId="3B0A197D" w14:textId="77777777">
      <w:pPr>
        <w:pStyle w:val="FootnoteText"/>
        <w:widowControl w:val="0"/>
      </w:pPr>
      <w:r w:rsidRPr="000A4DEF">
        <w:rPr>
          <w:rStyle w:val="FootnoteReference"/>
        </w:rPr>
        <w:footnoteRef/>
      </w:r>
      <w:r w:rsidRPr="000A4DEF">
        <w:t xml:space="preserve"> 47 U.S.C. § 503(b)(1)(B).  </w:t>
      </w:r>
      <w:r w:rsidRPr="000A4DEF">
        <w:rPr>
          <w:i/>
        </w:rPr>
        <w:t>S</w:t>
      </w:r>
      <w:r w:rsidRPr="000A4DEF">
        <w:rPr>
          <w:i/>
          <w:iCs/>
        </w:rPr>
        <w:t>ee also</w:t>
      </w:r>
      <w:r w:rsidRPr="000A4DEF">
        <w:t xml:space="preserve"> 47 CFR § 1.80(a)(1).</w:t>
      </w:r>
    </w:p>
  </w:footnote>
  <w:footnote w:id="13">
    <w:p w:rsidR="00140750" w:rsidRPr="000A4DEF" w:rsidP="003F17E2" w14:paraId="0D80A9A7" w14:textId="77777777">
      <w:pPr>
        <w:pStyle w:val="FootnoteText"/>
        <w:widowControl w:val="0"/>
      </w:pPr>
      <w:r w:rsidRPr="000A4DEF">
        <w:rPr>
          <w:rStyle w:val="FootnoteReference"/>
        </w:rPr>
        <w:footnoteRef/>
      </w:r>
      <w:r w:rsidRPr="000A4DEF">
        <w:t xml:space="preserve"> 47 U.S.C. § 312(f)(1).</w:t>
      </w:r>
    </w:p>
  </w:footnote>
  <w:footnote w:id="14">
    <w:p w:rsidR="00140750" w:rsidRPr="000A4DEF" w:rsidP="003F17E2" w14:paraId="1BF92BF5" w14:textId="77777777">
      <w:pPr>
        <w:pStyle w:val="FootnoteText"/>
        <w:widowControl w:val="0"/>
      </w:pPr>
      <w:r w:rsidRPr="000A4DEF">
        <w:rPr>
          <w:rStyle w:val="FootnoteReference"/>
        </w:rPr>
        <w:footnoteRef/>
      </w:r>
      <w:r w:rsidRPr="000A4DEF">
        <w:rPr>
          <w:i/>
        </w:rPr>
        <w:t xml:space="preserve"> See</w:t>
      </w:r>
      <w:r w:rsidRPr="000A4DEF">
        <w:t xml:space="preserve"> H.R. Rep. No. 97-765, 97</w:t>
      </w:r>
      <w:r w:rsidRPr="000A4DEF">
        <w:rPr>
          <w:vertAlign w:val="superscript"/>
        </w:rPr>
        <w:t>th</w:t>
      </w:r>
      <w:r w:rsidRPr="000A4DEF">
        <w:t xml:space="preserve"> Cong. 2d Sess. 51 (1982).</w:t>
      </w:r>
    </w:p>
  </w:footnote>
  <w:footnote w:id="15">
    <w:p w:rsidR="00140750" w:rsidRPr="000A4DEF" w:rsidP="003F17E2" w14:paraId="41182A00" w14:textId="27375176">
      <w:pPr>
        <w:pStyle w:val="FootnoteText"/>
        <w:widowControl w:val="0"/>
      </w:pPr>
      <w:r w:rsidRPr="000A4DEF">
        <w:rPr>
          <w:rStyle w:val="FootnoteReference"/>
        </w:rPr>
        <w:footnoteRef/>
      </w:r>
      <w:r w:rsidRPr="000A4DEF">
        <w:rPr>
          <w:i/>
          <w:iCs/>
        </w:rPr>
        <w:t xml:space="preserve"> See Southern California Broad. Co.</w:t>
      </w:r>
      <w:r w:rsidRPr="000A4DEF">
        <w:t xml:space="preserve">, Memorandum Opinion and Order, 6 FCC Rcd 4387, 4388, para. 5 (1991), </w:t>
      </w:r>
      <w:r w:rsidRPr="000A4DEF">
        <w:rPr>
          <w:i/>
        </w:rPr>
        <w:t>recon. denied</w:t>
      </w:r>
      <w:r w:rsidRPr="000A4DEF">
        <w:t xml:space="preserve">, </w:t>
      </w:r>
      <w:r w:rsidRPr="000A4DEF" w:rsidR="002172BD">
        <w:t xml:space="preserve">Memorandum Opinion and Order, </w:t>
      </w:r>
      <w:r w:rsidRPr="000A4DEF">
        <w:t>7 FCC Rcd 3454 (1992).</w:t>
      </w:r>
    </w:p>
  </w:footnote>
  <w:footnote w:id="16">
    <w:p w:rsidR="00BF575C" w:rsidRPr="000A4DEF" w:rsidP="00BF575C" w14:paraId="331B20AE" w14:textId="77777777">
      <w:pPr>
        <w:pStyle w:val="Footer"/>
        <w:spacing w:after="120"/>
        <w:rPr>
          <w:sz w:val="20"/>
        </w:rPr>
      </w:pPr>
      <w:r w:rsidRPr="000A4DEF">
        <w:rPr>
          <w:rStyle w:val="FootnoteReference"/>
        </w:rPr>
        <w:footnoteRef/>
      </w:r>
      <w:r w:rsidRPr="000A4DEF">
        <w:rPr>
          <w:sz w:val="20"/>
        </w:rPr>
        <w:t xml:space="preserve"> 47 U.S.C. § 312(f)(2). </w:t>
      </w:r>
    </w:p>
  </w:footnote>
  <w:footnote w:id="17">
    <w:p w:rsidR="00140750" w:rsidRPr="000A4DEF" w:rsidP="00140750" w14:paraId="57100D3A" w14:textId="4D7364C1">
      <w:pPr>
        <w:pStyle w:val="Footer"/>
        <w:spacing w:after="120"/>
        <w:rPr>
          <w:sz w:val="20"/>
        </w:rPr>
      </w:pPr>
      <w:r w:rsidRPr="000A4DEF">
        <w:rPr>
          <w:rStyle w:val="FootnoteReference"/>
        </w:rPr>
        <w:footnoteRef/>
      </w:r>
      <w:r w:rsidRPr="000A4DEF">
        <w:rPr>
          <w:sz w:val="20"/>
        </w:rPr>
        <w:t xml:space="preserve"> </w:t>
      </w:r>
      <w:r w:rsidRPr="000A4DEF">
        <w:rPr>
          <w:i/>
          <w:sz w:val="20"/>
        </w:rPr>
        <w:t>See Forfeiture Policy Statement and Amendment of Section 1.80(b) of the Rules to Incorporate the Forfeiture Guidelines</w:t>
      </w:r>
      <w:r w:rsidRPr="000A4DEF">
        <w:rPr>
          <w:sz w:val="20"/>
        </w:rPr>
        <w:t>,</w:t>
      </w:r>
      <w:r w:rsidRPr="000A4DEF">
        <w:rPr>
          <w:i/>
          <w:sz w:val="20"/>
        </w:rPr>
        <w:t xml:space="preserve"> </w:t>
      </w:r>
      <w:r w:rsidRPr="000A4DEF">
        <w:rPr>
          <w:sz w:val="20"/>
        </w:rPr>
        <w:t>Report and Order, 12 FCC Rcd 17087, 17113-15 (1997) (</w:t>
      </w:r>
      <w:r w:rsidRPr="000A4DEF">
        <w:rPr>
          <w:i/>
          <w:sz w:val="20"/>
        </w:rPr>
        <w:t>Forfeiture Policy Statement</w:t>
      </w:r>
      <w:r w:rsidRPr="000A4DEF">
        <w:rPr>
          <w:sz w:val="20"/>
        </w:rPr>
        <w:t xml:space="preserve">), </w:t>
      </w:r>
      <w:r w:rsidRPr="000A4DEF">
        <w:rPr>
          <w:i/>
          <w:sz w:val="20"/>
        </w:rPr>
        <w:t>recon. denied</w:t>
      </w:r>
      <w:r w:rsidRPr="000A4DEF">
        <w:rPr>
          <w:sz w:val="20"/>
        </w:rPr>
        <w:t xml:space="preserve">, </w:t>
      </w:r>
      <w:r w:rsidRPr="000A4DEF" w:rsidR="007B357C">
        <w:rPr>
          <w:sz w:val="20"/>
        </w:rPr>
        <w:t xml:space="preserve">Memorandum Opinion and Order, </w:t>
      </w:r>
      <w:r w:rsidRPr="000A4DEF">
        <w:rPr>
          <w:sz w:val="20"/>
        </w:rPr>
        <w:t>15 FCC Rcd 303 (1999); 47 CFR § 1.80(b)(</w:t>
      </w:r>
      <w:r w:rsidRPr="000A4DEF" w:rsidR="000B44EA">
        <w:rPr>
          <w:sz w:val="20"/>
        </w:rPr>
        <w:t>10</w:t>
      </w:r>
      <w:r w:rsidRPr="000A4DEF">
        <w:rPr>
          <w:sz w:val="20"/>
        </w:rPr>
        <w:t>), note to paragraph (b)(</w:t>
      </w:r>
      <w:r w:rsidRPr="000A4DEF" w:rsidR="000B44EA">
        <w:rPr>
          <w:sz w:val="20"/>
        </w:rPr>
        <w:t>10</w:t>
      </w:r>
      <w:r w:rsidRPr="000A4DEF">
        <w:rPr>
          <w:sz w:val="20"/>
        </w:rPr>
        <w:t>), Section I.</w:t>
      </w:r>
    </w:p>
  </w:footnote>
  <w:footnote w:id="18">
    <w:p w:rsidR="00BF575C" w:rsidRPr="000A4DEF" w:rsidP="00BF575C" w14:paraId="55F9CE8D" w14:textId="77777777">
      <w:pPr>
        <w:shd w:val="clear" w:color="auto" w:fill="FFFFFF"/>
        <w:spacing w:after="120"/>
        <w:rPr>
          <w:sz w:val="20"/>
        </w:rPr>
      </w:pPr>
      <w:r w:rsidRPr="000A4DEF">
        <w:rPr>
          <w:rStyle w:val="FootnoteReference"/>
        </w:rPr>
        <w:footnoteRef/>
      </w:r>
      <w:r w:rsidRPr="000A4DEF">
        <w:rPr>
          <w:sz w:val="20"/>
        </w:rPr>
        <w:t xml:space="preserve"> A broadcast station requires an authorization from the Commission to operate.  </w:t>
      </w:r>
      <w:r w:rsidRPr="000A4DEF">
        <w:rPr>
          <w:i/>
          <w:iCs/>
          <w:sz w:val="20"/>
        </w:rPr>
        <w:t>See</w:t>
      </w:r>
      <w:r w:rsidRPr="000A4DEF">
        <w:rPr>
          <w:sz w:val="20"/>
        </w:rPr>
        <w:t xml:space="preserve"> 47 U.S.C. § 301.</w:t>
      </w:r>
    </w:p>
  </w:footnote>
  <w:footnote w:id="19">
    <w:p w:rsidR="00140750" w:rsidRPr="000A4DEF" w:rsidP="003F17E2" w14:paraId="1DD85200"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Rcd at 17100; 47 CFR § 1.80(b)(4). </w:t>
      </w:r>
    </w:p>
  </w:footnote>
  <w:footnote w:id="20">
    <w:p w:rsidR="00D6392C" w:rsidRPr="000A4DEF" w14:paraId="7726822B" w14:textId="3ADE7DCB">
      <w:pPr>
        <w:pStyle w:val="FootnoteText"/>
      </w:pPr>
      <w:r w:rsidRPr="000A4DEF">
        <w:rPr>
          <w:rStyle w:val="FootnoteReference"/>
        </w:rPr>
        <w:footnoteRef/>
      </w:r>
      <w:r w:rsidRPr="000A4DEF">
        <w:t xml:space="preserve"> </w:t>
      </w:r>
      <w:r w:rsidRPr="000A4DEF">
        <w:rPr>
          <w:i/>
          <w:iCs/>
        </w:rPr>
        <w:t>See e.g.,</w:t>
      </w:r>
      <w:r w:rsidRPr="000A4DEF">
        <w:t xml:space="preserve"> </w:t>
      </w:r>
      <w:r w:rsidRPr="000A4DEF">
        <w:rPr>
          <w:i/>
          <w:iCs/>
        </w:rPr>
        <w:t>WKLC, Inc.</w:t>
      </w:r>
      <w:r w:rsidRPr="000A4DEF">
        <w:t>, Memorandum Opinion and Order and Notice of Apparent Liability</w:t>
      </w:r>
      <w:r w:rsidRPr="000A4DEF" w:rsidR="00FC0CFA">
        <w:t xml:space="preserve">, 26 FCC Rcd 11001 (MB 2011) (proposing $7,000 </w:t>
      </w:r>
      <w:r w:rsidRPr="000A4DEF" w:rsidR="004B5D3F">
        <w:t>forfeiture</w:t>
      </w:r>
      <w:r w:rsidRPr="000A4DEF" w:rsidR="00FC0CFA">
        <w:t xml:space="preserve"> for violation of section 73.3598 of the Rules and section 301 of the Act)</w:t>
      </w:r>
      <w:r w:rsidRPr="000A4DEF" w:rsidR="001C5F2F">
        <w:t xml:space="preserve">.  </w:t>
      </w:r>
      <w:r w:rsidRPr="000A4DEF" w:rsidR="001C5F2F">
        <w:rPr>
          <w:i/>
          <w:iCs/>
        </w:rPr>
        <w:t>See also Clear Channel</w:t>
      </w:r>
      <w:r w:rsidRPr="000A4DEF" w:rsidR="001C5F2F">
        <w:t>, 26 FCC Rcd at 7157 (“</w:t>
      </w:r>
      <w:r w:rsidRPr="000A4DEF" w:rsidR="001C5F2F">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1">
    <w:p w:rsidR="00140750" w:rsidRPr="000A4DEF" w:rsidP="003F17E2" w14:paraId="0ECE7B02" w14:textId="41963791">
      <w:pPr>
        <w:pStyle w:val="FootnoteText"/>
        <w:widowControl w:val="0"/>
      </w:pPr>
      <w:r w:rsidRPr="000A4DEF">
        <w:rPr>
          <w:rStyle w:val="FootnoteReference"/>
        </w:rPr>
        <w:footnoteRef/>
      </w:r>
      <w:r w:rsidRPr="000A4DEF">
        <w:t xml:space="preserve"> </w:t>
      </w:r>
      <w:r w:rsidRPr="000A4DEF">
        <w:rPr>
          <w:i/>
          <w:iCs/>
        </w:rPr>
        <w:t>See e.g.</w:t>
      </w:r>
      <w:r w:rsidRPr="000A4DEF">
        <w:t xml:space="preserve">, </w:t>
      </w:r>
      <w:r w:rsidRPr="000A4DEF">
        <w:rPr>
          <w:i/>
          <w:iCs/>
        </w:rPr>
        <w:t>Pirate Media Group, LLC</w:t>
      </w:r>
      <w:r w:rsidRPr="000A4DEF">
        <w:t>,</w:t>
      </w:r>
      <w:r w:rsidRPr="000A4DEF">
        <w:rPr>
          <w:i/>
          <w:iCs/>
        </w:rPr>
        <w:t xml:space="preserve"> </w:t>
      </w:r>
      <w:r w:rsidRPr="000A4DEF">
        <w:t>Memorandum Opinion and Order and Notice of Apparent Liability, 34 FCC Rcd 12280 (MB 2019) (</w:t>
      </w:r>
      <w:r w:rsidRPr="000A4DEF" w:rsidR="006255CA">
        <w:t>reducing $3,000 base forfeiture to</w:t>
      </w:r>
      <w:r w:rsidRPr="000A4DEF">
        <w:t xml:space="preserve"> $1,500 for untimely filed renewal application </w:t>
      </w:r>
      <w:r w:rsidRPr="000A4DEF" w:rsidR="006255CA">
        <w:t>filed by</w:t>
      </w:r>
      <w:r w:rsidRPr="000A4DEF">
        <w:t xml:space="preserve"> FM translator station).</w:t>
      </w:r>
    </w:p>
  </w:footnote>
  <w:footnote w:id="22">
    <w:p w:rsidR="00716FA8" w:rsidRPr="004174DB" w14:paraId="0BD85538" w14:textId="184225CD">
      <w:pPr>
        <w:pStyle w:val="FootnoteText"/>
      </w:pPr>
      <w:r>
        <w:rPr>
          <w:rStyle w:val="FootnoteReference"/>
        </w:rPr>
        <w:footnoteRef/>
      </w:r>
      <w:r>
        <w:t xml:space="preserve"> </w:t>
      </w:r>
      <w:r w:rsidR="004174DB">
        <w:rPr>
          <w:i/>
          <w:iCs/>
        </w:rPr>
        <w:t>See</w:t>
      </w:r>
      <w:r w:rsidR="004174DB">
        <w:t xml:space="preserve"> e.g., </w:t>
      </w:r>
      <w:r w:rsidRPr="004174DB" w:rsidR="004174DB">
        <w:rPr>
          <w:i/>
          <w:iCs/>
        </w:rPr>
        <w:t>Southwest Colorado TV Translator Association</w:t>
      </w:r>
      <w:r w:rsidR="004174DB">
        <w:t>,</w:t>
      </w:r>
      <w:r w:rsidR="007070ED">
        <w:t xml:space="preserve"> Memorandum Opinion and Order and Notice of Apparent Liability for Forfeiture,</w:t>
      </w:r>
      <w:r w:rsidR="004174DB">
        <w:t xml:space="preserve"> DA 21-1616 (</w:t>
      </w:r>
      <w:r w:rsidR="007070ED">
        <w:t xml:space="preserve">rel. </w:t>
      </w:r>
      <w:r w:rsidR="004174DB">
        <w:t>Dec. 21, 2021)</w:t>
      </w:r>
      <w:r w:rsidR="00E80F48">
        <w:t xml:space="preserve"> (</w:t>
      </w:r>
      <w:r w:rsidR="007070ED">
        <w:t xml:space="preserve">late filed application for license to cover and </w:t>
      </w:r>
      <w:r w:rsidR="00E80F48">
        <w:t>four months unauthorized operations)</w:t>
      </w:r>
      <w:r w:rsidR="004174DB">
        <w:t xml:space="preserve">; and </w:t>
      </w:r>
      <w:r w:rsidRPr="004174DB" w:rsidR="004174DB">
        <w:rPr>
          <w:i/>
          <w:iCs/>
        </w:rPr>
        <w:t>KAZT, LLC</w:t>
      </w:r>
      <w:r w:rsidR="004174DB">
        <w:t xml:space="preserve">, </w:t>
      </w:r>
      <w:r w:rsidR="007070ED">
        <w:t xml:space="preserve">Memorandum Opinion and Order and Notice of Apparent Liability, </w:t>
      </w:r>
      <w:r w:rsidR="004174DB">
        <w:t>DA 21-1386 (</w:t>
      </w:r>
      <w:r w:rsidR="007070ED">
        <w:t xml:space="preserve">rel. </w:t>
      </w:r>
      <w:r w:rsidR="004174DB">
        <w:t>Nov. 5, 2021)</w:t>
      </w:r>
      <w:r w:rsidR="00E80F48">
        <w:t xml:space="preserve"> (</w:t>
      </w:r>
      <w:r w:rsidR="007070ED">
        <w:t xml:space="preserve">late filed application for license to cover and </w:t>
      </w:r>
      <w:r w:rsidR="00E80F48">
        <w:t>six months unauthorized operations)</w:t>
      </w:r>
      <w:r w:rsidR="004174DB">
        <w:t xml:space="preserve">. </w:t>
      </w:r>
    </w:p>
  </w:footnote>
  <w:footnote w:id="23">
    <w:p w:rsidR="007E5877" w:rsidRPr="000A4DEF" w:rsidP="007E5877" w14:paraId="46E5FBEC" w14:textId="3EDFA4AD">
      <w:pPr>
        <w:pStyle w:val="FootnoteText"/>
        <w:widowControl w:val="0"/>
      </w:pPr>
      <w:r w:rsidRPr="000A4DEF">
        <w:rPr>
          <w:rStyle w:val="FootnoteReference"/>
        </w:rPr>
        <w:footnoteRef/>
      </w:r>
      <w:r w:rsidRPr="000A4DEF">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409 U.S. 1072 (1972); 47 CFR § 1.3 (waiver for good cause shown</w:t>
      </w:r>
      <w:r w:rsidRPr="000A4DEF" w:rsidR="00387112">
        <w:t xml:space="preserve">).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sidR="00387112">
        <w:rPr>
          <w:i/>
          <w:iCs/>
        </w:rPr>
        <w:t>See e.g.,</w:t>
      </w:r>
      <w:r w:rsidRPr="000A4DEF" w:rsidR="00387112">
        <w:t xml:space="preserve"> </w:t>
      </w:r>
      <w:r w:rsidRPr="000A4DEF">
        <w:rPr>
          <w:i/>
          <w:iCs/>
        </w:rPr>
        <w:t>Clear Channel Broadcasting Licenses, Inc.</w:t>
      </w:r>
      <w:r w:rsidRPr="000A4DEF">
        <w:t xml:space="preserve">, Memorandum Opinion and Order, </w:t>
      </w:r>
      <w:bookmarkStart w:id="3" w:name="_Hlk78178508"/>
      <w:r w:rsidRPr="000A4DEF">
        <w:t>26 FCC Rcd 7153</w:t>
      </w:r>
      <w:bookmarkEnd w:id="3"/>
      <w:r w:rsidRPr="000A4DEF">
        <w:t xml:space="preserve">, 7157, para 11 (2011) (upholding as proper the Bureau’s practice of processing a late-filed covering license application for facilities fully completed by the construction deadline through the waiver process); </w:t>
      </w:r>
      <w:r w:rsidRPr="000A4DEF">
        <w:rPr>
          <w:i/>
          <w:iCs/>
        </w:rPr>
        <w:t>Cranesville Block Company, Inc.</w:t>
      </w:r>
      <w:r w:rsidRPr="000A4DEF">
        <w:t>, Letter Order, 27 FCC Rcd 2018, 2019-20 (MB 2012) (dismissing a petition for reconsideration of an expired construction permit as procedurally improper and treating it instead as a request for waiver).</w:t>
      </w:r>
      <w:r w:rsidRPr="000A4DEF" w:rsidR="00387112">
        <w:t xml:space="preserve">  We find that based on the specific facts and circumstances presented here waiver is warranted.</w:t>
      </w:r>
      <w:r w:rsidR="005A4E21">
        <w:t xml:space="preserve">  </w:t>
      </w:r>
      <w:r w:rsidRPr="000A4DEF" w:rsidR="00534FDC">
        <w:t xml:space="preserve">We note that the Permittee requests waiver of </w:t>
      </w:r>
      <w:r w:rsidRPr="000A4DEF" w:rsidR="007A58D9">
        <w:t>47 CFR §</w:t>
      </w:r>
      <w:r w:rsidRPr="000A4DEF" w:rsidR="00534FDC">
        <w:t xml:space="preserve"> 73.3598</w:t>
      </w:r>
      <w:r w:rsidRPr="000A4DEF" w:rsidR="007A58D9">
        <w:t>, which also is applicable to digital LPTV stations and is waived as necessary</w:t>
      </w:r>
      <w:r w:rsidRPr="000A4DEF" w:rsidR="00534FDC">
        <w:t>.</w:t>
      </w:r>
    </w:p>
  </w:footnote>
  <w:footnote w:id="24">
    <w:p w:rsidR="005F7F74" w:rsidRPr="000A4DEF" w14:paraId="6DDA34AA" w14:textId="3F385F2D">
      <w:pPr>
        <w:pStyle w:val="FootnoteText"/>
      </w:pPr>
      <w:r w:rsidRPr="000A4DEF">
        <w:rPr>
          <w:rStyle w:val="FootnoteReference"/>
        </w:rPr>
        <w:footnoteRef/>
      </w:r>
      <w:r w:rsidRPr="000A4DEF">
        <w:t xml:space="preserve"> </w:t>
      </w:r>
      <w:bookmarkStart w:id="4" w:name="_Hlk63415835"/>
      <w:r w:rsidRPr="000A4DEF">
        <w:t>47 U.S.C. § 503(b); 47 CFR § 1.80.</w:t>
      </w:r>
      <w:bookmarkEnd w:id="4"/>
    </w:p>
  </w:footnote>
  <w:footnote w:id="25">
    <w:p w:rsidR="00EF5DBB" w:rsidRPr="000A4DEF" w14:paraId="5DE2BE59" w14:textId="6F5937AF">
      <w:pPr>
        <w:pStyle w:val="FootnoteText"/>
      </w:pPr>
      <w:r w:rsidRPr="000A4DEF">
        <w:rPr>
          <w:rStyle w:val="FootnoteReference"/>
        </w:rPr>
        <w:footnoteRef/>
      </w:r>
      <w:r w:rsidRPr="000A4DEF">
        <w:t xml:space="preserve"> 47 CFR § 74.788(b); 47 U.S.C. § 301.</w:t>
      </w:r>
    </w:p>
  </w:footnote>
  <w:footnote w:id="26">
    <w:p w:rsidR="00EF5DBB" w:rsidRPr="000A4DEF" w14:paraId="1AD5D2AA" w14:textId="12FE0B64">
      <w:pPr>
        <w:pStyle w:val="FootnoteText"/>
      </w:pPr>
      <w:r w:rsidRPr="000A4DEF">
        <w:rPr>
          <w:rStyle w:val="FootnoteReference"/>
        </w:rPr>
        <w:footnoteRef/>
      </w:r>
      <w:r w:rsidRPr="000A4DEF">
        <w:t xml:space="preserve"> 47 CFR § 1.80.</w:t>
      </w:r>
    </w:p>
  </w:footnote>
  <w:footnote w:id="27">
    <w:p w:rsidR="00B978E4" w:rsidRPr="000A4DEF" w:rsidP="00D9623F" w14:paraId="58CA40C6" w14:textId="3610D575">
      <w:pPr>
        <w:pStyle w:val="FootnoteText"/>
      </w:pPr>
      <w:r w:rsidRPr="000A4DEF">
        <w:rPr>
          <w:rStyle w:val="FootnoteReference"/>
        </w:rPr>
        <w:footnoteRef/>
      </w:r>
      <w:r w:rsidRPr="000A4DEF">
        <w:t xml:space="preserve"> Payments made using CORES do not require the submission of an FCC Form 159.</w:t>
      </w:r>
    </w:p>
  </w:footnote>
  <w:footnote w:id="28">
    <w:p w:rsidR="00B978E4" w:rsidRPr="000A4DEF" w:rsidP="00D9623F" w14:paraId="6223D953" w14:textId="77777777">
      <w:pPr>
        <w:pStyle w:val="FootnoteText"/>
      </w:pPr>
      <w:r w:rsidRPr="000A4DEF">
        <w:rPr>
          <w:rStyle w:val="FootnoteReference"/>
        </w:rPr>
        <w:footnoteRef/>
      </w:r>
      <w:r w:rsidRPr="000A4DEF">
        <w:t xml:space="preserve"> For questions regarding payment procedures, please contact the Financial Operations Group Help Desk by phone at 1-877-480-3201 (option #6), or by e-mail at </w:t>
      </w:r>
      <w:hyperlink r:id="rId1" w:history="1">
        <w:r w:rsidRPr="000A4DEF">
          <w:rPr>
            <w:rStyle w:val="Hyperlink"/>
            <w:color w:val="auto"/>
          </w:rPr>
          <w:t>ARINQUIRIES@fcc.gov</w:t>
        </w:r>
      </w:hyperlink>
      <w:r w:rsidRPr="000A4DEF">
        <w:t xml:space="preserve">.  </w:t>
      </w:r>
    </w:p>
  </w:footnote>
  <w:footnote w:id="29">
    <w:p w:rsidR="00B978E4" w:rsidRPr="000A4DEF" w:rsidP="00D9623F" w14:paraId="1455267D" w14:textId="77777777">
      <w:pPr>
        <w:pStyle w:val="FootnoteText"/>
      </w:pPr>
      <w:r w:rsidRPr="000A4DEF">
        <w:rPr>
          <w:rStyle w:val="FootnoteReference"/>
        </w:rPr>
        <w:footnoteRef/>
      </w:r>
      <w:r w:rsidRPr="000A4DEF">
        <w:t xml:space="preserve"> Instructions for completing the form may be obtained at </w:t>
      </w:r>
      <w:hyperlink r:id="rId2" w:history="1">
        <w:r w:rsidRPr="000A4DEF">
          <w:rPr>
            <w:rStyle w:val="Hyperlink"/>
            <w:color w:val="auto"/>
          </w:rPr>
          <w:t>https://www.fcc.gov/Forms/Form159/159.pdf</w:t>
        </w:r>
      </w:hyperlink>
      <w:r w:rsidRPr="000A4DEF">
        <w:t xml:space="preserve">. </w:t>
      </w:r>
    </w:p>
  </w:footnote>
  <w:footnote w:id="30">
    <w:p w:rsidR="00140750" w:rsidRPr="000A4DEF" w:rsidP="003F17E2" w14:paraId="3936FEE6" w14:textId="77777777">
      <w:pPr>
        <w:pStyle w:val="FootnoteText"/>
        <w:widowControl w:val="0"/>
      </w:pPr>
      <w:r w:rsidRPr="000A4DEF">
        <w:rPr>
          <w:rStyle w:val="FootnoteReference"/>
        </w:rPr>
        <w:footnoteRef/>
      </w:r>
      <w:r w:rsidRPr="000A4DEF">
        <w:t xml:space="preserve"> </w:t>
      </w:r>
      <w:r w:rsidRPr="000A4DEF">
        <w:rPr>
          <w:i/>
        </w:rPr>
        <w:t>See</w:t>
      </w:r>
      <w:r w:rsidRPr="000A4DEF">
        <w:t xml:space="preserve"> 47 CFR § 1.1914.</w:t>
      </w:r>
    </w:p>
  </w:footnote>
  <w:footnote w:id="31">
    <w:p w:rsidR="00C6145C" w:rsidRPr="000A4DEF" w:rsidP="00C6145C" w14:paraId="21D533EE" w14:textId="1970BB38">
      <w:pPr>
        <w:pStyle w:val="FootnoteText"/>
        <w:widowControl w:val="0"/>
      </w:pPr>
      <w:r w:rsidRPr="000A4DEF">
        <w:rPr>
          <w:rStyle w:val="FootnoteReference"/>
        </w:rPr>
        <w:footnoteRef/>
      </w:r>
      <w:r w:rsidRPr="000A4DEF">
        <w:t xml:space="preserve"> 47 CFR §§ 1.16 and 1.80(</w:t>
      </w:r>
      <w:r w:rsidRPr="000A4DEF" w:rsidR="001C5F2F">
        <w:t>g</w:t>
      </w:r>
      <w:r w:rsidRPr="000A4DEF">
        <w:t>)(3).</w:t>
      </w:r>
    </w:p>
  </w:footnote>
  <w:footnote w:id="32">
    <w:p w:rsidR="00C6145C" w:rsidRPr="000A4DEF" w:rsidP="00C6145C" w14:paraId="0B35FA38" w14:textId="77777777">
      <w:pPr>
        <w:pStyle w:val="FootnoteText"/>
        <w:widowControl w:val="0"/>
      </w:pPr>
      <w:r w:rsidRPr="000A4DEF">
        <w:rPr>
          <w:rStyle w:val="FootnoteReference"/>
        </w:rPr>
        <w:footnoteRef/>
      </w:r>
      <w:r w:rsidRPr="000A4DEF">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A4DEF">
        <w:rPr>
          <w:i/>
          <w:iCs/>
        </w:rPr>
        <w:t>See</w:t>
      </w:r>
      <w:r w:rsidRPr="000A4DEF">
        <w:t xml:space="preserve"> </w:t>
      </w:r>
      <w:r w:rsidRPr="000A4DEF">
        <w:rPr>
          <w:i/>
          <w:iCs/>
        </w:rPr>
        <w:t>FCC Announces Closure of FCC Headquarters Open Window and Change in Hand-Delivery Filing</w:t>
      </w:r>
      <w:r w:rsidRPr="000A4DEF">
        <w:t>, Public Notice, 35 FCC Rcd 2788 (2020).</w:t>
      </w:r>
    </w:p>
  </w:footnote>
  <w:footnote w:id="33">
    <w:p w:rsidR="005F7F74" w:rsidRPr="000A4DEF" w:rsidP="005F7F74" w14:paraId="42D7EDAE" w14:textId="14C7058F">
      <w:pPr>
        <w:pStyle w:val="FootnoteText"/>
        <w:widowControl w:val="0"/>
      </w:pPr>
      <w:r w:rsidRPr="000A4DEF">
        <w:rPr>
          <w:rStyle w:val="FootnoteReference"/>
        </w:rPr>
        <w:footnoteRef/>
      </w:r>
      <w:r w:rsidRPr="000A4DEF">
        <w:t xml:space="preserve"> </w:t>
      </w:r>
      <w:r w:rsidRPr="000A4DEF">
        <w:rPr>
          <w:i/>
          <w:iCs/>
        </w:rPr>
        <w:t xml:space="preserve">See </w:t>
      </w:r>
      <w:r w:rsidRPr="000A4DEF">
        <w:t xml:space="preserve">47 U.S.C. 503(b)(2)(E); </w:t>
      </w:r>
      <w:r w:rsidRPr="000A4DEF">
        <w:rPr>
          <w:i/>
          <w:iCs/>
        </w:rPr>
        <w:t>Adrian Abramovich</w:t>
      </w:r>
      <w:r w:rsidRPr="000A4DEF">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3E5E4FFD">
    <w:pPr>
      <w:pStyle w:val="Header"/>
      <w:rPr>
        <w:b w:val="0"/>
      </w:rPr>
    </w:pPr>
    <w:r>
      <w:tab/>
      <w:t>Federal Communications Commission</w:t>
    </w:r>
    <w:r>
      <w:tab/>
    </w:r>
    <w:r w:rsidR="00140750">
      <w:t>DA 2</w:t>
    </w:r>
    <w:r w:rsidR="005A4E21">
      <w:t>2</w:t>
    </w:r>
    <w:r w:rsidR="00140750">
      <w:t>-</w:t>
    </w:r>
    <w:r w:rsidR="006C5DE2">
      <w:t>327</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33E59E5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54DF9">
      <w:rPr>
        <w:spacing w:val="-2"/>
      </w:rPr>
      <w:t>2</w:t>
    </w:r>
    <w:r w:rsidR="00140750">
      <w:rPr>
        <w:spacing w:val="-2"/>
      </w:rPr>
      <w:t>-</w:t>
    </w:r>
    <w:r w:rsidR="006C5DE2">
      <w:rPr>
        <w:spacing w:val="-2"/>
      </w:rPr>
      <w:t>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2"/>
  </w:num>
  <w:num w:numId="7">
    <w:abstractNumId w:val="5"/>
  </w:num>
  <w:num w:numId="8">
    <w:abstractNumId w:val="0"/>
  </w:num>
  <w:num w:numId="9">
    <w:abstractNumId w:val="8"/>
  </w:num>
  <w:num w:numId="10">
    <w:abstractNumId w:val="10"/>
  </w:num>
  <w:num w:numId="11">
    <w:abstractNumId w:val="9"/>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06E03"/>
    <w:rsid w:val="00021174"/>
    <w:rsid w:val="00025331"/>
    <w:rsid w:val="00025BF3"/>
    <w:rsid w:val="00036039"/>
    <w:rsid w:val="00037F90"/>
    <w:rsid w:val="00044E42"/>
    <w:rsid w:val="000634FA"/>
    <w:rsid w:val="000724EB"/>
    <w:rsid w:val="000725CB"/>
    <w:rsid w:val="000875BF"/>
    <w:rsid w:val="00096D8C"/>
    <w:rsid w:val="000A4DEF"/>
    <w:rsid w:val="000A65AC"/>
    <w:rsid w:val="000B44EA"/>
    <w:rsid w:val="000C0B65"/>
    <w:rsid w:val="000C4D69"/>
    <w:rsid w:val="000D2FDB"/>
    <w:rsid w:val="000E05FE"/>
    <w:rsid w:val="000E3D42"/>
    <w:rsid w:val="000E5B45"/>
    <w:rsid w:val="000F3DE4"/>
    <w:rsid w:val="000F6468"/>
    <w:rsid w:val="001037C6"/>
    <w:rsid w:val="0010399E"/>
    <w:rsid w:val="0011137D"/>
    <w:rsid w:val="00114871"/>
    <w:rsid w:val="00117940"/>
    <w:rsid w:val="00122BD5"/>
    <w:rsid w:val="00124FB3"/>
    <w:rsid w:val="00132193"/>
    <w:rsid w:val="00133F79"/>
    <w:rsid w:val="00140750"/>
    <w:rsid w:val="001416FB"/>
    <w:rsid w:val="0014531D"/>
    <w:rsid w:val="00146D8A"/>
    <w:rsid w:val="00152E4C"/>
    <w:rsid w:val="00152F4B"/>
    <w:rsid w:val="00164561"/>
    <w:rsid w:val="001747B0"/>
    <w:rsid w:val="00175910"/>
    <w:rsid w:val="00194A66"/>
    <w:rsid w:val="001B3C1E"/>
    <w:rsid w:val="001C5F2F"/>
    <w:rsid w:val="001D5BAF"/>
    <w:rsid w:val="001D6BCF"/>
    <w:rsid w:val="001D7A5D"/>
    <w:rsid w:val="001E01CA"/>
    <w:rsid w:val="001F365E"/>
    <w:rsid w:val="001F3789"/>
    <w:rsid w:val="002172BD"/>
    <w:rsid w:val="00221720"/>
    <w:rsid w:val="00241F3E"/>
    <w:rsid w:val="00244DA3"/>
    <w:rsid w:val="00245789"/>
    <w:rsid w:val="002476A5"/>
    <w:rsid w:val="00250597"/>
    <w:rsid w:val="002546D1"/>
    <w:rsid w:val="00257770"/>
    <w:rsid w:val="00264220"/>
    <w:rsid w:val="00271A6E"/>
    <w:rsid w:val="00275A56"/>
    <w:rsid w:val="00275CF5"/>
    <w:rsid w:val="00276FFA"/>
    <w:rsid w:val="00277113"/>
    <w:rsid w:val="00282655"/>
    <w:rsid w:val="0028301F"/>
    <w:rsid w:val="00285017"/>
    <w:rsid w:val="002A2D2E"/>
    <w:rsid w:val="002C00E8"/>
    <w:rsid w:val="002C5402"/>
    <w:rsid w:val="002D3301"/>
    <w:rsid w:val="002E5D87"/>
    <w:rsid w:val="002F4279"/>
    <w:rsid w:val="00343749"/>
    <w:rsid w:val="003577E1"/>
    <w:rsid w:val="003660ED"/>
    <w:rsid w:val="003664DA"/>
    <w:rsid w:val="00387112"/>
    <w:rsid w:val="003946B0"/>
    <w:rsid w:val="003B0550"/>
    <w:rsid w:val="003B694F"/>
    <w:rsid w:val="003F171C"/>
    <w:rsid w:val="003F17E2"/>
    <w:rsid w:val="00412FC5"/>
    <w:rsid w:val="004174DB"/>
    <w:rsid w:val="00422276"/>
    <w:rsid w:val="004242F1"/>
    <w:rsid w:val="004254D2"/>
    <w:rsid w:val="00434675"/>
    <w:rsid w:val="004450EA"/>
    <w:rsid w:val="00445A00"/>
    <w:rsid w:val="00451B0F"/>
    <w:rsid w:val="00460B7A"/>
    <w:rsid w:val="00467CEE"/>
    <w:rsid w:val="004711FC"/>
    <w:rsid w:val="00476992"/>
    <w:rsid w:val="004B33E9"/>
    <w:rsid w:val="004B5D3F"/>
    <w:rsid w:val="004C2CAB"/>
    <w:rsid w:val="004C2EE3"/>
    <w:rsid w:val="004C33DA"/>
    <w:rsid w:val="004E079F"/>
    <w:rsid w:val="004E40F1"/>
    <w:rsid w:val="004E4A22"/>
    <w:rsid w:val="004F5657"/>
    <w:rsid w:val="004F7274"/>
    <w:rsid w:val="00511968"/>
    <w:rsid w:val="00512D18"/>
    <w:rsid w:val="00513883"/>
    <w:rsid w:val="00514C8E"/>
    <w:rsid w:val="00534FDC"/>
    <w:rsid w:val="00536534"/>
    <w:rsid w:val="005373CC"/>
    <w:rsid w:val="00546822"/>
    <w:rsid w:val="00555D44"/>
    <w:rsid w:val="0055614C"/>
    <w:rsid w:val="00566D06"/>
    <w:rsid w:val="00591AAC"/>
    <w:rsid w:val="00592145"/>
    <w:rsid w:val="005954C1"/>
    <w:rsid w:val="00596F9E"/>
    <w:rsid w:val="005A4E21"/>
    <w:rsid w:val="005B2CE7"/>
    <w:rsid w:val="005B6CC4"/>
    <w:rsid w:val="005E14C2"/>
    <w:rsid w:val="005F0307"/>
    <w:rsid w:val="005F5ACF"/>
    <w:rsid w:val="005F7F74"/>
    <w:rsid w:val="00600AB4"/>
    <w:rsid w:val="00607BA5"/>
    <w:rsid w:val="0061180A"/>
    <w:rsid w:val="00611C44"/>
    <w:rsid w:val="00614D11"/>
    <w:rsid w:val="006255CA"/>
    <w:rsid w:val="00626EB6"/>
    <w:rsid w:val="00652009"/>
    <w:rsid w:val="00655D03"/>
    <w:rsid w:val="00683388"/>
    <w:rsid w:val="00683F84"/>
    <w:rsid w:val="006A1DAF"/>
    <w:rsid w:val="006A2A9F"/>
    <w:rsid w:val="006A6A81"/>
    <w:rsid w:val="006C5DE2"/>
    <w:rsid w:val="006F1464"/>
    <w:rsid w:val="006F7393"/>
    <w:rsid w:val="0070224F"/>
    <w:rsid w:val="007070ED"/>
    <w:rsid w:val="0071139E"/>
    <w:rsid w:val="007115F7"/>
    <w:rsid w:val="007134AC"/>
    <w:rsid w:val="00716FA8"/>
    <w:rsid w:val="00736FAD"/>
    <w:rsid w:val="0074036A"/>
    <w:rsid w:val="0075197F"/>
    <w:rsid w:val="00753410"/>
    <w:rsid w:val="0075730F"/>
    <w:rsid w:val="00770E0B"/>
    <w:rsid w:val="0077399F"/>
    <w:rsid w:val="007743C9"/>
    <w:rsid w:val="00785689"/>
    <w:rsid w:val="0079754B"/>
    <w:rsid w:val="007A1E6D"/>
    <w:rsid w:val="007A2495"/>
    <w:rsid w:val="007A502A"/>
    <w:rsid w:val="007A58D9"/>
    <w:rsid w:val="007B0EB2"/>
    <w:rsid w:val="007B357C"/>
    <w:rsid w:val="007B767F"/>
    <w:rsid w:val="007C476C"/>
    <w:rsid w:val="007E569D"/>
    <w:rsid w:val="007E5877"/>
    <w:rsid w:val="007F223C"/>
    <w:rsid w:val="007F42C5"/>
    <w:rsid w:val="007F655F"/>
    <w:rsid w:val="0080179B"/>
    <w:rsid w:val="00810B6F"/>
    <w:rsid w:val="00822CE0"/>
    <w:rsid w:val="00823FF9"/>
    <w:rsid w:val="00841AB1"/>
    <w:rsid w:val="00874E66"/>
    <w:rsid w:val="00877CD6"/>
    <w:rsid w:val="008C6117"/>
    <w:rsid w:val="008C68F1"/>
    <w:rsid w:val="008D30C5"/>
    <w:rsid w:val="008D4F70"/>
    <w:rsid w:val="008F2C5F"/>
    <w:rsid w:val="008F4EFF"/>
    <w:rsid w:val="00921803"/>
    <w:rsid w:val="00926503"/>
    <w:rsid w:val="009373AE"/>
    <w:rsid w:val="009377D8"/>
    <w:rsid w:val="00943ACD"/>
    <w:rsid w:val="00947B4D"/>
    <w:rsid w:val="00954DF9"/>
    <w:rsid w:val="009726D8"/>
    <w:rsid w:val="00982BF9"/>
    <w:rsid w:val="009D7308"/>
    <w:rsid w:val="009F76DB"/>
    <w:rsid w:val="00A069B5"/>
    <w:rsid w:val="00A27808"/>
    <w:rsid w:val="00A32C3B"/>
    <w:rsid w:val="00A41060"/>
    <w:rsid w:val="00A45F4F"/>
    <w:rsid w:val="00A600A9"/>
    <w:rsid w:val="00A8013F"/>
    <w:rsid w:val="00AA120E"/>
    <w:rsid w:val="00AA55B7"/>
    <w:rsid w:val="00AA5B9E"/>
    <w:rsid w:val="00AB2407"/>
    <w:rsid w:val="00AB53DF"/>
    <w:rsid w:val="00AF25BA"/>
    <w:rsid w:val="00AF350B"/>
    <w:rsid w:val="00AF5229"/>
    <w:rsid w:val="00AF64B2"/>
    <w:rsid w:val="00B07E5C"/>
    <w:rsid w:val="00B10690"/>
    <w:rsid w:val="00B25EF6"/>
    <w:rsid w:val="00B3712A"/>
    <w:rsid w:val="00B4063A"/>
    <w:rsid w:val="00B42D5C"/>
    <w:rsid w:val="00B50636"/>
    <w:rsid w:val="00B811F7"/>
    <w:rsid w:val="00B913E9"/>
    <w:rsid w:val="00B945BD"/>
    <w:rsid w:val="00B978E4"/>
    <w:rsid w:val="00BA5DC6"/>
    <w:rsid w:val="00BA6196"/>
    <w:rsid w:val="00BB73A7"/>
    <w:rsid w:val="00BC6D8C"/>
    <w:rsid w:val="00BE3744"/>
    <w:rsid w:val="00BF575C"/>
    <w:rsid w:val="00BF7164"/>
    <w:rsid w:val="00BF7B55"/>
    <w:rsid w:val="00C02B03"/>
    <w:rsid w:val="00C11811"/>
    <w:rsid w:val="00C2305A"/>
    <w:rsid w:val="00C2374E"/>
    <w:rsid w:val="00C23825"/>
    <w:rsid w:val="00C2541D"/>
    <w:rsid w:val="00C27060"/>
    <w:rsid w:val="00C30C7E"/>
    <w:rsid w:val="00C34006"/>
    <w:rsid w:val="00C36B4C"/>
    <w:rsid w:val="00C426B1"/>
    <w:rsid w:val="00C55A17"/>
    <w:rsid w:val="00C6145C"/>
    <w:rsid w:val="00C66160"/>
    <w:rsid w:val="00C721AC"/>
    <w:rsid w:val="00C90D6A"/>
    <w:rsid w:val="00CA247E"/>
    <w:rsid w:val="00CA4CE7"/>
    <w:rsid w:val="00CA6D21"/>
    <w:rsid w:val="00CC60FC"/>
    <w:rsid w:val="00CC72B6"/>
    <w:rsid w:val="00CF099E"/>
    <w:rsid w:val="00D0218D"/>
    <w:rsid w:val="00D16857"/>
    <w:rsid w:val="00D25331"/>
    <w:rsid w:val="00D25FB5"/>
    <w:rsid w:val="00D3524E"/>
    <w:rsid w:val="00D423B0"/>
    <w:rsid w:val="00D44223"/>
    <w:rsid w:val="00D6392C"/>
    <w:rsid w:val="00D64E57"/>
    <w:rsid w:val="00D8571E"/>
    <w:rsid w:val="00D9623F"/>
    <w:rsid w:val="00D975B7"/>
    <w:rsid w:val="00DA2529"/>
    <w:rsid w:val="00DB10EE"/>
    <w:rsid w:val="00DB130A"/>
    <w:rsid w:val="00DB2EBB"/>
    <w:rsid w:val="00DC10A1"/>
    <w:rsid w:val="00DC5A5B"/>
    <w:rsid w:val="00DC655F"/>
    <w:rsid w:val="00DD0B59"/>
    <w:rsid w:val="00DD5602"/>
    <w:rsid w:val="00DD7EBD"/>
    <w:rsid w:val="00DF62B6"/>
    <w:rsid w:val="00E05799"/>
    <w:rsid w:val="00E07225"/>
    <w:rsid w:val="00E1189A"/>
    <w:rsid w:val="00E12BA1"/>
    <w:rsid w:val="00E15AFA"/>
    <w:rsid w:val="00E26139"/>
    <w:rsid w:val="00E35CBC"/>
    <w:rsid w:val="00E4519B"/>
    <w:rsid w:val="00E5409F"/>
    <w:rsid w:val="00E5527D"/>
    <w:rsid w:val="00E66756"/>
    <w:rsid w:val="00E80030"/>
    <w:rsid w:val="00E80F48"/>
    <w:rsid w:val="00EE4177"/>
    <w:rsid w:val="00EE6488"/>
    <w:rsid w:val="00EE6A2E"/>
    <w:rsid w:val="00EF5DBB"/>
    <w:rsid w:val="00F021FA"/>
    <w:rsid w:val="00F02727"/>
    <w:rsid w:val="00F11399"/>
    <w:rsid w:val="00F27BC4"/>
    <w:rsid w:val="00F36DD9"/>
    <w:rsid w:val="00F50D67"/>
    <w:rsid w:val="00F5268E"/>
    <w:rsid w:val="00F62E97"/>
    <w:rsid w:val="00F64209"/>
    <w:rsid w:val="00F67AFF"/>
    <w:rsid w:val="00F85070"/>
    <w:rsid w:val="00F92630"/>
    <w:rsid w:val="00F93BF5"/>
    <w:rsid w:val="00F94259"/>
    <w:rsid w:val="00F947DF"/>
    <w:rsid w:val="00FC07F1"/>
    <w:rsid w:val="00FC0CFA"/>
    <w:rsid w:val="00FD6AD8"/>
    <w:rsid w:val="00FE0253"/>
    <w:rsid w:val="00FE5C99"/>
    <w:rsid w:val="00FF60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C5DE2"/>
    <w:pPr>
      <w:widowControl w:val="0"/>
    </w:pPr>
    <w:rPr>
      <w:snapToGrid w:val="0"/>
      <w:kern w:val="28"/>
      <w:sz w:val="22"/>
    </w:rPr>
  </w:style>
  <w:style w:type="paragraph" w:styleId="Heading1">
    <w:name w:val="heading 1"/>
    <w:basedOn w:val="Normal"/>
    <w:next w:val="ParaNum"/>
    <w:link w:val="Heading1Char"/>
    <w:qFormat/>
    <w:rsid w:val="006C5D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5DE2"/>
    <w:pPr>
      <w:keepNext/>
      <w:numPr>
        <w:ilvl w:val="1"/>
        <w:numId w:val="3"/>
      </w:numPr>
      <w:spacing w:after="120"/>
      <w:outlineLvl w:val="1"/>
    </w:pPr>
    <w:rPr>
      <w:b/>
    </w:rPr>
  </w:style>
  <w:style w:type="paragraph" w:styleId="Heading3">
    <w:name w:val="heading 3"/>
    <w:basedOn w:val="Normal"/>
    <w:next w:val="ParaNum"/>
    <w:qFormat/>
    <w:rsid w:val="006C5DE2"/>
    <w:pPr>
      <w:keepNext/>
      <w:numPr>
        <w:ilvl w:val="2"/>
        <w:numId w:val="3"/>
      </w:numPr>
      <w:tabs>
        <w:tab w:val="left" w:pos="2160"/>
      </w:tabs>
      <w:spacing w:after="120"/>
      <w:outlineLvl w:val="2"/>
    </w:pPr>
    <w:rPr>
      <w:b/>
    </w:rPr>
  </w:style>
  <w:style w:type="paragraph" w:styleId="Heading4">
    <w:name w:val="heading 4"/>
    <w:basedOn w:val="Normal"/>
    <w:next w:val="ParaNum"/>
    <w:qFormat/>
    <w:rsid w:val="006C5DE2"/>
    <w:pPr>
      <w:keepNext/>
      <w:numPr>
        <w:ilvl w:val="3"/>
        <w:numId w:val="3"/>
      </w:numPr>
      <w:tabs>
        <w:tab w:val="left" w:pos="2880"/>
      </w:tabs>
      <w:spacing w:after="120"/>
      <w:outlineLvl w:val="3"/>
    </w:pPr>
    <w:rPr>
      <w:b/>
    </w:rPr>
  </w:style>
  <w:style w:type="paragraph" w:styleId="Heading5">
    <w:name w:val="heading 5"/>
    <w:basedOn w:val="Normal"/>
    <w:next w:val="ParaNum"/>
    <w:qFormat/>
    <w:rsid w:val="006C5DE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5DE2"/>
    <w:pPr>
      <w:numPr>
        <w:ilvl w:val="5"/>
        <w:numId w:val="3"/>
      </w:numPr>
      <w:tabs>
        <w:tab w:val="left" w:pos="4320"/>
      </w:tabs>
      <w:spacing w:after="120"/>
      <w:outlineLvl w:val="5"/>
    </w:pPr>
    <w:rPr>
      <w:b/>
    </w:rPr>
  </w:style>
  <w:style w:type="paragraph" w:styleId="Heading7">
    <w:name w:val="heading 7"/>
    <w:basedOn w:val="Normal"/>
    <w:next w:val="ParaNum"/>
    <w:qFormat/>
    <w:rsid w:val="006C5DE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5D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5D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C5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DE2"/>
  </w:style>
  <w:style w:type="paragraph" w:customStyle="1" w:styleId="ParaNum">
    <w:name w:val="ParaNum"/>
    <w:basedOn w:val="Normal"/>
    <w:link w:val="ParaNumChar"/>
    <w:rsid w:val="006C5DE2"/>
    <w:pPr>
      <w:numPr>
        <w:numId w:val="2"/>
      </w:numPr>
      <w:tabs>
        <w:tab w:val="clear" w:pos="1080"/>
        <w:tab w:val="num" w:pos="1440"/>
      </w:tabs>
      <w:spacing w:after="120"/>
    </w:pPr>
  </w:style>
  <w:style w:type="paragraph" w:styleId="EndnoteText">
    <w:name w:val="endnote text"/>
    <w:basedOn w:val="Normal"/>
    <w:semiHidden/>
    <w:rsid w:val="006C5DE2"/>
    <w:rPr>
      <w:sz w:val="20"/>
    </w:rPr>
  </w:style>
  <w:style w:type="character" w:styleId="EndnoteReference">
    <w:name w:val="endnote reference"/>
    <w:semiHidden/>
    <w:rsid w:val="006C5DE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6C5DE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C5DE2"/>
    <w:rPr>
      <w:rFonts w:ascii="Times New Roman" w:hAnsi="Times New Roman"/>
      <w:dstrike w:val="0"/>
      <w:color w:val="auto"/>
      <w:sz w:val="20"/>
      <w:vertAlign w:val="superscript"/>
    </w:rPr>
  </w:style>
  <w:style w:type="paragraph" w:styleId="TOC1">
    <w:name w:val="toc 1"/>
    <w:basedOn w:val="Normal"/>
    <w:next w:val="Normal"/>
    <w:semiHidden/>
    <w:rsid w:val="006C5D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5DE2"/>
    <w:pPr>
      <w:tabs>
        <w:tab w:val="left" w:pos="720"/>
        <w:tab w:val="right" w:leader="dot" w:pos="9360"/>
      </w:tabs>
      <w:suppressAutoHyphens/>
      <w:ind w:left="720" w:right="720" w:hanging="360"/>
    </w:pPr>
    <w:rPr>
      <w:noProof/>
    </w:rPr>
  </w:style>
  <w:style w:type="paragraph" w:styleId="TOC3">
    <w:name w:val="toc 3"/>
    <w:basedOn w:val="Normal"/>
    <w:next w:val="Normal"/>
    <w:semiHidden/>
    <w:rsid w:val="006C5D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5D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5D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5D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5D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5D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5D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5DE2"/>
    <w:pPr>
      <w:tabs>
        <w:tab w:val="right" w:pos="9360"/>
      </w:tabs>
      <w:suppressAutoHyphens/>
    </w:pPr>
  </w:style>
  <w:style w:type="character" w:customStyle="1" w:styleId="EquationCaption">
    <w:name w:val="_Equation Caption"/>
    <w:rsid w:val="006C5DE2"/>
  </w:style>
  <w:style w:type="paragraph" w:styleId="Header">
    <w:name w:val="header"/>
    <w:basedOn w:val="Normal"/>
    <w:autoRedefine/>
    <w:rsid w:val="006C5DE2"/>
    <w:pPr>
      <w:tabs>
        <w:tab w:val="center" w:pos="4680"/>
        <w:tab w:val="right" w:pos="9360"/>
      </w:tabs>
    </w:pPr>
    <w:rPr>
      <w:b/>
    </w:rPr>
  </w:style>
  <w:style w:type="paragraph" w:styleId="Footer">
    <w:name w:val="footer"/>
    <w:basedOn w:val="Normal"/>
    <w:link w:val="FooterChar"/>
    <w:uiPriority w:val="99"/>
    <w:rsid w:val="006C5DE2"/>
    <w:pPr>
      <w:tabs>
        <w:tab w:val="center" w:pos="4320"/>
        <w:tab w:val="right" w:pos="8640"/>
      </w:tabs>
    </w:pPr>
  </w:style>
  <w:style w:type="character" w:styleId="PageNumber">
    <w:name w:val="page number"/>
    <w:basedOn w:val="DefaultParagraphFont"/>
    <w:rsid w:val="006C5DE2"/>
  </w:style>
  <w:style w:type="paragraph" w:styleId="BlockText">
    <w:name w:val="Block Text"/>
    <w:basedOn w:val="Normal"/>
    <w:rsid w:val="006C5DE2"/>
    <w:pPr>
      <w:spacing w:after="240"/>
      <w:ind w:left="1440" w:right="1440"/>
    </w:pPr>
  </w:style>
  <w:style w:type="paragraph" w:customStyle="1" w:styleId="Paratitle">
    <w:name w:val="Para title"/>
    <w:basedOn w:val="Normal"/>
    <w:rsid w:val="006C5DE2"/>
    <w:pPr>
      <w:tabs>
        <w:tab w:val="center" w:pos="9270"/>
      </w:tabs>
      <w:spacing w:after="240"/>
    </w:pPr>
    <w:rPr>
      <w:spacing w:val="-2"/>
    </w:rPr>
  </w:style>
  <w:style w:type="paragraph" w:customStyle="1" w:styleId="Bullet">
    <w:name w:val="Bullet"/>
    <w:basedOn w:val="Normal"/>
    <w:rsid w:val="006C5DE2"/>
    <w:pPr>
      <w:tabs>
        <w:tab w:val="left" w:pos="2160"/>
      </w:tabs>
      <w:spacing w:after="220"/>
      <w:ind w:left="2160" w:hanging="720"/>
    </w:pPr>
  </w:style>
  <w:style w:type="paragraph" w:customStyle="1" w:styleId="TableFormat">
    <w:name w:val="TableFormat"/>
    <w:basedOn w:val="Bullet"/>
    <w:rsid w:val="006C5DE2"/>
    <w:pPr>
      <w:tabs>
        <w:tab w:val="clear" w:pos="2160"/>
        <w:tab w:val="left" w:pos="5040"/>
      </w:tabs>
      <w:ind w:left="5040" w:hanging="3600"/>
    </w:pPr>
  </w:style>
  <w:style w:type="paragraph" w:customStyle="1" w:styleId="TOCTitle">
    <w:name w:val="TOC Title"/>
    <w:basedOn w:val="Normal"/>
    <w:rsid w:val="006C5D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5DE2"/>
    <w:pPr>
      <w:jc w:val="center"/>
    </w:pPr>
    <w:rPr>
      <w:rFonts w:ascii="Times New Roman Bold" w:hAnsi="Times New Roman Bold"/>
      <w:b/>
      <w:bCs/>
      <w:caps/>
      <w:szCs w:val="22"/>
    </w:rPr>
  </w:style>
  <w:style w:type="character" w:styleId="Hyperlink">
    <w:name w:val="Hyperlink"/>
    <w:rsid w:val="006C5DE2"/>
    <w:rPr>
      <w:color w:val="0000FF"/>
      <w:u w:val="single"/>
    </w:rPr>
  </w:style>
  <w:style w:type="character" w:customStyle="1" w:styleId="FooterChar">
    <w:name w:val="Footer Char"/>
    <w:link w:val="Footer"/>
    <w:uiPriority w:val="99"/>
    <w:rsid w:val="006C5DE2"/>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uiPriority w:val="99"/>
    <w:locked/>
    <w:rsid w:val="007E5877"/>
  </w:style>
  <w:style w:type="character" w:styleId="CommentReference">
    <w:name w:val="annotation reference"/>
    <w:basedOn w:val="DefaultParagraphFont"/>
    <w:rsid w:val="006F1464"/>
    <w:rPr>
      <w:sz w:val="16"/>
      <w:szCs w:val="16"/>
    </w:rPr>
  </w:style>
  <w:style w:type="paragraph" w:styleId="CommentText">
    <w:name w:val="annotation text"/>
    <w:basedOn w:val="Normal"/>
    <w:link w:val="CommentTextChar"/>
    <w:rsid w:val="006F1464"/>
    <w:rPr>
      <w:sz w:val="20"/>
    </w:rPr>
  </w:style>
  <w:style w:type="character" w:customStyle="1" w:styleId="CommentTextChar">
    <w:name w:val="Comment Text Char"/>
    <w:basedOn w:val="DefaultParagraphFont"/>
    <w:link w:val="CommentText"/>
    <w:rsid w:val="006F1464"/>
    <w:rPr>
      <w:snapToGrid w:val="0"/>
      <w:kern w:val="28"/>
    </w:rPr>
  </w:style>
  <w:style w:type="paragraph" w:styleId="CommentSubject">
    <w:name w:val="annotation subject"/>
    <w:basedOn w:val="CommentText"/>
    <w:next w:val="CommentText"/>
    <w:link w:val="CommentSubjectChar"/>
    <w:rsid w:val="006F1464"/>
    <w:rPr>
      <w:b/>
      <w:bCs/>
    </w:rPr>
  </w:style>
  <w:style w:type="character" w:customStyle="1" w:styleId="CommentSubjectChar">
    <w:name w:val="Comment Subject Char"/>
    <w:basedOn w:val="CommentTextChar"/>
    <w:link w:val="CommentSubject"/>
    <w:rsid w:val="006F146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haun.Maher@fcc.gov" TargetMode="External" /><Relationship Id="rId11" Type="http://schemas.openxmlformats.org/officeDocument/2006/relationships/hyperlink" Target="mailto:j2wilsonbrown@yahoo.com" TargetMode="External" /><Relationship Id="rId12" Type="http://schemas.openxmlformats.org/officeDocument/2006/relationships/hyperlink" Target="mailto:DJA@COMMLAW.T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