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690ED4FA" w14:textId="26E66368">
      <w:pPr>
        <w:jc w:val="center"/>
        <w:rPr>
          <w:b/>
        </w:rPr>
      </w:pPr>
      <w:r w:rsidRPr="0070224F">
        <w:rPr>
          <w:rFonts w:ascii="Times New Roman Bold" w:hAnsi="Times New Roman Bold"/>
          <w:b/>
          <w:kern w:val="0"/>
          <w:szCs w:val="22"/>
        </w:rPr>
        <w:t>Before</w:t>
      </w:r>
      <w:r>
        <w:rPr>
          <w:b/>
        </w:rPr>
        <w:t xml:space="preserve"> the</w:t>
      </w:r>
    </w:p>
    <w:p w:rsidR="00921803" w:rsidP="00921803" w14:paraId="790D7420" w14:textId="77777777">
      <w:pPr>
        <w:pStyle w:val="StyleBoldCentered"/>
      </w:pPr>
      <w:r>
        <w:t>F</w:t>
      </w:r>
      <w:r>
        <w:rPr>
          <w:caps w:val="0"/>
        </w:rPr>
        <w:t>ederal Communications Commission</w:t>
      </w:r>
    </w:p>
    <w:p w:rsidR="004C2EE3" w:rsidP="00096D8C" w14:paraId="142CF2C1" w14:textId="77777777">
      <w:pPr>
        <w:pStyle w:val="StyleBoldCentered"/>
      </w:pPr>
      <w:r>
        <w:rPr>
          <w:caps w:val="0"/>
        </w:rPr>
        <w:t>Washington, D.C. 20554</w:t>
      </w:r>
    </w:p>
    <w:p w:rsidR="004C2EE3" w:rsidP="0070224F" w14:paraId="1B6984CC" w14:textId="77777777"/>
    <w:p w:rsidR="004C2EE3" w:rsidP="0070224F" w14:paraId="3A183FCE" w14:textId="77777777"/>
    <w:tbl>
      <w:tblPr>
        <w:tblW w:w="0" w:type="auto"/>
        <w:tblLayout w:type="fixed"/>
        <w:tblLook w:val="0000"/>
      </w:tblPr>
      <w:tblGrid>
        <w:gridCol w:w="4698"/>
        <w:gridCol w:w="630"/>
        <w:gridCol w:w="4248"/>
      </w:tblGrid>
      <w:tr w14:paraId="2E8AAC1E" w14:textId="77777777">
        <w:tblPrEx>
          <w:tblW w:w="0" w:type="auto"/>
          <w:tblLayout w:type="fixed"/>
          <w:tblLook w:val="0000"/>
        </w:tblPrEx>
        <w:tc>
          <w:tcPr>
            <w:tcW w:w="4698" w:type="dxa"/>
          </w:tcPr>
          <w:p w:rsidR="004C2EE3" w14:paraId="4F54966E" w14:textId="77777777">
            <w:pPr>
              <w:tabs>
                <w:tab w:val="center" w:pos="4680"/>
              </w:tabs>
              <w:suppressAutoHyphens/>
              <w:rPr>
                <w:spacing w:val="-2"/>
              </w:rPr>
            </w:pPr>
            <w:r>
              <w:rPr>
                <w:spacing w:val="-2"/>
              </w:rPr>
              <w:t>In the Matter of</w:t>
            </w:r>
          </w:p>
          <w:p w:rsidR="004C2EE3" w14:paraId="7B1BD692" w14:textId="77777777">
            <w:pPr>
              <w:tabs>
                <w:tab w:val="center" w:pos="4680"/>
              </w:tabs>
              <w:suppressAutoHyphens/>
              <w:rPr>
                <w:spacing w:val="-2"/>
              </w:rPr>
            </w:pPr>
          </w:p>
          <w:p w:rsidR="008B7F02" w:rsidRPr="008B7F02" w:rsidP="008B7F02" w14:paraId="76038C5B" w14:textId="77777777">
            <w:pPr>
              <w:tabs>
                <w:tab w:val="center" w:pos="4680"/>
              </w:tabs>
              <w:suppressAutoHyphens/>
              <w:rPr>
                <w:spacing w:val="-2"/>
              </w:rPr>
            </w:pPr>
            <w:r w:rsidRPr="008B7F02">
              <w:rPr>
                <w:spacing w:val="-2"/>
              </w:rPr>
              <w:t>Consolidated Communications of Pennsylvania</w:t>
            </w:r>
          </w:p>
          <w:p w:rsidR="008B7F02" w:rsidP="008B7F02" w14:paraId="012C7FDD" w14:textId="4D56E69D">
            <w:pPr>
              <w:tabs>
                <w:tab w:val="center" w:pos="4680"/>
              </w:tabs>
              <w:suppressAutoHyphens/>
              <w:rPr>
                <w:spacing w:val="-2"/>
              </w:rPr>
            </w:pPr>
            <w:r w:rsidRPr="008B7F02">
              <w:rPr>
                <w:spacing w:val="-2"/>
              </w:rPr>
              <w:t>Company, Inc.</w:t>
            </w:r>
          </w:p>
          <w:p w:rsidR="008B7F02" w:rsidRPr="008B7F02" w:rsidP="008B7F02" w14:paraId="2331FE0E" w14:textId="77777777">
            <w:pPr>
              <w:tabs>
                <w:tab w:val="center" w:pos="4680"/>
              </w:tabs>
              <w:suppressAutoHyphens/>
              <w:rPr>
                <w:spacing w:val="-2"/>
              </w:rPr>
            </w:pPr>
          </w:p>
          <w:p w:rsidR="008B7F02" w:rsidRPr="008B7F02" w:rsidP="008B7F02" w14:paraId="4FEC1E7A" w14:textId="77777777">
            <w:pPr>
              <w:tabs>
                <w:tab w:val="center" w:pos="4680"/>
              </w:tabs>
              <w:suppressAutoHyphens/>
              <w:rPr>
                <w:spacing w:val="-2"/>
              </w:rPr>
            </w:pPr>
            <w:r w:rsidRPr="008B7F02">
              <w:rPr>
                <w:spacing w:val="-2"/>
              </w:rPr>
              <w:t>Consolidated Communications of Maine Company,</w:t>
            </w:r>
          </w:p>
          <w:p w:rsidR="008B7F02" w:rsidP="008B7F02" w14:paraId="305A06ED" w14:textId="19D9E7FC">
            <w:pPr>
              <w:tabs>
                <w:tab w:val="center" w:pos="4680"/>
              </w:tabs>
              <w:suppressAutoHyphens/>
              <w:rPr>
                <w:spacing w:val="-2"/>
              </w:rPr>
            </w:pPr>
            <w:r w:rsidRPr="008B7F02">
              <w:rPr>
                <w:spacing w:val="-2"/>
              </w:rPr>
              <w:t>Inc.</w:t>
            </w:r>
          </w:p>
          <w:p w:rsidR="008B7F02" w:rsidRPr="008B7F02" w:rsidP="008B7F02" w14:paraId="08C870BE" w14:textId="77777777">
            <w:pPr>
              <w:tabs>
                <w:tab w:val="center" w:pos="4680"/>
              </w:tabs>
              <w:suppressAutoHyphens/>
              <w:rPr>
                <w:spacing w:val="-2"/>
              </w:rPr>
            </w:pPr>
          </w:p>
          <w:p w:rsidR="008B7F02" w:rsidRPr="008B7F02" w:rsidP="008B7F02" w14:paraId="0C99D6CF" w14:textId="77777777">
            <w:pPr>
              <w:tabs>
                <w:tab w:val="center" w:pos="4680"/>
              </w:tabs>
              <w:suppressAutoHyphens/>
              <w:rPr>
                <w:spacing w:val="-2"/>
              </w:rPr>
            </w:pPr>
            <w:r w:rsidRPr="008B7F02">
              <w:rPr>
                <w:spacing w:val="-2"/>
              </w:rPr>
              <w:t>Petition for Waiver of Section 61.41(c)(2)</w:t>
            </w:r>
          </w:p>
          <w:p w:rsidR="008B7F02" w:rsidRPr="008B7F02" w:rsidP="008B7F02" w14:paraId="04D27601" w14:textId="77777777">
            <w:pPr>
              <w:tabs>
                <w:tab w:val="center" w:pos="4680"/>
              </w:tabs>
              <w:suppressAutoHyphens/>
              <w:rPr>
                <w:spacing w:val="-2"/>
              </w:rPr>
            </w:pPr>
            <w:r w:rsidRPr="008B7F02">
              <w:rPr>
                <w:spacing w:val="-2"/>
              </w:rPr>
              <w:t>Of the Commission’s Rules, and Such Other Relief</w:t>
            </w:r>
          </w:p>
          <w:p w:rsidR="008B7F02" w:rsidRPr="008B7F02" w:rsidP="008B7F02" w14:paraId="1905BDB0" w14:textId="77777777">
            <w:pPr>
              <w:tabs>
                <w:tab w:val="center" w:pos="4680"/>
              </w:tabs>
              <w:suppressAutoHyphens/>
              <w:rPr>
                <w:spacing w:val="-2"/>
              </w:rPr>
            </w:pPr>
            <w:r w:rsidRPr="008B7F02">
              <w:rPr>
                <w:spacing w:val="-2"/>
              </w:rPr>
              <w:t>as May Be Necessary, To Preserve Bifurcated</w:t>
            </w:r>
          </w:p>
          <w:p w:rsidR="008B7F02" w:rsidRPr="008B7F02" w:rsidP="008B7F02" w14:paraId="0C4ABAB2" w14:textId="77777777">
            <w:pPr>
              <w:tabs>
                <w:tab w:val="center" w:pos="4680"/>
              </w:tabs>
              <w:suppressAutoHyphens/>
              <w:rPr>
                <w:spacing w:val="-2"/>
              </w:rPr>
            </w:pPr>
            <w:r w:rsidRPr="008B7F02">
              <w:rPr>
                <w:spacing w:val="-2"/>
              </w:rPr>
              <w:t>Regulation Following the Merger of Marianna and</w:t>
            </w:r>
          </w:p>
          <w:p w:rsidR="008B7F02" w:rsidRPr="008B7F02" w:rsidP="008B7F02" w14:paraId="29E8E328" w14:textId="77777777">
            <w:pPr>
              <w:tabs>
                <w:tab w:val="center" w:pos="4680"/>
              </w:tabs>
              <w:suppressAutoHyphens/>
              <w:rPr>
                <w:spacing w:val="-2"/>
              </w:rPr>
            </w:pPr>
            <w:r w:rsidRPr="008B7F02">
              <w:rPr>
                <w:spacing w:val="-2"/>
              </w:rPr>
              <w:t>Scenery Hill Telephone Company and Bentleyville</w:t>
            </w:r>
          </w:p>
          <w:p w:rsidR="008B7F02" w:rsidRPr="008B7F02" w:rsidP="008B7F02" w14:paraId="665F3A9D" w14:textId="77777777">
            <w:pPr>
              <w:tabs>
                <w:tab w:val="center" w:pos="4680"/>
              </w:tabs>
              <w:suppressAutoHyphens/>
              <w:rPr>
                <w:spacing w:val="-2"/>
              </w:rPr>
            </w:pPr>
            <w:r w:rsidRPr="008B7F02">
              <w:rPr>
                <w:spacing w:val="-2"/>
              </w:rPr>
              <w:t>Communications Corporation With and Into</w:t>
            </w:r>
          </w:p>
          <w:p w:rsidR="008B7F02" w:rsidRPr="008B7F02" w:rsidP="008B7F02" w14:paraId="6E588501" w14:textId="77777777">
            <w:pPr>
              <w:tabs>
                <w:tab w:val="center" w:pos="4680"/>
              </w:tabs>
              <w:suppressAutoHyphens/>
              <w:rPr>
                <w:spacing w:val="-2"/>
              </w:rPr>
            </w:pPr>
            <w:r w:rsidRPr="008B7F02">
              <w:rPr>
                <w:spacing w:val="-2"/>
              </w:rPr>
              <w:t>Consolidated Communications of Pennsylvania</w:t>
            </w:r>
          </w:p>
          <w:p w:rsidR="008B7F02" w:rsidRPr="008B7F02" w:rsidP="008B7F02" w14:paraId="54F36DC0" w14:textId="77777777">
            <w:pPr>
              <w:tabs>
                <w:tab w:val="center" w:pos="4680"/>
              </w:tabs>
              <w:suppressAutoHyphens/>
              <w:rPr>
                <w:spacing w:val="-2"/>
              </w:rPr>
            </w:pPr>
            <w:r w:rsidRPr="008B7F02">
              <w:rPr>
                <w:spacing w:val="-2"/>
              </w:rPr>
              <w:t>Company, Inc., and the Merger of Community</w:t>
            </w:r>
          </w:p>
          <w:p w:rsidR="008B7F02" w:rsidRPr="008B7F02" w:rsidP="008B7F02" w14:paraId="19C6384B" w14:textId="77777777">
            <w:pPr>
              <w:tabs>
                <w:tab w:val="center" w:pos="4680"/>
              </w:tabs>
              <w:suppressAutoHyphens/>
              <w:rPr>
                <w:spacing w:val="-2"/>
              </w:rPr>
            </w:pPr>
            <w:r w:rsidRPr="008B7F02">
              <w:rPr>
                <w:spacing w:val="-2"/>
              </w:rPr>
              <w:t>Service Telephone Company With and Into</w:t>
            </w:r>
          </w:p>
          <w:p w:rsidR="008B7F02" w:rsidRPr="008B7F02" w:rsidP="008B7F02" w14:paraId="646A4B0B" w14:textId="77777777">
            <w:pPr>
              <w:tabs>
                <w:tab w:val="center" w:pos="4680"/>
              </w:tabs>
              <w:suppressAutoHyphens/>
              <w:rPr>
                <w:spacing w:val="-2"/>
              </w:rPr>
            </w:pPr>
            <w:r w:rsidRPr="008B7F02">
              <w:rPr>
                <w:spacing w:val="-2"/>
              </w:rPr>
              <w:t>Consolidated Communications of Maine Company,</w:t>
            </w:r>
          </w:p>
          <w:p w:rsidR="004C2EE3" w:rsidRPr="007115F7" w:rsidP="008B7F02" w14:paraId="5CCDCEDE" w14:textId="77777777">
            <w:pPr>
              <w:tabs>
                <w:tab w:val="center" w:pos="4680"/>
              </w:tabs>
              <w:suppressAutoHyphens/>
              <w:rPr>
                <w:spacing w:val="-2"/>
              </w:rPr>
            </w:pPr>
            <w:r w:rsidRPr="008B7F02">
              <w:rPr>
                <w:spacing w:val="-2"/>
              </w:rPr>
              <w:t>Inc.</w:t>
            </w:r>
          </w:p>
        </w:tc>
        <w:tc>
          <w:tcPr>
            <w:tcW w:w="630" w:type="dxa"/>
          </w:tcPr>
          <w:p w:rsidR="004C2EE3" w14:paraId="5E860DBD" w14:textId="77777777">
            <w:pPr>
              <w:tabs>
                <w:tab w:val="center" w:pos="4680"/>
              </w:tabs>
              <w:suppressAutoHyphens/>
              <w:rPr>
                <w:b/>
                <w:spacing w:val="-2"/>
              </w:rPr>
            </w:pPr>
            <w:r>
              <w:rPr>
                <w:b/>
                <w:spacing w:val="-2"/>
              </w:rPr>
              <w:t>)</w:t>
            </w:r>
          </w:p>
          <w:p w:rsidR="004C2EE3" w14:paraId="57C9E580" w14:textId="77777777">
            <w:pPr>
              <w:tabs>
                <w:tab w:val="center" w:pos="4680"/>
              </w:tabs>
              <w:suppressAutoHyphens/>
              <w:rPr>
                <w:b/>
                <w:spacing w:val="-2"/>
              </w:rPr>
            </w:pPr>
            <w:r>
              <w:rPr>
                <w:b/>
                <w:spacing w:val="-2"/>
              </w:rPr>
              <w:t>)</w:t>
            </w:r>
          </w:p>
          <w:p w:rsidR="004C2EE3" w14:paraId="7776312B" w14:textId="77777777">
            <w:pPr>
              <w:tabs>
                <w:tab w:val="center" w:pos="4680"/>
              </w:tabs>
              <w:suppressAutoHyphens/>
              <w:rPr>
                <w:b/>
                <w:spacing w:val="-2"/>
              </w:rPr>
            </w:pPr>
            <w:r>
              <w:rPr>
                <w:b/>
                <w:spacing w:val="-2"/>
              </w:rPr>
              <w:t>)</w:t>
            </w:r>
          </w:p>
          <w:p w:rsidR="004C2EE3" w14:paraId="0C493E61" w14:textId="77777777">
            <w:pPr>
              <w:tabs>
                <w:tab w:val="center" w:pos="4680"/>
              </w:tabs>
              <w:suppressAutoHyphens/>
              <w:rPr>
                <w:b/>
                <w:spacing w:val="-2"/>
              </w:rPr>
            </w:pPr>
            <w:r>
              <w:rPr>
                <w:b/>
                <w:spacing w:val="-2"/>
              </w:rPr>
              <w:t>)</w:t>
            </w:r>
          </w:p>
          <w:p w:rsidR="004C2EE3" w14:paraId="70EAB72C" w14:textId="77777777">
            <w:pPr>
              <w:tabs>
                <w:tab w:val="center" w:pos="4680"/>
              </w:tabs>
              <w:suppressAutoHyphens/>
              <w:rPr>
                <w:b/>
                <w:spacing w:val="-2"/>
              </w:rPr>
            </w:pPr>
            <w:r>
              <w:rPr>
                <w:b/>
                <w:spacing w:val="-2"/>
              </w:rPr>
              <w:t>)</w:t>
            </w:r>
          </w:p>
          <w:p w:rsidR="004C2EE3" w14:paraId="77820C11" w14:textId="77777777">
            <w:pPr>
              <w:tabs>
                <w:tab w:val="center" w:pos="4680"/>
              </w:tabs>
              <w:suppressAutoHyphens/>
              <w:rPr>
                <w:b/>
                <w:spacing w:val="-2"/>
              </w:rPr>
            </w:pPr>
            <w:r>
              <w:rPr>
                <w:b/>
                <w:spacing w:val="-2"/>
              </w:rPr>
              <w:t>)</w:t>
            </w:r>
          </w:p>
          <w:p w:rsidR="004C2EE3" w14:paraId="5315D665" w14:textId="77777777">
            <w:pPr>
              <w:tabs>
                <w:tab w:val="center" w:pos="4680"/>
              </w:tabs>
              <w:suppressAutoHyphens/>
              <w:rPr>
                <w:b/>
                <w:spacing w:val="-2"/>
              </w:rPr>
            </w:pPr>
            <w:r>
              <w:rPr>
                <w:b/>
                <w:spacing w:val="-2"/>
              </w:rPr>
              <w:t>)</w:t>
            </w:r>
          </w:p>
          <w:p w:rsidR="004C2EE3" w14:paraId="07CEC207" w14:textId="77777777">
            <w:pPr>
              <w:tabs>
                <w:tab w:val="center" w:pos="4680"/>
              </w:tabs>
              <w:suppressAutoHyphens/>
              <w:rPr>
                <w:b/>
                <w:spacing w:val="-2"/>
              </w:rPr>
            </w:pPr>
            <w:r>
              <w:rPr>
                <w:b/>
                <w:spacing w:val="-2"/>
              </w:rPr>
              <w:t>)</w:t>
            </w:r>
          </w:p>
          <w:p w:rsidR="004C2EE3" w14:paraId="21F63826" w14:textId="77777777">
            <w:pPr>
              <w:tabs>
                <w:tab w:val="center" w:pos="4680"/>
              </w:tabs>
              <w:suppressAutoHyphens/>
              <w:rPr>
                <w:b/>
                <w:spacing w:val="-2"/>
              </w:rPr>
            </w:pPr>
            <w:r>
              <w:rPr>
                <w:b/>
                <w:spacing w:val="-2"/>
              </w:rPr>
              <w:t>)</w:t>
            </w:r>
          </w:p>
          <w:p w:rsidR="008B7F02" w14:paraId="7DD4C6B8" w14:textId="77777777">
            <w:pPr>
              <w:tabs>
                <w:tab w:val="center" w:pos="4680"/>
              </w:tabs>
              <w:suppressAutoHyphens/>
              <w:rPr>
                <w:b/>
                <w:spacing w:val="-2"/>
              </w:rPr>
            </w:pPr>
            <w:r>
              <w:rPr>
                <w:b/>
                <w:spacing w:val="-2"/>
              </w:rPr>
              <w:t>)</w:t>
            </w:r>
          </w:p>
          <w:p w:rsidR="008B7F02" w14:paraId="66D87488" w14:textId="77777777">
            <w:pPr>
              <w:tabs>
                <w:tab w:val="center" w:pos="4680"/>
              </w:tabs>
              <w:suppressAutoHyphens/>
              <w:rPr>
                <w:b/>
                <w:spacing w:val="-2"/>
              </w:rPr>
            </w:pPr>
            <w:r>
              <w:rPr>
                <w:b/>
                <w:spacing w:val="-2"/>
              </w:rPr>
              <w:t>)</w:t>
            </w:r>
          </w:p>
          <w:p w:rsidR="008B7F02" w14:paraId="18FB70A2" w14:textId="77777777">
            <w:pPr>
              <w:tabs>
                <w:tab w:val="center" w:pos="4680"/>
              </w:tabs>
              <w:suppressAutoHyphens/>
              <w:rPr>
                <w:b/>
                <w:spacing w:val="-2"/>
              </w:rPr>
            </w:pPr>
            <w:r>
              <w:rPr>
                <w:b/>
                <w:spacing w:val="-2"/>
              </w:rPr>
              <w:t>)</w:t>
            </w:r>
          </w:p>
          <w:p w:rsidR="008B7F02" w14:paraId="011CA78F" w14:textId="77777777">
            <w:pPr>
              <w:tabs>
                <w:tab w:val="center" w:pos="4680"/>
              </w:tabs>
              <w:suppressAutoHyphens/>
              <w:rPr>
                <w:b/>
                <w:spacing w:val="-2"/>
              </w:rPr>
            </w:pPr>
            <w:r>
              <w:rPr>
                <w:b/>
                <w:spacing w:val="-2"/>
              </w:rPr>
              <w:t>)</w:t>
            </w:r>
          </w:p>
          <w:p w:rsidR="008B7F02" w14:paraId="4354CEF9" w14:textId="77777777">
            <w:pPr>
              <w:tabs>
                <w:tab w:val="center" w:pos="4680"/>
              </w:tabs>
              <w:suppressAutoHyphens/>
              <w:rPr>
                <w:b/>
                <w:spacing w:val="-2"/>
              </w:rPr>
            </w:pPr>
            <w:r>
              <w:rPr>
                <w:b/>
                <w:spacing w:val="-2"/>
              </w:rPr>
              <w:t>)</w:t>
            </w:r>
          </w:p>
          <w:p w:rsidR="008B7F02" w14:paraId="2794FEE0" w14:textId="77777777">
            <w:pPr>
              <w:tabs>
                <w:tab w:val="center" w:pos="4680"/>
              </w:tabs>
              <w:suppressAutoHyphens/>
              <w:rPr>
                <w:b/>
                <w:spacing w:val="-2"/>
              </w:rPr>
            </w:pPr>
            <w:r>
              <w:rPr>
                <w:b/>
                <w:spacing w:val="-2"/>
              </w:rPr>
              <w:t>)</w:t>
            </w:r>
          </w:p>
          <w:p w:rsidR="008B7F02" w14:paraId="1A02A334" w14:textId="77777777">
            <w:pPr>
              <w:tabs>
                <w:tab w:val="center" w:pos="4680"/>
              </w:tabs>
              <w:suppressAutoHyphens/>
              <w:rPr>
                <w:b/>
                <w:spacing w:val="-2"/>
              </w:rPr>
            </w:pPr>
            <w:r>
              <w:rPr>
                <w:b/>
                <w:spacing w:val="-2"/>
              </w:rPr>
              <w:t>)</w:t>
            </w:r>
          </w:p>
          <w:p w:rsidR="008B7F02" w14:paraId="723BD4D5" w14:textId="77777777">
            <w:pPr>
              <w:tabs>
                <w:tab w:val="center" w:pos="4680"/>
              </w:tabs>
              <w:suppressAutoHyphens/>
              <w:rPr>
                <w:b/>
                <w:spacing w:val="-2"/>
              </w:rPr>
            </w:pPr>
            <w:r>
              <w:rPr>
                <w:b/>
                <w:spacing w:val="-2"/>
              </w:rPr>
              <w:t>)</w:t>
            </w:r>
          </w:p>
          <w:p w:rsidR="008B7F02" w14:paraId="7C60F280" w14:textId="77777777">
            <w:pPr>
              <w:tabs>
                <w:tab w:val="center" w:pos="4680"/>
              </w:tabs>
              <w:suppressAutoHyphens/>
              <w:rPr>
                <w:b/>
                <w:spacing w:val="-2"/>
              </w:rPr>
            </w:pPr>
            <w:r>
              <w:rPr>
                <w:b/>
                <w:spacing w:val="-2"/>
              </w:rPr>
              <w:t>)</w:t>
            </w:r>
          </w:p>
          <w:p w:rsidR="008B7F02" w14:paraId="2E4413E9" w14:textId="77777777">
            <w:pPr>
              <w:tabs>
                <w:tab w:val="center" w:pos="4680"/>
              </w:tabs>
              <w:suppressAutoHyphens/>
              <w:rPr>
                <w:spacing w:val="-2"/>
              </w:rPr>
            </w:pPr>
            <w:r>
              <w:rPr>
                <w:b/>
                <w:spacing w:val="-2"/>
              </w:rPr>
              <w:t>)</w:t>
            </w:r>
          </w:p>
        </w:tc>
        <w:tc>
          <w:tcPr>
            <w:tcW w:w="4248" w:type="dxa"/>
          </w:tcPr>
          <w:p w:rsidR="004C2EE3" w14:paraId="04BC8B6B" w14:textId="77777777">
            <w:pPr>
              <w:tabs>
                <w:tab w:val="center" w:pos="4680"/>
              </w:tabs>
              <w:suppressAutoHyphens/>
              <w:rPr>
                <w:spacing w:val="-2"/>
              </w:rPr>
            </w:pPr>
          </w:p>
          <w:p w:rsidR="004C2EE3" w14:paraId="503D3D12" w14:textId="77777777">
            <w:pPr>
              <w:pStyle w:val="TOAHeading"/>
              <w:tabs>
                <w:tab w:val="center" w:pos="4680"/>
                <w:tab w:val="clear" w:pos="9360"/>
              </w:tabs>
              <w:rPr>
                <w:spacing w:val="-2"/>
              </w:rPr>
            </w:pPr>
          </w:p>
          <w:p w:rsidR="00086227" w14:paraId="585CB407" w14:textId="77777777">
            <w:pPr>
              <w:tabs>
                <w:tab w:val="center" w:pos="4680"/>
              </w:tabs>
              <w:suppressAutoHyphens/>
              <w:rPr>
                <w:spacing w:val="-2"/>
              </w:rPr>
            </w:pPr>
          </w:p>
          <w:p w:rsidR="00086227" w14:paraId="77735E3C" w14:textId="77777777">
            <w:pPr>
              <w:tabs>
                <w:tab w:val="center" w:pos="4680"/>
              </w:tabs>
              <w:suppressAutoHyphens/>
              <w:rPr>
                <w:spacing w:val="-2"/>
              </w:rPr>
            </w:pPr>
          </w:p>
          <w:p w:rsidR="00086227" w14:paraId="1FF32101" w14:textId="77777777">
            <w:pPr>
              <w:tabs>
                <w:tab w:val="center" w:pos="4680"/>
              </w:tabs>
              <w:suppressAutoHyphens/>
              <w:rPr>
                <w:spacing w:val="-2"/>
              </w:rPr>
            </w:pPr>
          </w:p>
          <w:p w:rsidR="00086227" w14:paraId="4D45EAEB" w14:textId="77777777">
            <w:pPr>
              <w:tabs>
                <w:tab w:val="center" w:pos="4680"/>
              </w:tabs>
              <w:suppressAutoHyphens/>
              <w:rPr>
                <w:spacing w:val="-2"/>
              </w:rPr>
            </w:pPr>
          </w:p>
          <w:p w:rsidR="00086227" w14:paraId="0E52251F" w14:textId="77777777">
            <w:pPr>
              <w:tabs>
                <w:tab w:val="center" w:pos="4680"/>
              </w:tabs>
              <w:suppressAutoHyphens/>
              <w:rPr>
                <w:spacing w:val="-2"/>
              </w:rPr>
            </w:pPr>
          </w:p>
          <w:p w:rsidR="00086227" w14:paraId="0066D162" w14:textId="77777777">
            <w:pPr>
              <w:tabs>
                <w:tab w:val="center" w:pos="4680"/>
              </w:tabs>
              <w:suppressAutoHyphens/>
              <w:rPr>
                <w:spacing w:val="-2"/>
              </w:rPr>
            </w:pPr>
          </w:p>
          <w:p w:rsidR="004C2EE3" w14:paraId="037B5C25" w14:textId="6596469F">
            <w:pPr>
              <w:tabs>
                <w:tab w:val="center" w:pos="4680"/>
              </w:tabs>
              <w:suppressAutoHyphens/>
              <w:rPr>
                <w:spacing w:val="-2"/>
              </w:rPr>
            </w:pPr>
            <w:r>
              <w:rPr>
                <w:spacing w:val="-2"/>
              </w:rPr>
              <w:t>WC Docket No. 19-</w:t>
            </w:r>
            <w:r w:rsidR="00806474">
              <w:rPr>
                <w:spacing w:val="-2"/>
              </w:rPr>
              <w:t>275</w:t>
            </w:r>
          </w:p>
        </w:tc>
      </w:tr>
    </w:tbl>
    <w:p w:rsidR="004C2EE3" w:rsidP="0070224F" w14:paraId="18F9D759" w14:textId="77777777"/>
    <w:p w:rsidR="00841AB1" w:rsidP="00F021FA" w14:paraId="43C739D3" w14:textId="77777777">
      <w:pPr>
        <w:pStyle w:val="StyleBoldCentered"/>
      </w:pPr>
      <w:r>
        <w:t>ORDER</w:t>
      </w:r>
    </w:p>
    <w:p w:rsidR="004C2EE3" w14:paraId="4D023698" w14:textId="77777777">
      <w:pPr>
        <w:tabs>
          <w:tab w:val="left" w:pos="-720"/>
        </w:tabs>
        <w:suppressAutoHyphens/>
        <w:spacing w:line="227" w:lineRule="auto"/>
        <w:rPr>
          <w:spacing w:val="-2"/>
        </w:rPr>
      </w:pPr>
    </w:p>
    <w:p w:rsidR="004C2EE3" w:rsidP="00133F79" w14:paraId="68F54CC4" w14:textId="4F4B103F">
      <w:pPr>
        <w:tabs>
          <w:tab w:val="left" w:pos="720"/>
          <w:tab w:val="right" w:pos="9360"/>
        </w:tabs>
        <w:suppressAutoHyphens/>
        <w:spacing w:line="227" w:lineRule="auto"/>
        <w:rPr>
          <w:spacing w:val="-2"/>
        </w:rPr>
      </w:pPr>
      <w:r>
        <w:rPr>
          <w:b/>
          <w:spacing w:val="-2"/>
        </w:rPr>
        <w:t xml:space="preserve">Adopted:  </w:t>
      </w:r>
      <w:r w:rsidR="00422E75">
        <w:rPr>
          <w:b/>
          <w:spacing w:val="-2"/>
        </w:rPr>
        <w:t>April 1,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3E135C">
        <w:rPr>
          <w:b/>
          <w:spacing w:val="-2"/>
        </w:rPr>
        <w:t>April 1, 2022</w:t>
      </w:r>
    </w:p>
    <w:p w:rsidR="00822CE0" w14:paraId="258EFC75" w14:textId="77777777"/>
    <w:p w:rsidR="004C2EE3" w14:paraId="7977D4A4" w14:textId="77777777">
      <w:pPr>
        <w:rPr>
          <w:spacing w:val="-2"/>
        </w:rPr>
      </w:pPr>
      <w:r>
        <w:t xml:space="preserve">By </w:t>
      </w:r>
      <w:r w:rsidR="004E4A22">
        <w:t>the</w:t>
      </w:r>
      <w:r w:rsidR="002A2D2E">
        <w:t xml:space="preserve"> </w:t>
      </w:r>
      <w:r w:rsidR="008B7F02">
        <w:rPr>
          <w:spacing w:val="-2"/>
        </w:rPr>
        <w:t>Chief, Wireline Competition Bureau</w:t>
      </w:r>
      <w:r>
        <w:rPr>
          <w:spacing w:val="-2"/>
        </w:rPr>
        <w:t>:</w:t>
      </w:r>
    </w:p>
    <w:p w:rsidR="00822CE0" w14:paraId="05258401" w14:textId="77777777">
      <w:pPr>
        <w:rPr>
          <w:spacing w:val="-2"/>
        </w:rPr>
      </w:pPr>
    </w:p>
    <w:p w:rsidR="00412FC5" w:rsidP="00C36B4C" w14:paraId="0B45C78C" w14:textId="77777777">
      <w:pPr>
        <w:pStyle w:val="Heading1"/>
      </w:pPr>
      <w:r>
        <w:t>introduction</w:t>
      </w:r>
    </w:p>
    <w:p w:rsidR="008B7F02" w:rsidRPr="00046E11" w:rsidP="00100DB6" w14:paraId="0F050DA5" w14:textId="221FD54A">
      <w:pPr>
        <w:pStyle w:val="ParaNum"/>
        <w:widowControl/>
      </w:pPr>
      <w:bookmarkStart w:id="0" w:name="_Hlk99545063"/>
      <w:r w:rsidRPr="00046E11">
        <w:t xml:space="preserve">By this Order, </w:t>
      </w:r>
      <w:r w:rsidRPr="00046E11" w:rsidR="00E61F79">
        <w:t xml:space="preserve">the Wireline Competition Bureau (Bureau) </w:t>
      </w:r>
      <w:r w:rsidRPr="00046E11">
        <w:t>grant</w:t>
      </w:r>
      <w:r w:rsidRPr="00046E11" w:rsidR="00E61F79">
        <w:t>s</w:t>
      </w:r>
      <w:r w:rsidR="00AF78CB">
        <w:t xml:space="preserve"> to the extent provided herein</w:t>
      </w:r>
      <w:r w:rsidRPr="00046E11">
        <w:t xml:space="preserve"> </w:t>
      </w:r>
      <w:r w:rsidRPr="00046E11" w:rsidR="00DD4EE0">
        <w:t>a</w:t>
      </w:r>
      <w:r w:rsidRPr="00046E11">
        <w:t xml:space="preserve"> </w:t>
      </w:r>
      <w:r w:rsidRPr="00046E11" w:rsidR="00B66851">
        <w:t>p</w:t>
      </w:r>
      <w:r w:rsidRPr="00046E11">
        <w:t xml:space="preserve">etition </w:t>
      </w:r>
      <w:r w:rsidRPr="00046E11" w:rsidR="00474AED">
        <w:t>for waiver of the “all-or-nothing” rule</w:t>
      </w:r>
      <w:r>
        <w:rPr>
          <w:rStyle w:val="FootnoteReference"/>
        </w:rPr>
        <w:footnoteReference w:id="3"/>
      </w:r>
      <w:r w:rsidRPr="00046E11" w:rsidR="00474AED">
        <w:t xml:space="preserve"> </w:t>
      </w:r>
      <w:r w:rsidRPr="00046E11">
        <w:t>filed by Consolidated Communications of Pennsylvania Company, Inc. (</w:t>
      </w:r>
      <w:r w:rsidRPr="00046E11" w:rsidR="00DF4862">
        <w:t>Consolidated-Pennsylvania</w:t>
      </w:r>
      <w:r w:rsidRPr="00046E11">
        <w:t xml:space="preserve">) and Consolidated Communications of Maine Company, Inc. </w:t>
      </w:r>
      <w:r w:rsidRPr="00046E11" w:rsidR="008F39C4">
        <w:t>(</w:t>
      </w:r>
      <w:r w:rsidRPr="00046E11" w:rsidR="00DF4862">
        <w:t>Consolidated-Maine</w:t>
      </w:r>
      <w:r w:rsidRPr="00046E11" w:rsidR="008F39C4">
        <w:t xml:space="preserve">) </w:t>
      </w:r>
      <w:r w:rsidRPr="00046E11">
        <w:t>(collectively, Petitioners)</w:t>
      </w:r>
      <w:r w:rsidR="00510EC6">
        <w:t xml:space="preserve"> </w:t>
      </w:r>
      <w:r w:rsidRPr="00046E11" w:rsidR="00014193">
        <w:t xml:space="preserve">to </w:t>
      </w:r>
      <w:r w:rsidRPr="00046E11" w:rsidR="00C42257">
        <w:t xml:space="preserve">allow each </w:t>
      </w:r>
      <w:r w:rsidRPr="00046E11" w:rsidR="009A66D2">
        <w:t xml:space="preserve">price cap </w:t>
      </w:r>
      <w:r w:rsidR="00F70AF0">
        <w:t xml:space="preserve">incumbent local exchange </w:t>
      </w:r>
      <w:r w:rsidRPr="00046E11" w:rsidR="00F35974">
        <w:t>carrier</w:t>
      </w:r>
      <w:r w:rsidR="00F70AF0">
        <w:t xml:space="preserve"> (LEC or carrier)</w:t>
      </w:r>
      <w:r w:rsidRPr="00046E11" w:rsidR="00C42257">
        <w:t xml:space="preserve"> to </w:t>
      </w:r>
      <w:r w:rsidRPr="00046E11" w:rsidR="00014193">
        <w:t>continue operat</w:t>
      </w:r>
      <w:r w:rsidRPr="00046E11" w:rsidR="00DD6841">
        <w:t>ing</w:t>
      </w:r>
      <w:r w:rsidRPr="00046E11" w:rsidR="00014193">
        <w:t xml:space="preserve"> </w:t>
      </w:r>
      <w:r w:rsidRPr="00046E11" w:rsidR="009A66D2">
        <w:t xml:space="preserve">affiliated </w:t>
      </w:r>
      <w:r w:rsidRPr="00046E11" w:rsidR="00014193">
        <w:t xml:space="preserve">study areas subject to </w:t>
      </w:r>
      <w:r w:rsidRPr="00046E11" w:rsidR="00DD6841">
        <w:t xml:space="preserve">rate-of-return </w:t>
      </w:r>
      <w:r w:rsidRPr="00046E11" w:rsidR="00FF71A0">
        <w:t>regulation</w:t>
      </w:r>
      <w:r w:rsidRPr="00046E11" w:rsidR="00737669">
        <w:t>.</w:t>
      </w:r>
      <w:bookmarkEnd w:id="0"/>
      <w:r>
        <w:rPr>
          <w:rStyle w:val="FootnoteReference"/>
        </w:rPr>
        <w:footnoteReference w:id="4"/>
      </w:r>
      <w:r w:rsidRPr="00046E11" w:rsidR="00014193">
        <w:t xml:space="preserve"> </w:t>
      </w:r>
      <w:r w:rsidRPr="00046E11" w:rsidR="00482689">
        <w:t xml:space="preserve"> </w:t>
      </w:r>
      <w:r w:rsidR="0085386E">
        <w:t xml:space="preserve">While the Petitioners filed </w:t>
      </w:r>
      <w:r w:rsidR="000C43B0">
        <w:t xml:space="preserve">their petition </w:t>
      </w:r>
      <w:r w:rsidR="0085386E">
        <w:t xml:space="preserve">for waiver </w:t>
      </w:r>
      <w:r w:rsidR="000C43B0">
        <w:t xml:space="preserve">within </w:t>
      </w:r>
      <w:r w:rsidRPr="000C43B0" w:rsidR="000C43B0">
        <w:t xml:space="preserve">one year following the effective date of </w:t>
      </w:r>
      <w:r w:rsidR="000C43B0">
        <w:t>the</w:t>
      </w:r>
      <w:r w:rsidRPr="000C43B0" w:rsidR="000C43B0">
        <w:t xml:space="preserve"> merger</w:t>
      </w:r>
      <w:r w:rsidR="000C43B0">
        <w:t xml:space="preserve"> </w:t>
      </w:r>
      <w:r w:rsidR="003C7791">
        <w:t xml:space="preserve">that </w:t>
      </w:r>
      <w:r w:rsidR="0017267F">
        <w:t>trigger</w:t>
      </w:r>
      <w:r w:rsidR="003C7791">
        <w:t>ed</w:t>
      </w:r>
      <w:r w:rsidR="000C43B0">
        <w:t xml:space="preserve"> </w:t>
      </w:r>
      <w:r w:rsidR="003C7791">
        <w:t xml:space="preserve">their obligations to subject </w:t>
      </w:r>
      <w:r w:rsidR="00CC0003">
        <w:t xml:space="preserve">a cost-based </w:t>
      </w:r>
      <w:r w:rsidR="003C7791">
        <w:t xml:space="preserve">rate-of-return affiliate to </w:t>
      </w:r>
      <w:r w:rsidR="000C43B0">
        <w:t xml:space="preserve">price cap </w:t>
      </w:r>
      <w:r w:rsidR="003C7791">
        <w:t>regulation and file price cap tariffs</w:t>
      </w:r>
      <w:r w:rsidR="0085386E">
        <w:t>,</w:t>
      </w:r>
      <w:r>
        <w:rPr>
          <w:rStyle w:val="FootnoteReference"/>
        </w:rPr>
        <w:footnoteReference w:id="5"/>
      </w:r>
      <w:r w:rsidR="0085386E">
        <w:t xml:space="preserve"> due to the passage of time</w:t>
      </w:r>
      <w:r w:rsidR="000C43B0">
        <w:t>,</w:t>
      </w:r>
      <w:r w:rsidR="0085386E">
        <w:t xml:space="preserve"> we grant a retroactive waiver of </w:t>
      </w:r>
      <w:r w:rsidR="000C43B0">
        <w:t xml:space="preserve">the </w:t>
      </w:r>
      <w:r w:rsidR="000C43B0">
        <w:t>all-or-nothing</w:t>
      </w:r>
      <w:r w:rsidR="0085386E">
        <w:t xml:space="preserve"> rule </w:t>
      </w:r>
      <w:r w:rsidR="000C43B0">
        <w:t xml:space="preserve">dating back to the effective date of the </w:t>
      </w:r>
      <w:r w:rsidR="006E732A">
        <w:t>internal reorganization</w:t>
      </w:r>
      <w:r w:rsidRPr="003C7791" w:rsidR="003C7791">
        <w:t xml:space="preserve"> </w:t>
      </w:r>
      <w:r w:rsidR="003C7791">
        <w:t>as described below</w:t>
      </w:r>
      <w:r w:rsidR="0085386E">
        <w:t xml:space="preserve">.  </w:t>
      </w:r>
      <w:r w:rsidRPr="00046E11" w:rsidR="00F361EE">
        <w:t xml:space="preserve">We also grant </w:t>
      </w:r>
      <w:r w:rsidRPr="00046E11" w:rsidR="00FA2E91">
        <w:t>limited</w:t>
      </w:r>
      <w:r w:rsidR="0085386E">
        <w:t xml:space="preserve"> retroactive</w:t>
      </w:r>
      <w:r w:rsidRPr="00046E11" w:rsidR="00FA2E91">
        <w:t xml:space="preserve"> </w:t>
      </w:r>
      <w:r w:rsidRPr="00046E11" w:rsidR="00F361EE">
        <w:t>waivers of parts 51 (subpart J), 61, and 69 of the Commission’s rules</w:t>
      </w:r>
      <w:r w:rsidRPr="00046E11" w:rsidR="00223D77">
        <w:t>, which govern intercarrier compensation and tariffing requirements,</w:t>
      </w:r>
      <w:r w:rsidRPr="00046E11" w:rsidR="00F361EE">
        <w:t xml:space="preserve"> to the extent </w:t>
      </w:r>
      <w:r w:rsidRPr="00046E11" w:rsidR="00ED21D2">
        <w:t>necessary to effectuate waiver of the all-or-nothing rule</w:t>
      </w:r>
      <w:r w:rsidRPr="00046E11" w:rsidR="00F361EE">
        <w:t>.</w:t>
      </w:r>
      <w:r>
        <w:rPr>
          <w:rStyle w:val="FootnoteReference"/>
        </w:rPr>
        <w:footnoteReference w:id="6"/>
      </w:r>
      <w:r w:rsidRPr="00046E11" w:rsidR="00F361EE">
        <w:t xml:space="preserve">  </w:t>
      </w:r>
      <w:r w:rsidRPr="00CB14EF" w:rsidR="00C9016A">
        <w:t>In so doing</w:t>
      </w:r>
      <w:r w:rsidRPr="00427201" w:rsidR="00223D77">
        <w:t>,</w:t>
      </w:r>
      <w:r w:rsidRPr="00427201" w:rsidR="00C9016A">
        <w:t xml:space="preserve"> we find that </w:t>
      </w:r>
      <w:r w:rsidRPr="00900FF3" w:rsidR="00B66851">
        <w:t xml:space="preserve">allowing these mergers does not raise </w:t>
      </w:r>
      <w:r w:rsidRPr="00900FF3" w:rsidR="00C9016A">
        <w:t>concerns about</w:t>
      </w:r>
      <w:r w:rsidRPr="00F10FBD" w:rsidR="00B66851">
        <w:t xml:space="preserve"> cost</w:t>
      </w:r>
      <w:r w:rsidRPr="004D71D7" w:rsidR="00A01433">
        <w:t>-</w:t>
      </w:r>
      <w:r w:rsidRPr="004D71D7" w:rsidR="00B66851">
        <w:t xml:space="preserve">shifting and gamesmanship </w:t>
      </w:r>
      <w:r w:rsidRPr="00CB14EF" w:rsidR="00CF1655">
        <w:t xml:space="preserve">because the Petitioners’ interstate rates and </w:t>
      </w:r>
      <w:r w:rsidR="003E41B2">
        <w:t>U</w:t>
      </w:r>
      <w:r w:rsidRPr="00CB14EF" w:rsidR="00CF1655">
        <w:t xml:space="preserve">niversal </w:t>
      </w:r>
      <w:r w:rsidR="003E41B2">
        <w:t>S</w:t>
      </w:r>
      <w:r w:rsidRPr="00CB14EF" w:rsidR="00CF1655">
        <w:t>ervice</w:t>
      </w:r>
      <w:r w:rsidR="003E41B2">
        <w:t xml:space="preserve"> Fund</w:t>
      </w:r>
      <w:r w:rsidRPr="00CB14EF" w:rsidR="00CF1655">
        <w:t xml:space="preserve"> support for the relevant study areas are no longer calculated based on recorded costs.</w:t>
      </w:r>
      <w:r w:rsidRPr="00CB14EF" w:rsidR="00B66851">
        <w:t xml:space="preserve"> </w:t>
      </w:r>
      <w:r w:rsidR="001C3694">
        <w:t xml:space="preserve"> We also find that these </w:t>
      </w:r>
      <w:r w:rsidR="006E732A">
        <w:t>internal reorganizations</w:t>
      </w:r>
      <w:r w:rsidR="001C3694">
        <w:t xml:space="preserve"> are consistent with recent </w:t>
      </w:r>
      <w:r w:rsidR="00C94E68">
        <w:t xml:space="preserve">Commission </w:t>
      </w:r>
      <w:r w:rsidR="001C3694">
        <w:t xml:space="preserve">reforms regarding </w:t>
      </w:r>
      <w:r w:rsidR="003E41B2">
        <w:t>U</w:t>
      </w:r>
      <w:r w:rsidR="001C3694">
        <w:t xml:space="preserve">niversal </w:t>
      </w:r>
      <w:r w:rsidR="003E41B2">
        <w:t>S</w:t>
      </w:r>
      <w:r w:rsidR="000C43B0">
        <w:t>ervice</w:t>
      </w:r>
      <w:r w:rsidR="003E41B2">
        <w:t xml:space="preserve"> Fund</w:t>
      </w:r>
      <w:r w:rsidR="000C43B0">
        <w:t xml:space="preserve"> </w:t>
      </w:r>
      <w:r w:rsidR="001C3694">
        <w:t xml:space="preserve">support and will promote </w:t>
      </w:r>
      <w:r w:rsidR="00586BCC">
        <w:t xml:space="preserve">the </w:t>
      </w:r>
      <w:r w:rsidR="001C3694">
        <w:t xml:space="preserve">Commission’s </w:t>
      </w:r>
      <w:r w:rsidR="00C94E68">
        <w:t>policy of encouraging the deployment of broadband infrastr</w:t>
      </w:r>
      <w:r w:rsidR="00A504A1">
        <w:t xml:space="preserve">ucture in rural areas.  </w:t>
      </w:r>
    </w:p>
    <w:p w:rsidR="00086227" w:rsidP="00086227" w14:paraId="4FE926DE" w14:textId="77777777">
      <w:pPr>
        <w:pStyle w:val="Heading1"/>
      </w:pPr>
      <w:r>
        <w:t>Background</w:t>
      </w:r>
    </w:p>
    <w:p w:rsidR="00F00E09" w:rsidP="0032602A" w14:paraId="21889B0B" w14:textId="45609969">
      <w:pPr>
        <w:pStyle w:val="Heading2"/>
      </w:pPr>
      <w:r>
        <w:t>The</w:t>
      </w:r>
      <w:r>
        <w:t xml:space="preserve"> “All-or-Nothing” Rule</w:t>
      </w:r>
    </w:p>
    <w:p w:rsidR="000A6E0D" w:rsidP="002E594D" w14:paraId="66F83CF6" w14:textId="68AC3555">
      <w:pPr>
        <w:pStyle w:val="ParaNum"/>
        <w:widowControl/>
      </w:pPr>
      <w:r>
        <w:t>Section 61.41 of the Commission’s rules</w:t>
      </w:r>
      <w:r w:rsidR="00AC6F88">
        <w:t xml:space="preserve">, referred to as </w:t>
      </w:r>
      <w:r>
        <w:t xml:space="preserve">the </w:t>
      </w:r>
      <w:r w:rsidR="00F70AF0">
        <w:t>“all-or-nothing rule</w:t>
      </w:r>
      <w:r w:rsidR="00AC6F88">
        <w:t>,</w:t>
      </w:r>
      <w:r w:rsidR="00DB2E7D">
        <w:t>”</w:t>
      </w:r>
      <w:r w:rsidR="00F70AF0">
        <w:t xml:space="preserve"> prohibits, in most instances, price cap </w:t>
      </w:r>
      <w:r w:rsidR="00404F25">
        <w:t>carriers</w:t>
      </w:r>
      <w:r w:rsidR="00F70AF0">
        <w:t xml:space="preserve"> from </w:t>
      </w:r>
      <w:r w:rsidR="00404F25">
        <w:t xml:space="preserve">being affiliated with </w:t>
      </w:r>
      <w:r w:rsidR="00F70AF0">
        <w:t xml:space="preserve">rate-of-return </w:t>
      </w:r>
      <w:r w:rsidR="00404F25">
        <w:t>carriers</w:t>
      </w:r>
      <w:r w:rsidR="00F70AF0">
        <w:t>.</w:t>
      </w:r>
      <w:r>
        <w:rPr>
          <w:rStyle w:val="FootnoteReference"/>
        </w:rPr>
        <w:footnoteReference w:id="7"/>
      </w:r>
      <w:r w:rsidR="00F70AF0">
        <w:t xml:space="preserve">  </w:t>
      </w:r>
      <w:r w:rsidR="00FC208F">
        <w:t>The</w:t>
      </w:r>
      <w:r w:rsidR="00AC6F88">
        <w:t xml:space="preserve"> </w:t>
      </w:r>
      <w:r w:rsidR="00065357">
        <w:t>r</w:t>
      </w:r>
      <w:r w:rsidR="00FC208F">
        <w:t>ule specifies that</w:t>
      </w:r>
      <w:r w:rsidR="009E69ED">
        <w:t xml:space="preserve"> </w:t>
      </w:r>
      <w:r w:rsidR="006E346A">
        <w:t xml:space="preserve">a </w:t>
      </w:r>
      <w:r w:rsidR="00F40A12">
        <w:t>p</w:t>
      </w:r>
      <w:r w:rsidRPr="00A336D9" w:rsidR="00F82F8C">
        <w:t>rice cap</w:t>
      </w:r>
      <w:r w:rsidR="00682175">
        <w:t xml:space="preserve"> carrier</w:t>
      </w:r>
      <w:r w:rsidRPr="00A336D9" w:rsidR="00F82F8C">
        <w:t xml:space="preserve"> </w:t>
      </w:r>
      <w:r w:rsidR="00682175">
        <w:t>involved in a merger</w:t>
      </w:r>
      <w:r w:rsidR="00F63CBD">
        <w:t>, acquisition</w:t>
      </w:r>
      <w:r w:rsidR="0013446A">
        <w:t>,</w:t>
      </w:r>
      <w:r w:rsidR="00F63CBD">
        <w:t xml:space="preserve"> or </w:t>
      </w:r>
      <w:r w:rsidR="0013446A">
        <w:t>similar</w:t>
      </w:r>
      <w:r w:rsidR="00F63CBD">
        <w:t xml:space="preserve"> transaction</w:t>
      </w:r>
      <w:r w:rsidR="007B5E44">
        <w:t xml:space="preserve"> must</w:t>
      </w:r>
      <w:r w:rsidR="00F82F8C">
        <w:t xml:space="preserve"> </w:t>
      </w:r>
      <w:r w:rsidRPr="00A336D9" w:rsidR="00F82F8C">
        <w:t>continue to operate under price cap regulation after the transaction</w:t>
      </w:r>
      <w:r w:rsidR="00682175">
        <w:t>.</w:t>
      </w:r>
      <w:r>
        <w:rPr>
          <w:rStyle w:val="FootnoteReference"/>
        </w:rPr>
        <w:footnoteReference w:id="8"/>
      </w:r>
      <w:r w:rsidR="00682175">
        <w:t xml:space="preserve">  </w:t>
      </w:r>
      <w:r w:rsidR="00C42257">
        <w:t xml:space="preserve">The </w:t>
      </w:r>
      <w:r w:rsidR="00065357">
        <w:t>r</w:t>
      </w:r>
      <w:r w:rsidR="00C42257">
        <w:t>ule further provides that</w:t>
      </w:r>
      <w:r w:rsidR="006E346A">
        <w:t xml:space="preserve"> </w:t>
      </w:r>
      <w:r w:rsidR="00F40A12">
        <w:t xml:space="preserve">when </w:t>
      </w:r>
      <w:r w:rsidR="00C42257">
        <w:t xml:space="preserve">a </w:t>
      </w:r>
      <w:r w:rsidR="00327757">
        <w:t>rate-of-return</w:t>
      </w:r>
      <w:r w:rsidR="00F40A12">
        <w:t xml:space="preserve"> </w:t>
      </w:r>
      <w:r w:rsidR="00050A90">
        <w:t xml:space="preserve">carrier </w:t>
      </w:r>
      <w:r w:rsidR="00327757">
        <w:t xml:space="preserve">and </w:t>
      </w:r>
      <w:r w:rsidR="00C42257">
        <w:t xml:space="preserve">a </w:t>
      </w:r>
      <w:r w:rsidR="00F40A12">
        <w:t xml:space="preserve">price cap carrier merge or acquire one another, the rate-of-return carrier must convert </w:t>
      </w:r>
      <w:r w:rsidR="00A92069">
        <w:t xml:space="preserve">its </w:t>
      </w:r>
      <w:r w:rsidR="00F82F8C">
        <w:t xml:space="preserve">study areas to price cap regulation within one year of </w:t>
      </w:r>
      <w:r w:rsidR="00F40A12">
        <w:t xml:space="preserve">the </w:t>
      </w:r>
      <w:r w:rsidR="00F82F8C">
        <w:t>transaction and file price cap tariffs</w:t>
      </w:r>
      <w:r w:rsidR="0013446A">
        <w:t xml:space="preserve"> </w:t>
      </w:r>
      <w:r w:rsidR="00327757">
        <w:t>consistent with</w:t>
      </w:r>
      <w:r w:rsidR="0013446A">
        <w:t xml:space="preserve"> </w:t>
      </w:r>
      <w:r w:rsidR="00BF47DD">
        <w:t>p</w:t>
      </w:r>
      <w:r w:rsidR="0013446A">
        <w:t>art 61</w:t>
      </w:r>
      <w:r w:rsidR="00B677C5">
        <w:t xml:space="preserve"> of the Commission’s rules</w:t>
      </w:r>
      <w:r w:rsidR="00F82F8C">
        <w:t>.</w:t>
      </w:r>
      <w:r>
        <w:rPr>
          <w:rStyle w:val="FootnoteReference"/>
        </w:rPr>
        <w:footnoteReference w:id="9"/>
      </w:r>
      <w:r w:rsidR="00F82F8C">
        <w:t xml:space="preserve"> </w:t>
      </w:r>
      <w:r w:rsidR="00F40A12">
        <w:t xml:space="preserve"> </w:t>
      </w:r>
      <w:bookmarkStart w:id="1" w:name="_Hlk23264293"/>
      <w:r w:rsidR="0087272E">
        <w:t xml:space="preserve">However, </w:t>
      </w:r>
      <w:r w:rsidR="001216FB">
        <w:t>an exception to the rule allows a rate-of-return carrier that is an “average schedule company”</w:t>
      </w:r>
      <w:r w:rsidR="00030E9E">
        <w:t xml:space="preserve"> </w:t>
      </w:r>
      <w:r w:rsidR="001216FB">
        <w:t>to retain its average schedule status when it</w:t>
      </w:r>
      <w:r w:rsidRPr="00902600" w:rsidR="001216FB">
        <w:t xml:space="preserve"> </w:t>
      </w:r>
      <w:r w:rsidR="001216FB">
        <w:t>“</w:t>
      </w:r>
      <w:r w:rsidRPr="00902600" w:rsidR="001216FB">
        <w:t>acquires, is acquired by, merges with, or otherwise becomes affiliated with</w:t>
      </w:r>
      <w:r w:rsidR="001216FB">
        <w:t>” a price cap carrier</w:t>
      </w:r>
      <w:r w:rsidR="0087272E">
        <w:t>.</w:t>
      </w:r>
      <w:r>
        <w:rPr>
          <w:rStyle w:val="FootnoteReference"/>
        </w:rPr>
        <w:footnoteReference w:id="10"/>
      </w:r>
      <w:r w:rsidR="0087272E">
        <w:t xml:space="preserve"> </w:t>
      </w:r>
    </w:p>
    <w:bookmarkEnd w:id="1"/>
    <w:p w:rsidR="00FB173F" w:rsidP="000A6E0D" w14:paraId="48FA13E4" w14:textId="5C3A7D78">
      <w:pPr>
        <w:pStyle w:val="ParaNum"/>
        <w:widowControl/>
      </w:pPr>
      <w:r>
        <w:t>The Commission adopted the “all-or-nothing rule</w:t>
      </w:r>
      <w:r w:rsidR="00DB2E7D">
        <w:t>”</w:t>
      </w:r>
      <w:r>
        <w:t xml:space="preserve"> to limit opportunities for cost-shifting and</w:t>
      </w:r>
      <w:r w:rsidR="00F84840">
        <w:t xml:space="preserve"> “</w:t>
      </w:r>
      <w:r>
        <w:t>gaming</w:t>
      </w:r>
      <w:r w:rsidR="00F84840">
        <w:t>”</w:t>
      </w:r>
      <w:r>
        <w:t xml:space="preserve"> that might occur</w:t>
      </w:r>
      <w:r w:rsidR="00CB5275">
        <w:t xml:space="preserve"> </w:t>
      </w:r>
      <w:r>
        <w:t>due to the differences in price cap and rate-of-return rate regulation.</w:t>
      </w:r>
      <w:r>
        <w:rPr>
          <w:rStyle w:val="FootnoteReference"/>
        </w:rPr>
        <w:footnoteReference w:id="11"/>
      </w:r>
      <w:r>
        <w:t xml:space="preserve"> </w:t>
      </w:r>
      <w:r>
        <w:t xml:space="preserve"> </w:t>
      </w:r>
      <w:r w:rsidR="0029779A">
        <w:t>Traditional</w:t>
      </w:r>
      <w:r w:rsidR="004741B5">
        <w:t>, cost-based</w:t>
      </w:r>
      <w:r w:rsidR="0029779A">
        <w:t xml:space="preserve"> r</w:t>
      </w:r>
      <w:r w:rsidR="00014AE7">
        <w:t>ate-of-return c</w:t>
      </w:r>
      <w:r w:rsidRPr="00014AE7" w:rsidR="00014AE7">
        <w:t xml:space="preserve">arriers set rates based on </w:t>
      </w:r>
      <w:r w:rsidR="00014AE7">
        <w:t xml:space="preserve">operating </w:t>
      </w:r>
      <w:r w:rsidRPr="00014AE7" w:rsidR="00014AE7">
        <w:t xml:space="preserve">costs plus a </w:t>
      </w:r>
      <w:r w:rsidR="00014AE7">
        <w:t>prescribed</w:t>
      </w:r>
      <w:r w:rsidRPr="00014AE7" w:rsidR="00014AE7">
        <w:t xml:space="preserve"> return on investment, whereas </w:t>
      </w:r>
      <w:r w:rsidR="00014AE7">
        <w:t xml:space="preserve">price cap </w:t>
      </w:r>
      <w:r w:rsidRPr="00014AE7" w:rsidR="00014AE7">
        <w:t xml:space="preserve">carriers </w:t>
      </w:r>
      <w:r w:rsidR="00014AE7">
        <w:t xml:space="preserve">set rates based on price cap formulas </w:t>
      </w:r>
      <w:r w:rsidRPr="00014AE7" w:rsidR="00014AE7">
        <w:t xml:space="preserve">that reward carriers for </w:t>
      </w:r>
      <w:r w:rsidR="00D17407">
        <w:t xml:space="preserve">cost-saving </w:t>
      </w:r>
      <w:r w:rsidRPr="00014AE7" w:rsidR="00014AE7">
        <w:t>productivity and efficiency.</w:t>
      </w:r>
      <w:r>
        <w:rPr>
          <w:rStyle w:val="FootnoteReference"/>
        </w:rPr>
        <w:footnoteReference w:id="12"/>
      </w:r>
      <w:r w:rsidR="00014AE7">
        <w:t xml:space="preserve">  </w:t>
      </w:r>
      <w:r w:rsidR="008B6BD3">
        <w:t>T</w:t>
      </w:r>
      <w:r w:rsidR="00D17407">
        <w:t xml:space="preserve">he rule prevents </w:t>
      </w:r>
      <w:r w:rsidR="00FE65B3">
        <w:t>a holding company</w:t>
      </w:r>
      <w:r w:rsidR="00D17407">
        <w:t xml:space="preserve"> </w:t>
      </w:r>
      <w:r w:rsidR="00FE65B3">
        <w:t xml:space="preserve">from shifting costs between </w:t>
      </w:r>
      <w:r w:rsidR="00E4383E">
        <w:t xml:space="preserve">overlapping </w:t>
      </w:r>
      <w:r w:rsidR="00FE65B3">
        <w:t>price cap and rate-of-return operations</w:t>
      </w:r>
      <w:r w:rsidR="00D17407">
        <w:t xml:space="preserve">, inflating </w:t>
      </w:r>
      <w:r w:rsidR="00FE65B3">
        <w:t xml:space="preserve">their </w:t>
      </w:r>
      <w:r w:rsidR="00D17407">
        <w:t xml:space="preserve">rate-of-return </w:t>
      </w:r>
      <w:r w:rsidR="00FE65B3">
        <w:t>operations’</w:t>
      </w:r>
      <w:r w:rsidR="00D17407">
        <w:t xml:space="preserve"> </w:t>
      </w:r>
      <w:r w:rsidR="00FE65B3">
        <w:t>cost-based</w:t>
      </w:r>
      <w:r w:rsidR="00D17407">
        <w:t xml:space="preserve"> </w:t>
      </w:r>
      <w:r w:rsidR="00D17407">
        <w:t xml:space="preserve">rates and increasing revenues for </w:t>
      </w:r>
      <w:r w:rsidR="00FE65B3">
        <w:t xml:space="preserve">their </w:t>
      </w:r>
      <w:r w:rsidR="00D17407">
        <w:t xml:space="preserve">price cap </w:t>
      </w:r>
      <w:r w:rsidR="00FE65B3">
        <w:t>operations</w:t>
      </w:r>
      <w:r w:rsidR="00D17407">
        <w:t xml:space="preserve"> </w:t>
      </w:r>
      <w:r w:rsidR="00FE65B3">
        <w:t>based on the realized</w:t>
      </w:r>
      <w:r w:rsidR="00D17407">
        <w:t xml:space="preserve"> cost savings.</w:t>
      </w:r>
      <w:r>
        <w:rPr>
          <w:rStyle w:val="FootnoteReference"/>
        </w:rPr>
        <w:footnoteReference w:id="13"/>
      </w:r>
      <w:r w:rsidRPr="0059328A" w:rsidR="000C7805">
        <w:t xml:space="preserve"> </w:t>
      </w:r>
      <w:r w:rsidR="008B2787">
        <w:t xml:space="preserve"> </w:t>
      </w:r>
      <w:r w:rsidR="00FE65B3">
        <w:t>Further, w</w:t>
      </w:r>
      <w:r w:rsidR="00FC208F">
        <w:t>ithout the all</w:t>
      </w:r>
      <w:r w:rsidR="00E61F79">
        <w:t>-</w:t>
      </w:r>
      <w:r w:rsidR="00FC208F">
        <w:t>or</w:t>
      </w:r>
      <w:r w:rsidR="00E61F79">
        <w:t>-</w:t>
      </w:r>
      <w:r w:rsidR="00FC208F">
        <w:t xml:space="preserve">nothing rule, </w:t>
      </w:r>
      <w:r w:rsidR="00CB5275">
        <w:t xml:space="preserve">for example, </w:t>
      </w:r>
      <w:r w:rsidR="000C7805">
        <w:t xml:space="preserve">a price cap carrier could convert to rate-of-return regulation </w:t>
      </w:r>
      <w:r w:rsidR="00321849">
        <w:t xml:space="preserve">before </w:t>
      </w:r>
      <w:r w:rsidR="000C7805">
        <w:t>making large network investments and/or increas</w:t>
      </w:r>
      <w:r w:rsidR="002B6156">
        <w:t>ing</w:t>
      </w:r>
      <w:r w:rsidR="000C7805">
        <w:t xml:space="preserve"> its operating costs to levels that would support significant rate increases</w:t>
      </w:r>
      <w:r w:rsidR="00056A9D">
        <w:t>.  Then</w:t>
      </w:r>
      <w:r w:rsidR="000C7805">
        <w:t xml:space="preserve">, </w:t>
      </w:r>
      <w:r w:rsidR="00321849">
        <w:t>after it</w:t>
      </w:r>
      <w:r w:rsidR="00B14CB0">
        <w:t xml:space="preserve"> adopts higher</w:t>
      </w:r>
      <w:r w:rsidR="00321849">
        <w:t xml:space="preserve"> </w:t>
      </w:r>
      <w:r w:rsidR="000C7805">
        <w:t xml:space="preserve">rates </w:t>
      </w:r>
      <w:r w:rsidR="00CD0C5C">
        <w:t xml:space="preserve">that ensure it recovers the appropriate </w:t>
      </w:r>
      <w:r w:rsidR="002B6156">
        <w:t>rate of return</w:t>
      </w:r>
      <w:r w:rsidR="00CD0C5C">
        <w:t xml:space="preserve"> based on its higher costs</w:t>
      </w:r>
      <w:r w:rsidR="000C7805">
        <w:t>,</w:t>
      </w:r>
      <w:r w:rsidRPr="0059328A" w:rsidR="000C7805">
        <w:t xml:space="preserve"> </w:t>
      </w:r>
      <w:r w:rsidR="00056A9D">
        <w:t xml:space="preserve">it could </w:t>
      </w:r>
      <w:r w:rsidR="000C7805">
        <w:t xml:space="preserve">convert back </w:t>
      </w:r>
      <w:r w:rsidRPr="0059328A" w:rsidR="000C7805">
        <w:t>to price cap regulation</w:t>
      </w:r>
      <w:r w:rsidR="00C1075B">
        <w:t>,</w:t>
      </w:r>
      <w:r w:rsidRPr="0059328A" w:rsidR="000C7805">
        <w:t xml:space="preserve"> </w:t>
      </w:r>
      <w:r w:rsidRPr="0059328A" w:rsidR="00CB5275">
        <w:t>increas</w:t>
      </w:r>
      <w:r w:rsidR="00B55213">
        <w:t>ing</w:t>
      </w:r>
      <w:r w:rsidRPr="0059328A" w:rsidR="00CB5275">
        <w:t xml:space="preserve"> </w:t>
      </w:r>
      <w:r w:rsidR="00687CE4">
        <w:t>its</w:t>
      </w:r>
      <w:r w:rsidR="00B55213">
        <w:t xml:space="preserve"> profits</w:t>
      </w:r>
      <w:r w:rsidRPr="0059328A" w:rsidR="00CB5275">
        <w:t xml:space="preserve"> </w:t>
      </w:r>
      <w:r w:rsidR="00CB5275">
        <w:t xml:space="preserve">by virtue of the </w:t>
      </w:r>
      <w:r w:rsidRPr="0059328A" w:rsidR="00CB5275">
        <w:t>cost savings</w:t>
      </w:r>
      <w:r w:rsidR="00CB5275">
        <w:t xml:space="preserve"> it would realize</w:t>
      </w:r>
      <w:r w:rsidRPr="0059328A" w:rsidR="000C7805">
        <w:t>.</w:t>
      </w:r>
      <w:r>
        <w:rPr>
          <w:rStyle w:val="FootnoteReference"/>
        </w:rPr>
        <w:footnoteReference w:id="14"/>
      </w:r>
      <w:r w:rsidRPr="0059328A" w:rsidR="000C7805">
        <w:t xml:space="preserve">  </w:t>
      </w:r>
      <w:r w:rsidR="00CD0C5C">
        <w:t xml:space="preserve">Such </w:t>
      </w:r>
      <w:r w:rsidR="00EC6909">
        <w:t xml:space="preserve">cost-shifting and </w:t>
      </w:r>
      <w:r w:rsidR="00CD0C5C">
        <w:t>gaming harms consumers</w:t>
      </w:r>
      <w:r w:rsidR="000549D3">
        <w:t xml:space="preserve"> by raising the rates they must pay for a carrier’s services.</w:t>
      </w:r>
      <w:r w:rsidR="000302AE">
        <w:t xml:space="preserve">  </w:t>
      </w:r>
    </w:p>
    <w:p w:rsidR="00F84771" w:rsidP="000302AE" w14:paraId="5D7AF31F" w14:textId="00E76AD5">
      <w:pPr>
        <w:pStyle w:val="ParaNum"/>
        <w:widowControl/>
      </w:pPr>
      <w:r>
        <w:t>T</w:t>
      </w:r>
      <w:r w:rsidR="008720B3">
        <w:t xml:space="preserve">he Commission </w:t>
      </w:r>
      <w:r w:rsidR="00910EEE">
        <w:t xml:space="preserve">specified </w:t>
      </w:r>
      <w:r w:rsidR="008720B3">
        <w:t xml:space="preserve">that it would entertain requests for waiver of the </w:t>
      </w:r>
      <w:r>
        <w:t xml:space="preserve">all-or-nothing </w:t>
      </w:r>
      <w:r w:rsidR="008720B3">
        <w:t xml:space="preserve">rule where efficiencies created by the purchase and sale of exchanges </w:t>
      </w:r>
      <w:r w:rsidR="00B14CB0">
        <w:t>might</w:t>
      </w:r>
      <w:r w:rsidR="008720B3">
        <w:t xml:space="preserve">, </w:t>
      </w:r>
      <w:r w:rsidRPr="00B52882" w:rsidR="008720B3">
        <w:t xml:space="preserve">in </w:t>
      </w:r>
      <w:r w:rsidR="008720B3">
        <w:t xml:space="preserve">a </w:t>
      </w:r>
      <w:r w:rsidRPr="00B52882" w:rsidR="008720B3">
        <w:t>particular case</w:t>
      </w:r>
      <w:r w:rsidR="008720B3">
        <w:t>, outweigh</w:t>
      </w:r>
      <w:r w:rsidRPr="001A56DF" w:rsidR="008720B3">
        <w:t xml:space="preserve"> </w:t>
      </w:r>
      <w:r w:rsidR="008720B3">
        <w:t>the threat of cost-shifting or gaming.</w:t>
      </w:r>
      <w:r>
        <w:rPr>
          <w:rStyle w:val="FootnoteReference"/>
          <w:color w:val="000000"/>
        </w:rPr>
        <w:footnoteReference w:id="15"/>
      </w:r>
      <w:r w:rsidR="008720B3">
        <w:t xml:space="preserve">  Balancing these interests,</w:t>
      </w:r>
      <w:r w:rsidRPr="007A1FAD" w:rsidR="008720B3">
        <w:t xml:space="preserve"> the </w:t>
      </w:r>
      <w:r w:rsidR="00166918">
        <w:t xml:space="preserve">Bureau </w:t>
      </w:r>
      <w:r w:rsidR="00B14CB0">
        <w:t xml:space="preserve">has </w:t>
      </w:r>
      <w:r w:rsidR="00FA2E91">
        <w:t>granted</w:t>
      </w:r>
      <w:r w:rsidR="008720B3">
        <w:t xml:space="preserve"> waivers of the all-or-nothing rule to facilitate </w:t>
      </w:r>
      <w:r w:rsidRPr="007A1FAD" w:rsidR="008720B3">
        <w:t xml:space="preserve">the </w:t>
      </w:r>
      <w:r w:rsidR="008720B3">
        <w:t>merger and consolidation of rate-of-return carriers with price cap carriers</w:t>
      </w:r>
      <w:r w:rsidR="00627706">
        <w:t>, where the record warranted such a waiver</w:t>
      </w:r>
      <w:r w:rsidR="008720B3">
        <w:t>.</w:t>
      </w:r>
      <w:r>
        <w:rPr>
          <w:rStyle w:val="FootnoteReference"/>
        </w:rPr>
        <w:footnoteReference w:id="16"/>
      </w:r>
      <w:r w:rsidR="008720B3">
        <w:t xml:space="preserve">  </w:t>
      </w:r>
    </w:p>
    <w:p w:rsidR="000302AE" w:rsidP="0032602A" w14:paraId="16C9CABC" w14:textId="2FF80589">
      <w:pPr>
        <w:pStyle w:val="Heading2"/>
      </w:pPr>
      <w:r w:rsidRPr="007C632F">
        <w:t>FairPoint-Consolidated Merger</w:t>
      </w:r>
    </w:p>
    <w:p w:rsidR="00515FB8" w14:paraId="2C673296" w14:textId="796F23B2">
      <w:pPr>
        <w:pStyle w:val="ParaNum"/>
        <w:widowControl/>
      </w:pPr>
      <w:r>
        <w:t>On May 8, 2017 the Bureau adopted the</w:t>
      </w:r>
      <w:r w:rsidRPr="00755B23" w:rsidR="00E071D8">
        <w:t xml:space="preserve"> </w:t>
      </w:r>
      <w:r w:rsidRPr="00773E6A" w:rsidR="00E071D8">
        <w:rPr>
          <w:i/>
          <w:iCs/>
        </w:rPr>
        <w:t>Consolidated-FairPoint Transfer Order</w:t>
      </w:r>
      <w:r w:rsidR="00B70646">
        <w:rPr>
          <w:i/>
          <w:iCs/>
        </w:rPr>
        <w:t xml:space="preserve"> </w:t>
      </w:r>
      <w:r w:rsidR="00AB6A42">
        <w:t>grant</w:t>
      </w:r>
      <w:r>
        <w:t>ing</w:t>
      </w:r>
      <w:r w:rsidR="00AB6A42">
        <w:t xml:space="preserve"> applications </w:t>
      </w:r>
      <w:r w:rsidR="00D0785C">
        <w:t xml:space="preserve">filed </w:t>
      </w:r>
      <w:r w:rsidR="00AB6A42">
        <w:t xml:space="preserve">pursuant to </w:t>
      </w:r>
      <w:r w:rsidR="007D2D25">
        <w:t xml:space="preserve">sections </w:t>
      </w:r>
      <w:r w:rsidR="00AB6A42">
        <w:t>214 and 310(d) of the Act approving</w:t>
      </w:r>
      <w:r w:rsidR="00530C68">
        <w:t xml:space="preserve"> the transfer of control of licenses and authorizations held by FairPoint Communications, Inc. (FairPoint) to </w:t>
      </w:r>
      <w:r w:rsidRPr="00755B23" w:rsidR="00E071D8">
        <w:t xml:space="preserve">Consolidated </w:t>
      </w:r>
      <w:r w:rsidR="00E071D8">
        <w:t xml:space="preserve">Communications </w:t>
      </w:r>
      <w:r w:rsidRPr="00755B23" w:rsidR="00E071D8">
        <w:t>Holdings</w:t>
      </w:r>
      <w:r w:rsidR="00E071D8">
        <w:t>, Inc. (Consolidated Holdings)</w:t>
      </w:r>
      <w:r w:rsidRPr="00755B23" w:rsidR="00E071D8">
        <w:t>.</w:t>
      </w:r>
      <w:r>
        <w:rPr>
          <w:rStyle w:val="FootnoteReference"/>
        </w:rPr>
        <w:footnoteReference w:id="17"/>
      </w:r>
      <w:r w:rsidRPr="00066D54" w:rsidR="00E071D8">
        <w:t xml:space="preserve"> </w:t>
      </w:r>
      <w:r w:rsidR="00C82C3A">
        <w:t xml:space="preserve"> </w:t>
      </w:r>
      <w:r w:rsidR="00687499">
        <w:t>Of particular relevance</w:t>
      </w:r>
      <w:r w:rsidR="008736DB">
        <w:t xml:space="preserve"> to this Order</w:t>
      </w:r>
      <w:r>
        <w:t xml:space="preserve">, the Bureau approved </w:t>
      </w:r>
      <w:r w:rsidR="008736DB">
        <w:t xml:space="preserve">Consolidated Holdings’ acquisition </w:t>
      </w:r>
      <w:r>
        <w:t xml:space="preserve">of </w:t>
      </w:r>
      <w:r w:rsidR="00E01ABB">
        <w:t xml:space="preserve">former </w:t>
      </w:r>
      <w:r>
        <w:t xml:space="preserve">FairPoint rate-of-return affiliates </w:t>
      </w:r>
      <w:r w:rsidR="00063661">
        <w:t>operating in Pennsylvania</w:t>
      </w:r>
      <w:r w:rsidR="00E01ABB">
        <w:t xml:space="preserve"> (</w:t>
      </w:r>
      <w:r w:rsidR="00063661">
        <w:t>Bentleyville Communications Corporation</w:t>
      </w:r>
      <w:r w:rsidR="00E01ABB">
        <w:t>, an average schedule company,</w:t>
      </w:r>
      <w:r w:rsidR="005208D7">
        <w:t xml:space="preserve"> and Marianna and Scenery Hill Telephone Company, </w:t>
      </w:r>
      <w:r w:rsidR="00E01ABB">
        <w:t xml:space="preserve">a cost-based company) </w:t>
      </w:r>
      <w:r w:rsidR="005208D7">
        <w:t xml:space="preserve">and </w:t>
      </w:r>
      <w:r w:rsidR="00194BC3">
        <w:t xml:space="preserve">a rate-of-return affiliate </w:t>
      </w:r>
      <w:r w:rsidR="005208D7">
        <w:t>operating in Maine</w:t>
      </w:r>
      <w:r w:rsidR="00E01ABB">
        <w:t xml:space="preserve"> (</w:t>
      </w:r>
      <w:r w:rsidR="005208D7">
        <w:t>Community Service Telephone Company</w:t>
      </w:r>
      <w:r w:rsidR="0040727B">
        <w:t xml:space="preserve">, </w:t>
      </w:r>
      <w:r w:rsidR="00E01ABB">
        <w:t>an average schedule company)</w:t>
      </w:r>
      <w:r w:rsidR="005208D7">
        <w:t>.</w:t>
      </w:r>
      <w:r>
        <w:rPr>
          <w:rStyle w:val="FootnoteReference"/>
        </w:rPr>
        <w:footnoteReference w:id="18"/>
      </w:r>
      <w:r w:rsidR="009B0A22">
        <w:t xml:space="preserve">  </w:t>
      </w:r>
      <w:r w:rsidR="00194BC3">
        <w:t>T</w:t>
      </w:r>
      <w:r w:rsidR="00A858C2">
        <w:t>he</w:t>
      </w:r>
      <w:r w:rsidR="00530C68">
        <w:t xml:space="preserve"> </w:t>
      </w:r>
      <w:r w:rsidR="00607F91">
        <w:t>Bureau</w:t>
      </w:r>
      <w:r w:rsidR="00A858C2">
        <w:t xml:space="preserve"> </w:t>
      </w:r>
      <w:r w:rsidR="00530C68">
        <w:t xml:space="preserve">found good cause to waive the all-or-nothing rule to allow Consolidated Holdings </w:t>
      </w:r>
      <w:r w:rsidRPr="00755B23" w:rsidR="00530C68">
        <w:t>to continue operat</w:t>
      </w:r>
      <w:r w:rsidR="00530C68">
        <w:t>ing</w:t>
      </w:r>
      <w:r w:rsidRPr="00755B23" w:rsidR="00530C68">
        <w:t xml:space="preserve"> </w:t>
      </w:r>
      <w:r w:rsidR="00AB6A42">
        <w:t>rate-of-return affiliates</w:t>
      </w:r>
      <w:r w:rsidRPr="00755B23" w:rsidR="00530C68">
        <w:t xml:space="preserve"> </w:t>
      </w:r>
      <w:r w:rsidR="00530C68">
        <w:t xml:space="preserve">acquired from FairPoint </w:t>
      </w:r>
      <w:r w:rsidRPr="00755B23" w:rsidR="00530C68">
        <w:t>under rate-of-return regulation</w:t>
      </w:r>
      <w:r w:rsidR="008736DB">
        <w:t xml:space="preserve"> despite being affiliated with price cap carriers</w:t>
      </w:r>
      <w:r w:rsidR="00530C68">
        <w:t>.</w:t>
      </w:r>
      <w:r>
        <w:rPr>
          <w:rStyle w:val="FootnoteReference"/>
        </w:rPr>
        <w:footnoteReference w:id="19"/>
      </w:r>
      <w:r w:rsidR="00530C68">
        <w:t xml:space="preserve">  </w:t>
      </w:r>
      <w:r w:rsidR="002056AE">
        <w:t>The Bureau</w:t>
      </w:r>
      <w:r w:rsidR="00D0785C">
        <w:t xml:space="preserve"> </w:t>
      </w:r>
      <w:r w:rsidR="002056AE">
        <w:t xml:space="preserve">found that the public interest would not be served by requiring the FairPoint subsidiaries to undertake the financial and administrative costs of converting to </w:t>
      </w:r>
      <w:r w:rsidR="002056AE">
        <w:t>price cap</w:t>
      </w:r>
      <w:r w:rsidR="00A858C2">
        <w:t xml:space="preserve"> regulation</w:t>
      </w:r>
      <w:r w:rsidR="002056AE">
        <w:t xml:space="preserve"> given the minimal threat of cost-shifting or gaming.</w:t>
      </w:r>
      <w:r>
        <w:rPr>
          <w:rStyle w:val="FootnoteReference"/>
        </w:rPr>
        <w:footnoteReference w:id="20"/>
      </w:r>
      <w:r w:rsidR="002056AE">
        <w:t xml:space="preserve">  </w:t>
      </w:r>
      <w:r w:rsidR="00E071D8">
        <w:t>The Bureau</w:t>
      </w:r>
      <w:r w:rsidR="0018187E">
        <w:t xml:space="preserve">, however, </w:t>
      </w:r>
      <w:r w:rsidR="00E071D8">
        <w:t xml:space="preserve">emphasized that the </w:t>
      </w:r>
      <w:r w:rsidR="0018187E">
        <w:t xml:space="preserve">relief granted </w:t>
      </w:r>
      <w:r w:rsidR="00504D63">
        <w:t>“</w:t>
      </w:r>
      <w:r w:rsidR="0018187E">
        <w:t xml:space="preserve">is </w:t>
      </w:r>
      <w:r w:rsidR="00E071D8">
        <w:t xml:space="preserve">subject to any future reforms or rule revisions regarding intercarrier compensation, </w:t>
      </w:r>
      <w:r w:rsidR="0018187E">
        <w:t xml:space="preserve">the regulation of </w:t>
      </w:r>
      <w:r w:rsidR="00E071D8">
        <w:t>business data services, price cap regulation, or universal service</w:t>
      </w:r>
      <w:r w:rsidR="0018187E">
        <w:t xml:space="preserve"> requirements that the Commission may adopt in the future</w:t>
      </w:r>
      <w:r w:rsidR="00E071D8">
        <w:t>.</w:t>
      </w:r>
      <w:r w:rsidR="0018187E">
        <w:t>”</w:t>
      </w:r>
      <w:r>
        <w:rPr>
          <w:rStyle w:val="FootnoteReference"/>
        </w:rPr>
        <w:footnoteReference w:id="21"/>
      </w:r>
      <w:r w:rsidR="00D0785C">
        <w:t xml:space="preserve"> </w:t>
      </w:r>
      <w:r>
        <w:t xml:space="preserve">  </w:t>
      </w:r>
    </w:p>
    <w:p w:rsidR="000D7E8E" w:rsidP="0032602A" w14:paraId="4D0800C3" w14:textId="06D62BE0">
      <w:pPr>
        <w:pStyle w:val="Heading2"/>
      </w:pPr>
      <w:r>
        <w:t xml:space="preserve">Relevant </w:t>
      </w:r>
      <w:r w:rsidR="00140E88">
        <w:t>R</w:t>
      </w:r>
      <w:r w:rsidR="00FA2E91">
        <w:t>egulatory</w:t>
      </w:r>
      <w:r w:rsidR="00140E88">
        <w:t xml:space="preserve"> Re</w:t>
      </w:r>
      <w:r w:rsidRPr="00140E88" w:rsidR="00140E88">
        <w:t>forms</w:t>
      </w:r>
      <w:r w:rsidR="00140E88">
        <w:t xml:space="preserve"> </w:t>
      </w:r>
    </w:p>
    <w:p w:rsidR="00420167" w:rsidP="001501C5" w14:paraId="51A56055" w14:textId="0D126A6D">
      <w:pPr>
        <w:pStyle w:val="ParaNum"/>
        <w:widowControl/>
      </w:pPr>
      <w:r>
        <w:t>I</w:t>
      </w:r>
      <w:r w:rsidR="00DD3276">
        <w:t>n recent years</w:t>
      </w:r>
      <w:r w:rsidR="00B15FE8">
        <w:t>,</w:t>
      </w:r>
      <w:r w:rsidR="00DD3276">
        <w:t xml:space="preserve"> the Commission </w:t>
      </w:r>
      <w:r w:rsidR="004A1898">
        <w:t xml:space="preserve">adopted a number of reforms affecting the </w:t>
      </w:r>
      <w:r w:rsidR="00DD3276">
        <w:t xml:space="preserve">regulatory treatment of </w:t>
      </w:r>
      <w:r w:rsidR="00D872A1">
        <w:t xml:space="preserve">rate-of-return and price cap </w:t>
      </w:r>
      <w:r w:rsidR="001A7C27">
        <w:t>carriers</w:t>
      </w:r>
      <w:r w:rsidR="00DD3276">
        <w:t xml:space="preserve">.  In the </w:t>
      </w:r>
      <w:r w:rsidR="001A7C27">
        <w:t xml:space="preserve">2011 </w:t>
      </w:r>
      <w:r w:rsidRPr="00BC133B" w:rsidR="00DD3276">
        <w:rPr>
          <w:i/>
        </w:rPr>
        <w:t>USF/ICC Transformation Order</w:t>
      </w:r>
      <w:r w:rsidRPr="00F1247E" w:rsidR="00DD3276">
        <w:t>,</w:t>
      </w:r>
      <w:r w:rsidRPr="00BC133B" w:rsidR="00DD3276">
        <w:rPr>
          <w:i/>
        </w:rPr>
        <w:t xml:space="preserve"> </w:t>
      </w:r>
      <w:r w:rsidR="00DD3276">
        <w:t xml:space="preserve">the Commission </w:t>
      </w:r>
      <w:r w:rsidR="00BC133B">
        <w:t xml:space="preserve">comprehensively reformed the intercarrier compensation </w:t>
      </w:r>
      <w:r w:rsidR="00771601">
        <w:t xml:space="preserve">and </w:t>
      </w:r>
      <w:r w:rsidR="003E41B2">
        <w:t>U</w:t>
      </w:r>
      <w:r w:rsidR="00771601">
        <w:t xml:space="preserve">niversal </w:t>
      </w:r>
      <w:r w:rsidR="003E41B2">
        <w:t>S</w:t>
      </w:r>
      <w:r w:rsidR="00771601">
        <w:t xml:space="preserve">ervice </w:t>
      </w:r>
      <w:r w:rsidR="003E41B2">
        <w:t xml:space="preserve">Fund </w:t>
      </w:r>
      <w:r w:rsidR="00F46079">
        <w:t>regime</w:t>
      </w:r>
      <w:r w:rsidR="00771601">
        <w:t>s.</w:t>
      </w:r>
      <w:r>
        <w:rPr>
          <w:rStyle w:val="FootnoteReference"/>
        </w:rPr>
        <w:footnoteReference w:id="22"/>
      </w:r>
      <w:r w:rsidR="00771601">
        <w:t xml:space="preserve">  </w:t>
      </w:r>
      <w:r w:rsidR="006B79EB">
        <w:t xml:space="preserve">The Commission adopted a </w:t>
      </w:r>
      <w:r w:rsidR="003E218D">
        <w:t xml:space="preserve">regulatory framework for transitioning </w:t>
      </w:r>
      <w:r w:rsidR="00F769A8">
        <w:t>terminating switched</w:t>
      </w:r>
      <w:r w:rsidR="007F045B">
        <w:t xml:space="preserve"> and certain transport</w:t>
      </w:r>
      <w:r w:rsidR="00F769A8">
        <w:t xml:space="preserve"> access charges</w:t>
      </w:r>
      <w:r w:rsidR="003E218D">
        <w:t xml:space="preserve"> to “bill-and-keep”</w:t>
      </w:r>
      <w:r w:rsidR="00F769A8">
        <w:t xml:space="preserve"> </w:t>
      </w:r>
      <w:r w:rsidR="006B79EB">
        <w:t>where</w:t>
      </w:r>
      <w:r w:rsidR="001F3D6D">
        <w:t>by</w:t>
      </w:r>
      <w:r w:rsidR="006B79EB">
        <w:t xml:space="preserve"> carriers first recover their costs from their customers, </w:t>
      </w:r>
      <w:r w:rsidR="00FE295D">
        <w:t xml:space="preserve">then </w:t>
      </w:r>
      <w:r w:rsidR="001F3D6D">
        <w:t xml:space="preserve">from </w:t>
      </w:r>
      <w:r w:rsidR="003E41B2">
        <w:t>C</w:t>
      </w:r>
      <w:r w:rsidR="001501C5">
        <w:t xml:space="preserve">onnect </w:t>
      </w:r>
      <w:r w:rsidR="003E41B2">
        <w:t>A</w:t>
      </w:r>
      <w:r w:rsidR="001501C5">
        <w:t xml:space="preserve">merica </w:t>
      </w:r>
      <w:r w:rsidR="003E41B2">
        <w:t>F</w:t>
      </w:r>
      <w:r w:rsidR="001501C5">
        <w:t>und–</w:t>
      </w:r>
      <w:r w:rsidR="003E41B2">
        <w:t>I</w:t>
      </w:r>
      <w:r w:rsidR="001501C5">
        <w:t xml:space="preserve">ntercarrier </w:t>
      </w:r>
      <w:r w:rsidR="003E41B2">
        <w:t>C</w:t>
      </w:r>
      <w:r w:rsidR="001501C5">
        <w:t>ompensation (CAF ICC)</w:t>
      </w:r>
      <w:r w:rsidR="006B79EB">
        <w:t xml:space="preserve"> support</w:t>
      </w:r>
      <w:r w:rsidR="001F3D6D">
        <w:t>,</w:t>
      </w:r>
      <w:r w:rsidR="006B79EB">
        <w:t xml:space="preserve"> where necessary.</w:t>
      </w:r>
      <w:r>
        <w:rPr>
          <w:rStyle w:val="FootnoteReference"/>
        </w:rPr>
        <w:footnoteReference w:id="23"/>
      </w:r>
      <w:r w:rsidR="006B79EB">
        <w:t xml:space="preserve">  </w:t>
      </w:r>
      <w:r w:rsidR="00B30C04">
        <w:t>To minimize disruption to consumers and carriers, the Commission adopted a multi-year transition schedule for carriers to move their interstate and intrastate terminating end office switched access and certain transport rate elements to bill-and-keep.</w:t>
      </w:r>
      <w:r w:rsidRPr="00504D63" w:rsidR="00B30C04">
        <w:t xml:space="preserve"> </w:t>
      </w:r>
      <w:r w:rsidR="005C4EE9">
        <w:t xml:space="preserve"> </w:t>
      </w:r>
      <w:r w:rsidR="00B30C04">
        <w:t xml:space="preserve">The six-year rate transition for price cap carriers ended </w:t>
      </w:r>
      <w:r w:rsidR="001D5B2E">
        <w:t xml:space="preserve">on </w:t>
      </w:r>
      <w:r w:rsidRPr="009F4D80" w:rsidR="00B30C04">
        <w:t>July 1, 2018</w:t>
      </w:r>
      <w:r w:rsidRPr="00504D63" w:rsidR="00B30C04">
        <w:t xml:space="preserve"> </w:t>
      </w:r>
      <w:r w:rsidR="00B30C04">
        <w:t xml:space="preserve">and the nine-year rate transition for rate-of-return carriers ended </w:t>
      </w:r>
      <w:r w:rsidR="001D5B2E">
        <w:t xml:space="preserve">on </w:t>
      </w:r>
      <w:r w:rsidR="00B30C04">
        <w:t>July 1, 2020</w:t>
      </w:r>
      <w:r w:rsidR="00E32A12">
        <w:t>.</w:t>
      </w:r>
      <w:r>
        <w:rPr>
          <w:rStyle w:val="FootnoteReference"/>
        </w:rPr>
        <w:footnoteReference w:id="24"/>
      </w:r>
      <w:r w:rsidR="00E32A12">
        <w:t xml:space="preserve">  </w:t>
      </w:r>
      <w:r w:rsidR="00B95F7A">
        <w:t xml:space="preserve">To ensure that no rates increased during the transition and </w:t>
      </w:r>
      <w:r w:rsidR="0028031E">
        <w:t>to prevent</w:t>
      </w:r>
      <w:r w:rsidR="00B95F7A">
        <w:t xml:space="preserve"> cost-shifting, the Commission capped all</w:t>
      </w:r>
      <w:r w:rsidR="00AE52BC">
        <w:t xml:space="preserve"> price cap and rate-of-return carrier</w:t>
      </w:r>
      <w:r w:rsidR="00195A31">
        <w:t>s</w:t>
      </w:r>
      <w:r w:rsidR="00AE52BC">
        <w:t>’</w:t>
      </w:r>
      <w:r w:rsidR="00B95F7A">
        <w:t xml:space="preserve"> </w:t>
      </w:r>
      <w:r w:rsidR="0028031E">
        <w:t xml:space="preserve">interstate switched access </w:t>
      </w:r>
      <w:r w:rsidR="00B95F7A">
        <w:t>rate</w:t>
      </w:r>
      <w:r w:rsidR="0028031E">
        <w:t>s</w:t>
      </w:r>
      <w:r w:rsidR="00AE52BC">
        <w:t xml:space="preserve"> and </w:t>
      </w:r>
      <w:r w:rsidR="00B95F7A">
        <w:t>terminating intrastate rates</w:t>
      </w:r>
      <w:r w:rsidR="00AE52BC">
        <w:t>, and capped price cap carrier’s originating intrastate rates</w:t>
      </w:r>
      <w:r w:rsidR="00B95F7A">
        <w:t>.</w:t>
      </w:r>
      <w:r>
        <w:rPr>
          <w:rStyle w:val="FootnoteReference"/>
        </w:rPr>
        <w:footnoteReference w:id="25"/>
      </w:r>
      <w:r w:rsidR="00B95F7A">
        <w:t xml:space="preserve">  </w:t>
      </w:r>
      <w:r w:rsidR="005D2C68">
        <w:t>T</w:t>
      </w:r>
      <w:r w:rsidR="000F62E4">
        <w:t xml:space="preserve">o partially </w:t>
      </w:r>
      <w:r w:rsidRPr="004B7EB2" w:rsidR="000F62E4">
        <w:t>offset intercarrier</w:t>
      </w:r>
      <w:r w:rsidR="005631AE">
        <w:t xml:space="preserve"> compensation</w:t>
      </w:r>
      <w:r w:rsidRPr="004B7EB2" w:rsidR="000F62E4">
        <w:t xml:space="preserve"> revenues</w:t>
      </w:r>
      <w:r w:rsidR="000F62E4">
        <w:t xml:space="preserve"> </w:t>
      </w:r>
      <w:r w:rsidR="005631AE">
        <w:t xml:space="preserve">carriers </w:t>
      </w:r>
      <w:r w:rsidR="000F06D4">
        <w:t xml:space="preserve">might </w:t>
      </w:r>
      <w:r w:rsidR="005631AE">
        <w:t xml:space="preserve">have </w:t>
      </w:r>
      <w:r w:rsidR="000A1A78">
        <w:t xml:space="preserve">lost </w:t>
      </w:r>
      <w:r w:rsidR="000F62E4">
        <w:t xml:space="preserve">due to the reforms, </w:t>
      </w:r>
      <w:r w:rsidR="005631AE">
        <w:t xml:space="preserve">the Commission allowed </w:t>
      </w:r>
      <w:r w:rsidR="00C24751">
        <w:t xml:space="preserve">carriers </w:t>
      </w:r>
      <w:r w:rsidR="005631AE">
        <w:t xml:space="preserve">to </w:t>
      </w:r>
      <w:r w:rsidR="00C24751">
        <w:t>elect to receive CAF ICC support</w:t>
      </w:r>
      <w:r w:rsidR="005878EB">
        <w:t>.</w:t>
      </w:r>
      <w:r w:rsidR="000405CD">
        <w:t xml:space="preserve"> </w:t>
      </w:r>
      <w:r w:rsidR="005F6FE5">
        <w:t xml:space="preserve"> </w:t>
      </w:r>
      <w:r w:rsidR="00D72EFC">
        <w:t>This support was phase</w:t>
      </w:r>
      <w:r w:rsidR="00872394">
        <w:t>d</w:t>
      </w:r>
      <w:r w:rsidR="00D72EFC">
        <w:t>-out for price cap carriers</w:t>
      </w:r>
      <w:r w:rsidR="00872394">
        <w:t xml:space="preserve"> on July 1, 2019,</w:t>
      </w:r>
      <w:r w:rsidR="00D72EFC">
        <w:t xml:space="preserve"> but the Commission did not adopt a </w:t>
      </w:r>
      <w:r w:rsidR="00470C08">
        <w:t xml:space="preserve">specific </w:t>
      </w:r>
      <w:r w:rsidR="00084F71">
        <w:t xml:space="preserve">CAF ICC </w:t>
      </w:r>
      <w:r w:rsidR="009C1A03">
        <w:t xml:space="preserve">support </w:t>
      </w:r>
      <w:r w:rsidR="00470C08">
        <w:t xml:space="preserve">sunset date for </w:t>
      </w:r>
      <w:r w:rsidR="00D72EFC">
        <w:t>rate-of-return carriers.</w:t>
      </w:r>
      <w:r>
        <w:rPr>
          <w:rStyle w:val="FootnoteReference"/>
        </w:rPr>
        <w:footnoteReference w:id="26"/>
      </w:r>
      <w:r w:rsidR="00D72EFC">
        <w:t xml:space="preserve"> </w:t>
      </w:r>
    </w:p>
    <w:p w:rsidR="008F57D6" w:rsidP="00C838DF" w14:paraId="73B49992" w14:textId="1C44C93B">
      <w:pPr>
        <w:pStyle w:val="ParaNum"/>
        <w:widowControl/>
      </w:pPr>
      <w:bookmarkStart w:id="4" w:name="_Hlk31035106"/>
      <w:r w:rsidRPr="002B0396">
        <w:t xml:space="preserve">In addition </w:t>
      </w:r>
      <w:r w:rsidRPr="002B0396" w:rsidR="00CF6E96">
        <w:t>to</w:t>
      </w:r>
      <w:r w:rsidRPr="00EE7EAF" w:rsidR="00F47765">
        <w:t xml:space="preserve"> creating </w:t>
      </w:r>
      <w:r w:rsidRPr="002B0396">
        <w:t xml:space="preserve">CAF ICC support </w:t>
      </w:r>
      <w:r w:rsidR="006B63A2">
        <w:t xml:space="preserve">as part of </w:t>
      </w:r>
      <w:r w:rsidRPr="002B0396" w:rsidR="00CF6E96">
        <w:t xml:space="preserve">the </w:t>
      </w:r>
      <w:r w:rsidRPr="002B0396" w:rsidR="00CF6E96">
        <w:rPr>
          <w:i/>
        </w:rPr>
        <w:t>USF/ICC Transformation Order</w:t>
      </w:r>
      <w:r w:rsidR="006B63A2">
        <w:rPr>
          <w:iCs/>
        </w:rPr>
        <w:t>,</w:t>
      </w:r>
      <w:r w:rsidRPr="002B0396" w:rsidR="00CF6E96">
        <w:t xml:space="preserve"> the Commission </w:t>
      </w:r>
      <w:r w:rsidR="006B63A2">
        <w:t xml:space="preserve">also </w:t>
      </w:r>
      <w:r w:rsidRPr="002B0396" w:rsidR="002906CD">
        <w:t xml:space="preserve">adopted broad reforms to </w:t>
      </w:r>
      <w:r w:rsidRPr="00EE7EAF" w:rsidR="00F47765">
        <w:t xml:space="preserve">existing </w:t>
      </w:r>
      <w:r w:rsidRPr="002B0396">
        <w:t>high</w:t>
      </w:r>
      <w:r w:rsidRPr="00F47765">
        <w:t xml:space="preserve">-cost </w:t>
      </w:r>
      <w:r w:rsidR="00056A9D">
        <w:t>U</w:t>
      </w:r>
      <w:r w:rsidRPr="00F47765">
        <w:t xml:space="preserve">niversal </w:t>
      </w:r>
      <w:r w:rsidR="00056A9D">
        <w:t>S</w:t>
      </w:r>
      <w:r w:rsidRPr="00F47765">
        <w:t xml:space="preserve">ervice </w:t>
      </w:r>
      <w:r w:rsidR="00056A9D">
        <w:t>F</w:t>
      </w:r>
      <w:r w:rsidRPr="00F47765" w:rsidR="00362554">
        <w:t xml:space="preserve">und </w:t>
      </w:r>
      <w:r w:rsidRPr="00F47765">
        <w:t xml:space="preserve">support.  </w:t>
      </w:r>
      <w:r w:rsidRPr="00F47765" w:rsidR="004A4A04">
        <w:t>Initially</w:t>
      </w:r>
      <w:r w:rsidRPr="00F47765" w:rsidR="000C35A9">
        <w:t>, high</w:t>
      </w:r>
      <w:r w:rsidRPr="00F47765" w:rsidR="007B77B2">
        <w:t>-</w:t>
      </w:r>
      <w:r w:rsidRPr="00F47765" w:rsidR="000C35A9">
        <w:t>cost</w:t>
      </w:r>
      <w:r w:rsidRPr="00F47765" w:rsidR="0083434C">
        <w:t xml:space="preserve"> </w:t>
      </w:r>
      <w:r w:rsidR="00C46235">
        <w:t>U</w:t>
      </w:r>
      <w:r w:rsidRPr="00F47765" w:rsidR="000C35A9">
        <w:t xml:space="preserve">niversal </w:t>
      </w:r>
      <w:r w:rsidR="00C46235">
        <w:t>S</w:t>
      </w:r>
      <w:r w:rsidRPr="00F47765" w:rsidR="000C35A9">
        <w:t xml:space="preserve">ervice </w:t>
      </w:r>
      <w:r w:rsidR="00C46235">
        <w:t xml:space="preserve">Fund </w:t>
      </w:r>
      <w:r w:rsidRPr="00F47765" w:rsidR="0083434C">
        <w:t xml:space="preserve">support </w:t>
      </w:r>
      <w:r w:rsidRPr="00F47765" w:rsidR="000C35A9">
        <w:t>amounts were</w:t>
      </w:r>
      <w:r w:rsidRPr="00F47765" w:rsidR="0083434C">
        <w:t xml:space="preserve"> based on </w:t>
      </w:r>
      <w:r w:rsidRPr="00F47765" w:rsidR="000C35A9">
        <w:t xml:space="preserve">a </w:t>
      </w:r>
      <w:r w:rsidRPr="00F47765" w:rsidR="0083434C">
        <w:t xml:space="preserve">carrier’s </w:t>
      </w:r>
      <w:r w:rsidR="001C3694">
        <w:t xml:space="preserve">recorded </w:t>
      </w:r>
      <w:r w:rsidRPr="00F47765" w:rsidR="0083434C">
        <w:t>costs</w:t>
      </w:r>
      <w:r w:rsidRPr="00F47765" w:rsidR="000C35A9">
        <w:t>, which</w:t>
      </w:r>
      <w:r w:rsidRPr="00F47765" w:rsidR="0083434C">
        <w:t xml:space="preserve"> </w:t>
      </w:r>
      <w:r w:rsidRPr="00F47765" w:rsidR="009A351F">
        <w:t>provid</w:t>
      </w:r>
      <w:r w:rsidRPr="00F47765" w:rsidR="000C35A9">
        <w:t>ed</w:t>
      </w:r>
      <w:r w:rsidRPr="00F47765" w:rsidR="0083434C">
        <w:t xml:space="preserve"> poor incentives for carriers to operate and invest efficiently.</w:t>
      </w:r>
      <w:r>
        <w:rPr>
          <w:rStyle w:val="FootnoteReference"/>
        </w:rPr>
        <w:footnoteReference w:id="27"/>
      </w:r>
      <w:r w:rsidR="0083434C">
        <w:t xml:space="preserve">  </w:t>
      </w:r>
      <w:r w:rsidR="004A4A04">
        <w:t>In 2011, t</w:t>
      </w:r>
      <w:r w:rsidR="00602798">
        <w:t>he</w:t>
      </w:r>
      <w:r w:rsidR="00274EFC">
        <w:t xml:space="preserve"> Commission</w:t>
      </w:r>
      <w:r w:rsidR="005571A1">
        <w:t xml:space="preserve"> </w:t>
      </w:r>
      <w:r w:rsidR="00BB5997">
        <w:t xml:space="preserve">froze legacy </w:t>
      </w:r>
      <w:r w:rsidR="00100429">
        <w:t xml:space="preserve">high-cost </w:t>
      </w:r>
      <w:r w:rsidR="00CE08A2">
        <w:t>U</w:t>
      </w:r>
      <w:r w:rsidR="00BB5997">
        <w:t xml:space="preserve">niversal </w:t>
      </w:r>
      <w:r w:rsidR="00CE08A2">
        <w:t>S</w:t>
      </w:r>
      <w:r w:rsidR="00BB5997">
        <w:t xml:space="preserve">ervice </w:t>
      </w:r>
      <w:r w:rsidR="00CE08A2">
        <w:t xml:space="preserve">Fund </w:t>
      </w:r>
      <w:r w:rsidR="00BB5997">
        <w:t>support</w:t>
      </w:r>
      <w:r w:rsidR="00AB46A1">
        <w:t xml:space="preserve"> </w:t>
      </w:r>
      <w:r w:rsidR="00C559B8">
        <w:t xml:space="preserve">for </w:t>
      </w:r>
      <w:r w:rsidR="00AB46A1">
        <w:t xml:space="preserve">price cap carriers and their </w:t>
      </w:r>
      <w:r w:rsidR="00100429">
        <w:t xml:space="preserve">rate-of-return </w:t>
      </w:r>
      <w:r w:rsidR="00AB46A1">
        <w:t>affiliates (CAF Phase I)</w:t>
      </w:r>
      <w:r w:rsidR="007F6D33">
        <w:t xml:space="preserve">, and </w:t>
      </w:r>
      <w:r w:rsidR="00263863">
        <w:t xml:space="preserve">adopted a plan for moving carriers from legacy </w:t>
      </w:r>
      <w:r w:rsidR="00D300D9">
        <w:t xml:space="preserve">support </w:t>
      </w:r>
      <w:r w:rsidR="00263863">
        <w:t xml:space="preserve">mechanisms to new mechanisms whereby support would be </w:t>
      </w:r>
      <w:r w:rsidR="00D300D9">
        <w:t xml:space="preserve">determined by a </w:t>
      </w:r>
      <w:r w:rsidR="00EF6B31">
        <w:t xml:space="preserve">forward-looking </w:t>
      </w:r>
      <w:r w:rsidR="00D300D9">
        <w:t xml:space="preserve">cost </w:t>
      </w:r>
      <w:r w:rsidR="007F6D33">
        <w:t>model</w:t>
      </w:r>
      <w:r w:rsidR="00D300D9">
        <w:t xml:space="preserve"> or competitive bidding</w:t>
      </w:r>
      <w:r w:rsidR="00AB46A1">
        <w:t xml:space="preserve"> (CAF Phase II)</w:t>
      </w:r>
      <w:r w:rsidR="00E17730">
        <w:t>.</w:t>
      </w:r>
      <w:r>
        <w:rPr>
          <w:rStyle w:val="FootnoteReference"/>
        </w:rPr>
        <w:footnoteReference w:id="28"/>
      </w:r>
      <w:r w:rsidR="00E17730">
        <w:t xml:space="preserve">  </w:t>
      </w:r>
      <w:r w:rsidR="00AB46A1">
        <w:t xml:space="preserve">The Commission also began </w:t>
      </w:r>
      <w:r w:rsidR="00D0622D">
        <w:t>treating</w:t>
      </w:r>
      <w:r w:rsidR="00AB46A1">
        <w:t xml:space="preserve"> rate-of-return carriers affiliated with price</w:t>
      </w:r>
      <w:r w:rsidR="00050738">
        <w:t xml:space="preserve"> </w:t>
      </w:r>
      <w:r w:rsidR="00AB46A1">
        <w:t xml:space="preserve">cap holding companies </w:t>
      </w:r>
      <w:r w:rsidR="00D0622D">
        <w:t xml:space="preserve">for which the majority of access lines are regulated under price caps </w:t>
      </w:r>
      <w:r w:rsidR="00AB46A1">
        <w:t>as price cap carriers for purposes of CAF</w:t>
      </w:r>
      <w:r w:rsidR="00AD72F2">
        <w:t xml:space="preserve"> Phase I</w:t>
      </w:r>
      <w:r w:rsidR="00AB46A1">
        <w:t xml:space="preserve"> support.</w:t>
      </w:r>
      <w:r>
        <w:rPr>
          <w:rStyle w:val="FootnoteReference"/>
        </w:rPr>
        <w:footnoteReference w:id="29"/>
      </w:r>
      <w:r w:rsidR="00753AC2">
        <w:t xml:space="preserve"> </w:t>
      </w:r>
      <w:r w:rsidR="00AB46A1">
        <w:t xml:space="preserve"> As a result, rate-of-return affiliates of price cap carriers </w:t>
      </w:r>
      <w:r w:rsidR="00AB46A1">
        <w:t>now receive the same type of fixed</w:t>
      </w:r>
      <w:r w:rsidR="00E366EF">
        <w:t xml:space="preserve"> U</w:t>
      </w:r>
      <w:r w:rsidR="00AB46A1">
        <w:t xml:space="preserve">niversal </w:t>
      </w:r>
      <w:r w:rsidR="00E366EF">
        <w:t>S</w:t>
      </w:r>
      <w:r w:rsidR="00AB46A1">
        <w:t xml:space="preserve">ervice </w:t>
      </w:r>
      <w:r w:rsidR="00E366EF">
        <w:t xml:space="preserve">Fund </w:t>
      </w:r>
      <w:r w:rsidR="00AB46A1">
        <w:t xml:space="preserve">support </w:t>
      </w:r>
      <w:r w:rsidR="00C559B8">
        <w:t xml:space="preserve">as </w:t>
      </w:r>
      <w:r w:rsidR="00AB46A1">
        <w:t>their price cap affiliates</w:t>
      </w:r>
      <w:r w:rsidR="00CC4461">
        <w:t xml:space="preserve"> (i.e., </w:t>
      </w:r>
      <w:r w:rsidR="003D088E">
        <w:t>frozen or model-based</w:t>
      </w:r>
      <w:r w:rsidR="00582DD3">
        <w:t>—as opposed to cost-based—</w:t>
      </w:r>
      <w:r w:rsidR="004B769D">
        <w:t>U</w:t>
      </w:r>
      <w:r w:rsidR="003D088E">
        <w:t xml:space="preserve">niversal </w:t>
      </w:r>
      <w:r w:rsidR="004B769D">
        <w:t>S</w:t>
      </w:r>
      <w:r w:rsidR="003D088E">
        <w:t>ervice</w:t>
      </w:r>
      <w:r w:rsidR="004B769D">
        <w:t xml:space="preserve"> Fund</w:t>
      </w:r>
      <w:r w:rsidR="003D088E">
        <w:t xml:space="preserve"> support)</w:t>
      </w:r>
      <w:r w:rsidR="00AB46A1">
        <w:t>.</w:t>
      </w:r>
      <w:r>
        <w:rPr>
          <w:rStyle w:val="FootnoteReference"/>
        </w:rPr>
        <w:footnoteReference w:id="30"/>
      </w:r>
      <w:r w:rsidR="00AB46A1">
        <w:t xml:space="preserve"> </w:t>
      </w:r>
    </w:p>
    <w:p w:rsidR="00603E92" w:rsidP="0018381D" w14:paraId="7BF4A347" w14:textId="15E8A8A3">
      <w:pPr>
        <w:pStyle w:val="ParaNum"/>
        <w:widowControl/>
      </w:pPr>
      <w:bookmarkStart w:id="6" w:name="_Hlk32400698"/>
      <w:r>
        <w:t xml:space="preserve">In 2018, </w:t>
      </w:r>
      <w:r w:rsidR="004B0E50">
        <w:t xml:space="preserve">the Commission </w:t>
      </w:r>
      <w:r w:rsidR="00F10FBD">
        <w:t xml:space="preserve">allowed </w:t>
      </w:r>
      <w:r w:rsidR="004B0E50">
        <w:t>rate-of-return carriers receiv</w:t>
      </w:r>
      <w:r w:rsidR="00CB666A">
        <w:t>ing</w:t>
      </w:r>
      <w:r w:rsidR="004B0E50">
        <w:t xml:space="preserve"> </w:t>
      </w:r>
      <w:r w:rsidR="00274EFC">
        <w:t xml:space="preserve">fixed or </w:t>
      </w:r>
      <w:r w:rsidR="004B0E50">
        <w:t xml:space="preserve">model-based </w:t>
      </w:r>
      <w:r w:rsidR="007075A5">
        <w:t>U</w:t>
      </w:r>
      <w:r w:rsidR="004B0E50">
        <w:t xml:space="preserve">niversal </w:t>
      </w:r>
      <w:r w:rsidR="007075A5">
        <w:t>S</w:t>
      </w:r>
      <w:r w:rsidR="004B0E50">
        <w:t xml:space="preserve">ervice </w:t>
      </w:r>
      <w:r w:rsidR="007075A5">
        <w:t xml:space="preserve">Fund </w:t>
      </w:r>
      <w:r w:rsidR="004B0E50">
        <w:t xml:space="preserve">support </w:t>
      </w:r>
      <w:r w:rsidR="008B0B19">
        <w:t xml:space="preserve">to </w:t>
      </w:r>
      <w:r w:rsidR="004B0E50">
        <w:t>elect to</w:t>
      </w:r>
      <w:r w:rsidR="00B62DEA">
        <w:t xml:space="preserve"> </w:t>
      </w:r>
      <w:r w:rsidR="004B0E50">
        <w:t xml:space="preserve">transition their </w:t>
      </w:r>
      <w:r w:rsidR="00B62DEA">
        <w:t>business data service</w:t>
      </w:r>
      <w:r w:rsidR="003D6180">
        <w:t>s</w:t>
      </w:r>
      <w:r>
        <w:t xml:space="preserve"> </w:t>
      </w:r>
      <w:r w:rsidR="004B0E50">
        <w:t xml:space="preserve">offerings </w:t>
      </w:r>
      <w:r w:rsidR="00837E28">
        <w:t xml:space="preserve">from </w:t>
      </w:r>
      <w:r w:rsidR="007B4495">
        <w:t>cost-based</w:t>
      </w:r>
      <w:r w:rsidR="008B0B19">
        <w:t>,</w:t>
      </w:r>
      <w:r w:rsidR="007B4495">
        <w:t xml:space="preserve"> </w:t>
      </w:r>
      <w:r w:rsidR="00837E28">
        <w:t xml:space="preserve">rate-of-return </w:t>
      </w:r>
      <w:r w:rsidR="007B4495">
        <w:t xml:space="preserve">regulation </w:t>
      </w:r>
      <w:r w:rsidR="004B0E50">
        <w:t>to incentive regulation.</w:t>
      </w:r>
      <w:r>
        <w:rPr>
          <w:rStyle w:val="FootnoteReference"/>
        </w:rPr>
        <w:footnoteReference w:id="31"/>
      </w:r>
      <w:r w:rsidR="005571A1">
        <w:t xml:space="preserve">  </w:t>
      </w:r>
      <w:r w:rsidR="00656013">
        <w:t>The Commission required carriers</w:t>
      </w:r>
      <w:r w:rsidR="00B91A44">
        <w:t xml:space="preserve"> making this election to do so</w:t>
      </w:r>
      <w:r w:rsidR="00656013">
        <w:t xml:space="preserve"> at the holding</w:t>
      </w:r>
      <w:r w:rsidR="00EE3513">
        <w:t>-</w:t>
      </w:r>
      <w:r w:rsidR="00656013">
        <w:t>company</w:t>
      </w:r>
      <w:r w:rsidR="00EE3513">
        <w:t xml:space="preserve"> </w:t>
      </w:r>
      <w:r w:rsidR="00656013">
        <w:t xml:space="preserve">level for study areas in all states where that carrier receives fixed </w:t>
      </w:r>
      <w:r w:rsidR="002D6DA6">
        <w:t xml:space="preserve">or model-based </w:t>
      </w:r>
      <w:r w:rsidR="00656013">
        <w:t>support</w:t>
      </w:r>
      <w:r w:rsidR="006D389A">
        <w:t>.</w:t>
      </w:r>
      <w:r>
        <w:rPr>
          <w:rStyle w:val="FootnoteReference"/>
        </w:rPr>
        <w:footnoteReference w:id="32"/>
      </w:r>
      <w:r w:rsidRPr="00F20DCF" w:rsidR="00F20DCF">
        <w:t xml:space="preserve"> </w:t>
      </w:r>
      <w:r w:rsidR="00F20DCF">
        <w:t xml:space="preserve"> </w:t>
      </w:r>
      <w:r w:rsidR="005946E3">
        <w:t>Business data services provided by rate</w:t>
      </w:r>
      <w:r w:rsidR="00476E5D">
        <w:t>-</w:t>
      </w:r>
      <w:r w:rsidR="005946E3">
        <w:t>of</w:t>
      </w:r>
      <w:r w:rsidR="00476E5D">
        <w:t>-</w:t>
      </w:r>
      <w:r w:rsidR="005946E3">
        <w:t xml:space="preserve">return carriers that </w:t>
      </w:r>
      <w:r w:rsidRPr="00F20DCF" w:rsidR="00F20DCF">
        <w:t>elect</w:t>
      </w:r>
      <w:r w:rsidR="005946E3">
        <w:t>ed</w:t>
      </w:r>
      <w:r w:rsidRPr="00F20DCF" w:rsidR="00F20DCF">
        <w:t xml:space="preserve"> incentive regulation for </w:t>
      </w:r>
      <w:r w:rsidR="005946E3">
        <w:t xml:space="preserve">such </w:t>
      </w:r>
      <w:r w:rsidR="00F20DCF">
        <w:t>service</w:t>
      </w:r>
      <w:r w:rsidR="005946E3">
        <w:t>s</w:t>
      </w:r>
      <w:r w:rsidRPr="00F20DCF" w:rsidR="00F20DCF">
        <w:t xml:space="preserve"> are either deregulated or subject to incentive regulation based on price cap formulas.</w:t>
      </w:r>
      <w:r>
        <w:rPr>
          <w:rStyle w:val="FootnoteReference"/>
        </w:rPr>
        <w:footnoteReference w:id="33"/>
      </w:r>
      <w:r w:rsidR="00F20DCF">
        <w:t xml:space="preserve">  To prevent potential gaming opportunities, the Commission provided eligible carriers with two election opportunities—one effective July 1, 2019, and a second effective July 1, 2020</w:t>
      </w:r>
      <w:r>
        <w:rPr>
          <w:rStyle w:val="FootnoteReference"/>
        </w:rPr>
        <w:footnoteReference w:id="34"/>
      </w:r>
      <w:r w:rsidR="00F20DCF">
        <w:t xml:space="preserve">—and </w:t>
      </w:r>
      <w:r w:rsidRPr="00656013" w:rsidR="00F20DCF">
        <w:t>prohib</w:t>
      </w:r>
      <w:r w:rsidR="00F20DCF">
        <w:t>ited</w:t>
      </w:r>
      <w:r w:rsidRPr="00656013" w:rsidR="00F20DCF">
        <w:t xml:space="preserve"> electing carriers from returning their study areas to rate-of-return regulation</w:t>
      </w:r>
      <w:r w:rsidR="00F20DCF">
        <w:t>.</w:t>
      </w:r>
      <w:r>
        <w:rPr>
          <w:rStyle w:val="FootnoteReference"/>
        </w:rPr>
        <w:footnoteReference w:id="35"/>
      </w:r>
      <w:r w:rsidR="00F20DCF">
        <w:t xml:space="preserve">  </w:t>
      </w:r>
      <w:bookmarkEnd w:id="4"/>
      <w:bookmarkEnd w:id="6"/>
    </w:p>
    <w:p w:rsidR="00ED21D2" w:rsidP="0032602A" w14:paraId="059925BA" w14:textId="38930A08">
      <w:pPr>
        <w:pStyle w:val="Heading2"/>
      </w:pPr>
      <w:r>
        <w:t>Waiver Request</w:t>
      </w:r>
    </w:p>
    <w:p w:rsidR="002C4142" w:rsidP="005325F0" w14:paraId="5A4461F5" w14:textId="572F8EFB">
      <w:pPr>
        <w:pStyle w:val="ParaNum"/>
        <w:widowControl/>
      </w:pPr>
      <w:r>
        <w:t xml:space="preserve">On September 11, 2019, </w:t>
      </w:r>
      <w:r w:rsidRPr="00B835DD" w:rsidR="00B835DD">
        <w:t>Consolidated-Maine and Consolidated-Pennsylvania</w:t>
      </w:r>
      <w:r w:rsidR="00745744">
        <w:t xml:space="preserve">, two price cap </w:t>
      </w:r>
      <w:r w:rsidR="0002392B">
        <w:t>carriers</w:t>
      </w:r>
      <w:r w:rsidR="00745744">
        <w:t>,</w:t>
      </w:r>
      <w:r w:rsidR="0048180F">
        <w:t xml:space="preserve"> </w:t>
      </w:r>
      <w:r>
        <w:t xml:space="preserve">filed a </w:t>
      </w:r>
      <w:r w:rsidR="0048180F">
        <w:t xml:space="preserve">joint </w:t>
      </w:r>
      <w:r>
        <w:t xml:space="preserve">petition for </w:t>
      </w:r>
      <w:r w:rsidR="009468CF">
        <w:t xml:space="preserve">limited </w:t>
      </w:r>
      <w:r>
        <w:t>waiver of section</w:t>
      </w:r>
      <w:r w:rsidR="00946C76">
        <w:t>s</w:t>
      </w:r>
      <w:r>
        <w:t xml:space="preserve"> 61.41(c)(2)</w:t>
      </w:r>
      <w:r w:rsidR="00946C76">
        <w:t>-(c)(3)</w:t>
      </w:r>
      <w:r>
        <w:t xml:space="preserve"> and </w:t>
      </w:r>
      <w:bookmarkStart w:id="7" w:name="_Hlk31805405"/>
      <w:r>
        <w:t>parts</w:t>
      </w:r>
      <w:r w:rsidRPr="00AB2B17">
        <w:t xml:space="preserve"> 51</w:t>
      </w:r>
      <w:r w:rsidR="00946C76">
        <w:t xml:space="preserve"> (subpart J)</w:t>
      </w:r>
      <w:r>
        <w:t xml:space="preserve"> (</w:t>
      </w:r>
      <w:r w:rsidR="00B1378A">
        <w:t>transition</w:t>
      </w:r>
      <w:r w:rsidR="001F31ED">
        <w:t>al access service pricing</w:t>
      </w:r>
      <w:r w:rsidR="00B1378A">
        <w:t xml:space="preserve"> rules</w:t>
      </w:r>
      <w:r w:rsidR="009468CF">
        <w:t>)</w:t>
      </w:r>
      <w:r w:rsidRPr="00AB2B17">
        <w:t xml:space="preserve">, </w:t>
      </w:r>
      <w:r>
        <w:t>54</w:t>
      </w:r>
      <w:r w:rsidR="009468CF">
        <w:t xml:space="preserve"> (</w:t>
      </w:r>
      <w:r w:rsidR="00B1378A">
        <w:t>u</w:t>
      </w:r>
      <w:r w:rsidR="009468CF">
        <w:t>niversal service)</w:t>
      </w:r>
      <w:r>
        <w:t xml:space="preserve">, </w:t>
      </w:r>
      <w:r w:rsidRPr="00AB2B17">
        <w:t>61</w:t>
      </w:r>
      <w:r w:rsidR="009468CF">
        <w:t xml:space="preserve"> (</w:t>
      </w:r>
      <w:r w:rsidR="00B1378A">
        <w:t>t</w:t>
      </w:r>
      <w:r w:rsidR="009468CF">
        <w:t>ariff</w:t>
      </w:r>
      <w:r w:rsidR="00B1378A">
        <w:t>ing</w:t>
      </w:r>
      <w:r w:rsidR="009468CF">
        <w:t>)</w:t>
      </w:r>
      <w:r w:rsidRPr="00AB2B17">
        <w:t xml:space="preserve">, </w:t>
      </w:r>
      <w:r>
        <w:t xml:space="preserve">and </w:t>
      </w:r>
      <w:r w:rsidRPr="00AB2B17">
        <w:t>69</w:t>
      </w:r>
      <w:r w:rsidR="009468CF">
        <w:t xml:space="preserve"> (</w:t>
      </w:r>
      <w:r w:rsidR="00B1378A">
        <w:t>a</w:t>
      </w:r>
      <w:r w:rsidR="009468CF">
        <w:t>ccess charges)</w:t>
      </w:r>
      <w:r>
        <w:t xml:space="preserve"> of the Commission’s rules, as necessary, </w:t>
      </w:r>
      <w:bookmarkEnd w:id="7"/>
      <w:r>
        <w:t xml:space="preserve">to continue operating </w:t>
      </w:r>
      <w:r w:rsidR="00B45291">
        <w:t xml:space="preserve">study areas </w:t>
      </w:r>
      <w:r w:rsidR="00223BEE">
        <w:t xml:space="preserve">in Pennsylvania and Maine </w:t>
      </w:r>
      <w:r>
        <w:t xml:space="preserve">under rate-of-return regulation </w:t>
      </w:r>
      <w:r w:rsidR="0002392B">
        <w:t xml:space="preserve">after </w:t>
      </w:r>
      <w:r w:rsidR="00615B77">
        <w:t xml:space="preserve">rate-of-return affiliates </w:t>
      </w:r>
      <w:r w:rsidR="00F14C28">
        <w:t xml:space="preserve">that provided service to </w:t>
      </w:r>
      <w:r w:rsidR="0002392B">
        <w:t xml:space="preserve">those study areas </w:t>
      </w:r>
      <w:r>
        <w:t>merge</w:t>
      </w:r>
      <w:r w:rsidR="0002392B">
        <w:t>d</w:t>
      </w:r>
      <w:r>
        <w:t xml:space="preserve"> with price cap carriers</w:t>
      </w:r>
      <w:r w:rsidR="00F14C28">
        <w:t xml:space="preserve"> and ceased to exist as separate corporate entities</w:t>
      </w:r>
      <w:r>
        <w:t>.</w:t>
      </w:r>
      <w:r>
        <w:rPr>
          <w:rStyle w:val="FootnoteReference"/>
        </w:rPr>
        <w:footnoteReference w:id="36"/>
      </w:r>
      <w:r>
        <w:t xml:space="preserve"> </w:t>
      </w:r>
      <w:r w:rsidR="005325F0">
        <w:t xml:space="preserve"> </w:t>
      </w:r>
      <w:r w:rsidR="009468CF">
        <w:t xml:space="preserve">Petitioners explain that such waivers would allow them to continue operating </w:t>
      </w:r>
      <w:r w:rsidR="0099334A">
        <w:t xml:space="preserve">the relevant </w:t>
      </w:r>
      <w:r w:rsidR="009468CF">
        <w:t>study areas</w:t>
      </w:r>
      <w:r w:rsidR="0073085A">
        <w:t xml:space="preserve"> </w:t>
      </w:r>
      <w:r w:rsidR="009468CF">
        <w:t>as “rate-of-return”</w:t>
      </w:r>
      <w:r w:rsidR="000549D3">
        <w:softHyphen/>
      </w:r>
      <w:r w:rsidR="000549D3">
        <w:softHyphen/>
        <w:t>—</w:t>
      </w:r>
      <w:r w:rsidR="005946E3">
        <w:t xml:space="preserve">i.e., </w:t>
      </w:r>
      <w:r w:rsidR="009468CF">
        <w:t>subject to the rules applicable to rate-of-return carriers</w:t>
      </w:r>
      <w:r w:rsidR="000549D3">
        <w:t>—</w:t>
      </w:r>
      <w:r w:rsidR="009468CF">
        <w:t xml:space="preserve">even though the </w:t>
      </w:r>
      <w:r w:rsidR="005946E3">
        <w:t xml:space="preserve">Petitioners are </w:t>
      </w:r>
      <w:r w:rsidR="009468CF">
        <w:t>price cap</w:t>
      </w:r>
      <w:r w:rsidR="005946E3">
        <w:t xml:space="preserve"> carrier</w:t>
      </w:r>
      <w:r w:rsidR="009468CF">
        <w:t>s.</w:t>
      </w:r>
      <w:r>
        <w:rPr>
          <w:rStyle w:val="FootnoteReference"/>
        </w:rPr>
        <w:footnoteReference w:id="37"/>
      </w:r>
      <w:r w:rsidR="009468CF">
        <w:t xml:space="preserve">    </w:t>
      </w:r>
    </w:p>
    <w:p w:rsidR="00222575" w:rsidP="004D0732" w14:paraId="3F7A465C" w14:textId="09A93C1B">
      <w:pPr>
        <w:pStyle w:val="ParaNum"/>
        <w:widowControl/>
      </w:pPr>
      <w:bookmarkStart w:id="8" w:name="_Hlk32312102"/>
      <w:r>
        <w:t xml:space="preserve">Consolidated-Maine and Consolidated-Pennsylvania are wholly-owned subsidiaries of </w:t>
      </w:r>
      <w:r w:rsidRPr="00865D84">
        <w:t>Consolidated Communications, Inc. (CCI</w:t>
      </w:r>
      <w:r>
        <w:t>)</w:t>
      </w:r>
      <w:bookmarkEnd w:id="8"/>
      <w:r>
        <w:t xml:space="preserve">, </w:t>
      </w:r>
      <w:r w:rsidRPr="00865D84">
        <w:t>a wholly-owned subsidiary of Consolidated Holdings</w:t>
      </w:r>
      <w:r>
        <w:t>.</w:t>
      </w:r>
      <w:r>
        <w:rPr>
          <w:rStyle w:val="FootnoteReference"/>
        </w:rPr>
        <w:footnoteReference w:id="38"/>
      </w:r>
      <w:r w:rsidR="007D7450">
        <w:t xml:space="preserve">  Both Consolidated-Maine and Consolidated-Pennsylvania are subject to price cap regulation.  </w:t>
      </w:r>
      <w:r w:rsidR="00745744">
        <w:t>According to Petitioners, b</w:t>
      </w:r>
      <w:r w:rsidR="00E74DEF">
        <w:t>eginning i</w:t>
      </w:r>
      <w:r>
        <w:t>n 2018, “CCI began an internal reorganization</w:t>
      </w:r>
      <w:r w:rsidR="0038047C">
        <w:t>…</w:t>
      </w:r>
      <w:r>
        <w:t>resulting in the consolidation of many of its subsidiaries (but not involving any change of control of any of the affected companies).”</w:t>
      </w:r>
      <w:r>
        <w:rPr>
          <w:rStyle w:val="FootnoteReference"/>
        </w:rPr>
        <w:footnoteReference w:id="39"/>
      </w:r>
      <w:r>
        <w:t xml:space="preserve">  </w:t>
      </w:r>
      <w:r w:rsidRPr="00C53CAD" w:rsidR="00C53CAD">
        <w:t xml:space="preserve">As part of CCI’s internal reorganization, </w:t>
      </w:r>
      <w:r w:rsidR="000D17DD">
        <w:t xml:space="preserve">Community Service Telephone Company, </w:t>
      </w:r>
      <w:r w:rsidRPr="00C53CAD" w:rsidR="00C53CAD">
        <w:t>a</w:t>
      </w:r>
      <w:r w:rsidR="008E508E">
        <w:t>n ave</w:t>
      </w:r>
      <w:r w:rsidR="00CE2A70">
        <w:t xml:space="preserve">rage schedule </w:t>
      </w:r>
      <w:r w:rsidRPr="00C53CAD" w:rsidR="00C53CAD">
        <w:t xml:space="preserve">rate-of-return </w:t>
      </w:r>
      <w:r w:rsidR="0002392B">
        <w:t xml:space="preserve">carrier </w:t>
      </w:r>
      <w:r w:rsidR="00781A39">
        <w:t>operating in Maine,</w:t>
      </w:r>
      <w:r w:rsidRPr="00C53CAD" w:rsidR="00C53CAD">
        <w:t xml:space="preserve"> </w:t>
      </w:r>
      <w:r w:rsidR="00781A39">
        <w:t xml:space="preserve">along with five price cap </w:t>
      </w:r>
      <w:r w:rsidR="0002392B">
        <w:t xml:space="preserve">carriers </w:t>
      </w:r>
      <w:r w:rsidR="00781A39">
        <w:t>operating in Maine</w:t>
      </w:r>
      <w:r w:rsidR="001145F1">
        <w:t>,</w:t>
      </w:r>
      <w:r w:rsidRPr="00C53CAD" w:rsidR="00C53CAD">
        <w:t xml:space="preserve"> merged with </w:t>
      </w:r>
      <w:r w:rsidRPr="00C53CAD" w:rsidR="00C53CAD">
        <w:t>and consolidated into Consolidated-Maine</w:t>
      </w:r>
      <w:r w:rsidR="0002392B">
        <w:t>,</w:t>
      </w:r>
      <w:r w:rsidRPr="00C53CAD" w:rsidR="00C53CAD">
        <w:t xml:space="preserve"> effective March 6, 2019.</w:t>
      </w:r>
      <w:r>
        <w:rPr>
          <w:rStyle w:val="FootnoteReference"/>
        </w:rPr>
        <w:footnoteReference w:id="40"/>
      </w:r>
      <w:r w:rsidRPr="00C53CAD" w:rsidR="00C53CAD">
        <w:t xml:space="preserve">  Additionally, </w:t>
      </w:r>
      <w:r w:rsidR="00C53CAD">
        <w:t>two</w:t>
      </w:r>
      <w:r w:rsidRPr="00C53CAD" w:rsidR="00C53CAD">
        <w:t xml:space="preserve"> rate-of-return </w:t>
      </w:r>
      <w:r w:rsidR="0002392B">
        <w:t>carriers</w:t>
      </w:r>
      <w:r w:rsidRPr="00C53CAD" w:rsidR="0002392B">
        <w:t xml:space="preserve"> </w:t>
      </w:r>
      <w:r w:rsidRPr="00C53CAD" w:rsidR="00C53CAD">
        <w:t>operating in Pennsylvania</w:t>
      </w:r>
      <w:r w:rsidR="000D17DD">
        <w:t xml:space="preserve">, </w:t>
      </w:r>
      <w:r w:rsidR="008571EB">
        <w:t>Marianna and Scenery Hill Telephone Company</w:t>
      </w:r>
      <w:r w:rsidR="008E508E">
        <w:t>, a cost-based company,</w:t>
      </w:r>
      <w:r w:rsidR="008571EB">
        <w:t xml:space="preserve"> and Bentleyville Communications Company, </w:t>
      </w:r>
      <w:r w:rsidR="008E508E">
        <w:t xml:space="preserve">an average schedule company, </w:t>
      </w:r>
      <w:r w:rsidRPr="00C53CAD" w:rsidR="00C53CAD">
        <w:t>merged with</w:t>
      </w:r>
      <w:r w:rsidR="00C1331D">
        <w:t xml:space="preserve"> </w:t>
      </w:r>
      <w:r w:rsidRPr="00C53CAD" w:rsidR="00C53CAD">
        <w:t>and were consolidated into Consolidated-Pennsylvania</w:t>
      </w:r>
      <w:r w:rsidR="0002392B">
        <w:t>,</w:t>
      </w:r>
      <w:r w:rsidR="007D7450">
        <w:t xml:space="preserve"> </w:t>
      </w:r>
      <w:r w:rsidRPr="00C53CAD" w:rsidR="00C53CAD">
        <w:t>effective May 15, 2019</w:t>
      </w:r>
      <w:r w:rsidR="00E43C86">
        <w:t>.</w:t>
      </w:r>
      <w:r>
        <w:rPr>
          <w:rStyle w:val="FootnoteReference"/>
        </w:rPr>
        <w:footnoteReference w:id="41"/>
      </w:r>
      <w:r w:rsidR="00E43C86">
        <w:t xml:space="preserve">  </w:t>
      </w:r>
      <w:r>
        <w:t xml:space="preserve">Following </w:t>
      </w:r>
      <w:r w:rsidR="00063ED9">
        <w:t>this internal reorganization</w:t>
      </w:r>
      <w:r>
        <w:t xml:space="preserve">, </w:t>
      </w:r>
      <w:r w:rsidR="00EB4040">
        <w:t>the rate-of-return affiliates</w:t>
      </w:r>
      <w:r>
        <w:t xml:space="preserve"> ceased to exist as separate corporate entities; Consolidated-Pennsylvania and Consolidated-Maine are the surviving entities.</w:t>
      </w:r>
      <w:r>
        <w:rPr>
          <w:rStyle w:val="FootnoteReference"/>
        </w:rPr>
        <w:footnoteReference w:id="42"/>
      </w:r>
      <w:r>
        <w:t xml:space="preserve"> </w:t>
      </w:r>
      <w:r w:rsidR="000E1F99">
        <w:t xml:space="preserve"> Because </w:t>
      </w:r>
      <w:r w:rsidR="00063ED9">
        <w:t xml:space="preserve">this internal reorganization </w:t>
      </w:r>
      <w:r w:rsidR="000E1F99">
        <w:t>did</w:t>
      </w:r>
      <w:r w:rsidRPr="002D6DE8" w:rsidR="000E1F99">
        <w:t xml:space="preserve"> not </w:t>
      </w:r>
      <w:r w:rsidRPr="000C4287" w:rsidR="000E1F99">
        <w:t>result in a change in the carriers</w:t>
      </w:r>
      <w:r w:rsidR="00063ED9">
        <w:t>’</w:t>
      </w:r>
      <w:r w:rsidRPr="000C4287" w:rsidR="000E1F99">
        <w:t xml:space="preserve"> ultimate ownership or control</w:t>
      </w:r>
      <w:r w:rsidR="000E1F99">
        <w:t>,</w:t>
      </w:r>
      <w:r>
        <w:rPr>
          <w:rStyle w:val="FootnoteReference"/>
        </w:rPr>
        <w:footnoteReference w:id="43"/>
      </w:r>
      <w:r w:rsidR="000E1F99">
        <w:t xml:space="preserve"> </w:t>
      </w:r>
      <w:r w:rsidR="008069FC">
        <w:t xml:space="preserve">CCI was </w:t>
      </w:r>
      <w:r w:rsidR="00063ED9">
        <w:t xml:space="preserve">authorized to undertake this internal reorganization as a </w:t>
      </w:r>
      <w:r w:rsidRPr="004D0732" w:rsidR="00063ED9">
        <w:rPr>
          <w:i/>
          <w:iCs/>
        </w:rPr>
        <w:t>pro forma</w:t>
      </w:r>
      <w:r w:rsidR="00063ED9">
        <w:t xml:space="preserve"> transaction without </w:t>
      </w:r>
      <w:r w:rsidR="008069FC">
        <w:t>seek</w:t>
      </w:r>
      <w:r w:rsidR="00063ED9">
        <w:t>ing</w:t>
      </w:r>
      <w:r w:rsidR="008069FC">
        <w:t xml:space="preserve"> prior Commission approval</w:t>
      </w:r>
      <w:r w:rsidR="0041568B">
        <w:t>.</w:t>
      </w:r>
      <w:r>
        <w:rPr>
          <w:rStyle w:val="FootnoteReference"/>
        </w:rPr>
        <w:footnoteReference w:id="44"/>
      </w:r>
      <w:r w:rsidR="0041568B">
        <w:t xml:space="preserve">  </w:t>
      </w:r>
    </w:p>
    <w:p w:rsidR="00383028" w:rsidP="008F0580" w14:paraId="0A8AAB81" w14:textId="141BE6CF">
      <w:pPr>
        <w:pStyle w:val="ParaNum"/>
        <w:widowControl/>
      </w:pPr>
      <w:r>
        <w:t xml:space="preserve">Petitioners seek </w:t>
      </w:r>
      <w:r w:rsidR="007D7450">
        <w:t xml:space="preserve">a </w:t>
      </w:r>
      <w:r>
        <w:t>waiver</w:t>
      </w:r>
      <w:r w:rsidR="007D7450">
        <w:t xml:space="preserve"> of various </w:t>
      </w:r>
      <w:r w:rsidR="00CD65D5">
        <w:t xml:space="preserve">Commission </w:t>
      </w:r>
      <w:r w:rsidR="007D7450">
        <w:t>rule</w:t>
      </w:r>
      <w:r w:rsidR="00E357F7">
        <w:t xml:space="preserve"> sections</w:t>
      </w:r>
      <w:r w:rsidR="007D7450">
        <w:t xml:space="preserve"> </w:t>
      </w:r>
      <w:r w:rsidR="00CD65D5">
        <w:t xml:space="preserve">to allow them to </w:t>
      </w:r>
      <w:r w:rsidR="007D7450">
        <w:t>continue</w:t>
      </w:r>
      <w:r w:rsidR="005F4F72">
        <w:t xml:space="preserve"> operating</w:t>
      </w:r>
      <w:r>
        <w:t xml:space="preserve"> </w:t>
      </w:r>
      <w:r w:rsidR="005F4F72">
        <w:t xml:space="preserve">the </w:t>
      </w:r>
      <w:r w:rsidR="00570796">
        <w:t xml:space="preserve">three </w:t>
      </w:r>
      <w:r>
        <w:t>study areas</w:t>
      </w:r>
      <w:r w:rsidR="001F7C37">
        <w:t>—</w:t>
      </w:r>
      <w:r w:rsidR="008F2E88">
        <w:t xml:space="preserve">those formerly </w:t>
      </w:r>
      <w:r w:rsidR="001F7C37">
        <w:t>served by</w:t>
      </w:r>
      <w:r w:rsidR="008F2E88">
        <w:t xml:space="preserve"> </w:t>
      </w:r>
      <w:bookmarkStart w:id="10" w:name="_Hlk31988129"/>
      <w:r w:rsidR="005F4F72">
        <w:t>Community Service Telephone Company</w:t>
      </w:r>
      <w:r w:rsidR="00ED72D2">
        <w:t>,</w:t>
      </w:r>
      <w:r w:rsidR="005F4F72">
        <w:t xml:space="preserve"> Marianna and Scenery Hill Telephone Company</w:t>
      </w:r>
      <w:r w:rsidR="00ED72D2">
        <w:t>,</w:t>
      </w:r>
      <w:r w:rsidR="005F4F72">
        <w:t xml:space="preserve"> and Bentleyville Communications Company</w:t>
      </w:r>
      <w:bookmarkEnd w:id="10"/>
      <w:r w:rsidR="00DA44AF">
        <w:t xml:space="preserve"> (collectively, </w:t>
      </w:r>
      <w:r w:rsidR="00865868">
        <w:t>“</w:t>
      </w:r>
      <w:r w:rsidR="00DA44AF">
        <w:t>the Study Areas</w:t>
      </w:r>
      <w:r w:rsidR="00865868">
        <w:t>”</w:t>
      </w:r>
      <w:r w:rsidR="00DA44AF">
        <w:t>)</w:t>
      </w:r>
      <w:r w:rsidR="001F7C37">
        <w:t>—</w:t>
      </w:r>
      <w:r w:rsidR="001D0DAE">
        <w:t xml:space="preserve">subject to </w:t>
      </w:r>
      <w:r>
        <w:t>rate-of-return</w:t>
      </w:r>
      <w:r w:rsidR="001D0DAE">
        <w:t xml:space="preserve"> regulation</w:t>
      </w:r>
      <w:r w:rsidR="005F4F72">
        <w:t xml:space="preserve"> </w:t>
      </w:r>
      <w:r w:rsidR="00582C1C">
        <w:t>for purposes of intercarrier compensation</w:t>
      </w:r>
      <w:r w:rsidR="003E41B2">
        <w:t>, CAF ICC support,</w:t>
      </w:r>
      <w:r w:rsidR="00582C1C">
        <w:t xml:space="preserve"> and </w:t>
      </w:r>
      <w:r w:rsidR="00B12423">
        <w:t>U</w:t>
      </w:r>
      <w:r w:rsidR="00582C1C">
        <w:t xml:space="preserve">niversal </w:t>
      </w:r>
      <w:r w:rsidR="00B12423">
        <w:t>S</w:t>
      </w:r>
      <w:r w:rsidR="00582C1C">
        <w:t>ervice</w:t>
      </w:r>
      <w:r w:rsidR="00B12423">
        <w:t xml:space="preserve"> Fund</w:t>
      </w:r>
      <w:r w:rsidR="00582C1C">
        <w:t xml:space="preserve"> support.</w:t>
      </w:r>
      <w:r>
        <w:rPr>
          <w:rStyle w:val="FootnoteReference"/>
        </w:rPr>
        <w:footnoteReference w:id="45"/>
      </w:r>
      <w:r>
        <w:t xml:space="preserve">  </w:t>
      </w:r>
      <w:r w:rsidR="00AA1242">
        <w:t xml:space="preserve">Petitioners </w:t>
      </w:r>
      <w:r w:rsidR="00CF7DB9">
        <w:t xml:space="preserve">seek </w:t>
      </w:r>
      <w:r w:rsidR="005F4F72">
        <w:t xml:space="preserve">these </w:t>
      </w:r>
      <w:r w:rsidR="0048180F">
        <w:t>waiver</w:t>
      </w:r>
      <w:r w:rsidR="005F4F72">
        <w:t>s</w:t>
      </w:r>
      <w:r w:rsidR="0048180F">
        <w:t xml:space="preserve"> </w:t>
      </w:r>
      <w:r w:rsidR="00AA1242">
        <w:t xml:space="preserve">because “the Commission’s rules do not squarely address the acquisition and merger of rate-of-return study areas by and into a company that operates price cap study areas but wishes to continue to keep separate </w:t>
      </w:r>
      <w:r w:rsidR="00CF7DB9">
        <w:t>the rate-of-return and price cap operations.”</w:t>
      </w:r>
      <w:r>
        <w:rPr>
          <w:rStyle w:val="FootnoteReference"/>
        </w:rPr>
        <w:footnoteReference w:id="46"/>
      </w:r>
      <w:r w:rsidR="00CF7DB9">
        <w:t xml:space="preserve">  Petitioners</w:t>
      </w:r>
      <w:r w:rsidR="006F7D67">
        <w:t xml:space="preserve"> contend</w:t>
      </w:r>
      <w:r w:rsidR="00CF7DB9">
        <w:t xml:space="preserve"> that enforcement of the rules would create undue hardship without furthering any Commission policies.</w:t>
      </w:r>
      <w:r>
        <w:rPr>
          <w:rStyle w:val="FootnoteReference"/>
        </w:rPr>
        <w:footnoteReference w:id="47"/>
      </w:r>
      <w:r w:rsidR="00CF7DB9">
        <w:t xml:space="preserve">  </w:t>
      </w:r>
      <w:r w:rsidR="0067091D">
        <w:t xml:space="preserve">Petitioners </w:t>
      </w:r>
      <w:r w:rsidR="006F7D67">
        <w:t>assert</w:t>
      </w:r>
      <w:r w:rsidR="0067091D">
        <w:t xml:space="preserve"> that </w:t>
      </w:r>
      <w:r w:rsidR="00B91A44">
        <w:t xml:space="preserve">a </w:t>
      </w:r>
      <w:r w:rsidR="000140D1">
        <w:t xml:space="preserve">waiver </w:t>
      </w:r>
      <w:r w:rsidR="002D523F">
        <w:t>is in</w:t>
      </w:r>
      <w:r w:rsidR="0067091D">
        <w:t xml:space="preserve"> the public interest</w:t>
      </w:r>
      <w:r w:rsidR="000140D1">
        <w:t xml:space="preserve"> </w:t>
      </w:r>
      <w:r w:rsidR="002D523F">
        <w:t>because</w:t>
      </w:r>
      <w:r w:rsidR="00B91A44">
        <w:t xml:space="preserve"> </w:t>
      </w:r>
      <w:r w:rsidR="0091365A">
        <w:t xml:space="preserve">it </w:t>
      </w:r>
      <w:r w:rsidR="00CD46C3">
        <w:t xml:space="preserve">“will permit a significant administrative expense reduction” and, therefore, </w:t>
      </w:r>
      <w:r w:rsidR="00B63222">
        <w:t>“</w:t>
      </w:r>
      <w:r w:rsidR="00CD46C3">
        <w:t xml:space="preserve">can </w:t>
      </w:r>
      <w:r w:rsidR="00B63222">
        <w:t xml:space="preserve">be expected to permit greater investment by </w:t>
      </w:r>
      <w:r w:rsidR="00BF1D3F">
        <w:t>[P]</w:t>
      </w:r>
      <w:r w:rsidR="00B63222">
        <w:t>etitioners</w:t>
      </w:r>
      <w:r w:rsidR="00B63222">
        <w:t xml:space="preserve"> in rural broadband infrastructure by freeing up scarce resources</w:t>
      </w:r>
      <w:r w:rsidR="00CD46C3">
        <w:t>.”</w:t>
      </w:r>
      <w:r>
        <w:rPr>
          <w:rStyle w:val="FootnoteReference"/>
        </w:rPr>
        <w:footnoteReference w:id="48"/>
      </w:r>
      <w:r w:rsidR="00B63222">
        <w:t xml:space="preserve">  </w:t>
      </w:r>
      <w:r w:rsidR="00F02ED8">
        <w:t>We</w:t>
      </w:r>
      <w:r w:rsidR="00ED7CF5">
        <w:t xml:space="preserve"> sought comment on Petitioners’ waiver request</w:t>
      </w:r>
      <w:r w:rsidR="00EE5382">
        <w:t>.</w:t>
      </w:r>
      <w:r>
        <w:rPr>
          <w:rStyle w:val="FootnoteReference"/>
        </w:rPr>
        <w:footnoteReference w:id="49"/>
      </w:r>
      <w:r w:rsidR="00B231E3">
        <w:t xml:space="preserve"> </w:t>
      </w:r>
      <w:r w:rsidR="00CA6A9A">
        <w:t xml:space="preserve"> </w:t>
      </w:r>
      <w:r w:rsidR="00EE5382">
        <w:t xml:space="preserve">No </w:t>
      </w:r>
      <w:r w:rsidR="0041218A">
        <w:t>comments were filed</w:t>
      </w:r>
      <w:r w:rsidR="0066103F">
        <w:t xml:space="preserve"> in response to the Bureau’s public notice seeking comment on</w:t>
      </w:r>
      <w:r w:rsidR="0041218A">
        <w:t xml:space="preserve"> the</w:t>
      </w:r>
      <w:r w:rsidR="00EE5382">
        <w:t xml:space="preserve"> </w:t>
      </w:r>
      <w:r w:rsidR="00D941AB">
        <w:t>P</w:t>
      </w:r>
      <w:r w:rsidR="00EE5382">
        <w:t>etition</w:t>
      </w:r>
      <w:r w:rsidR="00ED7CF5">
        <w:t xml:space="preserve">. </w:t>
      </w:r>
    </w:p>
    <w:p w:rsidR="00761D38" w:rsidP="00761D38" w14:paraId="25DE959D" w14:textId="4E9B0A86">
      <w:pPr>
        <w:pStyle w:val="Heading1"/>
      </w:pPr>
      <w:r>
        <w:t>Discussion</w:t>
      </w:r>
    </w:p>
    <w:p w:rsidR="00585779" w:rsidP="00D5702D" w14:paraId="31E4CFAA" w14:textId="75C820A2">
      <w:pPr>
        <w:pStyle w:val="ParaNum"/>
        <w:widowControl/>
      </w:pPr>
      <w:bookmarkStart w:id="11" w:name="_Hlk31805748"/>
      <w:r>
        <w:t>W</w:t>
      </w:r>
      <w:r w:rsidR="008510AB">
        <w:t xml:space="preserve">e find </w:t>
      </w:r>
      <w:r w:rsidR="0004587F">
        <w:t xml:space="preserve">that </w:t>
      </w:r>
      <w:r w:rsidR="008510AB">
        <w:t>good cause exists</w:t>
      </w:r>
      <w:r w:rsidR="00685928">
        <w:t>, under the facts presented,</w:t>
      </w:r>
      <w:r w:rsidR="008510AB">
        <w:t xml:space="preserve"> to grant Petitioners’ request for waiver of the all-or-nothing rule</w:t>
      </w:r>
      <w:r w:rsidR="002E1535">
        <w:t>,</w:t>
      </w:r>
      <w:r w:rsidR="00E62BE3">
        <w:t xml:space="preserve"> to the extent described herein</w:t>
      </w:r>
      <w:r w:rsidR="008510AB">
        <w:t xml:space="preserve">.  </w:t>
      </w:r>
      <w:r w:rsidR="0042722F">
        <w:t>We find that</w:t>
      </w:r>
      <w:r w:rsidR="006F7D67">
        <w:t>, under the special circumstances described in the Petition,</w:t>
      </w:r>
      <w:r w:rsidR="0042722F">
        <w:t xml:space="preserve"> </w:t>
      </w:r>
      <w:r w:rsidR="00256D89">
        <w:t xml:space="preserve">the public interest would be served by avoiding unnecessary </w:t>
      </w:r>
      <w:r w:rsidR="00170C05">
        <w:t xml:space="preserve">financial and </w:t>
      </w:r>
      <w:r w:rsidR="0042722F">
        <w:t xml:space="preserve">administrative burdens </w:t>
      </w:r>
      <w:r w:rsidR="00C85163">
        <w:t xml:space="preserve">associated with converting </w:t>
      </w:r>
      <w:r w:rsidR="00A6520E">
        <w:t xml:space="preserve">the </w:t>
      </w:r>
      <w:r w:rsidR="005A42B0">
        <w:t>S</w:t>
      </w:r>
      <w:r w:rsidR="00A6520E">
        <w:t xml:space="preserve">tudy </w:t>
      </w:r>
      <w:r w:rsidR="005A42B0">
        <w:t xml:space="preserve">Areas </w:t>
      </w:r>
      <w:r w:rsidR="00C85163">
        <w:t>to price cap regulation</w:t>
      </w:r>
      <w:r w:rsidR="0004587F">
        <w:t xml:space="preserve">, especially </w:t>
      </w:r>
      <w:r w:rsidR="00F77317">
        <w:t>considering</w:t>
      </w:r>
      <w:r w:rsidR="0004587F">
        <w:t xml:space="preserve"> the </w:t>
      </w:r>
      <w:r w:rsidR="00D95779">
        <w:t xml:space="preserve">lack of opportunity </w:t>
      </w:r>
      <w:r w:rsidR="0004587F">
        <w:t>for</w:t>
      </w:r>
      <w:r w:rsidR="00170C05">
        <w:t xml:space="preserve"> cost-shifting or gaming</w:t>
      </w:r>
      <w:r w:rsidR="00611F76">
        <w:t>—</w:t>
      </w:r>
      <w:r w:rsidR="00F77317">
        <w:t xml:space="preserve">the concerns underlying the </w:t>
      </w:r>
      <w:r w:rsidR="00F77317">
        <w:t>“all-or-nothing” rule.</w:t>
      </w:r>
      <w:r>
        <w:rPr>
          <w:rStyle w:val="FootnoteReference"/>
        </w:rPr>
        <w:footnoteReference w:id="50"/>
      </w:r>
      <w:r w:rsidR="00256D89">
        <w:t xml:space="preserve">  </w:t>
      </w:r>
      <w:r w:rsidR="007F6C84">
        <w:t>We also find that depriving these Study Areas in rural Pennsylvania and Maine of CAF ICC support would not serve the public interest.  Finally, we</w:t>
      </w:r>
      <w:r w:rsidRPr="007A65B1" w:rsidR="007A65B1">
        <w:t xml:space="preserve"> </w:t>
      </w:r>
      <w:r w:rsidR="009E769E">
        <w:t xml:space="preserve">find good cause to </w:t>
      </w:r>
      <w:r w:rsidRPr="007A65B1" w:rsidR="007A65B1">
        <w:t xml:space="preserve">grant </w:t>
      </w:r>
      <w:r w:rsidR="007A65B1">
        <w:t xml:space="preserve">Petitioner’s other requests for </w:t>
      </w:r>
      <w:r w:rsidRPr="007A65B1" w:rsidR="007A65B1">
        <w:t xml:space="preserve">waiver of </w:t>
      </w:r>
      <w:r w:rsidR="007A65B1">
        <w:t xml:space="preserve">our rules </w:t>
      </w:r>
      <w:r w:rsidRPr="007A65B1" w:rsidR="007A65B1">
        <w:t>to the extent necessary to effectuate the waiver</w:t>
      </w:r>
      <w:r w:rsidR="007A65B1">
        <w:t xml:space="preserve"> of the all-or-nothing rule</w:t>
      </w:r>
      <w:r w:rsidRPr="007A65B1" w:rsidR="007A65B1">
        <w:t xml:space="preserve">.  </w:t>
      </w:r>
      <w:r w:rsidR="00BF4BCC">
        <w:t xml:space="preserve"> </w:t>
      </w:r>
    </w:p>
    <w:bookmarkEnd w:id="11"/>
    <w:p w:rsidR="00F1707B" w:rsidP="0032602A" w14:paraId="23B11FDA" w14:textId="77777777">
      <w:pPr>
        <w:pStyle w:val="Heading2"/>
      </w:pPr>
      <w:r>
        <w:t>Waiver Standard</w:t>
      </w:r>
    </w:p>
    <w:p w:rsidR="00F1707B" w:rsidP="00F1707B" w14:paraId="5D1FC449" w14:textId="77777777">
      <w:pPr>
        <w:pStyle w:val="ParaNum"/>
      </w:pPr>
      <w:r w:rsidRPr="0076342E">
        <w:t>Generally, the Commission’s rules may be waived for “good cause shown.”</w:t>
      </w:r>
      <w:r>
        <w:rPr>
          <w:rStyle w:val="FootnoteReference"/>
          <w:sz w:val="22"/>
          <w:szCs w:val="22"/>
        </w:rPr>
        <w:footnoteReference w:id="51"/>
      </w:r>
      <w:r w:rsidRPr="0076342E">
        <w:t xml:space="preserve">  The Commission may exercise its discretion to waive a rule where the particular facts make strict compliance inconsistent with the public interest</w:t>
      </w:r>
      <w:r>
        <w:t>.</w:t>
      </w:r>
      <w:r>
        <w:rPr>
          <w:rStyle w:val="FootnoteReference"/>
          <w:szCs w:val="22"/>
        </w:rPr>
        <w:footnoteReference w:id="52"/>
      </w:r>
      <w:r>
        <w:t xml:space="preserve">  Waiver of the Commission’s rules is therefore appropriate only if</w:t>
      </w:r>
      <w:r w:rsidRPr="0076342E">
        <w:t xml:space="preserve"> special circumstances warrant a deviation from the general rule and such deviation will serve the public interest.</w:t>
      </w:r>
      <w:r>
        <w:rPr>
          <w:rStyle w:val="FootnoteReference"/>
          <w:sz w:val="22"/>
          <w:szCs w:val="22"/>
        </w:rPr>
        <w:footnoteReference w:id="53"/>
      </w:r>
      <w:r w:rsidRPr="0076342E">
        <w:t xml:space="preserve">  </w:t>
      </w:r>
      <w:r>
        <w:t>T</w:t>
      </w:r>
      <w:r w:rsidRPr="0076342E">
        <w:t>he Commission may</w:t>
      </w:r>
      <w:r>
        <w:t>,</w:t>
      </w:r>
      <w:r w:rsidRPr="0076342E">
        <w:t xml:space="preserve"> on an individual basis</w:t>
      </w:r>
      <w:r>
        <w:t>,</w:t>
      </w:r>
      <w:r w:rsidRPr="0076342E">
        <w:t xml:space="preserve"> consider evidence of hardship, equity, and more effective implementation of overall policy.</w:t>
      </w:r>
      <w:r>
        <w:rPr>
          <w:rStyle w:val="FootnoteReference"/>
          <w:sz w:val="22"/>
          <w:szCs w:val="22"/>
        </w:rPr>
        <w:footnoteReference w:id="54"/>
      </w:r>
      <w:r w:rsidRPr="0076342E">
        <w:t xml:space="preserve"> </w:t>
      </w:r>
      <w:r>
        <w:t xml:space="preserve"> </w:t>
      </w:r>
    </w:p>
    <w:p w:rsidR="005D405F" w:rsidP="0032602A" w14:paraId="16B011ED" w14:textId="7DD7A9D7">
      <w:pPr>
        <w:pStyle w:val="Heading2"/>
      </w:pPr>
      <w:r>
        <w:t xml:space="preserve">Waiver of the </w:t>
      </w:r>
      <w:r w:rsidR="00AC7729">
        <w:t xml:space="preserve">Part 61 </w:t>
      </w:r>
      <w:r>
        <w:t xml:space="preserve">All-or-Nothing Rule </w:t>
      </w:r>
    </w:p>
    <w:p w:rsidR="00CA5878" w:rsidRPr="004D0732" w:rsidP="00CA5878" w14:paraId="6379336D" w14:textId="31F438F2">
      <w:pPr>
        <w:pStyle w:val="ParaNum"/>
        <w:widowControl/>
      </w:pPr>
      <w:r>
        <w:t xml:space="preserve">We </w:t>
      </w:r>
      <w:r w:rsidR="002D13F2">
        <w:t xml:space="preserve">first </w:t>
      </w:r>
      <w:r>
        <w:t>find that waiver of section 61.41(c)(2) of the Commission</w:t>
      </w:r>
      <w:r w:rsidR="00277311">
        <w:t>’s</w:t>
      </w:r>
      <w:r>
        <w:t xml:space="preserve"> rules </w:t>
      </w:r>
      <w:r w:rsidR="005006A1">
        <w:t xml:space="preserve">is </w:t>
      </w:r>
      <w:r>
        <w:t xml:space="preserve">necessary for </w:t>
      </w:r>
      <w:r w:rsidR="00C773CB">
        <w:t>Petitioners</w:t>
      </w:r>
      <w:r>
        <w:t xml:space="preserve">, </w:t>
      </w:r>
      <w:r w:rsidR="00C773CB">
        <w:t>both</w:t>
      </w:r>
      <w:r w:rsidR="00A147D5">
        <w:t xml:space="preserve"> </w:t>
      </w:r>
      <w:r>
        <w:t xml:space="preserve">price cap </w:t>
      </w:r>
      <w:r w:rsidR="00A147D5">
        <w:t>carrier</w:t>
      </w:r>
      <w:r w:rsidR="00C773CB">
        <w:t>s</w:t>
      </w:r>
      <w:r>
        <w:t>, to continue operat</w:t>
      </w:r>
      <w:r w:rsidR="005006A1">
        <w:t>ing</w:t>
      </w:r>
      <w:r>
        <w:t xml:space="preserve"> the </w:t>
      </w:r>
      <w:r w:rsidR="00C773CB">
        <w:t>S</w:t>
      </w:r>
      <w:r w:rsidR="00A147D5">
        <w:t xml:space="preserve">tudy </w:t>
      </w:r>
      <w:r w:rsidR="00C773CB">
        <w:t>A</w:t>
      </w:r>
      <w:r w:rsidR="00A147D5">
        <w:t>rea</w:t>
      </w:r>
      <w:r w:rsidR="00C773CB">
        <w:t>s</w:t>
      </w:r>
      <w:r w:rsidR="00A147D5">
        <w:t xml:space="preserve"> </w:t>
      </w:r>
      <w:r>
        <w:t>subject to rate-of-return regulation.</w:t>
      </w:r>
      <w:r>
        <w:rPr>
          <w:rStyle w:val="FootnoteReference"/>
        </w:rPr>
        <w:footnoteReference w:id="55"/>
      </w:r>
      <w:r>
        <w:t xml:space="preserve">  </w:t>
      </w:r>
      <w:r w:rsidRPr="008F0580">
        <w:t xml:space="preserve">Prior to reorganization, </w:t>
      </w:r>
      <w:r w:rsidRPr="004E2B56">
        <w:t>Marianna</w:t>
      </w:r>
      <w:r>
        <w:t xml:space="preserve"> and Scen</w:t>
      </w:r>
      <w:r w:rsidR="008069FC">
        <w:t>e</w:t>
      </w:r>
      <w:r>
        <w:t>ry Hill Telephone Company</w:t>
      </w:r>
      <w:r w:rsidR="00591D32">
        <w:t>, a cost-based</w:t>
      </w:r>
      <w:r w:rsidR="0099334A">
        <w:t>,</w:t>
      </w:r>
      <w:r w:rsidR="00591D32">
        <w:t xml:space="preserve"> rate-of-return carrier,</w:t>
      </w:r>
      <w:r w:rsidR="000721EA">
        <w:t xml:space="preserve"> </w:t>
      </w:r>
      <w:r w:rsidRPr="004E2B56">
        <w:t>w</w:t>
      </w:r>
      <w:r w:rsidR="005006A1">
        <w:t>as</w:t>
      </w:r>
      <w:r w:rsidRPr="004E2B56">
        <w:t xml:space="preserve"> operating subject to rate-of-return regulation despite being affiliated with price cap carriers pursuant to the all-or-nothing waiver granted in the </w:t>
      </w:r>
      <w:r w:rsidRPr="008F0580">
        <w:rPr>
          <w:i/>
          <w:iCs/>
        </w:rPr>
        <w:t>Consolidated-FairPoint Transfer Order</w:t>
      </w:r>
      <w:r w:rsidRPr="004E2B56">
        <w:t>.</w:t>
      </w:r>
      <w:r>
        <w:rPr>
          <w:rStyle w:val="FootnoteReference"/>
        </w:rPr>
        <w:footnoteReference w:id="56"/>
      </w:r>
      <w:r w:rsidRPr="004E2B56">
        <w:t xml:space="preserve">  </w:t>
      </w:r>
      <w:r w:rsidR="00C773CB">
        <w:t xml:space="preserve">Since </w:t>
      </w:r>
      <w:r w:rsidRPr="004E2B56" w:rsidR="00C773CB">
        <w:t>Bentleyville</w:t>
      </w:r>
      <w:r w:rsidR="00C773CB">
        <w:t xml:space="preserve"> Communications Corporation</w:t>
      </w:r>
      <w:r w:rsidRPr="004E2B56" w:rsidR="00C773CB">
        <w:t xml:space="preserve"> and C</w:t>
      </w:r>
      <w:r w:rsidR="00C773CB">
        <w:t xml:space="preserve">ommunity Service Telephone Company </w:t>
      </w:r>
      <w:r w:rsidR="00062CD7">
        <w:t>were</w:t>
      </w:r>
      <w:r w:rsidR="00C773CB">
        <w:t xml:space="preserve"> average schedule rate-of-return carriers, they </w:t>
      </w:r>
      <w:r w:rsidR="00062CD7">
        <w:t>wer</w:t>
      </w:r>
      <w:r w:rsidR="00C773CB">
        <w:t>e exempt from the all-or-nothing rule</w:t>
      </w:r>
      <w:r w:rsidR="00062CD7">
        <w:t xml:space="preserve">, and the waiver granted in the </w:t>
      </w:r>
      <w:r w:rsidRPr="009A13FD" w:rsidR="00062CD7">
        <w:rPr>
          <w:i/>
          <w:iCs/>
        </w:rPr>
        <w:t>Consolidated-FairPoint Transfer Order</w:t>
      </w:r>
      <w:r w:rsidR="00062CD7">
        <w:t xml:space="preserve"> did not apply to them</w:t>
      </w:r>
      <w:r w:rsidR="00C773CB">
        <w:t>.</w:t>
      </w:r>
      <w:r>
        <w:rPr>
          <w:rStyle w:val="FootnoteReference"/>
        </w:rPr>
        <w:footnoteReference w:id="57"/>
      </w:r>
      <w:r w:rsidR="00C773CB">
        <w:t xml:space="preserve">  </w:t>
      </w:r>
      <w:r>
        <w:rPr>
          <w:szCs w:val="22"/>
        </w:rPr>
        <w:t>Consolidated-Pennsylvania and Consolidated-Maine</w:t>
      </w:r>
      <w:r w:rsidRPr="00A94D51">
        <w:rPr>
          <w:szCs w:val="22"/>
        </w:rPr>
        <w:t xml:space="preserve"> tariff rates, terms, and conditions of service</w:t>
      </w:r>
      <w:r>
        <w:rPr>
          <w:szCs w:val="22"/>
        </w:rPr>
        <w:t xml:space="preserve"> </w:t>
      </w:r>
      <w:r w:rsidR="00927639">
        <w:rPr>
          <w:szCs w:val="22"/>
        </w:rPr>
        <w:t xml:space="preserve">applicable to end user access, certain special access services, and other miscellaneous services </w:t>
      </w:r>
      <w:r>
        <w:rPr>
          <w:szCs w:val="22"/>
        </w:rPr>
        <w:t>pursuant</w:t>
      </w:r>
      <w:r w:rsidRPr="00A94D51">
        <w:rPr>
          <w:szCs w:val="22"/>
        </w:rPr>
        <w:t xml:space="preserve"> to Consolidated </w:t>
      </w:r>
      <w:r>
        <w:rPr>
          <w:szCs w:val="22"/>
        </w:rPr>
        <w:t>Communications</w:t>
      </w:r>
      <w:r w:rsidRPr="00A94D51">
        <w:rPr>
          <w:szCs w:val="22"/>
        </w:rPr>
        <w:t xml:space="preserve"> Companies</w:t>
      </w:r>
      <w:r>
        <w:rPr>
          <w:szCs w:val="22"/>
        </w:rPr>
        <w:t>’</w:t>
      </w:r>
      <w:r w:rsidRPr="00A94D51">
        <w:rPr>
          <w:szCs w:val="22"/>
        </w:rPr>
        <w:t xml:space="preserve"> F.C.C. Tariff No. 9.</w:t>
      </w:r>
      <w:r>
        <w:rPr>
          <w:rStyle w:val="FootnoteReference"/>
          <w:szCs w:val="22"/>
        </w:rPr>
        <w:footnoteReference w:id="58"/>
      </w:r>
      <w:r w:rsidRPr="00A94D51">
        <w:rPr>
          <w:szCs w:val="22"/>
        </w:rPr>
        <w:t xml:space="preserve"> </w:t>
      </w:r>
      <w:r>
        <w:rPr>
          <w:szCs w:val="22"/>
        </w:rPr>
        <w:t xml:space="preserve"> </w:t>
      </w:r>
      <w:r w:rsidRPr="00A94D51">
        <w:rPr>
          <w:szCs w:val="22"/>
        </w:rPr>
        <w:t xml:space="preserve">Consolidated </w:t>
      </w:r>
      <w:r>
        <w:rPr>
          <w:szCs w:val="22"/>
        </w:rPr>
        <w:t xml:space="preserve">Communications </w:t>
      </w:r>
      <w:r w:rsidRPr="00A94D51">
        <w:rPr>
          <w:szCs w:val="22"/>
        </w:rPr>
        <w:t xml:space="preserve">Companies’ rate-of-return </w:t>
      </w:r>
      <w:r>
        <w:rPr>
          <w:szCs w:val="22"/>
        </w:rPr>
        <w:t>carriers</w:t>
      </w:r>
      <w:r w:rsidRPr="00A94D51">
        <w:rPr>
          <w:szCs w:val="22"/>
        </w:rPr>
        <w:t xml:space="preserve"> regulated under F.C.C. Tar</w:t>
      </w:r>
      <w:r w:rsidR="00011C88">
        <w:rPr>
          <w:szCs w:val="22"/>
        </w:rPr>
        <w:t>i</w:t>
      </w:r>
      <w:r w:rsidRPr="00A94D51">
        <w:rPr>
          <w:szCs w:val="22"/>
        </w:rPr>
        <w:t>ff No. 9 participate in the National Exchange Carriers Association (NECA) tariff for switched access services.</w:t>
      </w:r>
      <w:r>
        <w:rPr>
          <w:rStyle w:val="FootnoteReference"/>
          <w:szCs w:val="22"/>
        </w:rPr>
        <w:footnoteReference w:id="59"/>
      </w:r>
      <w:r>
        <w:rPr>
          <w:szCs w:val="22"/>
        </w:rPr>
        <w:t xml:space="preserve">  Accordingly, Petitioners tariff rates for the Study Areas subject to rate-of-return regulation pursuant to the NECA </w:t>
      </w:r>
      <w:r w:rsidR="00927639">
        <w:rPr>
          <w:szCs w:val="22"/>
        </w:rPr>
        <w:t>F.C.C. T</w:t>
      </w:r>
      <w:r>
        <w:rPr>
          <w:szCs w:val="22"/>
        </w:rPr>
        <w:t>ariff</w:t>
      </w:r>
      <w:r w:rsidR="00927639">
        <w:rPr>
          <w:szCs w:val="22"/>
        </w:rPr>
        <w:t xml:space="preserve"> No. 5</w:t>
      </w:r>
      <w:r>
        <w:rPr>
          <w:szCs w:val="22"/>
        </w:rPr>
        <w:t xml:space="preserve">. </w:t>
      </w:r>
    </w:p>
    <w:p w:rsidR="009F58E1" w:rsidP="009A13FD" w14:paraId="6A0CB1A3" w14:textId="02412AFB">
      <w:pPr>
        <w:pStyle w:val="ParaNum"/>
        <w:widowControl/>
      </w:pPr>
      <w:r>
        <w:t>A</w:t>
      </w:r>
      <w:r w:rsidR="000721EA">
        <w:t>s a result of CCI’s internal reorganization,</w:t>
      </w:r>
      <w:r w:rsidR="00BB2BE4">
        <w:t xml:space="preserve"> </w:t>
      </w:r>
      <w:r w:rsidR="00451E96">
        <w:t>all three rate-of-return carriers—</w:t>
      </w:r>
      <w:bookmarkStart w:id="12" w:name="_Hlk90380845"/>
      <w:r w:rsidRPr="004E2B56" w:rsidR="00C773CB">
        <w:t>Bentleyville</w:t>
      </w:r>
      <w:r w:rsidR="00C773CB">
        <w:t xml:space="preserve"> Communications Corporation,</w:t>
      </w:r>
      <w:r w:rsidRPr="004E2B56" w:rsidR="00C773CB">
        <w:t xml:space="preserve"> C</w:t>
      </w:r>
      <w:r w:rsidR="00C773CB">
        <w:t>ommunity Service Telephone Company</w:t>
      </w:r>
      <w:r w:rsidR="00DF75AB">
        <w:t>,</w:t>
      </w:r>
      <w:r w:rsidRPr="004E2B56" w:rsidR="00C773CB">
        <w:t xml:space="preserve"> </w:t>
      </w:r>
      <w:r w:rsidRPr="004E2B56" w:rsidR="00BB2BE4">
        <w:t>Marianna</w:t>
      </w:r>
      <w:r w:rsidR="00BB2BE4">
        <w:t xml:space="preserve"> and Scen</w:t>
      </w:r>
      <w:r w:rsidR="008069FC">
        <w:t>e</w:t>
      </w:r>
      <w:r w:rsidR="00BB2BE4">
        <w:t xml:space="preserve">ry Hill </w:t>
      </w:r>
      <w:r w:rsidR="00BB2BE4">
        <w:t>Telephone Company</w:t>
      </w:r>
      <w:bookmarkEnd w:id="12"/>
      <w:r w:rsidR="00451E96">
        <w:t>—</w:t>
      </w:r>
      <w:r w:rsidR="00BB2BE4">
        <w:t>ceased to exist as separate corporate entit</w:t>
      </w:r>
      <w:r w:rsidR="00C773CB">
        <w:t>ies</w:t>
      </w:r>
      <w:r w:rsidR="00062CD7">
        <w:t>.</w:t>
      </w:r>
      <w:r>
        <w:rPr>
          <w:rStyle w:val="FootnoteReference"/>
        </w:rPr>
        <w:footnoteReference w:id="60"/>
      </w:r>
      <w:r w:rsidR="00BB2BE4">
        <w:t xml:space="preserve">  </w:t>
      </w:r>
      <w:r w:rsidR="00451E96">
        <w:t xml:space="preserve">The Study Areas formerly served by these three </w:t>
      </w:r>
      <w:r w:rsidR="006A4F04">
        <w:t xml:space="preserve">rate-of-return </w:t>
      </w:r>
      <w:r w:rsidR="00451E96">
        <w:t xml:space="preserve">carriers are now operated by price cap carriers.  Because the </w:t>
      </w:r>
      <w:r>
        <w:t xml:space="preserve">three </w:t>
      </w:r>
      <w:r w:rsidR="00497E62">
        <w:t xml:space="preserve">rate-of-return affiliates no longer exist and the </w:t>
      </w:r>
      <w:r w:rsidR="00451E96">
        <w:t xml:space="preserve">entities that </w:t>
      </w:r>
      <w:r w:rsidR="006A4F04">
        <w:t>survived</w:t>
      </w:r>
      <w:r w:rsidR="00451E96">
        <w:t xml:space="preserve"> reorganization </w:t>
      </w:r>
      <w:r>
        <w:t>are</w:t>
      </w:r>
      <w:r w:rsidR="006B33B0">
        <w:t xml:space="preserve"> </w:t>
      </w:r>
      <w:r w:rsidR="00451E96">
        <w:t xml:space="preserve">price cap carriers, Petitioners </w:t>
      </w:r>
      <w:r w:rsidR="0099334A">
        <w:t xml:space="preserve">required a waiver of the all-or-nothing rule in order to continue operating the Study Areas subject to rate-of-return regulation, rather than under price cap regulation, as </w:t>
      </w:r>
      <w:r w:rsidR="00451E96">
        <w:t xml:space="preserve">required </w:t>
      </w:r>
      <w:r w:rsidR="0099334A">
        <w:t xml:space="preserve">by </w:t>
      </w:r>
      <w:r w:rsidR="00B829B7">
        <w:t>p</w:t>
      </w:r>
      <w:r w:rsidR="0016355E">
        <w:t xml:space="preserve">art 61 </w:t>
      </w:r>
      <w:r w:rsidR="0099334A">
        <w:t>of the Commission’s rules</w:t>
      </w:r>
      <w:r w:rsidR="00062CD7">
        <w:t>.</w:t>
      </w:r>
      <w:r>
        <w:rPr>
          <w:rStyle w:val="FootnoteReference"/>
        </w:rPr>
        <w:footnoteReference w:id="61"/>
      </w:r>
      <w:r w:rsidR="00062CD7">
        <w:t xml:space="preserve">  </w:t>
      </w:r>
    </w:p>
    <w:p w:rsidR="00205C09" w:rsidRPr="00205C09" w:rsidP="00F05686" w14:paraId="74FB5BDE" w14:textId="4B12E77D">
      <w:pPr>
        <w:pStyle w:val="ParaNum"/>
        <w:widowControl/>
      </w:pPr>
      <w:r>
        <w:t xml:space="preserve">Based on the facts presented, we find good cause to grant Petitioners a waiver of the all-or-nothing rule for the </w:t>
      </w:r>
      <w:r w:rsidR="008A7BCB">
        <w:t>S</w:t>
      </w:r>
      <w:r w:rsidR="008D32D9">
        <w:t xml:space="preserve">tudy </w:t>
      </w:r>
      <w:r w:rsidR="008A7BCB">
        <w:t>Areas</w:t>
      </w:r>
      <w:r>
        <w:t>.</w:t>
      </w:r>
      <w:r>
        <w:rPr>
          <w:rStyle w:val="FootnoteReference"/>
        </w:rPr>
        <w:footnoteReference w:id="62"/>
      </w:r>
      <w:r>
        <w:t xml:space="preserve">  </w:t>
      </w:r>
      <w:r w:rsidR="00370D5D">
        <w:t>A</w:t>
      </w:r>
      <w:r w:rsidR="00B1378A">
        <w:t>bsent a waiver,</w:t>
      </w:r>
      <w:r w:rsidR="00370D5D">
        <w:t xml:space="preserve"> conve</w:t>
      </w:r>
      <w:r w:rsidR="00FC5BD7">
        <w:t xml:space="preserve">rting the </w:t>
      </w:r>
      <w:r w:rsidR="001B20BF">
        <w:t>Study Areas</w:t>
      </w:r>
      <w:r w:rsidR="00370D5D">
        <w:t xml:space="preserve"> to price cap</w:t>
      </w:r>
      <w:r w:rsidR="00433CB6">
        <w:t xml:space="preserve"> regulation</w:t>
      </w:r>
      <w:r w:rsidR="00370D5D">
        <w:t xml:space="preserve"> would result in</w:t>
      </w:r>
      <w:r w:rsidR="007B7C7D">
        <w:t xml:space="preserve"> immediate</w:t>
      </w:r>
      <w:r w:rsidR="00370D5D">
        <w:t xml:space="preserve"> termination of CAF ICC support</w:t>
      </w:r>
      <w:r w:rsidR="00FC5BD7">
        <w:t xml:space="preserve"> because </w:t>
      </w:r>
      <w:r w:rsidR="003A2CB4">
        <w:t xml:space="preserve">price cap carriers are no longer eligible for </w:t>
      </w:r>
      <w:r w:rsidR="00BA1338">
        <w:t>such</w:t>
      </w:r>
      <w:r w:rsidR="00FC5BD7">
        <w:t xml:space="preserve"> support</w:t>
      </w:r>
      <w:r w:rsidR="004A4C5A">
        <w:t>.</w:t>
      </w:r>
      <w:r>
        <w:rPr>
          <w:rStyle w:val="FootnoteReference"/>
        </w:rPr>
        <w:footnoteReference w:id="63"/>
      </w:r>
      <w:r w:rsidR="004A4C5A">
        <w:t xml:space="preserve">  We find that such a result</w:t>
      </w:r>
      <w:r w:rsidR="002008D5">
        <w:t xml:space="preserve"> would not be in the public interest</w:t>
      </w:r>
      <w:r w:rsidR="00370D5D">
        <w:t xml:space="preserve">. </w:t>
      </w:r>
      <w:r w:rsidR="004A4C5A">
        <w:t xml:space="preserve"> </w:t>
      </w:r>
      <w:r w:rsidR="00370D5D">
        <w:t>Grant</w:t>
      </w:r>
      <w:r w:rsidR="001C4E25">
        <w:t>ing</w:t>
      </w:r>
      <w:r w:rsidR="00370D5D">
        <w:t xml:space="preserve"> the requested waiver avoids an expedited CAF ICC support phase-out that would impose unnecessary costs and disruption on Petitioners without any attendant public interest benefits.</w:t>
      </w:r>
      <w:r>
        <w:rPr>
          <w:rStyle w:val="FootnoteReference"/>
        </w:rPr>
        <w:footnoteReference w:id="64"/>
      </w:r>
      <w:r w:rsidR="00006EFF">
        <w:t xml:space="preserve"> </w:t>
      </w:r>
      <w:r w:rsidR="00370D5D">
        <w:t xml:space="preserve"> </w:t>
      </w:r>
      <w:r w:rsidR="00DF5CC7">
        <w:t xml:space="preserve">This is consistent with the Commission’s </w:t>
      </w:r>
      <w:r w:rsidRPr="00F05686" w:rsidR="001C4E25">
        <w:rPr>
          <w:i/>
          <w:iCs/>
        </w:rPr>
        <w:t>Rate-of-Return BDS Order</w:t>
      </w:r>
      <w:r w:rsidR="001C4E25">
        <w:t xml:space="preserve">, in which the Commission </w:t>
      </w:r>
      <w:r w:rsidRPr="00306742" w:rsidR="00DF5CC7">
        <w:t>allow</w:t>
      </w:r>
      <w:r w:rsidR="001C4E25">
        <w:t>ed</w:t>
      </w:r>
      <w:r w:rsidRPr="00306742" w:rsidR="00DF5CC7">
        <w:t xml:space="preserve"> rate-of-return carriers </w:t>
      </w:r>
      <w:r w:rsidRPr="00306742" w:rsidR="00306742">
        <w:t xml:space="preserve">electing incentive regulation for </w:t>
      </w:r>
      <w:r w:rsidR="003440E8">
        <w:t>their business data service</w:t>
      </w:r>
      <w:r w:rsidR="002D7474">
        <w:t>s</w:t>
      </w:r>
      <w:r w:rsidR="003440E8">
        <w:t xml:space="preserve"> offerings</w:t>
      </w:r>
      <w:r w:rsidRPr="00306742" w:rsidR="00306742">
        <w:t xml:space="preserve"> </w:t>
      </w:r>
      <w:r w:rsidRPr="00306742" w:rsidR="00DF5CC7">
        <w:t xml:space="preserve">to continue on the transition path for rate-of-return carriers rather than having to convert to </w:t>
      </w:r>
      <w:r w:rsidRPr="00306742" w:rsidR="00306742">
        <w:t xml:space="preserve">the </w:t>
      </w:r>
      <w:r w:rsidRPr="00306742" w:rsidR="00DF5CC7">
        <w:t xml:space="preserve">price cap transition </w:t>
      </w:r>
      <w:r w:rsidRPr="00306742" w:rsidR="00306742">
        <w:t>schedule</w:t>
      </w:r>
      <w:r w:rsidRPr="00B350C0" w:rsidR="00306742">
        <w:t>.</w:t>
      </w:r>
      <w:r>
        <w:rPr>
          <w:rStyle w:val="FootnoteReference"/>
        </w:rPr>
        <w:footnoteReference w:id="65"/>
      </w:r>
      <w:r w:rsidRPr="00B350C0" w:rsidR="00306742">
        <w:t xml:space="preserve"> </w:t>
      </w:r>
      <w:r w:rsidRPr="00F05686" w:rsidR="00306742">
        <w:rPr>
          <w:i/>
          <w:iCs/>
        </w:rPr>
        <w:t xml:space="preserve"> </w:t>
      </w:r>
    </w:p>
    <w:p w:rsidR="00370D5D" w:rsidP="003E0183" w14:paraId="6AD635BE" w14:textId="389CFDC8">
      <w:pPr>
        <w:pStyle w:val="ParaNum"/>
        <w:widowControl/>
      </w:pPr>
      <w:r>
        <w:t>G</w:t>
      </w:r>
      <w:r w:rsidR="00B350C0">
        <w:t>rant</w:t>
      </w:r>
      <w:r w:rsidR="00FC3480">
        <w:t xml:space="preserve">ing </w:t>
      </w:r>
      <w:r w:rsidR="004A4C5A">
        <w:t xml:space="preserve">a </w:t>
      </w:r>
      <w:r w:rsidRPr="00B350C0" w:rsidR="00B350C0">
        <w:t>waiver</w:t>
      </w:r>
      <w:r w:rsidR="00B350C0">
        <w:t xml:space="preserve"> </w:t>
      </w:r>
      <w:r w:rsidR="00205C09">
        <w:t xml:space="preserve">is also in the public interest because it will permit Petitioners to devote scarce resources to </w:t>
      </w:r>
      <w:r w:rsidR="00CE1F4F">
        <w:t xml:space="preserve">improving </w:t>
      </w:r>
      <w:r w:rsidR="00205C09">
        <w:t xml:space="preserve">rural broadband infrastructure rather than </w:t>
      </w:r>
      <w:r w:rsidR="00BC332E">
        <w:t xml:space="preserve">to </w:t>
      </w:r>
      <w:r w:rsidR="00205C09">
        <w:t>conver</w:t>
      </w:r>
      <w:r w:rsidR="00CE1F4F">
        <w:t>ting</w:t>
      </w:r>
      <w:r w:rsidR="00205C09">
        <w:t xml:space="preserve"> the </w:t>
      </w:r>
      <w:r w:rsidR="00CE1F4F">
        <w:t>S</w:t>
      </w:r>
      <w:r w:rsidR="00205C09">
        <w:t xml:space="preserve">tudy </w:t>
      </w:r>
      <w:r w:rsidR="00CE1F4F">
        <w:t>A</w:t>
      </w:r>
      <w:r w:rsidR="00205C09">
        <w:t>reas</w:t>
      </w:r>
      <w:r w:rsidR="00CE1F4F">
        <w:t xml:space="preserve"> to price cap regulation</w:t>
      </w:r>
      <w:r w:rsidR="00B350C0">
        <w:t>.</w:t>
      </w:r>
      <w:r>
        <w:rPr>
          <w:rStyle w:val="FootnoteReference"/>
        </w:rPr>
        <w:footnoteReference w:id="66"/>
      </w:r>
      <w:r w:rsidR="00BC332E">
        <w:t xml:space="preserve">  </w:t>
      </w:r>
      <w:r w:rsidR="00CE1F4F">
        <w:t xml:space="preserve">In addition to the costs </w:t>
      </w:r>
      <w:r w:rsidR="007031D7">
        <w:t>P</w:t>
      </w:r>
      <w:r w:rsidR="00CE1F4F">
        <w:t>etitioners would have to incur to convert the Study Areas to price caps</w:t>
      </w:r>
      <w:r w:rsidR="004A4C5A">
        <w:t>—</w:t>
      </w:r>
      <w:r w:rsidR="00886827">
        <w:t>including the filing of a new price cap tariff</w:t>
      </w:r>
      <w:r w:rsidR="00122B19">
        <w:t>s</w:t>
      </w:r>
      <w:r w:rsidR="004A4C5A">
        <w:t>—</w:t>
      </w:r>
      <w:r w:rsidR="00CE1F4F">
        <w:t>the conversion would</w:t>
      </w:r>
      <w:r w:rsidR="00BC332E">
        <w:t xml:space="preserve"> </w:t>
      </w:r>
      <w:r w:rsidR="00CE1F4F">
        <w:t xml:space="preserve">also </w:t>
      </w:r>
      <w:r w:rsidR="00BC332E">
        <w:t xml:space="preserve">result in a </w:t>
      </w:r>
      <w:r w:rsidR="00BC332E">
        <w:t xml:space="preserve">significant loss of revenues due to </w:t>
      </w:r>
      <w:r w:rsidR="004A4C5A">
        <w:t xml:space="preserve">reductions in </w:t>
      </w:r>
      <w:r w:rsidR="00BC332E">
        <w:t>access charges and the elimination of CAF ICC support</w:t>
      </w:r>
      <w:r w:rsidR="003C70F5">
        <w:t>.</w:t>
      </w:r>
      <w:r>
        <w:rPr>
          <w:rStyle w:val="FootnoteReference"/>
        </w:rPr>
        <w:footnoteReference w:id="67"/>
      </w:r>
      <w:r w:rsidR="00BC332E">
        <w:t xml:space="preserve"> </w:t>
      </w:r>
      <w:r w:rsidR="003C70F5">
        <w:t xml:space="preserve"> These losses would substantially reduce the </w:t>
      </w:r>
      <w:r w:rsidR="00BC332E">
        <w:t xml:space="preserve">resources </w:t>
      </w:r>
      <w:r w:rsidR="003C70F5">
        <w:t xml:space="preserve">Petitioners </w:t>
      </w:r>
      <w:r w:rsidR="00BC332E">
        <w:t xml:space="preserve">would otherwise </w:t>
      </w:r>
      <w:r w:rsidR="003C70F5">
        <w:t xml:space="preserve">have </w:t>
      </w:r>
      <w:r w:rsidR="00BC332E">
        <w:t xml:space="preserve">available </w:t>
      </w:r>
      <w:r w:rsidR="003C70F5">
        <w:t xml:space="preserve">to </w:t>
      </w:r>
      <w:r w:rsidR="00BC332E">
        <w:t>invest in broadband infrastructure</w:t>
      </w:r>
      <w:r w:rsidR="001D760D">
        <w:t>—</w:t>
      </w:r>
      <w:r w:rsidR="007D3FB1">
        <w:t>a result that is contrary to the public interest</w:t>
      </w:r>
      <w:r w:rsidR="00BC332E">
        <w:t>.</w:t>
      </w:r>
      <w:r>
        <w:rPr>
          <w:rStyle w:val="FootnoteReference"/>
        </w:rPr>
        <w:footnoteReference w:id="68"/>
      </w:r>
      <w:r w:rsidR="007E5EDF">
        <w:t xml:space="preserve">  </w:t>
      </w:r>
      <w:r w:rsidR="00BD5C21">
        <w:rPr>
          <w:szCs w:val="22"/>
        </w:rPr>
        <w:t>F</w:t>
      </w:r>
      <w:r w:rsidR="008A3226">
        <w:rPr>
          <w:szCs w:val="22"/>
        </w:rPr>
        <w:t xml:space="preserve">or all the reasons outlined above, </w:t>
      </w:r>
      <w:r w:rsidRPr="000A0293" w:rsidR="00A8515E">
        <w:rPr>
          <w:szCs w:val="22"/>
        </w:rPr>
        <w:t xml:space="preserve">we </w:t>
      </w:r>
      <w:r w:rsidR="00A8515E">
        <w:rPr>
          <w:szCs w:val="22"/>
        </w:rPr>
        <w:t>find</w:t>
      </w:r>
      <w:r w:rsidRPr="000A0293" w:rsidR="00A8515E">
        <w:rPr>
          <w:szCs w:val="22"/>
        </w:rPr>
        <w:t xml:space="preserve"> that granting Petitioners’ waiver request </w:t>
      </w:r>
      <w:r w:rsidR="00A8515E">
        <w:rPr>
          <w:szCs w:val="22"/>
        </w:rPr>
        <w:t xml:space="preserve">at this time </w:t>
      </w:r>
      <w:r w:rsidR="003B792C">
        <w:rPr>
          <w:szCs w:val="22"/>
        </w:rPr>
        <w:t>is in the public interest</w:t>
      </w:r>
      <w:r w:rsidR="00BD5C21">
        <w:rPr>
          <w:szCs w:val="22"/>
        </w:rPr>
        <w:t xml:space="preserve"> notwithstanding </w:t>
      </w:r>
      <w:r w:rsidR="00F265AF">
        <w:rPr>
          <w:szCs w:val="22"/>
        </w:rPr>
        <w:t xml:space="preserve">the passage of time since the </w:t>
      </w:r>
      <w:r w:rsidR="00AA171B">
        <w:rPr>
          <w:szCs w:val="22"/>
        </w:rPr>
        <w:t xml:space="preserve">relevant </w:t>
      </w:r>
      <w:r w:rsidR="00F265AF">
        <w:rPr>
          <w:szCs w:val="22"/>
        </w:rPr>
        <w:t xml:space="preserve">mergers were </w:t>
      </w:r>
      <w:r w:rsidR="00AA171B">
        <w:rPr>
          <w:szCs w:val="22"/>
        </w:rPr>
        <w:t>consummated</w:t>
      </w:r>
      <w:r w:rsidR="00A8515E">
        <w:rPr>
          <w:szCs w:val="22"/>
        </w:rPr>
        <w:t>.</w:t>
      </w:r>
      <w:r>
        <w:rPr>
          <w:rStyle w:val="FootnoteReference"/>
          <w:szCs w:val="22"/>
        </w:rPr>
        <w:footnoteReference w:id="69"/>
      </w:r>
      <w:r w:rsidR="00A8515E">
        <w:rPr>
          <w:szCs w:val="22"/>
        </w:rPr>
        <w:t xml:space="preserve">  </w:t>
      </w:r>
      <w:r w:rsidR="00BC332E">
        <w:t xml:space="preserve">          </w:t>
      </w:r>
      <w:r w:rsidR="00B350C0">
        <w:rPr>
          <w:i/>
          <w:iCs/>
        </w:rPr>
        <w:t xml:space="preserve"> </w:t>
      </w:r>
    </w:p>
    <w:p w:rsidR="00A36759" w:rsidP="009440B8" w14:paraId="16AB32FF" w14:textId="507EB4EF">
      <w:pPr>
        <w:pStyle w:val="ParaNum"/>
        <w:widowControl/>
      </w:pPr>
      <w:r>
        <w:t>We also find no risk that Petitioners could engage in the type of gaming or cost-shifting that the all-or-nothing rule was designed to prevent</w:t>
      </w:r>
      <w:r w:rsidR="00D144E6">
        <w:t>,</w:t>
      </w:r>
      <w:r w:rsidR="009440B8">
        <w:t xml:space="preserve"> because</w:t>
      </w:r>
      <w:r>
        <w:t>:</w:t>
      </w:r>
      <w:r w:rsidR="00E95DB7">
        <w:t xml:space="preserve">  </w:t>
      </w:r>
    </w:p>
    <w:p w:rsidR="00A36759" w:rsidP="00A36759" w14:paraId="4D23D521" w14:textId="5BEF9A3D">
      <w:pPr>
        <w:pStyle w:val="ParaNum"/>
        <w:widowControl/>
        <w:numPr>
          <w:ilvl w:val="0"/>
          <w:numId w:val="18"/>
        </w:numPr>
      </w:pPr>
      <w:r>
        <w:t>T</w:t>
      </w:r>
      <w:r w:rsidR="003E0183">
        <w:t>he</w:t>
      </w:r>
      <w:r w:rsidR="00F5741C">
        <w:t xml:space="preserve"> </w:t>
      </w:r>
      <w:r w:rsidR="0022017B">
        <w:t xml:space="preserve">interstate </w:t>
      </w:r>
      <w:r w:rsidR="00C83094">
        <w:t>switched access rates</w:t>
      </w:r>
      <w:r w:rsidR="003E0183">
        <w:t xml:space="preserve"> in the</w:t>
      </w:r>
      <w:r w:rsidR="005F78CA">
        <w:t xml:space="preserve"> </w:t>
      </w:r>
      <w:r>
        <w:t>S</w:t>
      </w:r>
      <w:r w:rsidR="003E0183">
        <w:t xml:space="preserve">tudy </w:t>
      </w:r>
      <w:r>
        <w:t>A</w:t>
      </w:r>
      <w:r w:rsidR="003E0183">
        <w:t>reas</w:t>
      </w:r>
      <w:r w:rsidR="00C83094">
        <w:t xml:space="preserve"> </w:t>
      </w:r>
      <w:r w:rsidR="007D37F8">
        <w:t xml:space="preserve">generally </w:t>
      </w:r>
      <w:r w:rsidR="00C83094">
        <w:t xml:space="preserve">were capped as part of the </w:t>
      </w:r>
      <w:r w:rsidRPr="003E0183" w:rsidR="00C83094">
        <w:rPr>
          <w:i/>
          <w:iCs/>
        </w:rPr>
        <w:t xml:space="preserve">USF/ICC Transformation Order </w:t>
      </w:r>
      <w:r w:rsidR="00C83094">
        <w:t>reforms</w:t>
      </w:r>
      <w:r>
        <w:t xml:space="preserve"> and, therefore, </w:t>
      </w:r>
      <w:r w:rsidR="001C61F8">
        <w:t>there is</w:t>
      </w:r>
      <w:r w:rsidR="007D37F8">
        <w:t xml:space="preserve"> little, if any</w:t>
      </w:r>
      <w:r w:rsidR="001C61F8">
        <w:t xml:space="preserve"> concern that this waiver will lead to higher rates being charged in the three </w:t>
      </w:r>
      <w:r w:rsidR="00FD2A17">
        <w:t>S</w:t>
      </w:r>
      <w:r w:rsidR="001C61F8">
        <w:t xml:space="preserve">tudy </w:t>
      </w:r>
      <w:r w:rsidR="00FD2A17">
        <w:t>A</w:t>
      </w:r>
      <w:r w:rsidR="001C61F8">
        <w:t>reas at issue</w:t>
      </w:r>
      <w:r w:rsidR="00C83094">
        <w:t>.</w:t>
      </w:r>
      <w:r>
        <w:rPr>
          <w:rStyle w:val="FootnoteReference"/>
        </w:rPr>
        <w:footnoteReference w:id="70"/>
      </w:r>
      <w:r w:rsidR="00C83094">
        <w:t xml:space="preserve"> </w:t>
      </w:r>
    </w:p>
    <w:p w:rsidR="00A36759" w:rsidP="00A36759" w14:paraId="48BE2B67" w14:textId="11FCF88B">
      <w:pPr>
        <w:pStyle w:val="ParaNum"/>
        <w:widowControl/>
        <w:numPr>
          <w:ilvl w:val="0"/>
          <w:numId w:val="18"/>
        </w:numPr>
      </w:pPr>
      <w:r>
        <w:t xml:space="preserve">Because </w:t>
      </w:r>
      <w:r w:rsidR="00274619">
        <w:t>Petitioners</w:t>
      </w:r>
      <w:r w:rsidR="00D144E6">
        <w:t>’</w:t>
      </w:r>
      <w:r w:rsidR="00274619">
        <w:t xml:space="preserve"> </w:t>
      </w:r>
      <w:r w:rsidR="00887E1E">
        <w:t>U</w:t>
      </w:r>
      <w:r w:rsidR="00274619">
        <w:t xml:space="preserve">niversal </w:t>
      </w:r>
      <w:r w:rsidR="00887E1E">
        <w:t>S</w:t>
      </w:r>
      <w:r w:rsidR="00274619">
        <w:t>ervice</w:t>
      </w:r>
      <w:r w:rsidR="00887E1E">
        <w:t xml:space="preserve"> Fund</w:t>
      </w:r>
      <w:r w:rsidR="00274619">
        <w:t xml:space="preserve"> support is model-based</w:t>
      </w:r>
      <w:r w:rsidR="00820C4C">
        <w:t xml:space="preserve"> </w:t>
      </w:r>
      <w:r>
        <w:t xml:space="preserve">and </w:t>
      </w:r>
      <w:r w:rsidR="00820C4C">
        <w:t xml:space="preserve">no </w:t>
      </w:r>
      <w:r>
        <w:t xml:space="preserve">longer </w:t>
      </w:r>
      <w:r w:rsidR="00820C4C">
        <w:t>based on recorded costs</w:t>
      </w:r>
      <w:r>
        <w:t>,</w:t>
      </w:r>
      <w:r>
        <w:rPr>
          <w:rStyle w:val="FootnoteReference"/>
        </w:rPr>
        <w:footnoteReference w:id="71"/>
      </w:r>
      <w:r w:rsidR="00274619">
        <w:t xml:space="preserve"> </w:t>
      </w:r>
      <w:r w:rsidR="006C1B7B">
        <w:t>Petitioners therefore cannot</w:t>
      </w:r>
      <w:r w:rsidR="005839FD">
        <w:t xml:space="preserve"> influence</w:t>
      </w:r>
      <w:r w:rsidR="006C1B7B">
        <w:t xml:space="preserve"> the amount of Universal Service Fund support they receive</w:t>
      </w:r>
      <w:r w:rsidR="00841887">
        <w:t xml:space="preserve"> </w:t>
      </w:r>
      <w:r w:rsidR="005839FD">
        <w:t>by cost-</w:t>
      </w:r>
      <w:r w:rsidR="00841887">
        <w:t>shifting</w:t>
      </w:r>
      <w:r w:rsidR="006C1B7B">
        <w:t>.</w:t>
      </w:r>
      <w:r w:rsidR="004A4BFE">
        <w:t xml:space="preserve"> </w:t>
      </w:r>
    </w:p>
    <w:p w:rsidR="00A36759" w:rsidP="00A36759" w14:paraId="2EC4FD69" w14:textId="30D7B2EE">
      <w:pPr>
        <w:pStyle w:val="ParaNum"/>
        <w:widowControl/>
        <w:numPr>
          <w:ilvl w:val="0"/>
          <w:numId w:val="18"/>
        </w:numPr>
      </w:pPr>
      <w:r>
        <w:t>CCI</w:t>
      </w:r>
      <w:r w:rsidR="00E95DB7">
        <w:t xml:space="preserve"> </w:t>
      </w:r>
      <w:r w:rsidR="00274619">
        <w:t xml:space="preserve">elected </w:t>
      </w:r>
      <w:r>
        <w:t xml:space="preserve">at the holding company-level </w:t>
      </w:r>
      <w:r w:rsidR="00274619">
        <w:t xml:space="preserve">to </w:t>
      </w:r>
      <w:r w:rsidR="00630D33">
        <w:t xml:space="preserve">convert </w:t>
      </w:r>
      <w:r>
        <w:t xml:space="preserve">its </w:t>
      </w:r>
      <w:r w:rsidR="002C4142">
        <w:t xml:space="preserve">rate-of-return affiliates’ </w:t>
      </w:r>
      <w:r w:rsidR="00195C5B">
        <w:t xml:space="preserve">lower-capacity </w:t>
      </w:r>
      <w:r w:rsidR="002804ED">
        <w:t>business data service</w:t>
      </w:r>
      <w:r w:rsidR="00950282">
        <w:t xml:space="preserve"> offerings</w:t>
      </w:r>
      <w:r w:rsidR="002804ED">
        <w:t xml:space="preserve"> </w:t>
      </w:r>
      <w:r w:rsidR="00E95DB7">
        <w:t xml:space="preserve">to incentive regulation </w:t>
      </w:r>
      <w:r w:rsidR="00274619">
        <w:t xml:space="preserve">pursuant to </w:t>
      </w:r>
      <w:r w:rsidR="00E95DB7">
        <w:t xml:space="preserve">section 61.50 </w:t>
      </w:r>
      <w:r w:rsidR="003F3139">
        <w:t>of our rules</w:t>
      </w:r>
      <w:r w:rsidR="001227A1">
        <w:t>;</w:t>
      </w:r>
      <w:r>
        <w:rPr>
          <w:rStyle w:val="FootnoteReference"/>
        </w:rPr>
        <w:footnoteReference w:id="72"/>
      </w:r>
      <w:r w:rsidR="008C6B4D">
        <w:t xml:space="preserve"> thus </w:t>
      </w:r>
      <w:r w:rsidR="00CB2154">
        <w:t xml:space="preserve">rates for </w:t>
      </w:r>
      <w:r w:rsidR="008C6B4D">
        <w:t xml:space="preserve">these </w:t>
      </w:r>
      <w:r w:rsidR="00CB2154">
        <w:t>service</w:t>
      </w:r>
      <w:r w:rsidR="008C6B4D">
        <w:t>s</w:t>
      </w:r>
      <w:r w:rsidR="00CB2154">
        <w:t xml:space="preserve"> provided in </w:t>
      </w:r>
      <w:r w:rsidR="002C4142">
        <w:t>the</w:t>
      </w:r>
      <w:r>
        <w:t xml:space="preserve"> </w:t>
      </w:r>
      <w:r>
        <w:t>S</w:t>
      </w:r>
      <w:r w:rsidR="00CB2154">
        <w:t xml:space="preserve">tudy </w:t>
      </w:r>
      <w:r>
        <w:t>A</w:t>
      </w:r>
      <w:r w:rsidR="00CB2154">
        <w:t>rea</w:t>
      </w:r>
      <w:r w:rsidR="002C4142">
        <w:t>s</w:t>
      </w:r>
      <w:r w:rsidR="00CB2154">
        <w:t xml:space="preserve"> are </w:t>
      </w:r>
      <w:r w:rsidR="00100429">
        <w:t xml:space="preserve">no longer determined based on </w:t>
      </w:r>
      <w:r w:rsidRPr="00FE342E" w:rsidR="00FE342E">
        <w:t>recorded costs</w:t>
      </w:r>
      <w:r w:rsidR="002804ED">
        <w:t>, eliminating the risk of cost-shifting</w:t>
      </w:r>
      <w:r w:rsidRPr="00FE342E" w:rsidR="00D62233">
        <w:t>.</w:t>
      </w:r>
      <w:r>
        <w:rPr>
          <w:rStyle w:val="FootnoteReference"/>
        </w:rPr>
        <w:footnoteReference w:id="73"/>
      </w:r>
      <w:r w:rsidRPr="00FE342E" w:rsidR="00C90FEE">
        <w:t xml:space="preserve"> </w:t>
      </w:r>
      <w:r w:rsidR="00834483">
        <w:t xml:space="preserve"> </w:t>
      </w:r>
    </w:p>
    <w:p w:rsidR="007E5EDF" w:rsidP="00A873D9" w14:paraId="22206214" w14:textId="11D921D7">
      <w:pPr>
        <w:pStyle w:val="ParaNum"/>
        <w:widowControl/>
        <w:numPr>
          <w:ilvl w:val="0"/>
          <w:numId w:val="18"/>
        </w:numPr>
      </w:pPr>
      <w:r>
        <w:t>Petitioners</w:t>
      </w:r>
      <w:r w:rsidR="00D144E6">
        <w:t>’</w:t>
      </w:r>
      <w:r>
        <w:t xml:space="preserve"> price cap </w:t>
      </w:r>
      <w:r w:rsidR="00652B69">
        <w:t xml:space="preserve">study areas </w:t>
      </w:r>
      <w:r w:rsidR="00CD187B">
        <w:t xml:space="preserve">do not overlap with any of </w:t>
      </w:r>
      <w:r w:rsidR="00652B69">
        <w:t xml:space="preserve">the </w:t>
      </w:r>
      <w:r w:rsidR="00CD187B">
        <w:t>S</w:t>
      </w:r>
      <w:r>
        <w:t xml:space="preserve">tudy </w:t>
      </w:r>
      <w:r w:rsidR="00CD187B">
        <w:t>A</w:t>
      </w:r>
      <w:r>
        <w:t>reas</w:t>
      </w:r>
      <w:r w:rsidR="003F3139">
        <w:t xml:space="preserve">, nor do the </w:t>
      </w:r>
      <w:r w:rsidR="00CD187B">
        <w:t>S</w:t>
      </w:r>
      <w:r w:rsidR="00652B69">
        <w:t xml:space="preserve">tudy </w:t>
      </w:r>
      <w:r w:rsidR="00CD187B">
        <w:t>A</w:t>
      </w:r>
      <w:r w:rsidR="00652B69">
        <w:t>reas</w:t>
      </w:r>
      <w:r w:rsidR="003F3139">
        <w:t xml:space="preserve"> share any telecommunications plant</w:t>
      </w:r>
      <w:r w:rsidR="00CD187B">
        <w:t xml:space="preserve"> </w:t>
      </w:r>
      <w:r w:rsidR="00D66BBE">
        <w:t>with each other</w:t>
      </w:r>
      <w:r>
        <w:t>, further reducing the risks of cost-shifting</w:t>
      </w:r>
      <w:r w:rsidR="003F3139">
        <w:t>.</w:t>
      </w:r>
      <w:r>
        <w:rPr>
          <w:rStyle w:val="FootnoteReference"/>
        </w:rPr>
        <w:footnoteReference w:id="74"/>
      </w:r>
      <w:r w:rsidR="003F3139">
        <w:t xml:space="preserve"> </w:t>
      </w:r>
    </w:p>
    <w:p w:rsidR="0016734A" w:rsidP="009440B8" w14:paraId="3D1CE095" w14:textId="79C0A96F">
      <w:pPr>
        <w:pStyle w:val="ParaNum"/>
        <w:widowControl/>
        <w:rPr>
          <w:szCs w:val="22"/>
        </w:rPr>
      </w:pPr>
      <w:r>
        <w:t>O</w:t>
      </w:r>
      <w:r w:rsidR="00DD00A9">
        <w:t>ur</w:t>
      </w:r>
      <w:r w:rsidRPr="00A873D9" w:rsidR="00DD00A9">
        <w:t xml:space="preserve"> decision to waive the all-or-nothing rule</w:t>
      </w:r>
      <w:r w:rsidR="009B2EFE">
        <w:t xml:space="preserve"> </w:t>
      </w:r>
      <w:r w:rsidR="00C211BC">
        <w:t>maintains</w:t>
      </w:r>
      <w:r w:rsidRPr="00A873D9" w:rsidR="00DD00A9">
        <w:t xml:space="preserve"> the </w:t>
      </w:r>
      <w:r w:rsidR="004B769D">
        <w:t xml:space="preserve">CAF ICC support and </w:t>
      </w:r>
      <w:r w:rsidR="009C2BE2">
        <w:t>U</w:t>
      </w:r>
      <w:r w:rsidRPr="00A873D9" w:rsidR="00DD00A9">
        <w:t xml:space="preserve">niversal </w:t>
      </w:r>
      <w:r w:rsidR="009C2BE2">
        <w:t>S</w:t>
      </w:r>
      <w:r w:rsidRPr="00A873D9" w:rsidR="00DD00A9">
        <w:t>ervice</w:t>
      </w:r>
      <w:r w:rsidR="009C2BE2">
        <w:t xml:space="preserve"> Fund</w:t>
      </w:r>
      <w:r w:rsidRPr="00A873D9" w:rsidR="00DD00A9">
        <w:t xml:space="preserve"> support</w:t>
      </w:r>
      <w:r w:rsidR="004B769D">
        <w:t xml:space="preserve"> </w:t>
      </w:r>
      <w:r w:rsidRPr="00A873D9" w:rsidR="00DD00A9">
        <w:t>Petitioners</w:t>
      </w:r>
      <w:r w:rsidR="00BA1338">
        <w:t xml:space="preserve"> receive </w:t>
      </w:r>
      <w:r w:rsidRPr="00A873D9" w:rsidR="00DD00A9">
        <w:t xml:space="preserve">for the </w:t>
      </w:r>
      <w:r w:rsidR="00E7200B">
        <w:t>Study Areas</w:t>
      </w:r>
      <w:r w:rsidR="002A129D">
        <w:t xml:space="preserve"> </w:t>
      </w:r>
      <w:r w:rsidR="00F94B46">
        <w:t xml:space="preserve">consistent with the </w:t>
      </w:r>
      <w:r w:rsidR="00A042CA">
        <w:t xml:space="preserve">intent of the </w:t>
      </w:r>
      <w:r w:rsidR="00F94B46">
        <w:t>Commission’s rules</w:t>
      </w:r>
      <w:r w:rsidRPr="00A873D9" w:rsidR="00DD00A9">
        <w:t xml:space="preserve">.  </w:t>
      </w:r>
      <w:r w:rsidR="00DD00A9">
        <w:t xml:space="preserve">We agree with Petitioners that the </w:t>
      </w:r>
      <w:r w:rsidR="00676952">
        <w:t>U</w:t>
      </w:r>
      <w:r w:rsidR="00DD00A9">
        <w:t xml:space="preserve">niversal </w:t>
      </w:r>
      <w:r w:rsidR="00676952">
        <w:t>S</w:t>
      </w:r>
      <w:r w:rsidR="00DD00A9">
        <w:t>ervice</w:t>
      </w:r>
      <w:r w:rsidR="00676952">
        <w:t xml:space="preserve"> Fund</w:t>
      </w:r>
      <w:r w:rsidR="00DD00A9">
        <w:t xml:space="preserve"> support associated with </w:t>
      </w:r>
      <w:r w:rsidR="00DD00A9">
        <w:t>each of the Study Areas “may be calculated in the same manner” and that “the service obligations, whether defined by study area or by census block, will remain unchanged.”</w:t>
      </w:r>
      <w:r>
        <w:rPr>
          <w:rStyle w:val="FootnoteReference"/>
        </w:rPr>
        <w:footnoteReference w:id="75"/>
      </w:r>
      <w:r w:rsidR="00DD00A9">
        <w:t xml:space="preserve">  As former FairPoint rate-of-return affiliates, the merging rate-of-return affiliates were authorized under </w:t>
      </w:r>
      <w:r w:rsidR="00B829B7">
        <w:t>p</w:t>
      </w:r>
      <w:r w:rsidR="00DD00A9">
        <w:t>art</w:t>
      </w:r>
      <w:r w:rsidR="00DD00A9">
        <w:t xml:space="preserve"> 54 to receive model-based CAF Phase II support</w:t>
      </w:r>
      <w:r w:rsidR="008A7A91">
        <w:t>,</w:t>
      </w:r>
      <w:r w:rsidR="00DD00A9">
        <w:t xml:space="preserve"> which they continued to receive as CCI affiliates.</w:t>
      </w:r>
      <w:r>
        <w:rPr>
          <w:rStyle w:val="FootnoteReference"/>
        </w:rPr>
        <w:footnoteReference w:id="76"/>
      </w:r>
      <w:r w:rsidR="00DD00A9">
        <w:t xml:space="preserve">  Thus, such </w:t>
      </w:r>
      <w:r w:rsidRPr="000A0293" w:rsidR="00DD00A9">
        <w:rPr>
          <w:szCs w:val="22"/>
        </w:rPr>
        <w:t>support is already determined in the same manner as support received by CCI’s price cap affiliates and other price cap carriers.</w:t>
      </w:r>
      <w:r>
        <w:rPr>
          <w:rStyle w:val="FootnoteReference"/>
          <w:sz w:val="22"/>
          <w:szCs w:val="22"/>
        </w:rPr>
        <w:footnoteReference w:id="77"/>
      </w:r>
      <w:r w:rsidRPr="000A0293" w:rsidR="00DD00A9">
        <w:rPr>
          <w:szCs w:val="22"/>
        </w:rPr>
        <w:t xml:space="preserve">  </w:t>
      </w:r>
      <w:r w:rsidR="008A7A91">
        <w:rPr>
          <w:szCs w:val="22"/>
        </w:rPr>
        <w:t>As a result</w:t>
      </w:r>
      <w:r w:rsidRPr="000A0293" w:rsidR="00DD00A9">
        <w:rPr>
          <w:szCs w:val="22"/>
        </w:rPr>
        <w:t xml:space="preserve">, </w:t>
      </w:r>
      <w:r w:rsidRPr="000A0293" w:rsidR="009B2EFE">
        <w:rPr>
          <w:szCs w:val="22"/>
        </w:rPr>
        <w:t xml:space="preserve">waiver of the all-or-nothing rule will not impact </w:t>
      </w:r>
      <w:r w:rsidR="00CF7362">
        <w:rPr>
          <w:szCs w:val="22"/>
        </w:rPr>
        <w:t>U</w:t>
      </w:r>
      <w:r w:rsidRPr="000A0293" w:rsidR="009B2EFE">
        <w:rPr>
          <w:szCs w:val="22"/>
        </w:rPr>
        <w:t xml:space="preserve">niversal </w:t>
      </w:r>
      <w:r w:rsidR="00CF7362">
        <w:rPr>
          <w:szCs w:val="22"/>
        </w:rPr>
        <w:t>S</w:t>
      </w:r>
      <w:r w:rsidRPr="000A0293" w:rsidR="009B2EFE">
        <w:rPr>
          <w:szCs w:val="22"/>
        </w:rPr>
        <w:t>ervice</w:t>
      </w:r>
      <w:r w:rsidR="00CF7362">
        <w:rPr>
          <w:szCs w:val="22"/>
        </w:rPr>
        <w:t xml:space="preserve"> Fund</w:t>
      </w:r>
      <w:r w:rsidRPr="000A0293" w:rsidR="009B2EFE">
        <w:rPr>
          <w:szCs w:val="22"/>
        </w:rPr>
        <w:t xml:space="preserve"> support obligations or the </w:t>
      </w:r>
      <w:r w:rsidR="00CF7362">
        <w:rPr>
          <w:szCs w:val="22"/>
        </w:rPr>
        <w:t>U</w:t>
      </w:r>
      <w:r w:rsidRPr="000A0293" w:rsidR="009B2EFE">
        <w:rPr>
          <w:szCs w:val="22"/>
        </w:rPr>
        <w:t xml:space="preserve">niversal </w:t>
      </w:r>
      <w:r w:rsidR="00CF7362">
        <w:rPr>
          <w:szCs w:val="22"/>
        </w:rPr>
        <w:t>S</w:t>
      </w:r>
      <w:r w:rsidRPr="000A0293" w:rsidR="009B2EFE">
        <w:rPr>
          <w:szCs w:val="22"/>
        </w:rPr>
        <w:t>ervice</w:t>
      </w:r>
      <w:r w:rsidR="00CF7362">
        <w:rPr>
          <w:szCs w:val="22"/>
        </w:rPr>
        <w:t xml:space="preserve"> Fund</w:t>
      </w:r>
      <w:r w:rsidRPr="000A0293" w:rsidR="009B2EFE">
        <w:rPr>
          <w:szCs w:val="22"/>
        </w:rPr>
        <w:t xml:space="preserve"> support programs.</w:t>
      </w:r>
      <w:r w:rsidRPr="000A0293" w:rsidR="00DD00A9">
        <w:rPr>
          <w:szCs w:val="22"/>
        </w:rPr>
        <w:t xml:space="preserve">  </w:t>
      </w:r>
      <w:r w:rsidR="00AC0125">
        <w:rPr>
          <w:szCs w:val="22"/>
        </w:rPr>
        <w:t xml:space="preserve">Therefore, at this time, we find that Petitioner’s request for </w:t>
      </w:r>
      <w:r w:rsidR="00F671C0">
        <w:rPr>
          <w:szCs w:val="22"/>
        </w:rPr>
        <w:t xml:space="preserve">limited </w:t>
      </w:r>
      <w:r w:rsidR="00AC0125">
        <w:rPr>
          <w:szCs w:val="22"/>
        </w:rPr>
        <w:t>waiver of the Commission’s part 54 rules</w:t>
      </w:r>
      <w:r w:rsidR="00F671C0">
        <w:rPr>
          <w:szCs w:val="22"/>
        </w:rPr>
        <w:t xml:space="preserve"> is unnecessary</w:t>
      </w:r>
      <w:r w:rsidR="00AC0125">
        <w:rPr>
          <w:szCs w:val="22"/>
        </w:rPr>
        <w:t>.</w:t>
      </w:r>
      <w:r>
        <w:rPr>
          <w:rStyle w:val="FootnoteReference"/>
          <w:szCs w:val="22"/>
        </w:rPr>
        <w:footnoteReference w:id="78"/>
      </w:r>
    </w:p>
    <w:p w:rsidR="00897214" w:rsidRPr="0018381D" w:rsidP="0018381D" w14:paraId="361EA541" w14:textId="31D1889F">
      <w:pPr>
        <w:pStyle w:val="ParaNum"/>
      </w:pPr>
      <w:r w:rsidRPr="007C6A53">
        <w:rPr>
          <w:szCs w:val="22"/>
        </w:rPr>
        <w:t>For all these reasons, we find good cause to grant Petitioners a waiver of the all-or-nothing</w:t>
      </w:r>
      <w:r w:rsidRPr="003C78BC" w:rsidR="008F2E88">
        <w:rPr>
          <w:szCs w:val="22"/>
        </w:rPr>
        <w:t xml:space="preserve"> rule</w:t>
      </w:r>
      <w:r w:rsidRPr="003C78BC" w:rsidR="00E43AB7">
        <w:rPr>
          <w:szCs w:val="22"/>
        </w:rPr>
        <w:t xml:space="preserve"> codified in section 61.41(c) of the Commission’s rules</w:t>
      </w:r>
      <w:r w:rsidRPr="002050FD" w:rsidR="008F2E88">
        <w:rPr>
          <w:szCs w:val="22"/>
        </w:rPr>
        <w:t>.</w:t>
      </w:r>
      <w:r w:rsidRPr="002D059F" w:rsidR="00E43AB7">
        <w:rPr>
          <w:szCs w:val="22"/>
        </w:rPr>
        <w:t xml:space="preserve"> </w:t>
      </w:r>
      <w:r w:rsidRPr="007C6A53" w:rsidR="008F2E88">
        <w:rPr>
          <w:szCs w:val="22"/>
        </w:rPr>
        <w:t xml:space="preserve"> </w:t>
      </w:r>
    </w:p>
    <w:p w:rsidR="005D405F" w:rsidRPr="003C78BC" w:rsidP="0032602A" w14:paraId="71DAAAC8" w14:textId="6F1EAA69">
      <w:pPr>
        <w:pStyle w:val="Heading2"/>
      </w:pPr>
      <w:r w:rsidRPr="007C6A53">
        <w:t xml:space="preserve">Other Requested </w:t>
      </w:r>
      <w:r w:rsidRPr="007C6A53">
        <w:t>Waiver</w:t>
      </w:r>
      <w:r w:rsidRPr="007C6A53">
        <w:t>s</w:t>
      </w:r>
    </w:p>
    <w:p w:rsidR="00901BD4" w:rsidRPr="0018381D" w:rsidP="003C78BC" w14:paraId="29F7B8ED" w14:textId="470BD704">
      <w:pPr>
        <w:pStyle w:val="ParaNum"/>
        <w:widowControl/>
      </w:pPr>
      <w:r w:rsidRPr="000A0293">
        <w:rPr>
          <w:szCs w:val="22"/>
        </w:rPr>
        <w:t>W</w:t>
      </w:r>
      <w:r w:rsidRPr="000A0293" w:rsidR="00066B62">
        <w:rPr>
          <w:szCs w:val="22"/>
        </w:rPr>
        <w:t xml:space="preserve">e also grant </w:t>
      </w:r>
      <w:r w:rsidRPr="000A0293" w:rsidR="00407925">
        <w:rPr>
          <w:szCs w:val="22"/>
        </w:rPr>
        <w:t xml:space="preserve">limited </w:t>
      </w:r>
      <w:r w:rsidRPr="000A0293" w:rsidR="00066B62">
        <w:rPr>
          <w:szCs w:val="22"/>
        </w:rPr>
        <w:t>waivers of the part 51 (subpart J) transition rules, part 61 tariffing rules, and part 69 access charge rules</w:t>
      </w:r>
      <w:r w:rsidRPr="000A0293" w:rsidR="007623FB">
        <w:rPr>
          <w:szCs w:val="22"/>
        </w:rPr>
        <w:t>,</w:t>
      </w:r>
      <w:r w:rsidRPr="000A0293" w:rsidR="00066B62">
        <w:rPr>
          <w:szCs w:val="22"/>
        </w:rPr>
        <w:t xml:space="preserve"> </w:t>
      </w:r>
      <w:r w:rsidRPr="000A0293">
        <w:rPr>
          <w:szCs w:val="22"/>
        </w:rPr>
        <w:t>to the extent necessary to effectuate the waiver of section 61.41(c)</w:t>
      </w:r>
      <w:r w:rsidR="0060465E">
        <w:rPr>
          <w:szCs w:val="22"/>
        </w:rPr>
        <w:t xml:space="preserve"> of the Commission’s rules</w:t>
      </w:r>
      <w:r w:rsidRPr="000A0293" w:rsidR="00066B62">
        <w:rPr>
          <w:szCs w:val="22"/>
        </w:rPr>
        <w:t>.</w:t>
      </w:r>
      <w:r w:rsidRPr="000A0293" w:rsidR="00407925">
        <w:rPr>
          <w:szCs w:val="22"/>
        </w:rPr>
        <w:t xml:space="preserve">  </w:t>
      </w:r>
      <w:r w:rsidRPr="000A0293" w:rsidR="0019749D">
        <w:rPr>
          <w:szCs w:val="22"/>
        </w:rPr>
        <w:t xml:space="preserve">In order for Petitioners to continue operating the </w:t>
      </w:r>
      <w:r w:rsidRPr="000A0293" w:rsidR="007623FB">
        <w:rPr>
          <w:szCs w:val="22"/>
        </w:rPr>
        <w:t>S</w:t>
      </w:r>
      <w:r w:rsidRPr="000A0293" w:rsidR="0019749D">
        <w:rPr>
          <w:szCs w:val="22"/>
        </w:rPr>
        <w:t xml:space="preserve">tudy </w:t>
      </w:r>
      <w:r w:rsidRPr="000A0293" w:rsidR="007623FB">
        <w:rPr>
          <w:szCs w:val="22"/>
        </w:rPr>
        <w:t>A</w:t>
      </w:r>
      <w:r w:rsidRPr="000A0293" w:rsidR="0019749D">
        <w:rPr>
          <w:szCs w:val="22"/>
        </w:rPr>
        <w:t>reas as they do today</w:t>
      </w:r>
      <w:r w:rsidRPr="000A0293" w:rsidR="007623FB">
        <w:rPr>
          <w:szCs w:val="22"/>
        </w:rPr>
        <w:t xml:space="preserve">, those </w:t>
      </w:r>
      <w:r w:rsidRPr="000A0293" w:rsidR="00CF5452">
        <w:rPr>
          <w:szCs w:val="22"/>
        </w:rPr>
        <w:t>areas must continue to be subject to the rules applicable to rate-of-return carriers, even though there is no separate carrier or company</w:t>
      </w:r>
      <w:r w:rsidRPr="000A0293" w:rsidR="007623FB">
        <w:rPr>
          <w:szCs w:val="22"/>
        </w:rPr>
        <w:t xml:space="preserve"> operating in those study areas</w:t>
      </w:r>
      <w:r w:rsidRPr="000A0293" w:rsidR="00CF5452">
        <w:rPr>
          <w:szCs w:val="22"/>
        </w:rPr>
        <w:t>.</w:t>
      </w:r>
      <w:r w:rsidRPr="000A0293" w:rsidR="00CD531F">
        <w:rPr>
          <w:szCs w:val="22"/>
        </w:rPr>
        <w:t xml:space="preserve">  To accomplish this, we grant Petitioners </w:t>
      </w:r>
      <w:r w:rsidRPr="000A0293" w:rsidR="007623FB">
        <w:rPr>
          <w:szCs w:val="22"/>
        </w:rPr>
        <w:t xml:space="preserve">limited waivers </w:t>
      </w:r>
      <w:r w:rsidRPr="000A0293" w:rsidR="00CD531F">
        <w:rPr>
          <w:szCs w:val="22"/>
        </w:rPr>
        <w:t xml:space="preserve">so references to a rate-of-return </w:t>
      </w:r>
      <w:r w:rsidRPr="000A0293" w:rsidR="00C8592B">
        <w:rPr>
          <w:szCs w:val="22"/>
        </w:rPr>
        <w:t>“</w:t>
      </w:r>
      <w:r w:rsidRPr="000A0293" w:rsidR="00066B62">
        <w:rPr>
          <w:szCs w:val="22"/>
        </w:rPr>
        <w:t>company</w:t>
      </w:r>
      <w:r w:rsidRPr="000A0293" w:rsidR="00C8592B">
        <w:rPr>
          <w:szCs w:val="22"/>
        </w:rPr>
        <w:t>”</w:t>
      </w:r>
      <w:r w:rsidRPr="000A0293" w:rsidR="00066B62">
        <w:rPr>
          <w:szCs w:val="22"/>
        </w:rPr>
        <w:t xml:space="preserve"> or </w:t>
      </w:r>
      <w:r w:rsidRPr="000A0293" w:rsidR="00C8592B">
        <w:rPr>
          <w:szCs w:val="22"/>
        </w:rPr>
        <w:t>“</w:t>
      </w:r>
      <w:r w:rsidRPr="000A0293" w:rsidR="00066B62">
        <w:rPr>
          <w:szCs w:val="22"/>
        </w:rPr>
        <w:t>carrier</w:t>
      </w:r>
      <w:r w:rsidRPr="000A0293" w:rsidR="00C8592B">
        <w:rPr>
          <w:szCs w:val="22"/>
        </w:rPr>
        <w:t>”</w:t>
      </w:r>
      <w:r w:rsidRPr="000A0293" w:rsidR="00066B62">
        <w:rPr>
          <w:szCs w:val="22"/>
        </w:rPr>
        <w:t xml:space="preserve"> in the </w:t>
      </w:r>
      <w:r w:rsidRPr="000A0293" w:rsidR="007623FB">
        <w:rPr>
          <w:szCs w:val="22"/>
        </w:rPr>
        <w:t xml:space="preserve">enumerated </w:t>
      </w:r>
      <w:r w:rsidRPr="000A0293" w:rsidR="00066B62">
        <w:rPr>
          <w:szCs w:val="22"/>
        </w:rPr>
        <w:t>r</w:t>
      </w:r>
      <w:r w:rsidRPr="000A0293" w:rsidR="00CD531F">
        <w:rPr>
          <w:szCs w:val="22"/>
        </w:rPr>
        <w:t xml:space="preserve">ules can </w:t>
      </w:r>
      <w:r w:rsidRPr="000A0293" w:rsidR="007623FB">
        <w:rPr>
          <w:szCs w:val="22"/>
        </w:rPr>
        <w:t xml:space="preserve">be read to </w:t>
      </w:r>
      <w:r w:rsidRPr="000A0293" w:rsidR="00CD531F">
        <w:rPr>
          <w:szCs w:val="22"/>
        </w:rPr>
        <w:t xml:space="preserve">apply to the </w:t>
      </w:r>
      <w:r w:rsidRPr="000A0293" w:rsidR="007623FB">
        <w:rPr>
          <w:szCs w:val="22"/>
        </w:rPr>
        <w:t>S</w:t>
      </w:r>
      <w:r w:rsidRPr="000A0293" w:rsidR="00CD531F">
        <w:rPr>
          <w:szCs w:val="22"/>
        </w:rPr>
        <w:t xml:space="preserve">tudy </w:t>
      </w:r>
      <w:r w:rsidRPr="000A0293" w:rsidR="007623FB">
        <w:rPr>
          <w:szCs w:val="22"/>
        </w:rPr>
        <w:t>A</w:t>
      </w:r>
      <w:r w:rsidRPr="000A0293" w:rsidR="00CD531F">
        <w:rPr>
          <w:szCs w:val="22"/>
        </w:rPr>
        <w:t>reas.</w:t>
      </w:r>
      <w:r>
        <w:rPr>
          <w:rStyle w:val="FootnoteReference"/>
          <w:sz w:val="22"/>
          <w:szCs w:val="22"/>
        </w:rPr>
        <w:footnoteReference w:id="79"/>
      </w:r>
      <w:r w:rsidRPr="000A0293" w:rsidR="007623FB">
        <w:rPr>
          <w:szCs w:val="22"/>
        </w:rPr>
        <w:t xml:space="preserve">  </w:t>
      </w:r>
      <w:r w:rsidRPr="000A0293" w:rsidR="008D20E3">
        <w:rPr>
          <w:szCs w:val="22"/>
        </w:rPr>
        <w:t xml:space="preserve">Without these waivers, Petitioners would be </w:t>
      </w:r>
      <w:r w:rsidRPr="000A0293" w:rsidR="00B55BF0">
        <w:rPr>
          <w:szCs w:val="22"/>
        </w:rPr>
        <w:t>un</w:t>
      </w:r>
      <w:r w:rsidRPr="000A0293" w:rsidR="008D20E3">
        <w:rPr>
          <w:szCs w:val="22"/>
        </w:rPr>
        <w:t xml:space="preserve">able to benefit from our waiver of the </w:t>
      </w:r>
      <w:r w:rsidRPr="000A0293" w:rsidR="007623FB">
        <w:rPr>
          <w:szCs w:val="22"/>
        </w:rPr>
        <w:t>all-or-nothing rule</w:t>
      </w:r>
      <w:r w:rsidRPr="000A0293" w:rsidR="00B55BF0">
        <w:rPr>
          <w:szCs w:val="22"/>
        </w:rPr>
        <w:t xml:space="preserve"> because the rate-of-return affiliates</w:t>
      </w:r>
      <w:r w:rsidR="00DF75AB">
        <w:t>—</w:t>
      </w:r>
      <w:r w:rsidRPr="004E2B56" w:rsidR="00DF75AB">
        <w:t>Bentleyville</w:t>
      </w:r>
      <w:r w:rsidR="00DF75AB">
        <w:t xml:space="preserve"> Communications Corporation,</w:t>
      </w:r>
      <w:r w:rsidRPr="004E2B56" w:rsidR="00DF75AB">
        <w:t xml:space="preserve"> C</w:t>
      </w:r>
      <w:r w:rsidR="00DF75AB">
        <w:t>ommunity Service Telephone Company,</w:t>
      </w:r>
      <w:r w:rsidRPr="004E2B56" w:rsidR="00DF75AB">
        <w:t xml:space="preserve"> Marianna</w:t>
      </w:r>
      <w:r w:rsidR="00DF75AB">
        <w:t xml:space="preserve"> and Scenery Hill Telephone Company—ceased to exist as separate corporate entities.</w:t>
      </w:r>
      <w:r>
        <w:rPr>
          <w:rStyle w:val="FootnoteReference"/>
        </w:rPr>
        <w:footnoteReference w:id="80"/>
      </w:r>
      <w:r w:rsidR="00DF75AB">
        <w:t xml:space="preserve">  </w:t>
      </w:r>
      <w:r w:rsidRPr="00DF75AB" w:rsidR="00876758">
        <w:rPr>
          <w:szCs w:val="22"/>
        </w:rPr>
        <w:t xml:space="preserve"> </w:t>
      </w:r>
      <w:r w:rsidRPr="00017FFE" w:rsidR="008D20E3">
        <w:rPr>
          <w:szCs w:val="22"/>
        </w:rPr>
        <w:t>Thus, the same public interest benefits that lead us to waive the all-or-nothing rule also lead us to grant limited waivers of these other rules.</w:t>
      </w:r>
      <w:r w:rsidRPr="00017FFE" w:rsidR="00CD531F">
        <w:rPr>
          <w:szCs w:val="22"/>
        </w:rPr>
        <w:t xml:space="preserve"> </w:t>
      </w:r>
      <w:r w:rsidR="007110F7">
        <w:rPr>
          <w:szCs w:val="22"/>
        </w:rPr>
        <w:t xml:space="preserve"> </w:t>
      </w:r>
      <w:r w:rsidR="007C6A53">
        <w:rPr>
          <w:szCs w:val="22"/>
        </w:rPr>
        <w:t xml:space="preserve">Grant of waiver of the </w:t>
      </w:r>
      <w:r w:rsidR="00B829B7">
        <w:rPr>
          <w:szCs w:val="22"/>
        </w:rPr>
        <w:t>p</w:t>
      </w:r>
      <w:r w:rsidR="007C6A53">
        <w:rPr>
          <w:szCs w:val="22"/>
        </w:rPr>
        <w:t>art 51</w:t>
      </w:r>
      <w:r w:rsidR="003C78BC">
        <w:rPr>
          <w:szCs w:val="22"/>
        </w:rPr>
        <w:t xml:space="preserve"> (</w:t>
      </w:r>
      <w:r w:rsidR="00B829B7">
        <w:rPr>
          <w:szCs w:val="22"/>
        </w:rPr>
        <w:t>s</w:t>
      </w:r>
      <w:r w:rsidR="003C78BC">
        <w:rPr>
          <w:szCs w:val="22"/>
        </w:rPr>
        <w:t>ubpart J)</w:t>
      </w:r>
      <w:r w:rsidR="007C6A53">
        <w:rPr>
          <w:szCs w:val="22"/>
        </w:rPr>
        <w:t xml:space="preserve"> transitional access service pricing rules and CAF ICC support rules is retroactive dating back to the effective date</w:t>
      </w:r>
      <w:r w:rsidR="00A45845">
        <w:rPr>
          <w:szCs w:val="22"/>
        </w:rPr>
        <w:t>s</w:t>
      </w:r>
      <w:r w:rsidR="007C6A53">
        <w:rPr>
          <w:szCs w:val="22"/>
        </w:rPr>
        <w:t xml:space="preserve"> of the internal reorganization.  </w:t>
      </w:r>
      <w:r w:rsidR="007C6A53">
        <w:t>The</w:t>
      </w:r>
      <w:r w:rsidRPr="004D0732" w:rsidR="007C6A53">
        <w:rPr>
          <w:szCs w:val="22"/>
        </w:rPr>
        <w:t xml:space="preserve"> Study Areas may continue to receive CAF ICC support for rate-of-return carriers</w:t>
      </w:r>
      <w:r>
        <w:rPr>
          <w:rStyle w:val="FootnoteReference"/>
          <w:szCs w:val="22"/>
        </w:rPr>
        <w:footnoteReference w:id="81"/>
      </w:r>
      <w:r w:rsidRPr="004D0732" w:rsidR="007C6A53">
        <w:rPr>
          <w:szCs w:val="22"/>
        </w:rPr>
        <w:t xml:space="preserve"> subject to switched access and reciprocal compensation rules adopted in the </w:t>
      </w:r>
      <w:r w:rsidRPr="004D0732" w:rsidR="007C6A53">
        <w:rPr>
          <w:i/>
          <w:iCs/>
          <w:szCs w:val="22"/>
        </w:rPr>
        <w:t>USF/ICC Transformation Order</w:t>
      </w:r>
      <w:r w:rsidRPr="004D0732" w:rsidR="007C6A53">
        <w:rPr>
          <w:szCs w:val="22"/>
        </w:rPr>
        <w:t>.</w:t>
      </w:r>
      <w:r>
        <w:rPr>
          <w:rStyle w:val="FootnoteReference"/>
          <w:szCs w:val="22"/>
        </w:rPr>
        <w:footnoteReference w:id="82"/>
      </w:r>
      <w:r w:rsidRPr="004D0732" w:rsidR="007C6A53">
        <w:rPr>
          <w:szCs w:val="22"/>
        </w:rPr>
        <w:t xml:space="preserve">  </w:t>
      </w:r>
      <w:r w:rsidR="007C6A53">
        <w:rPr>
          <w:szCs w:val="22"/>
        </w:rPr>
        <w:t xml:space="preserve">Finally, Petitioners may continue to tariff rates subject to price cap regulation in F.C.C. Tariff No. 9, but have the Study Areas participate in the NECA tariff subject to rate-of-return regulation. </w:t>
      </w:r>
      <w:r w:rsidRPr="004D0732" w:rsidR="007C6A53">
        <w:rPr>
          <w:szCs w:val="22"/>
        </w:rPr>
        <w:t xml:space="preserve">   </w:t>
      </w:r>
    </w:p>
    <w:p w:rsidR="00F213BA" w:rsidP="00B4344C" w14:paraId="3DFCF980" w14:textId="2C447C29">
      <w:pPr>
        <w:pStyle w:val="Heading1"/>
      </w:pPr>
      <w:r>
        <w:t>Conclusion</w:t>
      </w:r>
    </w:p>
    <w:p w:rsidR="005537A9" w:rsidP="000A0293" w14:paraId="5F9B6589" w14:textId="096E747E">
      <w:pPr>
        <w:pStyle w:val="ParaNum"/>
        <w:widowControl/>
        <w:rPr>
          <w:szCs w:val="22"/>
        </w:rPr>
      </w:pPr>
      <w:r w:rsidRPr="000A0293">
        <w:rPr>
          <w:szCs w:val="22"/>
        </w:rPr>
        <w:t>In sum, we grant Petitioners’ unopposed request for waiver</w:t>
      </w:r>
      <w:r w:rsidRPr="000A0293" w:rsidR="002554FC">
        <w:rPr>
          <w:szCs w:val="22"/>
        </w:rPr>
        <w:t>s</w:t>
      </w:r>
      <w:r w:rsidR="00D144E6">
        <w:rPr>
          <w:szCs w:val="22"/>
        </w:rPr>
        <w:t>,</w:t>
      </w:r>
      <w:r w:rsidRPr="000A0293">
        <w:rPr>
          <w:szCs w:val="22"/>
        </w:rPr>
        <w:t xml:space="preserve"> to the extent described herein</w:t>
      </w:r>
      <w:r w:rsidR="00D144E6">
        <w:rPr>
          <w:szCs w:val="22"/>
        </w:rPr>
        <w:t>,</w:t>
      </w:r>
      <w:r w:rsidRPr="000A0293">
        <w:rPr>
          <w:szCs w:val="22"/>
        </w:rPr>
        <w:t xml:space="preserve"> because it serves the public interest by avoiding </w:t>
      </w:r>
      <w:r w:rsidR="00D144E6">
        <w:rPr>
          <w:szCs w:val="22"/>
        </w:rPr>
        <w:t xml:space="preserve">the </w:t>
      </w:r>
      <w:r w:rsidRPr="000A0293">
        <w:rPr>
          <w:szCs w:val="22"/>
        </w:rPr>
        <w:t xml:space="preserve">financial and administrative costs Petitioners </w:t>
      </w:r>
      <w:r w:rsidR="00D144E6">
        <w:rPr>
          <w:szCs w:val="22"/>
        </w:rPr>
        <w:t xml:space="preserve">would incur if they were required to convert </w:t>
      </w:r>
      <w:r w:rsidRPr="000A0293">
        <w:rPr>
          <w:szCs w:val="22"/>
        </w:rPr>
        <w:t>the</w:t>
      </w:r>
      <w:r w:rsidRPr="000A0293" w:rsidR="00DA0BCA">
        <w:rPr>
          <w:szCs w:val="22"/>
        </w:rPr>
        <w:t xml:space="preserve"> </w:t>
      </w:r>
      <w:r w:rsidRPr="000A0293" w:rsidR="008A7BCB">
        <w:rPr>
          <w:szCs w:val="22"/>
        </w:rPr>
        <w:t>S</w:t>
      </w:r>
      <w:r w:rsidRPr="000A0293">
        <w:rPr>
          <w:szCs w:val="22"/>
        </w:rPr>
        <w:t xml:space="preserve">tudy </w:t>
      </w:r>
      <w:r w:rsidRPr="000A0293" w:rsidR="008A7BCB">
        <w:rPr>
          <w:szCs w:val="22"/>
        </w:rPr>
        <w:t xml:space="preserve">Areas </w:t>
      </w:r>
      <w:r w:rsidRPr="000A0293">
        <w:rPr>
          <w:szCs w:val="22"/>
        </w:rPr>
        <w:t xml:space="preserve">to price cap regulation.  </w:t>
      </w:r>
      <w:r w:rsidRPr="000A0293" w:rsidR="002554FC">
        <w:rPr>
          <w:szCs w:val="22"/>
        </w:rPr>
        <w:t>Under the circumstances presented, w</w:t>
      </w:r>
      <w:r w:rsidRPr="000A0293">
        <w:rPr>
          <w:szCs w:val="22"/>
        </w:rPr>
        <w:t>e find that the benefits of this waiver clearly outweigh an</w:t>
      </w:r>
      <w:r w:rsidRPr="000A0293" w:rsidR="002554FC">
        <w:rPr>
          <w:szCs w:val="22"/>
        </w:rPr>
        <w:t>y potential risk of harm.</w:t>
      </w:r>
      <w:r w:rsidRPr="000A0293" w:rsidR="007A72CF">
        <w:rPr>
          <w:szCs w:val="22"/>
        </w:rPr>
        <w:t xml:space="preserve"> </w:t>
      </w:r>
    </w:p>
    <w:p w:rsidR="006121B1" w:rsidRPr="000A0293" w:rsidP="000A0293" w14:paraId="10DEBEB1" w14:textId="470AEAEC">
      <w:pPr>
        <w:pStyle w:val="ParaNum"/>
        <w:widowControl/>
        <w:rPr>
          <w:szCs w:val="22"/>
        </w:rPr>
      </w:pPr>
      <w:r w:rsidRPr="000A0293">
        <w:rPr>
          <w:szCs w:val="22"/>
        </w:rPr>
        <w:t>Finally, we remind carriers to file timely requests for waiver of the all-or-nothing rule, which requires price cap conversion no later than one year following the effective date of the transaction.</w:t>
      </w:r>
      <w:r>
        <w:rPr>
          <w:rStyle w:val="FootnoteReference"/>
          <w:sz w:val="22"/>
          <w:szCs w:val="22"/>
        </w:rPr>
        <w:footnoteReference w:id="83"/>
      </w:r>
      <w:r w:rsidRPr="000A0293">
        <w:rPr>
          <w:szCs w:val="22"/>
        </w:rPr>
        <w:t xml:space="preserve">  In this case, we determine that the public interest favors granting Petitioners’ waiver request even though Petitioners </w:t>
      </w:r>
      <w:r w:rsidR="00F7349B">
        <w:rPr>
          <w:szCs w:val="22"/>
        </w:rPr>
        <w:t>filed their request after the transaction</w:t>
      </w:r>
      <w:r w:rsidR="00C76366">
        <w:rPr>
          <w:szCs w:val="22"/>
        </w:rPr>
        <w:t>s were completed</w:t>
      </w:r>
      <w:r w:rsidRPr="000A0293">
        <w:rPr>
          <w:szCs w:val="22"/>
        </w:rPr>
        <w:t>.</w:t>
      </w:r>
      <w:r>
        <w:rPr>
          <w:rStyle w:val="FootnoteReference"/>
          <w:sz w:val="22"/>
          <w:szCs w:val="22"/>
        </w:rPr>
        <w:footnoteReference w:id="84"/>
      </w:r>
      <w:r w:rsidRPr="000A0293">
        <w:rPr>
          <w:szCs w:val="22"/>
        </w:rPr>
        <w:t xml:space="preserve">  </w:t>
      </w:r>
      <w:r w:rsidR="00C76366">
        <w:rPr>
          <w:szCs w:val="22"/>
        </w:rPr>
        <w:t xml:space="preserve">In the future, </w:t>
      </w:r>
      <w:r w:rsidR="00D144E6">
        <w:rPr>
          <w:szCs w:val="22"/>
        </w:rPr>
        <w:t xml:space="preserve">however, </w:t>
      </w:r>
      <w:r w:rsidR="00C76366">
        <w:rPr>
          <w:szCs w:val="22"/>
        </w:rPr>
        <w:t>w</w:t>
      </w:r>
      <w:r w:rsidR="00F7349B">
        <w:rPr>
          <w:szCs w:val="22"/>
        </w:rPr>
        <w:t>e encourage</w:t>
      </w:r>
      <w:r w:rsidRPr="000A0293">
        <w:rPr>
          <w:szCs w:val="22"/>
        </w:rPr>
        <w:t xml:space="preserve"> carriers </w:t>
      </w:r>
      <w:r>
        <w:t>to file a request for waiver of the all-or-nothing rule</w:t>
      </w:r>
      <w:r w:rsidR="00B97A02">
        <w:t xml:space="preserve"> prior to </w:t>
      </w:r>
      <w:r>
        <w:t xml:space="preserve">the effective date of </w:t>
      </w:r>
      <w:r w:rsidR="00B97A02">
        <w:t>any</w:t>
      </w:r>
      <w:r>
        <w:t xml:space="preserve"> transaction triggering the one-year period provided by the rule</w:t>
      </w:r>
      <w:r w:rsidR="00F7349B">
        <w:t>.</w:t>
      </w:r>
      <w:r w:rsidR="00BA1338">
        <w:t xml:space="preserve">  Otherwise, carriers risk having their waiver request rejected and </w:t>
      </w:r>
      <w:r w:rsidR="006F0FE5">
        <w:t xml:space="preserve">facing the choice of either </w:t>
      </w:r>
      <w:r w:rsidR="00BA1338">
        <w:t>convert</w:t>
      </w:r>
      <w:r w:rsidR="006F0FE5">
        <w:t>ing their</w:t>
      </w:r>
      <w:r w:rsidR="00BA1338">
        <w:t xml:space="preserve"> rate</w:t>
      </w:r>
      <w:r w:rsidR="00BE79F0">
        <w:t>-</w:t>
      </w:r>
      <w:r w:rsidR="00BA1338">
        <w:t>of</w:t>
      </w:r>
      <w:r w:rsidR="00BE79F0">
        <w:t>-</w:t>
      </w:r>
      <w:r w:rsidR="00BA1338">
        <w:t>return study areas to price</w:t>
      </w:r>
      <w:r w:rsidR="00BE79F0">
        <w:t>-</w:t>
      </w:r>
      <w:r w:rsidR="00BA1338">
        <w:t>cap regulation</w:t>
      </w:r>
      <w:r w:rsidR="006F0FE5">
        <w:t xml:space="preserve"> or </w:t>
      </w:r>
      <w:r w:rsidR="00597AB8">
        <w:t>being in violation of the all-or-nothing rule</w:t>
      </w:r>
      <w:r w:rsidR="00BA1338">
        <w:t>.</w:t>
      </w:r>
      <w:r>
        <w:rPr>
          <w:rStyle w:val="FootnoteReference"/>
          <w:sz w:val="22"/>
          <w:szCs w:val="22"/>
        </w:rPr>
        <w:footnoteReference w:id="85"/>
      </w:r>
      <w:r w:rsidRPr="000A0293" w:rsidR="002B0396">
        <w:rPr>
          <w:szCs w:val="22"/>
        </w:rPr>
        <w:t xml:space="preserve">  </w:t>
      </w:r>
      <w:r w:rsidRPr="000A0293" w:rsidR="007A72CF">
        <w:rPr>
          <w:szCs w:val="22"/>
        </w:rPr>
        <w:t xml:space="preserve"> </w:t>
      </w:r>
    </w:p>
    <w:p w:rsidR="006E5C06" w:rsidP="006E5C06" w14:paraId="75C966B8" w14:textId="0E767E7A">
      <w:pPr>
        <w:pStyle w:val="Heading1"/>
      </w:pPr>
      <w:r>
        <w:t>ordering clauses</w:t>
      </w:r>
    </w:p>
    <w:p w:rsidR="0079133F" w:rsidP="006C6E28" w14:paraId="4A769881" w14:textId="311BF7B1">
      <w:pPr>
        <w:pStyle w:val="ParaNum"/>
        <w:widowControl/>
      </w:pPr>
      <w:r>
        <w:t xml:space="preserve">Accordingly, IT IS ORDERED, pursuant to sections 4(i), 5, and 201-203 of the Communications Act of 1934, as amended, 47 U.S.C. §§ 154(i), 155, and 201-203, and sections 0.91, 0.291, and 1.3 of the Commission’s rules, 47 CFR §§ 0.91, 0.291, and 1.3, that the Petition for Waiver </w:t>
      </w:r>
      <w:r w:rsidR="00621427">
        <w:t xml:space="preserve">of the Commission’s rules, 47 CFR </w:t>
      </w:r>
      <w:r w:rsidR="002050FD">
        <w:t>§ 61.41(c)(2)-(c)(3) and parts</w:t>
      </w:r>
      <w:r w:rsidRPr="00AB2B17" w:rsidR="002050FD">
        <w:t xml:space="preserve"> 51</w:t>
      </w:r>
      <w:r w:rsidR="002050FD">
        <w:t xml:space="preserve"> (subpart J), </w:t>
      </w:r>
      <w:r w:rsidRPr="00AB2B17" w:rsidR="002050FD">
        <w:t>61</w:t>
      </w:r>
      <w:r w:rsidR="002050FD">
        <w:t>,</w:t>
      </w:r>
      <w:r w:rsidRPr="00AB2B17" w:rsidR="002050FD">
        <w:t xml:space="preserve"> </w:t>
      </w:r>
      <w:r w:rsidR="002050FD">
        <w:t xml:space="preserve">and </w:t>
      </w:r>
      <w:r w:rsidRPr="00AB2B17" w:rsidR="002050FD">
        <w:t>69</w:t>
      </w:r>
      <w:r w:rsidR="002050FD">
        <w:t xml:space="preserve">, </w:t>
      </w:r>
      <w:r>
        <w:t xml:space="preserve">filed by </w:t>
      </w:r>
      <w:r w:rsidRPr="00951C1B" w:rsidR="00951C1B">
        <w:t>Consolidated Communications of Pennsylvania Company, Inc.</w:t>
      </w:r>
      <w:r w:rsidR="00951C1B">
        <w:t xml:space="preserve"> and</w:t>
      </w:r>
      <w:r w:rsidRPr="00951C1B" w:rsidR="00951C1B">
        <w:t xml:space="preserve"> Consolidated Communications of Maine Company, Inc.</w:t>
      </w:r>
      <w:r w:rsidR="00832D04">
        <w:t>,</w:t>
      </w:r>
      <w:r w:rsidRPr="00951C1B" w:rsidR="00951C1B">
        <w:t xml:space="preserve"> </w:t>
      </w:r>
      <w:r w:rsidR="00832D04">
        <w:t>dated</w:t>
      </w:r>
      <w:r>
        <w:t xml:space="preserve"> </w:t>
      </w:r>
      <w:r w:rsidR="00951C1B">
        <w:t>September 1</w:t>
      </w:r>
      <w:r w:rsidR="00F16428">
        <w:t>1</w:t>
      </w:r>
      <w:r w:rsidR="00951C1B">
        <w:t>, 2019</w:t>
      </w:r>
      <w:r w:rsidR="00832D04">
        <w:t>,</w:t>
      </w:r>
      <w:r w:rsidR="00951C1B">
        <w:t xml:space="preserve"> </w:t>
      </w:r>
      <w:r>
        <w:t>IS GRANTED</w:t>
      </w:r>
      <w:r w:rsidR="00473A97">
        <w:t xml:space="preserve"> AS PROVIDED HEREIN</w:t>
      </w:r>
      <w:r w:rsidR="002D059F">
        <w:t xml:space="preserve"> to allow study area codes </w:t>
      </w:r>
      <w:r w:rsidRPr="00584D22" w:rsidR="002D059F">
        <w:t>170185, 170145, and 100015</w:t>
      </w:r>
      <w:r w:rsidR="002D059F">
        <w:t xml:space="preserve"> to continue operating pursuant to rules applicable to rate-of-return incumbent local exchange carriers. </w:t>
      </w:r>
    </w:p>
    <w:p w:rsidR="00675FCC" w:rsidP="000A0293" w14:paraId="42C569D9" w14:textId="2D32EFE2">
      <w:pPr>
        <w:pStyle w:val="ParaNum"/>
        <w:keepNext/>
        <w:keepLines/>
        <w:widowControl/>
      </w:pPr>
      <w:r>
        <w:t>IT IS FURTHER ORDERED that pursuant to section 1.102(b)(1) of the Commission’s rules, 47 CFR § 1.102(b)(1), this Order SHALL BE EFFECTIVE upon release.</w:t>
      </w:r>
    </w:p>
    <w:p w:rsidR="00675FCC" w:rsidP="000A0293" w14:paraId="2A7A93A2" w14:textId="77777777">
      <w:pPr>
        <w:keepNext/>
        <w:keepLines/>
        <w:autoSpaceDE w:val="0"/>
        <w:autoSpaceDN w:val="0"/>
        <w:adjustRightInd w:val="0"/>
        <w:spacing w:after="120"/>
        <w:rPr>
          <w:color w:val="000000" w:themeColor="text1"/>
          <w:szCs w:val="22"/>
        </w:rPr>
      </w:pPr>
    </w:p>
    <w:p w:rsidR="00675FCC" w:rsidP="000A0293" w14:paraId="3B7E739C" w14:textId="77777777">
      <w:pPr>
        <w:keepNext/>
        <w:keepLines/>
        <w:spacing w:after="100" w:afterAutospacing="1"/>
        <w:ind w:left="3600" w:firstLine="720"/>
        <w:rPr>
          <w:color w:val="000000" w:themeColor="text1"/>
          <w:szCs w:val="22"/>
        </w:rPr>
      </w:pPr>
      <w:r>
        <w:rPr>
          <w:color w:val="000000" w:themeColor="text1"/>
          <w:szCs w:val="22"/>
        </w:rPr>
        <w:t>FEDERAL COMMUNICATIONS COMMISSION</w:t>
      </w:r>
    </w:p>
    <w:p w:rsidR="00675FCC" w:rsidP="000A0293" w14:paraId="7D2605A1" w14:textId="77777777">
      <w:pPr>
        <w:keepNext/>
        <w:keepLines/>
        <w:tabs>
          <w:tab w:val="left" w:pos="-1440"/>
          <w:tab w:val="left" w:pos="-720"/>
        </w:tabs>
        <w:suppressAutoHyphens/>
        <w:rPr>
          <w:color w:val="000000" w:themeColor="text1"/>
          <w:szCs w:val="22"/>
        </w:rPr>
      </w:pP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Pr>
          <w:color w:val="000000" w:themeColor="text1"/>
          <w:szCs w:val="22"/>
        </w:rPr>
        <w:tab/>
      </w:r>
    </w:p>
    <w:p w:rsidR="00675FCC" w:rsidP="000A0293" w14:paraId="36B2E926" w14:textId="77777777">
      <w:pPr>
        <w:keepNext/>
        <w:keepLines/>
        <w:tabs>
          <w:tab w:val="left" w:pos="-1440"/>
          <w:tab w:val="left" w:pos="-720"/>
        </w:tabs>
        <w:suppressAutoHyphens/>
        <w:rPr>
          <w:color w:val="000000" w:themeColor="text1"/>
          <w:szCs w:val="22"/>
        </w:rPr>
      </w:pPr>
    </w:p>
    <w:p w:rsidR="00675FCC" w:rsidP="000A0293" w14:paraId="08A733CB" w14:textId="77777777">
      <w:pPr>
        <w:keepNext/>
        <w:keepLines/>
        <w:tabs>
          <w:tab w:val="left" w:pos="-1440"/>
          <w:tab w:val="left" w:pos="-720"/>
        </w:tabs>
        <w:suppressAutoHyphens/>
        <w:rPr>
          <w:color w:val="000000" w:themeColor="text1"/>
          <w:szCs w:val="22"/>
        </w:rPr>
      </w:pPr>
    </w:p>
    <w:p w:rsidR="00675FCC" w:rsidP="000A0293" w14:paraId="117AB62F" w14:textId="4F3CAD32">
      <w:pPr>
        <w:keepNext/>
        <w:keepLines/>
        <w:rPr>
          <w:color w:val="000000" w:themeColor="text1"/>
          <w:szCs w:val="22"/>
        </w:rPr>
      </w:pP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sidR="0026409C">
        <w:rPr>
          <w:color w:val="000000" w:themeColor="text1"/>
          <w:szCs w:val="22"/>
        </w:rPr>
        <w:t xml:space="preserve">Trent </w:t>
      </w:r>
      <w:r w:rsidR="00E933E4">
        <w:rPr>
          <w:color w:val="000000" w:themeColor="text1"/>
          <w:szCs w:val="22"/>
        </w:rPr>
        <w:t xml:space="preserve">B. </w:t>
      </w:r>
      <w:r w:rsidR="0026409C">
        <w:rPr>
          <w:color w:val="000000" w:themeColor="text1"/>
          <w:szCs w:val="22"/>
        </w:rPr>
        <w:t>Harkrader</w:t>
      </w:r>
    </w:p>
    <w:p w:rsidR="00675FCC" w:rsidP="000A0293" w14:paraId="2BABEED6" w14:textId="77777777">
      <w:pPr>
        <w:keepNext/>
        <w:keepLines/>
        <w:rPr>
          <w:color w:val="000000" w:themeColor="text1"/>
          <w:szCs w:val="22"/>
        </w:rPr>
      </w:pP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Pr>
          <w:color w:val="000000" w:themeColor="text1"/>
          <w:szCs w:val="22"/>
        </w:rPr>
        <w:tab/>
      </w:r>
      <w:r>
        <w:rPr>
          <w:color w:val="000000" w:themeColor="text1"/>
          <w:szCs w:val="22"/>
        </w:rPr>
        <w:tab/>
        <w:t xml:space="preserve">Chief </w:t>
      </w:r>
    </w:p>
    <w:p w:rsidR="00675FCC" w:rsidP="000A0293" w14:paraId="7DF63F56" w14:textId="77777777">
      <w:pPr>
        <w:keepNext/>
        <w:keepLines/>
        <w:ind w:left="3600" w:firstLine="720"/>
        <w:rPr>
          <w:color w:val="000000" w:themeColor="text1"/>
          <w:szCs w:val="22"/>
        </w:rPr>
      </w:pPr>
      <w:r>
        <w:rPr>
          <w:color w:val="000000" w:themeColor="text1"/>
          <w:szCs w:val="22"/>
        </w:rPr>
        <w:t>Wireline Competition Bureau</w:t>
      </w:r>
      <w:r>
        <w:rPr>
          <w:color w:val="000000" w:themeColor="text1"/>
          <w:szCs w:val="22"/>
        </w:rPr>
        <w:tab/>
      </w:r>
    </w:p>
    <w:p w:rsidR="0079133F" w:rsidRPr="006E5C06" w:rsidP="000A0293" w14:paraId="6AE8BDE6" w14:textId="77777777">
      <w:pPr>
        <w:pStyle w:val="ParaNum"/>
        <w:keepNext/>
        <w:keepLines/>
        <w:numPr>
          <w:ilvl w:val="0"/>
          <w:numId w:val="0"/>
        </w:numPr>
        <w:ind w:firstLine="720"/>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47CF" w:rsidP="0055614C" w14:paraId="0314A79C" w14:textId="77777777">
    <w:pPr>
      <w:pStyle w:val="Footer"/>
      <w:framePr w:wrap="around" w:vAnchor="text" w:hAnchor="margin" w:xAlign="center" w:y="1"/>
    </w:pPr>
    <w:r>
      <w:fldChar w:fldCharType="begin"/>
    </w:r>
    <w:r>
      <w:instrText xml:space="preserve">PAGE  </w:instrText>
    </w:r>
    <w:r>
      <w:fldChar w:fldCharType="separate"/>
    </w:r>
    <w:r>
      <w:fldChar w:fldCharType="end"/>
    </w:r>
  </w:p>
  <w:p w:rsidR="005847CF" w14:paraId="4A6EBB4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47CF" w:rsidP="009F05C0" w14:paraId="7BF0D518" w14:textId="545B0C4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47CF" w14:paraId="50086C0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60153" w14:paraId="6EA6CE49" w14:textId="77777777">
      <w:r>
        <w:separator/>
      </w:r>
    </w:p>
  </w:footnote>
  <w:footnote w:type="continuationSeparator" w:id="1">
    <w:p w:rsidR="00D60153" w:rsidRPr="00754AE1" w:rsidP="00754AE1" w14:paraId="36CB240D" w14:textId="77777777">
      <w:pPr>
        <w:pStyle w:val="Footer"/>
      </w:pPr>
    </w:p>
  </w:footnote>
  <w:footnote w:type="continuationNotice" w:id="2">
    <w:p w:rsidR="00D60153" w:rsidRPr="00754AE1" w:rsidP="00754AE1" w14:paraId="792650CA" w14:textId="77777777">
      <w:pPr>
        <w:pStyle w:val="Footer"/>
      </w:pPr>
    </w:p>
  </w:footnote>
  <w:footnote w:id="3">
    <w:p w:rsidR="00F70AF0" w14:paraId="3A32F830" w14:textId="7F7E7268">
      <w:pPr>
        <w:pStyle w:val="FootnoteText"/>
      </w:pPr>
      <w:r>
        <w:rPr>
          <w:rStyle w:val="FootnoteReference"/>
        </w:rPr>
        <w:footnoteRef/>
      </w:r>
      <w:r>
        <w:t xml:space="preserve"> 47 CFR § 61.41.</w:t>
      </w:r>
    </w:p>
  </w:footnote>
  <w:footnote w:id="4">
    <w:p w:rsidR="005847CF" w:rsidRPr="00584D22" w:rsidP="00737669" w14:paraId="4AD3D872" w14:textId="77777777">
      <w:pPr>
        <w:pStyle w:val="FootnoteText"/>
      </w:pPr>
      <w:r w:rsidRPr="00584D22">
        <w:rPr>
          <w:rStyle w:val="FootnoteReference"/>
        </w:rPr>
        <w:footnoteRef/>
      </w:r>
      <w:r w:rsidRPr="00584D22">
        <w:t xml:space="preserve"> </w:t>
      </w:r>
      <w:r w:rsidRPr="00584D22">
        <w:rPr>
          <w:i/>
        </w:rPr>
        <w:t>See</w:t>
      </w:r>
      <w:r w:rsidRPr="00584D22">
        <w:t xml:space="preserve"> 47 CFR § 61.41(c)(2); Consolidated Communications of Pennsylvania Company, Inc.; Consolidated Communications of Maine Company, Inc.; Petition for Waiver of Section 61.41(c)(2) Of the Commission’s Rules, and Such Other Relief as May Be Necessary, To Preserve Bifurcated Regulation Following the Merger of Marianna and Scenery Hill Telephone Company and Bentleyville Communications Corporation With and Into Consolidated Communications of Pennsylvania Company, Inc., and the Merger of Community Service Telephone Company With and Into Consolidated Communications of Maine Company, Inc., WC Docket No. 19-275 (filed Sept. 11, 2019), </w:t>
      </w:r>
      <w:hyperlink r:id="rId1" w:history="1">
        <w:r w:rsidRPr="00584D22">
          <w:rPr>
            <w:rStyle w:val="Hyperlink"/>
          </w:rPr>
          <w:t>https://www.fcc.gov/ecfs/filing/1092013197850</w:t>
        </w:r>
      </w:hyperlink>
      <w:r w:rsidRPr="00584D22">
        <w:t xml:space="preserve"> (Petition).   </w:t>
      </w:r>
    </w:p>
  </w:footnote>
  <w:footnote w:id="5">
    <w:p w:rsidR="005847CF" w14:paraId="09FDA573" w14:textId="01DFD776">
      <w:pPr>
        <w:pStyle w:val="FootnoteText"/>
      </w:pPr>
      <w:r>
        <w:rPr>
          <w:rStyle w:val="FootnoteReference"/>
        </w:rPr>
        <w:footnoteRef/>
      </w:r>
      <w:r>
        <w:t xml:space="preserve"> </w:t>
      </w:r>
      <w:r w:rsidRPr="000F19ED">
        <w:rPr>
          <w:i/>
          <w:iCs/>
        </w:rPr>
        <w:t>See</w:t>
      </w:r>
      <w:r>
        <w:t xml:space="preserve"> 47 CFR § 61.41(c)(2) (“</w:t>
      </w:r>
      <w:r w:rsidRPr="000C43B0">
        <w:t>Where a telephone company subject to price cap regulation acquires, is acquired by, merges with, or otherwise becomes affiliated with a telephone company that is not subject to price cap regulation, the latter telephone company shall become subject to price cap regulation no later than one year following the effective date of such merger, acquisition, or similar transaction and shall accordingly file price cap tariffs to be effective no later than that date in accordance with the applicable provisions of this part 61.</w:t>
      </w:r>
      <w:r>
        <w:t>”)</w:t>
      </w:r>
    </w:p>
  </w:footnote>
  <w:footnote w:id="6">
    <w:p w:rsidR="005847CF" w:rsidRPr="00584D22" w14:paraId="14399F96" w14:textId="76BA448C">
      <w:pPr>
        <w:pStyle w:val="FootnoteText"/>
      </w:pPr>
      <w:r w:rsidRPr="00584D22">
        <w:rPr>
          <w:rStyle w:val="FootnoteReference"/>
        </w:rPr>
        <w:footnoteRef/>
      </w:r>
      <w:r w:rsidRPr="00584D22">
        <w:t xml:space="preserve"> </w:t>
      </w:r>
      <w:r w:rsidRPr="00584D22">
        <w:rPr>
          <w:i/>
          <w:iCs/>
        </w:rPr>
        <w:t>See</w:t>
      </w:r>
      <w:r w:rsidRPr="00584D22">
        <w:t xml:space="preserve"> Petition at 7-8. </w:t>
      </w:r>
      <w:r>
        <w:t xml:space="preserve"> Petitioners also requested a limited waiver of part 54; however, for the reasons discussed herein, we find that such waiver is not necessary to provide the relief requested in the petition. </w:t>
      </w:r>
    </w:p>
  </w:footnote>
  <w:footnote w:id="7">
    <w:p w:rsidR="00F70AF0" w:rsidP="00F70AF0" w14:paraId="4B6DF1FB" w14:textId="77777777">
      <w:pPr>
        <w:pStyle w:val="FootnoteText"/>
      </w:pPr>
      <w:r>
        <w:rPr>
          <w:rStyle w:val="FootnoteReference"/>
        </w:rPr>
        <w:footnoteRef/>
      </w:r>
      <w:r>
        <w:t xml:space="preserve"> </w:t>
      </w:r>
      <w:r w:rsidRPr="00584D22">
        <w:rPr>
          <w:i/>
          <w:color w:val="000000"/>
        </w:rPr>
        <w:t>See Policy and Rules Concerning Rates for Dominant Carriers</w:t>
      </w:r>
      <w:r w:rsidRPr="00584D22">
        <w:rPr>
          <w:color w:val="000000"/>
        </w:rPr>
        <w:t xml:space="preserve">, CC Docket No. 87-313, </w:t>
      </w:r>
      <w:r>
        <w:rPr>
          <w:color w:val="000000"/>
        </w:rPr>
        <w:t xml:space="preserve">Second Report and </w:t>
      </w:r>
      <w:r w:rsidRPr="00584D22">
        <w:rPr>
          <w:color w:val="000000"/>
        </w:rPr>
        <w:t xml:space="preserve">Order, </w:t>
      </w:r>
      <w:r>
        <w:t xml:space="preserve">5 </w:t>
      </w:r>
      <w:r w:rsidRPr="00584D22">
        <w:t xml:space="preserve">FCC Rcd </w:t>
      </w:r>
      <w:r>
        <w:t>6786</w:t>
      </w:r>
      <w:r w:rsidRPr="00584D22">
        <w:t xml:space="preserve">, </w:t>
      </w:r>
      <w:r>
        <w:t xml:space="preserve">6819-20, para. 271-279 (1990) </w:t>
      </w:r>
      <w:r>
        <w:rPr>
          <w:color w:val="000000"/>
        </w:rPr>
        <w:t>(</w:t>
      </w:r>
      <w:r w:rsidRPr="006A4DF9">
        <w:rPr>
          <w:i/>
          <w:iCs/>
          <w:color w:val="000000"/>
        </w:rPr>
        <w:t>Price Cap Order</w:t>
      </w:r>
      <w:r>
        <w:rPr>
          <w:color w:val="000000"/>
        </w:rPr>
        <w:t xml:space="preserve">) </w:t>
      </w:r>
      <w:r w:rsidRPr="00584D22">
        <w:rPr>
          <w:color w:val="000000"/>
        </w:rPr>
        <w:t>(subsequent history omitted</w:t>
      </w:r>
      <w:r>
        <w:rPr>
          <w:color w:val="000000"/>
        </w:rPr>
        <w:t xml:space="preserve">); </w:t>
      </w:r>
      <w:r>
        <w:rPr>
          <w:i/>
          <w:iCs/>
          <w:color w:val="000000"/>
        </w:rPr>
        <w:t>see also</w:t>
      </w:r>
      <w:r>
        <w:rPr>
          <w:color w:val="000000"/>
        </w:rPr>
        <w:t xml:space="preserve"> 47 CFR § 61.41</w:t>
      </w:r>
      <w:r>
        <w:t xml:space="preserve">.  </w:t>
      </w:r>
    </w:p>
  </w:footnote>
  <w:footnote w:id="8">
    <w:p w:rsidR="005847CF" w:rsidRPr="00584D22" w14:paraId="2B8B4EFA" w14:textId="77777777">
      <w:pPr>
        <w:pStyle w:val="FootnoteText"/>
      </w:pPr>
      <w:r w:rsidRPr="00584D22">
        <w:rPr>
          <w:rStyle w:val="FootnoteReference"/>
        </w:rPr>
        <w:footnoteRef/>
      </w:r>
      <w:r w:rsidRPr="00584D22">
        <w:t xml:space="preserve"> 47 CFR § 61.41(c)(1).</w:t>
      </w:r>
    </w:p>
  </w:footnote>
  <w:footnote w:id="9">
    <w:p w:rsidR="005847CF" w:rsidRPr="002B0396" w:rsidP="00F82F8C" w14:paraId="1A61A3D1" w14:textId="456DF10F">
      <w:pPr>
        <w:pStyle w:val="FootnoteText"/>
      </w:pPr>
      <w:r w:rsidRPr="00584D22">
        <w:rPr>
          <w:rStyle w:val="FootnoteReference"/>
        </w:rPr>
        <w:footnoteRef/>
      </w:r>
      <w:r w:rsidRPr="00584D22">
        <w:t xml:space="preserve"> </w:t>
      </w:r>
      <w:r w:rsidRPr="00584D22">
        <w:rPr>
          <w:i/>
          <w:iCs/>
        </w:rPr>
        <w:t>Id</w:t>
      </w:r>
      <w:r w:rsidRPr="00584D22">
        <w:t>. § 61.41(c)(2)</w:t>
      </w:r>
      <w:r>
        <w:t xml:space="preserve">; </w:t>
      </w:r>
      <w:r w:rsidRPr="00B1071D">
        <w:rPr>
          <w:i/>
          <w:iCs/>
        </w:rPr>
        <w:t xml:space="preserve">see </w:t>
      </w:r>
      <w:r w:rsidRPr="00584D22" w:rsidR="00AC6F88">
        <w:rPr>
          <w:i/>
          <w:color w:val="000000"/>
        </w:rPr>
        <w:t>Policy and Rules Concerning Rates for Dominant Carriers</w:t>
      </w:r>
      <w:r w:rsidRPr="00584D22" w:rsidR="00AC6F88">
        <w:rPr>
          <w:color w:val="000000"/>
        </w:rPr>
        <w:t xml:space="preserve">, CC Docket No. 87-313, Order on Reconsideration, </w:t>
      </w:r>
      <w:r w:rsidRPr="00584D22" w:rsidR="00AC6F88">
        <w:t>6 FCC Rcd 2637</w:t>
      </w:r>
      <w:r w:rsidR="00AC6F88">
        <w:t xml:space="preserve">, </w:t>
      </w:r>
      <w:r>
        <w:t>2642, para. 10</w:t>
      </w:r>
      <w:r w:rsidR="00AC6F88">
        <w:t xml:space="preserve"> </w:t>
      </w:r>
      <w:hyperlink r:id="rId2" w:history="1">
        <w:r w:rsidRPr="00584D22" w:rsidR="00AC6F88">
          <w:t>(1991)</w:t>
        </w:r>
      </w:hyperlink>
      <w:r w:rsidRPr="00584D22" w:rsidR="00AC6F88">
        <w:rPr>
          <w:color w:val="000000"/>
        </w:rPr>
        <w:t xml:space="preserve"> </w:t>
      </w:r>
      <w:r w:rsidR="00AC6F88">
        <w:rPr>
          <w:color w:val="000000"/>
        </w:rPr>
        <w:t>(</w:t>
      </w:r>
      <w:r w:rsidRPr="006A4DF9" w:rsidR="00AC6F88">
        <w:rPr>
          <w:i/>
          <w:iCs/>
          <w:color w:val="000000"/>
        </w:rPr>
        <w:t xml:space="preserve">Price Cap </w:t>
      </w:r>
      <w:r w:rsidR="00AC6F88">
        <w:rPr>
          <w:i/>
          <w:iCs/>
          <w:color w:val="000000"/>
        </w:rPr>
        <w:t xml:space="preserve">Reconsideration </w:t>
      </w:r>
      <w:r w:rsidRPr="006A4DF9" w:rsidR="00AC6F88">
        <w:rPr>
          <w:i/>
          <w:iCs/>
          <w:color w:val="000000"/>
        </w:rPr>
        <w:t>Order</w:t>
      </w:r>
      <w:r w:rsidR="00AC6F88">
        <w:rPr>
          <w:color w:val="000000"/>
        </w:rPr>
        <w:t xml:space="preserve">) </w:t>
      </w:r>
      <w:r w:rsidRPr="00584D22" w:rsidR="00AC6F88">
        <w:rPr>
          <w:color w:val="000000"/>
        </w:rPr>
        <w:t>(subsequent history omitted)</w:t>
      </w:r>
      <w:r w:rsidR="00050A90">
        <w:rPr>
          <w:color w:val="000000"/>
        </w:rPr>
        <w:t xml:space="preserve">; </w:t>
      </w:r>
      <w:r w:rsidRPr="0032602A" w:rsidR="00050A90">
        <w:rPr>
          <w:i/>
          <w:iCs/>
          <w:color w:val="000000"/>
        </w:rPr>
        <w:t>see also</w:t>
      </w:r>
      <w:r w:rsidR="00050A90">
        <w:rPr>
          <w:color w:val="000000"/>
        </w:rPr>
        <w:t xml:space="preserve"> 47 CFR</w:t>
      </w:r>
      <w:r w:rsidRPr="00050A90" w:rsidR="00050A90">
        <w:rPr>
          <w:i/>
          <w:iCs/>
        </w:rPr>
        <w:t xml:space="preserve"> </w:t>
      </w:r>
      <w:r w:rsidRPr="00B16ADC" w:rsidR="00050A90">
        <w:t>§ 61.41(b)</w:t>
      </w:r>
      <w:r w:rsidR="00050A90">
        <w:t xml:space="preserve"> </w:t>
      </w:r>
      <w:r w:rsidRPr="00B16ADC" w:rsidR="00050A90">
        <w:t>(</w:t>
      </w:r>
      <w:r w:rsidR="00050A90">
        <w:t>“</w:t>
      </w:r>
      <w:r w:rsidRPr="00050A90" w:rsidR="00050A90">
        <w:t>If a telephone company, or any one of a group of affiliated telephone companies, files a price cap tariff in one study area, that telephone company and its affiliates, except its average schedule affiliates, must file price cap tariffs in all their study areas.</w:t>
      </w:r>
      <w:r w:rsidR="00050A90">
        <w:t>”</w:t>
      </w:r>
      <w:r w:rsidRPr="00B16ADC" w:rsidR="00050A90">
        <w:t>)</w:t>
      </w:r>
      <w:r w:rsidR="00050A90">
        <w:t>.</w:t>
      </w:r>
    </w:p>
  </w:footnote>
  <w:footnote w:id="10">
    <w:p w:rsidR="0087272E" w14:paraId="3E1AF7C8" w14:textId="7AE85469">
      <w:pPr>
        <w:pStyle w:val="FootnoteText"/>
      </w:pPr>
      <w:r>
        <w:rPr>
          <w:rStyle w:val="FootnoteReference"/>
        </w:rPr>
        <w:footnoteRef/>
      </w:r>
      <w:r>
        <w:t xml:space="preserve"> 47 CFR § 61.41(c)(3).</w:t>
      </w:r>
      <w:r w:rsidRPr="00511CD4" w:rsidR="00511CD4">
        <w:t xml:space="preserve"> </w:t>
      </w:r>
      <w:r w:rsidR="00B677C5">
        <w:t xml:space="preserve"> </w:t>
      </w:r>
      <w:r w:rsidR="00511CD4">
        <w:t>A</w:t>
      </w:r>
      <w:r w:rsidRPr="00511CD4" w:rsidR="00511CD4">
        <w:t xml:space="preserve">n </w:t>
      </w:r>
      <w:r w:rsidR="00511CD4">
        <w:t>“</w:t>
      </w:r>
      <w:r w:rsidRPr="00511CD4" w:rsidR="00511CD4">
        <w:t>average schedule company</w:t>
      </w:r>
      <w:r w:rsidR="00511CD4">
        <w:t>”</w:t>
      </w:r>
      <w:r w:rsidRPr="00511CD4" w:rsidR="00511CD4">
        <w:t xml:space="preserve"> is a rate-of-return </w:t>
      </w:r>
      <w:r w:rsidR="00B677C5">
        <w:t>carrier</w:t>
      </w:r>
      <w:r w:rsidRPr="00511CD4" w:rsidR="00511CD4">
        <w:t xml:space="preserve"> that determines its costs based on formulas approved by the Commission that are designed to produce disbursements that would be received based on the costs of a company that is representative of average schedule companies. </w:t>
      </w:r>
      <w:r w:rsidRPr="0032602A" w:rsidR="00511CD4">
        <w:rPr>
          <w:i/>
          <w:iCs/>
        </w:rPr>
        <w:t>See</w:t>
      </w:r>
      <w:r w:rsidRPr="00511CD4" w:rsidR="00511CD4">
        <w:t xml:space="preserve"> 47 </w:t>
      </w:r>
      <w:r w:rsidR="00511CD4">
        <w:t>CFR</w:t>
      </w:r>
      <w:r w:rsidRPr="00511CD4" w:rsidR="00511CD4">
        <w:t xml:space="preserve"> § 69.606.</w:t>
      </w:r>
    </w:p>
  </w:footnote>
  <w:footnote w:id="11">
    <w:p w:rsidR="000A6E0D" w:rsidP="000A6E0D" w14:paraId="1B439888" w14:textId="2580992E">
      <w:pPr>
        <w:pStyle w:val="FootnoteText"/>
      </w:pPr>
      <w:r>
        <w:rPr>
          <w:rStyle w:val="FootnoteReference"/>
        </w:rPr>
        <w:footnoteRef/>
      </w:r>
      <w:r>
        <w:t xml:space="preserve"> </w:t>
      </w:r>
      <w:r w:rsidRPr="00F733F5">
        <w:rPr>
          <w:i/>
          <w:iCs/>
        </w:rPr>
        <w:t>See</w:t>
      </w:r>
      <w:r>
        <w:t xml:space="preserve"> </w:t>
      </w:r>
      <w:r w:rsidRPr="00F733F5">
        <w:rPr>
          <w:i/>
          <w:iCs/>
        </w:rPr>
        <w:t>Price Cap Order</w:t>
      </w:r>
      <w:r>
        <w:t xml:space="preserve">, 5 FCC Rcd at 6819-21, paras. 271-281. </w:t>
      </w:r>
    </w:p>
  </w:footnote>
  <w:footnote w:id="12">
    <w:p w:rsidR="00014AE7" w:rsidP="00DD6A8D" w14:paraId="53715F4B" w14:textId="4152739E">
      <w:pPr>
        <w:pStyle w:val="FootnoteText"/>
      </w:pPr>
      <w:r>
        <w:rPr>
          <w:rStyle w:val="FootnoteReference"/>
        </w:rPr>
        <w:footnoteRef/>
      </w:r>
      <w:r>
        <w:t xml:space="preserve"> </w:t>
      </w:r>
      <w:r w:rsidRPr="0032602A" w:rsidR="00DD6A8D">
        <w:rPr>
          <w:i/>
          <w:iCs/>
        </w:rPr>
        <w:t>See</w:t>
      </w:r>
      <w:r w:rsidR="00DD6A8D">
        <w:t xml:space="preserve"> </w:t>
      </w:r>
      <w:r w:rsidR="0032602A">
        <w:rPr>
          <w:i/>
          <w:iCs/>
        </w:rPr>
        <w:t>id.</w:t>
      </w:r>
      <w:r w:rsidR="00415DE7">
        <w:t xml:space="preserve"> at 6789, para. 22</w:t>
      </w:r>
      <w:r w:rsidR="00DD6A8D">
        <w:t xml:space="preserve">; 47 CFR §§ 61.42-61.49 (price cap </w:t>
      </w:r>
      <w:r w:rsidR="00521508">
        <w:t xml:space="preserve">tariffing </w:t>
      </w:r>
      <w:r w:rsidR="00DD6A8D">
        <w:t xml:space="preserve">rules); </w:t>
      </w:r>
      <w:r w:rsidRPr="0032602A" w:rsidR="00DD6A8D">
        <w:rPr>
          <w:i/>
          <w:iCs/>
        </w:rPr>
        <w:t>Connect America Fund, et al</w:t>
      </w:r>
      <w:r w:rsidR="00DD6A8D">
        <w:t xml:space="preserve">., WC Docket No. 10-90 et al., </w:t>
      </w:r>
      <w:r w:rsidR="0032602A">
        <w:t xml:space="preserve">Report and Order on Reconsideration, and Further Notice of Proposed Rulemaking, </w:t>
      </w:r>
      <w:r w:rsidR="00844BD0">
        <w:t xml:space="preserve">31 FCC Rcd 3087, </w:t>
      </w:r>
      <w:r w:rsidR="00DD6A8D">
        <w:t>3172, para. 229 (2016)</w:t>
      </w:r>
      <w:r w:rsidR="00521508">
        <w:t xml:space="preserve"> (discussing rate of return formula); 47 CFR </w:t>
      </w:r>
      <w:r w:rsidR="00016B90">
        <w:t xml:space="preserve">§§ </w:t>
      </w:r>
      <w:r w:rsidR="00521508">
        <w:t>61.38, 61.39 (rate-of-return tariffing rules).</w:t>
      </w:r>
    </w:p>
  </w:footnote>
  <w:footnote w:id="13">
    <w:p w:rsidR="005847CF" w14:paraId="714A54DF" w14:textId="4A6F2431">
      <w:pPr>
        <w:pStyle w:val="FootnoteText"/>
      </w:pPr>
      <w:r>
        <w:rPr>
          <w:rStyle w:val="FootnoteReference"/>
        </w:rPr>
        <w:footnoteRef/>
      </w:r>
      <w:r>
        <w:t xml:space="preserve"> </w:t>
      </w:r>
      <w:r w:rsidRPr="00B1071D">
        <w:rPr>
          <w:i/>
          <w:iCs/>
        </w:rPr>
        <w:t xml:space="preserve">Price Cap </w:t>
      </w:r>
      <w:r>
        <w:rPr>
          <w:i/>
          <w:iCs/>
        </w:rPr>
        <w:t xml:space="preserve">Reconsideration </w:t>
      </w:r>
      <w:r w:rsidRPr="00B1071D">
        <w:rPr>
          <w:i/>
          <w:iCs/>
        </w:rPr>
        <w:t>Order</w:t>
      </w:r>
      <w:r>
        <w:t>, 6 FCC Rcd at 2706, para. 148.</w:t>
      </w:r>
    </w:p>
  </w:footnote>
  <w:footnote w:id="14">
    <w:p w:rsidR="005847CF" w:rsidRPr="00584D22" w:rsidP="00174582" w14:paraId="6CE7B0DE" w14:textId="66504667">
      <w:pPr>
        <w:pStyle w:val="FootnoteText"/>
        <w:rPr>
          <w:i/>
        </w:rPr>
      </w:pPr>
      <w:r w:rsidRPr="00584D22">
        <w:rPr>
          <w:rStyle w:val="FootnoteReference"/>
        </w:rPr>
        <w:footnoteRef/>
      </w:r>
      <w:r w:rsidRPr="00584D22">
        <w:t xml:space="preserve"> </w:t>
      </w:r>
      <w:r w:rsidRPr="00584D22">
        <w:rPr>
          <w:i/>
        </w:rPr>
        <w:t>See</w:t>
      </w:r>
      <w:r>
        <w:t xml:space="preserve"> </w:t>
      </w:r>
      <w:r w:rsidRPr="00B1071D" w:rsidR="007C2C68">
        <w:rPr>
          <w:i/>
          <w:iCs/>
        </w:rPr>
        <w:t>Price Cap Order</w:t>
      </w:r>
      <w:r w:rsidRPr="00CA0615" w:rsidR="007C2C68">
        <w:t>, 5 FCC Rcd at 6819, para. 272</w:t>
      </w:r>
      <w:r w:rsidR="007C2C68">
        <w:t xml:space="preserve">; </w:t>
      </w:r>
      <w:r w:rsidRPr="00584D22" w:rsidR="007C2C68">
        <w:rPr>
          <w:i/>
        </w:rPr>
        <w:t>Multi-Association Group (MAG) Plan for Regulation of Interstate Services of Non-Price Cap Incumbent Local Exchange Carriers and Interexchange Carriers</w:t>
      </w:r>
      <w:r w:rsidRPr="00584D22" w:rsidR="007C2C68">
        <w:t xml:space="preserve"> </w:t>
      </w:r>
      <w:r w:rsidRPr="00584D22" w:rsidR="007C2C68">
        <w:rPr>
          <w:i/>
        </w:rPr>
        <w:t>et al.</w:t>
      </w:r>
      <w:r w:rsidRPr="00584D22" w:rsidR="007C2C68">
        <w:t>, CC Docket No. 00-256 et al., Report and Order and Further Notice of Proposed Rulemaking, 16 FCC Rcd 19613, 197</w:t>
      </w:r>
      <w:r w:rsidR="007C2C68">
        <w:t>1</w:t>
      </w:r>
      <w:r w:rsidRPr="00584D22" w:rsidR="007C2C68">
        <w:t>8, para. 261 (2001) (</w:t>
      </w:r>
      <w:r w:rsidRPr="00584D22" w:rsidR="007C2C68">
        <w:rPr>
          <w:i/>
        </w:rPr>
        <w:t>MAG Order</w:t>
      </w:r>
      <w:r w:rsidRPr="00584D22" w:rsidR="007C2C68">
        <w:t>).</w:t>
      </w:r>
    </w:p>
  </w:footnote>
  <w:footnote w:id="15">
    <w:p w:rsidR="005847CF" w:rsidRPr="00584D22" w:rsidP="008720B3" w14:paraId="79A152CA" w14:textId="73F9C734">
      <w:pPr>
        <w:pStyle w:val="FootnoteText"/>
      </w:pPr>
      <w:r w:rsidRPr="00584D22">
        <w:rPr>
          <w:rStyle w:val="FootnoteReference"/>
        </w:rPr>
        <w:footnoteRef/>
      </w:r>
      <w:r w:rsidRPr="00584D22">
        <w:rPr>
          <w:color w:val="000000"/>
        </w:rPr>
        <w:t xml:space="preserve"> </w:t>
      </w:r>
      <w:r w:rsidRPr="00584D22">
        <w:rPr>
          <w:i/>
          <w:color w:val="000000"/>
        </w:rPr>
        <w:t xml:space="preserve">See </w:t>
      </w:r>
      <w:r w:rsidRPr="006A4DF9">
        <w:rPr>
          <w:i/>
          <w:iCs/>
          <w:color w:val="000000"/>
        </w:rPr>
        <w:t xml:space="preserve">Price Cap </w:t>
      </w:r>
      <w:r>
        <w:rPr>
          <w:i/>
          <w:iCs/>
          <w:color w:val="000000"/>
        </w:rPr>
        <w:t xml:space="preserve">Reconsideration </w:t>
      </w:r>
      <w:r w:rsidRPr="006A4DF9">
        <w:rPr>
          <w:i/>
          <w:iCs/>
          <w:color w:val="000000"/>
        </w:rPr>
        <w:t>Order</w:t>
      </w:r>
      <w:r w:rsidRPr="00584D22">
        <w:rPr>
          <w:color w:val="000000"/>
        </w:rPr>
        <w:t xml:space="preserve">, </w:t>
      </w:r>
      <w:hyperlink r:id="rId2" w:history="1">
        <w:r w:rsidRPr="00584D22">
          <w:t xml:space="preserve">6 FCC Rcd </w:t>
        </w:r>
        <w:r>
          <w:t xml:space="preserve">at </w:t>
        </w:r>
        <w:r w:rsidRPr="00584D22">
          <w:t>2706, n.207</w:t>
        </w:r>
      </w:hyperlink>
      <w:r w:rsidRPr="00584D22">
        <w:rPr>
          <w:color w:val="000000"/>
        </w:rPr>
        <w:t xml:space="preserve">; </w:t>
      </w:r>
      <w:r w:rsidRPr="00584D22">
        <w:rPr>
          <w:i/>
          <w:iCs/>
          <w:color w:val="000000"/>
        </w:rPr>
        <w:t>Consolidated-FairPoint Transfer Order</w:t>
      </w:r>
      <w:r w:rsidRPr="00584D22">
        <w:rPr>
          <w:color w:val="000000"/>
        </w:rPr>
        <w:t xml:space="preserve">, 32 FCC Rcd at 3831, para. 32. </w:t>
      </w:r>
    </w:p>
  </w:footnote>
  <w:footnote w:id="16">
    <w:p w:rsidR="005847CF" w:rsidRPr="00584D22" w:rsidP="008720B3" w14:paraId="3CF20A6A" w14:textId="63A3F13C">
      <w:pPr>
        <w:pStyle w:val="FootnoteText"/>
      </w:pPr>
      <w:r w:rsidRPr="00584D22">
        <w:rPr>
          <w:rStyle w:val="FootnoteReference"/>
        </w:rPr>
        <w:footnoteRef/>
      </w:r>
      <w:r w:rsidRPr="00584D22">
        <w:rPr>
          <w:i/>
          <w:iCs/>
        </w:rPr>
        <w:t xml:space="preserve"> </w:t>
      </w:r>
      <w:bookmarkStart w:id="2" w:name="_Hlk31029991"/>
      <w:r w:rsidRPr="00584D22">
        <w:rPr>
          <w:i/>
          <w:iCs/>
        </w:rPr>
        <w:t>See</w:t>
      </w:r>
      <w:r w:rsidRPr="00584D22">
        <w:t xml:space="preserve"> </w:t>
      </w:r>
      <w:r w:rsidRPr="0018381D">
        <w:rPr>
          <w:i/>
          <w:iCs/>
        </w:rPr>
        <w:t>Joint Application of Consolidated Holdings, Inc. and FairPoint Communications, Inc., to Transfer Indirect Control of Authorization Holders to Consolidated Communications Holdings, Inc</w:t>
      </w:r>
      <w:r>
        <w:t xml:space="preserve">., WC Docket No. 16-417, Memorandum Opinion and Order, </w:t>
      </w:r>
      <w:r w:rsidRPr="00584D22">
        <w:t>32 FCC Rcd 3820, 3830-32, paras. 27-32</w:t>
      </w:r>
      <w:r>
        <w:t xml:space="preserve"> (2017) (</w:t>
      </w:r>
      <w:r w:rsidRPr="00584D22">
        <w:rPr>
          <w:i/>
          <w:iCs/>
        </w:rPr>
        <w:t>Consolidated-FairPoint Transfer Order</w:t>
      </w:r>
      <w:r>
        <w:t>)</w:t>
      </w:r>
      <w:r w:rsidRPr="00584D22">
        <w:t xml:space="preserve">; </w:t>
      </w:r>
      <w:r w:rsidRPr="00584D22">
        <w:rPr>
          <w:i/>
        </w:rPr>
        <w:t>Consolidated Communications Holdings, Inc. Petition for Waiver of Section 61.41(c) of the Commission’s Rules</w:t>
      </w:r>
      <w:r w:rsidRPr="00584D22">
        <w:t>, WC Docket No. 15-74, Order, 30 FCC Rcd 10844 (WCB 2015) (</w:t>
      </w:r>
      <w:r w:rsidRPr="00584D22">
        <w:rPr>
          <w:i/>
        </w:rPr>
        <w:t>2015 Consolidated Waiver Order</w:t>
      </w:r>
      <w:r w:rsidRPr="00584D22">
        <w:t xml:space="preserve">); </w:t>
      </w:r>
      <w:r w:rsidRPr="00584D22">
        <w:rPr>
          <w:i/>
          <w:iCs/>
        </w:rPr>
        <w:t>China Telephone Company, FairPoint Vermont, Inc., Maine Telephone Company, Northland Telephone Company of Maine, Inc., Sidney Telephone Company, and Standish Telephone Company Petition for Conversion to Price Cap Regulation and for Limited Waiver Relief</w:t>
      </w:r>
      <w:r w:rsidRPr="00584D22">
        <w:t>, WC Docket No. 10-47, 25 FCC Rcd 4824 (WCB 2010).</w:t>
      </w:r>
      <w:bookmarkEnd w:id="2"/>
    </w:p>
  </w:footnote>
  <w:footnote w:id="17">
    <w:p w:rsidR="005847CF" w:rsidRPr="00584D22" w:rsidP="00E071D8" w14:paraId="242B3800" w14:textId="77777777">
      <w:pPr>
        <w:pStyle w:val="FootnoteText"/>
      </w:pPr>
      <w:r w:rsidRPr="00584D22">
        <w:rPr>
          <w:rStyle w:val="FootnoteReference"/>
        </w:rPr>
        <w:footnoteRef/>
      </w:r>
      <w:r w:rsidRPr="00584D22">
        <w:t xml:space="preserve"> </w:t>
      </w:r>
      <w:r w:rsidRPr="00584D22">
        <w:rPr>
          <w:i/>
          <w:iCs/>
        </w:rPr>
        <w:t>Consolidated-FairPoint Transfer Order</w:t>
      </w:r>
      <w:r w:rsidRPr="00584D22">
        <w:t>, 32 FCC Rcd at 3830-32, paras. 27-32.</w:t>
      </w:r>
    </w:p>
  </w:footnote>
  <w:footnote w:id="18">
    <w:p w:rsidR="005847CF" w:rsidP="009B0A22" w14:paraId="5CA074FC" w14:textId="1EED2258">
      <w:pPr>
        <w:pStyle w:val="FootnoteText"/>
      </w:pPr>
      <w:r>
        <w:rPr>
          <w:rStyle w:val="FootnoteReference"/>
        </w:rPr>
        <w:footnoteRef/>
      </w:r>
      <w:r>
        <w:t xml:space="preserve"> </w:t>
      </w:r>
      <w:r w:rsidRPr="00E572A3">
        <w:rPr>
          <w:i/>
          <w:iCs/>
        </w:rPr>
        <w:t>See</w:t>
      </w:r>
      <w:r>
        <w:t xml:space="preserve"> </w:t>
      </w:r>
      <w:r w:rsidRPr="0018381D">
        <w:rPr>
          <w:i/>
          <w:iCs/>
        </w:rPr>
        <w:t>Consolidated-FairPoint Transfer Order</w:t>
      </w:r>
      <w:r>
        <w:t xml:space="preserve">, 32 FCC Rcd at 3820, para. 1;  Consolidated Communications Holdings, Inc. and FairPoint Communications, Inc. Application for authority pursuant to Section 214 of the Communications Act of 1934, as amended, to Transfer Indirect Control of Domestic and International Section 214 Authorization Holders to Consolidated Communications Holdings, Inc., WC Docket No. 16-417, at 13-14 &amp; Exh. A (filed Dec. 21, 2016), </w:t>
      </w:r>
      <w:hyperlink r:id="rId3" w:history="1">
        <w:r w:rsidRPr="00BE2523">
          <w:rPr>
            <w:rStyle w:val="Hyperlink"/>
          </w:rPr>
          <w:t>https://ecfsapi.fcc.gov/file/122060849815/FINAL_CCH%20FairPoint%20Section%20214%</w:t>
        </w:r>
        <w:r w:rsidRPr="00BE2523">
          <w:rPr>
            <w:rStyle w:val="Hyperlink"/>
          </w:rPr>
          <w:br/>
          <w:t>20Transfer%20Application.pdf</w:t>
        </w:r>
      </w:hyperlink>
      <w:r>
        <w:t>.</w:t>
      </w:r>
      <w:r>
        <w:rPr>
          <w:i/>
          <w:iCs/>
        </w:rPr>
        <w:t xml:space="preserve"> </w:t>
      </w:r>
    </w:p>
  </w:footnote>
  <w:footnote w:id="19">
    <w:p w:rsidR="005847CF" w14:paraId="45AA8CE2" w14:textId="2D514B9F">
      <w:pPr>
        <w:pStyle w:val="FootnoteText"/>
      </w:pPr>
      <w:r>
        <w:rPr>
          <w:rStyle w:val="FootnoteReference"/>
        </w:rPr>
        <w:footnoteRef/>
      </w:r>
      <w:r>
        <w:t xml:space="preserve"> </w:t>
      </w:r>
      <w:r w:rsidRPr="00E572A3" w:rsidR="0018381D">
        <w:rPr>
          <w:i/>
          <w:iCs/>
        </w:rPr>
        <w:t>See</w:t>
      </w:r>
      <w:r w:rsidR="0018381D">
        <w:t xml:space="preserve"> </w:t>
      </w:r>
      <w:r w:rsidRPr="0018381D" w:rsidR="0018381D">
        <w:rPr>
          <w:i/>
          <w:iCs/>
        </w:rPr>
        <w:t>Consolidated-FairPoint Transfer Order</w:t>
      </w:r>
      <w:r w:rsidR="0018381D">
        <w:t xml:space="preserve">, 32 FCC Rcd at 3830, para. 27.  </w:t>
      </w:r>
    </w:p>
  </w:footnote>
  <w:footnote w:id="20">
    <w:p w:rsidR="0018381D" w14:paraId="4D7FEACB" w14:textId="58E16863">
      <w:pPr>
        <w:pStyle w:val="FootnoteText"/>
      </w:pPr>
      <w:r>
        <w:rPr>
          <w:rStyle w:val="FootnoteReference"/>
        </w:rPr>
        <w:footnoteRef/>
      </w:r>
      <w:r>
        <w:t xml:space="preserve"> </w:t>
      </w:r>
      <w:r w:rsidRPr="00C8435E">
        <w:rPr>
          <w:i/>
          <w:iCs/>
        </w:rPr>
        <w:t>Id</w:t>
      </w:r>
      <w:r>
        <w:t xml:space="preserve">. </w:t>
      </w:r>
    </w:p>
  </w:footnote>
  <w:footnote w:id="21">
    <w:p w:rsidR="0018381D" w14:paraId="37B953FB" w14:textId="0B651920">
      <w:pPr>
        <w:pStyle w:val="FootnoteText"/>
      </w:pPr>
      <w:r>
        <w:rPr>
          <w:rStyle w:val="FootnoteReference"/>
        </w:rPr>
        <w:footnoteRef/>
      </w:r>
      <w:r>
        <w:t xml:space="preserve"> </w:t>
      </w:r>
      <w:r w:rsidRPr="00C8435E" w:rsidR="00447B8F">
        <w:rPr>
          <w:i/>
          <w:iCs/>
        </w:rPr>
        <w:t>Id</w:t>
      </w:r>
      <w:r w:rsidR="00447B8F">
        <w:t>. at 3832, para. 32.</w:t>
      </w:r>
    </w:p>
  </w:footnote>
  <w:footnote w:id="22">
    <w:p w:rsidR="005847CF" w:rsidRPr="00584D22" w14:paraId="6AFF5632" w14:textId="3B52ED2C">
      <w:pPr>
        <w:pStyle w:val="FootnoteText"/>
      </w:pPr>
      <w:r w:rsidRPr="00584D22">
        <w:rPr>
          <w:rStyle w:val="FootnoteReference"/>
        </w:rPr>
        <w:footnoteRef/>
      </w:r>
      <w:r w:rsidRPr="00584D22">
        <w:t xml:space="preserve"> </w:t>
      </w:r>
      <w:r w:rsidRPr="00584D22">
        <w:rPr>
          <w:i/>
        </w:rPr>
        <w:t>Connect America Fund et al</w:t>
      </w:r>
      <w:r w:rsidRPr="00584D22">
        <w:t>., WC Docket No. 10-90 et al., Report and Order and Further Notice of Proposed Rulemaking, 26 FCC Rcd 17663 (2011) (</w:t>
      </w:r>
      <w:r w:rsidRPr="00584D22">
        <w:rPr>
          <w:i/>
        </w:rPr>
        <w:t>USF/ICC Transformation Order</w:t>
      </w:r>
      <w:r w:rsidRPr="00584D22">
        <w:t xml:space="preserve">), </w:t>
      </w:r>
      <w:r w:rsidRPr="00584D22">
        <w:rPr>
          <w:i/>
          <w:iCs/>
        </w:rPr>
        <w:t>pet. for review denied</w:t>
      </w:r>
      <w:r w:rsidRPr="00584D22">
        <w:t>, 753 F.3d 1015 (10th Cir. 2014).</w:t>
      </w:r>
    </w:p>
  </w:footnote>
  <w:footnote w:id="23">
    <w:p w:rsidR="005847CF" w:rsidRPr="00584D22" w14:paraId="3E81C0C3" w14:textId="285E769E">
      <w:pPr>
        <w:pStyle w:val="FootnoteText"/>
      </w:pPr>
      <w:r w:rsidRPr="00584D22">
        <w:rPr>
          <w:rStyle w:val="FootnoteReference"/>
        </w:rPr>
        <w:footnoteRef/>
      </w:r>
      <w:r w:rsidRPr="00584D22">
        <w:t xml:space="preserve"> </w:t>
      </w:r>
      <w:r w:rsidRPr="00584D22">
        <w:rPr>
          <w:i/>
          <w:iCs/>
        </w:rPr>
        <w:t>Id</w:t>
      </w:r>
      <w:r w:rsidRPr="00584D22">
        <w:t>. at 17904, para. 737.</w:t>
      </w:r>
    </w:p>
  </w:footnote>
  <w:footnote w:id="24">
    <w:p w:rsidR="005847CF" w14:paraId="46B1DF67" w14:textId="0D202D21">
      <w:pPr>
        <w:pStyle w:val="FootnoteText"/>
      </w:pPr>
      <w:r>
        <w:rPr>
          <w:rStyle w:val="FootnoteReference"/>
        </w:rPr>
        <w:footnoteRef/>
      </w:r>
      <w:r>
        <w:t xml:space="preserve"> </w:t>
      </w:r>
      <w:r w:rsidRPr="00584D22">
        <w:rPr>
          <w:i/>
        </w:rPr>
        <w:t>Id.</w:t>
      </w:r>
      <w:r w:rsidRPr="00584D22">
        <w:t xml:space="preserve"> at 17904-956, paras. 736-846, 801 &amp; fig. 9; </w:t>
      </w:r>
      <w:r>
        <w:t>47 CFR §§ 51.907(h), 51.909(j).</w:t>
      </w:r>
    </w:p>
  </w:footnote>
  <w:footnote w:id="25">
    <w:p w:rsidR="005847CF" w14:paraId="47FE1AE5" w14:textId="001E1C9D">
      <w:pPr>
        <w:pStyle w:val="FootnoteText"/>
      </w:pPr>
      <w:r>
        <w:rPr>
          <w:rStyle w:val="FootnoteReference"/>
        </w:rPr>
        <w:footnoteRef/>
      </w:r>
      <w:r>
        <w:t xml:space="preserve"> </w:t>
      </w:r>
      <w:r w:rsidRPr="000F06D4">
        <w:rPr>
          <w:i/>
          <w:iCs/>
        </w:rPr>
        <w:t>USF/ICC Transformation Order</w:t>
      </w:r>
      <w:r>
        <w:t>, 26 FCC Rcd at 17932, 17934, paras. 798, 801, fig. 9; 47 CFR §§ 51.907(a), 51.909(a).</w:t>
      </w:r>
    </w:p>
  </w:footnote>
  <w:footnote w:id="26">
    <w:p w:rsidR="005847CF" w:rsidRPr="00584D22" w:rsidP="005F6FE5" w14:paraId="354237CE" w14:textId="77777777">
      <w:pPr>
        <w:pStyle w:val="FootnoteText"/>
      </w:pPr>
      <w:r w:rsidRPr="00584D22">
        <w:rPr>
          <w:rStyle w:val="FootnoteReference"/>
        </w:rPr>
        <w:footnoteRef/>
      </w:r>
      <w:r w:rsidRPr="00584D22">
        <w:t xml:space="preserve"> </w:t>
      </w:r>
      <w:bookmarkStart w:id="3" w:name="_Hlk30520183"/>
      <w:r w:rsidRPr="00584D22">
        <w:rPr>
          <w:i/>
        </w:rPr>
        <w:t>USF/ICC Transformation Order</w:t>
      </w:r>
      <w:r w:rsidRPr="00584D22">
        <w:t>, 26 FCC Rcd at 17996, paras. 918-920</w:t>
      </w:r>
      <w:bookmarkEnd w:id="3"/>
      <w:r w:rsidRPr="00584D22">
        <w:t>; 47 CFR §§ 51.915(f)(5), 51.917(f).</w:t>
      </w:r>
    </w:p>
  </w:footnote>
  <w:footnote w:id="27">
    <w:p w:rsidR="005847CF" w14:paraId="6325DB93" w14:textId="3C77FB88">
      <w:pPr>
        <w:pStyle w:val="FootnoteText"/>
      </w:pPr>
      <w:r>
        <w:rPr>
          <w:rStyle w:val="FootnoteReference"/>
        </w:rPr>
        <w:footnoteRef/>
      </w:r>
      <w:r w:rsidRPr="00582DD3">
        <w:rPr>
          <w:i/>
          <w:iCs/>
        </w:rPr>
        <w:t xml:space="preserve"> See</w:t>
      </w:r>
      <w:r>
        <w:t xml:space="preserve"> </w:t>
      </w:r>
      <w:r w:rsidRPr="00584D22">
        <w:rPr>
          <w:i/>
        </w:rPr>
        <w:t>Connect America Fund et al</w:t>
      </w:r>
      <w:r w:rsidRPr="00584D22">
        <w:t>., WC Docket No. 10-90 et al.,</w:t>
      </w:r>
      <w:r>
        <w:t xml:space="preserve"> </w:t>
      </w:r>
      <w:r w:rsidRPr="0083434C">
        <w:t>Notice of Proposed Rulemaking and Further Notice of Proposed Rulemaking</w:t>
      </w:r>
      <w:r>
        <w:t>, 26 FCC Rcd 4554, 4564-65, para. 21 (2011).</w:t>
      </w:r>
    </w:p>
  </w:footnote>
  <w:footnote w:id="28">
    <w:p w:rsidR="005847CF" w:rsidRPr="00584D22" w14:paraId="4143FEAC" w14:textId="526136A9">
      <w:pPr>
        <w:pStyle w:val="FootnoteText"/>
      </w:pPr>
      <w:r w:rsidRPr="00584D22">
        <w:rPr>
          <w:rStyle w:val="FootnoteReference"/>
        </w:rPr>
        <w:footnoteRef/>
      </w:r>
      <w:r w:rsidRPr="00584D22">
        <w:t xml:space="preserve"> </w:t>
      </w:r>
      <w:bookmarkStart w:id="5" w:name="_Hlk32236061"/>
      <w:r w:rsidRPr="00584D22">
        <w:rPr>
          <w:i/>
          <w:iCs/>
          <w:color w:val="231F20"/>
        </w:rPr>
        <w:t>USF/ICC Transformation Order</w:t>
      </w:r>
      <w:r w:rsidRPr="00584D22">
        <w:rPr>
          <w:color w:val="231F20"/>
        </w:rPr>
        <w:t xml:space="preserve">, 26 FCC Rcd </w:t>
      </w:r>
      <w:r w:rsidRPr="00584D22">
        <w:t>at 17713, para. 129.</w:t>
      </w:r>
      <w:bookmarkEnd w:id="5"/>
    </w:p>
  </w:footnote>
  <w:footnote w:id="29">
    <w:p w:rsidR="005847CF" w:rsidRPr="00584D22" w:rsidP="00753AC2" w14:paraId="43CDF225" w14:textId="77777777">
      <w:pPr>
        <w:pStyle w:val="FootnoteText"/>
      </w:pPr>
      <w:r w:rsidRPr="00584D22">
        <w:rPr>
          <w:rStyle w:val="FootnoteReference"/>
        </w:rPr>
        <w:footnoteRef/>
      </w:r>
      <w:r w:rsidRPr="00584D22">
        <w:t xml:space="preserve"> </w:t>
      </w:r>
      <w:r w:rsidRPr="00584D22">
        <w:rPr>
          <w:i/>
          <w:iCs/>
        </w:rPr>
        <w:t>Id</w:t>
      </w:r>
      <w:r w:rsidRPr="00584D22">
        <w:t>.; 47 CFR § 54.312(a).</w:t>
      </w:r>
    </w:p>
  </w:footnote>
  <w:footnote w:id="30">
    <w:p w:rsidR="005847CF" w:rsidRPr="00584D22" w:rsidP="00E57182" w14:paraId="2EDCF221" w14:textId="7B8FC94C">
      <w:pPr>
        <w:pStyle w:val="FootnoteText"/>
      </w:pPr>
      <w:r w:rsidRPr="00584D22">
        <w:rPr>
          <w:rStyle w:val="FootnoteReference"/>
        </w:rPr>
        <w:footnoteRef/>
      </w:r>
      <w:r w:rsidRPr="006A4DF9">
        <w:t xml:space="preserve"> </w:t>
      </w:r>
      <w:r w:rsidRPr="00584D22">
        <w:rPr>
          <w:i/>
          <w:iCs/>
        </w:rPr>
        <w:t>See</w:t>
      </w:r>
      <w:r w:rsidRPr="006A4DF9">
        <w:rPr>
          <w:kern w:val="28"/>
        </w:rPr>
        <w:t xml:space="preserve"> </w:t>
      </w:r>
      <w:r>
        <w:rPr>
          <w:i/>
          <w:iCs/>
        </w:rPr>
        <w:t>Regulation of Business Data Services for Rate-of-Return Local Exchange Carriers et al.</w:t>
      </w:r>
      <w:r w:rsidRPr="002B0396">
        <w:t>,</w:t>
      </w:r>
      <w:r>
        <w:t xml:space="preserve"> WC Docket No. 17-144 et al.</w:t>
      </w:r>
      <w:r w:rsidRPr="00584D22">
        <w:t xml:space="preserve">, 33 FCC Rcd </w:t>
      </w:r>
      <w:r>
        <w:t xml:space="preserve">10403, </w:t>
      </w:r>
      <w:r w:rsidRPr="00584D22">
        <w:t>10406, para. 8</w:t>
      </w:r>
      <w:r>
        <w:t xml:space="preserve"> (2018) (</w:t>
      </w:r>
      <w:r w:rsidRPr="00584D22">
        <w:rPr>
          <w:i/>
          <w:kern w:val="28"/>
        </w:rPr>
        <w:t xml:space="preserve">Rate-of-Return </w:t>
      </w:r>
      <w:r w:rsidRPr="00584D22">
        <w:rPr>
          <w:i/>
          <w:iCs/>
        </w:rPr>
        <w:t>BDS Order</w:t>
      </w:r>
      <w:r>
        <w:t>).</w:t>
      </w:r>
      <w:r w:rsidRPr="00584D22">
        <w:t xml:space="preserve">  </w:t>
      </w:r>
    </w:p>
  </w:footnote>
  <w:footnote w:id="31">
    <w:p w:rsidR="005847CF" w:rsidRPr="00584D22" w:rsidP="009264F0" w14:paraId="3C8EC750" w14:textId="3D438925">
      <w:pPr>
        <w:pStyle w:val="FootnoteText"/>
      </w:pPr>
      <w:r w:rsidRPr="00584D22">
        <w:rPr>
          <w:rStyle w:val="FootnoteReference"/>
        </w:rPr>
        <w:footnoteRef/>
      </w:r>
      <w:r w:rsidRPr="00584D22">
        <w:t xml:space="preserve"> </w:t>
      </w:r>
      <w:r w:rsidRPr="00584D22">
        <w:rPr>
          <w:i/>
          <w:iCs/>
        </w:rPr>
        <w:t>Id</w:t>
      </w:r>
      <w:r w:rsidRPr="00584D22">
        <w:t>.</w:t>
      </w:r>
      <w:r>
        <w:t xml:space="preserve"> at 10409-10, paras. 16-17.</w:t>
      </w:r>
      <w:r w:rsidRPr="00584D22">
        <w:t xml:space="preserve">  Carriers eligible to make this election include carriers receiving Alternative Connect America Fund (ACAM) support, rate-of-return carriers affiliated with price cap carriers receiving fixed universal service support, Alaska Plan carriers, and rate-of-return carriers that accept future offers of ACAM support or otherwise transition away from legacy support.  </w:t>
      </w:r>
      <w:r w:rsidRPr="00584D22">
        <w:rPr>
          <w:i/>
          <w:iCs/>
        </w:rPr>
        <w:t xml:space="preserve">Id. </w:t>
      </w:r>
      <w:r w:rsidRPr="00584D22">
        <w:t>at 10410-11,</w:t>
      </w:r>
      <w:r w:rsidRPr="00584D22">
        <w:rPr>
          <w:i/>
          <w:iCs/>
        </w:rPr>
        <w:t xml:space="preserve"> </w:t>
      </w:r>
      <w:r w:rsidRPr="00584D22">
        <w:t xml:space="preserve">paras. 19-20; 47 CFR § 61.50(b). </w:t>
      </w:r>
    </w:p>
  </w:footnote>
  <w:footnote w:id="32">
    <w:p w:rsidR="005847CF" w:rsidRPr="00584D22" w:rsidP="00FB0E59" w14:paraId="1797D24C" w14:textId="323F2CF9">
      <w:pPr>
        <w:pStyle w:val="FootnoteText"/>
      </w:pPr>
      <w:r w:rsidRPr="00584D22">
        <w:rPr>
          <w:rStyle w:val="FootnoteReference"/>
        </w:rPr>
        <w:footnoteRef/>
      </w:r>
      <w:r w:rsidRPr="00584D22">
        <w:t xml:space="preserve"> </w:t>
      </w:r>
      <w:r w:rsidRPr="00F2318A">
        <w:rPr>
          <w:i/>
          <w:iCs/>
        </w:rPr>
        <w:t>Rate-of-Return BDS Order</w:t>
      </w:r>
      <w:r w:rsidRPr="00F2318A">
        <w:t>, 33 FCC Rcd at 10416, para. 22</w:t>
      </w:r>
      <w:r>
        <w:t xml:space="preserve">; </w:t>
      </w:r>
      <w:r w:rsidRPr="00F2318A">
        <w:rPr>
          <w:i/>
          <w:iCs/>
        </w:rPr>
        <w:t xml:space="preserve">see </w:t>
      </w:r>
      <w:r w:rsidRPr="00584D22">
        <w:rPr>
          <w:i/>
          <w:iCs/>
        </w:rPr>
        <w:t>Wireline Competition Bureau Announces Rate-of-Return Carriers Electing Incentive Regulation for Their Business Data Services</w:t>
      </w:r>
      <w:r w:rsidRPr="00584D22">
        <w:t>, WC Docket No. 17-144, Public Notice, 34 FCC Rcd 4846 (WCB 2019) (</w:t>
      </w:r>
      <w:r w:rsidRPr="00584D22">
        <w:rPr>
          <w:i/>
          <w:iCs/>
        </w:rPr>
        <w:t>BDS</w:t>
      </w:r>
      <w:r w:rsidRPr="00584D22">
        <w:t xml:space="preserve"> </w:t>
      </w:r>
      <w:r w:rsidRPr="00584D22">
        <w:rPr>
          <w:i/>
          <w:iCs/>
        </w:rPr>
        <w:t>Election Public Notice</w:t>
      </w:r>
      <w:r w:rsidRPr="00584D22">
        <w:t xml:space="preserve">). </w:t>
      </w:r>
    </w:p>
  </w:footnote>
  <w:footnote w:id="33">
    <w:p w:rsidR="005847CF" w14:paraId="66864918" w14:textId="3B920B00">
      <w:pPr>
        <w:pStyle w:val="FootnoteText"/>
      </w:pPr>
      <w:r>
        <w:rPr>
          <w:rStyle w:val="FootnoteReference"/>
        </w:rPr>
        <w:footnoteRef/>
      </w:r>
      <w:r>
        <w:t xml:space="preserve"> </w:t>
      </w:r>
      <w:r w:rsidRPr="00F2318A">
        <w:rPr>
          <w:i/>
          <w:iCs/>
        </w:rPr>
        <w:t>See</w:t>
      </w:r>
      <w:r>
        <w:t xml:space="preserve"> 47 CFR § 61.50(c), (k). </w:t>
      </w:r>
    </w:p>
  </w:footnote>
  <w:footnote w:id="34">
    <w:p w:rsidR="005847CF" w14:paraId="35E7A19C" w14:textId="0ADB360E">
      <w:pPr>
        <w:pStyle w:val="FootnoteText"/>
      </w:pPr>
      <w:r>
        <w:rPr>
          <w:rStyle w:val="FootnoteReference"/>
        </w:rPr>
        <w:footnoteRef/>
      </w:r>
      <w:r>
        <w:t xml:space="preserve"> </w:t>
      </w:r>
      <w:r w:rsidRPr="00F20DCF">
        <w:rPr>
          <w:i/>
          <w:iCs/>
        </w:rPr>
        <w:t>Rate-of-Return BDS Order</w:t>
      </w:r>
      <w:r w:rsidRPr="00F20DCF">
        <w:t>, 33 FCC Rcd at 10412, para. 23</w:t>
      </w:r>
      <w:r>
        <w:t>.</w:t>
      </w:r>
    </w:p>
  </w:footnote>
  <w:footnote w:id="35">
    <w:p w:rsidR="005847CF" w:rsidRPr="00584D22" w:rsidP="00F20DCF" w14:paraId="1CE75A51" w14:textId="5F3AED8C">
      <w:pPr>
        <w:pStyle w:val="FootnoteText"/>
      </w:pPr>
      <w:r w:rsidRPr="00584D22">
        <w:rPr>
          <w:rStyle w:val="FootnoteReference"/>
        </w:rPr>
        <w:footnoteRef/>
      </w:r>
      <w:r>
        <w:t xml:space="preserve"> </w:t>
      </w:r>
      <w:r w:rsidRPr="00EE7EAF">
        <w:rPr>
          <w:i/>
          <w:iCs/>
        </w:rPr>
        <w:t>Id</w:t>
      </w:r>
      <w:r>
        <w:t>. at 10413</w:t>
      </w:r>
      <w:r w:rsidRPr="00F20DCF">
        <w:t>,</w:t>
      </w:r>
      <w:r>
        <w:t xml:space="preserve"> para.</w:t>
      </w:r>
      <w:r w:rsidRPr="00F20DCF">
        <w:t xml:space="preserve"> 25.</w:t>
      </w:r>
      <w:r>
        <w:t xml:space="preserve">  If carriers were allowed to switch back-and-forth between rate-of-return and incentive regulation for their business data services offerings, electing carriers could inflate their rate base under rate-of-return regulation in order to raise rates before electing or returning to incentive regulation thereby inflating their initial rates before reducing costs to efficient levels. </w:t>
      </w:r>
      <w:r w:rsidRPr="00EE7EAF">
        <w:rPr>
          <w:i/>
          <w:iCs/>
        </w:rPr>
        <w:t>See id</w:t>
      </w:r>
      <w:r>
        <w:t xml:space="preserve">.   </w:t>
      </w:r>
    </w:p>
  </w:footnote>
  <w:footnote w:id="36">
    <w:p w:rsidR="005847CF" w:rsidRPr="00584D22" w:rsidP="00AA1242" w14:paraId="05F67B3F" w14:textId="5EB10F2F">
      <w:pPr>
        <w:pStyle w:val="FootnoteText"/>
      </w:pPr>
      <w:r w:rsidRPr="00584D22">
        <w:rPr>
          <w:rStyle w:val="FootnoteReference"/>
        </w:rPr>
        <w:footnoteRef/>
      </w:r>
      <w:r w:rsidRPr="00584D22">
        <w:t xml:space="preserve"> Petition at 1, 7-8. </w:t>
      </w:r>
    </w:p>
  </w:footnote>
  <w:footnote w:id="37">
    <w:p w:rsidR="005847CF" w14:paraId="3B625DF0" w14:textId="41BF2661">
      <w:pPr>
        <w:pStyle w:val="FootnoteText"/>
      </w:pPr>
      <w:r>
        <w:rPr>
          <w:rStyle w:val="FootnoteReference"/>
        </w:rPr>
        <w:footnoteRef/>
      </w:r>
      <w:r>
        <w:t xml:space="preserve"> </w:t>
      </w:r>
      <w:r w:rsidRPr="00B1071D">
        <w:rPr>
          <w:i/>
          <w:iCs/>
        </w:rPr>
        <w:t>Id</w:t>
      </w:r>
      <w:r>
        <w:t>.</w:t>
      </w:r>
    </w:p>
  </w:footnote>
  <w:footnote w:id="38">
    <w:p w:rsidR="005847CF" w:rsidRPr="00584D22" w14:paraId="73541F88" w14:textId="7A5837D8">
      <w:pPr>
        <w:pStyle w:val="FootnoteText"/>
      </w:pPr>
      <w:r w:rsidRPr="00584D22">
        <w:rPr>
          <w:rStyle w:val="FootnoteReference"/>
        </w:rPr>
        <w:footnoteRef/>
      </w:r>
      <w:r w:rsidRPr="00584D22">
        <w:t xml:space="preserve"> </w:t>
      </w:r>
      <w:r w:rsidRPr="00584D22">
        <w:rPr>
          <w:i/>
          <w:iCs/>
        </w:rPr>
        <w:t>Id</w:t>
      </w:r>
      <w:r w:rsidRPr="00584D22">
        <w:t>. at 1-2.</w:t>
      </w:r>
    </w:p>
  </w:footnote>
  <w:footnote w:id="39">
    <w:p w:rsidR="005847CF" w:rsidRPr="00584D22" w:rsidP="00222575" w14:paraId="50EA10E3" w14:textId="78AC5947">
      <w:pPr>
        <w:pStyle w:val="FootnoteText"/>
      </w:pPr>
      <w:r w:rsidRPr="00584D22">
        <w:rPr>
          <w:rStyle w:val="FootnoteReference"/>
        </w:rPr>
        <w:footnoteRef/>
      </w:r>
      <w:r w:rsidRPr="00584D22">
        <w:t xml:space="preserve"> </w:t>
      </w:r>
      <w:r w:rsidRPr="00584D22">
        <w:rPr>
          <w:i/>
          <w:iCs/>
        </w:rPr>
        <w:t>Id</w:t>
      </w:r>
      <w:r w:rsidRPr="00584D22">
        <w:t xml:space="preserve">. at 5. </w:t>
      </w:r>
    </w:p>
  </w:footnote>
  <w:footnote w:id="40">
    <w:p w:rsidR="005847CF" w:rsidRPr="00AA0911" w14:paraId="2CA9CA34" w14:textId="4D4B8DBE">
      <w:pPr>
        <w:pStyle w:val="FootnoteText"/>
      </w:pPr>
      <w:r>
        <w:rPr>
          <w:rStyle w:val="FootnoteReference"/>
        </w:rPr>
        <w:footnoteRef/>
      </w:r>
      <w:r>
        <w:t xml:space="preserve"> </w:t>
      </w:r>
      <w:r>
        <w:rPr>
          <w:i/>
          <w:iCs/>
        </w:rPr>
        <w:t>Id.</w:t>
      </w:r>
      <w:r>
        <w:t xml:space="preserve"> </w:t>
      </w:r>
    </w:p>
  </w:footnote>
  <w:footnote w:id="41">
    <w:p w:rsidR="005847CF" w:rsidRPr="00AA0911" w14:paraId="26EADD5A" w14:textId="0F5CD771">
      <w:pPr>
        <w:pStyle w:val="FootnoteText"/>
      </w:pPr>
      <w:r>
        <w:rPr>
          <w:rStyle w:val="FootnoteReference"/>
        </w:rPr>
        <w:footnoteRef/>
      </w:r>
      <w:r>
        <w:t xml:space="preserve"> </w:t>
      </w:r>
      <w:r>
        <w:rPr>
          <w:i/>
          <w:iCs/>
        </w:rPr>
        <w:t>Id.</w:t>
      </w:r>
    </w:p>
  </w:footnote>
  <w:footnote w:id="42">
    <w:p w:rsidR="005847CF" w:rsidRPr="00584D22" w:rsidP="00CD67CD" w14:paraId="4884C235" w14:textId="38236E21">
      <w:pPr>
        <w:pStyle w:val="FootnoteText"/>
      </w:pPr>
      <w:r w:rsidRPr="00584D22">
        <w:rPr>
          <w:rStyle w:val="FootnoteReference"/>
        </w:rPr>
        <w:footnoteRef/>
      </w:r>
      <w:r w:rsidRPr="00584D22">
        <w:t xml:space="preserve"> </w:t>
      </w:r>
      <w:bookmarkStart w:id="9" w:name="_Hlk25572715"/>
      <w:r w:rsidRPr="00584D22">
        <w:rPr>
          <w:i/>
          <w:iCs/>
        </w:rPr>
        <w:t>Id</w:t>
      </w:r>
      <w:r w:rsidRPr="00584D22">
        <w:t>.</w:t>
      </w:r>
      <w:bookmarkEnd w:id="9"/>
      <w:r>
        <w:t xml:space="preserve"> at 5; </w:t>
      </w:r>
      <w:r w:rsidRPr="00CD67CD">
        <w:rPr>
          <w:i/>
          <w:iCs/>
        </w:rPr>
        <w:t>see</w:t>
      </w:r>
      <w:r>
        <w:t xml:space="preserve"> </w:t>
      </w:r>
      <w:r w:rsidRPr="00CD67CD">
        <w:rPr>
          <w:i/>
          <w:iCs/>
        </w:rPr>
        <w:t>id</w:t>
      </w:r>
      <w:r>
        <w:t xml:space="preserve">. at 21 (“The study areas that formerly were operated by Marianna and Scenery Hill Telephone Company, Bentleyville Communications Corporation, and Community Service Telephone Company….are very small study areas serving rural areas.”) </w:t>
      </w:r>
    </w:p>
  </w:footnote>
  <w:footnote w:id="43">
    <w:p w:rsidR="005847CF" w14:paraId="7BAB3B10" w14:textId="08CC8299">
      <w:pPr>
        <w:pStyle w:val="FootnoteText"/>
      </w:pPr>
      <w:r>
        <w:rPr>
          <w:rStyle w:val="FootnoteReference"/>
        </w:rPr>
        <w:footnoteRef/>
      </w:r>
      <w:r>
        <w:t xml:space="preserve"> </w:t>
      </w:r>
      <w:r w:rsidRPr="00422E53">
        <w:rPr>
          <w:i/>
          <w:iCs/>
        </w:rPr>
        <w:t>Id</w:t>
      </w:r>
      <w:r>
        <w:t xml:space="preserve">. at 5. </w:t>
      </w:r>
    </w:p>
  </w:footnote>
  <w:footnote w:id="44">
    <w:p w:rsidR="005847CF" w14:paraId="0162B7A2" w14:textId="577D4A4D">
      <w:pPr>
        <w:pStyle w:val="FootnoteText"/>
      </w:pPr>
      <w:r>
        <w:rPr>
          <w:rStyle w:val="FootnoteReference"/>
        </w:rPr>
        <w:footnoteRef/>
      </w:r>
      <w:r>
        <w:t xml:space="preserve"> </w:t>
      </w:r>
      <w:r w:rsidRPr="008F0580">
        <w:rPr>
          <w:i/>
          <w:iCs/>
        </w:rPr>
        <w:t>See</w:t>
      </w:r>
      <w:r>
        <w:t xml:space="preserve"> 47 CFR § 63.03(d)(1) (“</w:t>
      </w:r>
      <w:r w:rsidRPr="00EA40F6">
        <w:t>Any party that would be a domestic common carrier under section 214 of the Communications Act of 1934, as amended, is authorized to undertake any corporate restructuring, reorganization or liquidation of internal business operations that does not result in a change in ultimate ownership or control of the carrier's lines or authorization to operate</w:t>
      </w:r>
      <w:r>
        <w:t>…</w:t>
      </w:r>
      <w:r w:rsidRPr="00EA40F6">
        <w:t>Under this rule, a transfer of control of a domestic line or authorization to operate is considered pro forma when, together with all previous internal corporate restructurings, the transaction does not result in a change in the carrier</w:t>
      </w:r>
      <w:r>
        <w:t>’</w:t>
      </w:r>
      <w:r w:rsidRPr="00EA40F6">
        <w:t>s ultimate ownership or control</w:t>
      </w:r>
      <w:r>
        <w:t>…”).</w:t>
      </w:r>
    </w:p>
  </w:footnote>
  <w:footnote w:id="45">
    <w:p w:rsidR="005847CF" w:rsidRPr="00584D22" w14:paraId="7B84C9FE" w14:textId="3A5827BC">
      <w:pPr>
        <w:pStyle w:val="FootnoteText"/>
      </w:pPr>
      <w:r w:rsidRPr="00584D22">
        <w:rPr>
          <w:rStyle w:val="FootnoteReference"/>
        </w:rPr>
        <w:footnoteRef/>
      </w:r>
      <w:r w:rsidRPr="00584D22">
        <w:t xml:space="preserve"> </w:t>
      </w:r>
      <w:r w:rsidRPr="008F0580">
        <w:t>Petition</w:t>
      </w:r>
      <w:r w:rsidRPr="00584D22">
        <w:t xml:space="preserve"> at </w:t>
      </w:r>
      <w:r>
        <w:t>5-8</w:t>
      </w:r>
      <w:r w:rsidRPr="00584D22">
        <w:t xml:space="preserve">. </w:t>
      </w:r>
    </w:p>
  </w:footnote>
  <w:footnote w:id="46">
    <w:p w:rsidR="005847CF" w:rsidRPr="00584D22" w14:paraId="2F54CCC0" w14:textId="7A25EEFF">
      <w:pPr>
        <w:pStyle w:val="FootnoteText"/>
      </w:pPr>
      <w:r w:rsidRPr="00584D22">
        <w:rPr>
          <w:rStyle w:val="FootnoteReference"/>
        </w:rPr>
        <w:footnoteRef/>
      </w:r>
      <w:r w:rsidRPr="00584D22">
        <w:t xml:space="preserve"> </w:t>
      </w:r>
      <w:r w:rsidRPr="00584D22">
        <w:rPr>
          <w:i/>
          <w:iCs/>
        </w:rPr>
        <w:t>Id</w:t>
      </w:r>
      <w:r w:rsidRPr="00584D22">
        <w:t>. at i.</w:t>
      </w:r>
    </w:p>
  </w:footnote>
  <w:footnote w:id="47">
    <w:p w:rsidR="005847CF" w:rsidRPr="00584D22" w14:paraId="71BEEBC1" w14:textId="7606EF2D">
      <w:pPr>
        <w:pStyle w:val="FootnoteText"/>
      </w:pPr>
      <w:r w:rsidRPr="00584D22">
        <w:rPr>
          <w:rStyle w:val="FootnoteReference"/>
        </w:rPr>
        <w:footnoteRef/>
      </w:r>
      <w:r w:rsidRPr="00584D22">
        <w:t xml:space="preserve"> </w:t>
      </w:r>
      <w:r w:rsidRPr="00584D22">
        <w:rPr>
          <w:i/>
          <w:iCs/>
        </w:rPr>
        <w:t>Id</w:t>
      </w:r>
      <w:r w:rsidRPr="00584D22">
        <w:t>.</w:t>
      </w:r>
    </w:p>
  </w:footnote>
  <w:footnote w:id="48">
    <w:p w:rsidR="005847CF" w14:paraId="1659FC87" w14:textId="780CDB9A">
      <w:pPr>
        <w:pStyle w:val="FootnoteText"/>
      </w:pPr>
      <w:r>
        <w:rPr>
          <w:rStyle w:val="FootnoteReference"/>
        </w:rPr>
        <w:footnoteRef/>
      </w:r>
      <w:r>
        <w:t xml:space="preserve"> </w:t>
      </w:r>
      <w:r w:rsidRPr="00CD46C3">
        <w:rPr>
          <w:i/>
          <w:iCs/>
        </w:rPr>
        <w:t>Id</w:t>
      </w:r>
      <w:r>
        <w:t>. at i.</w:t>
      </w:r>
    </w:p>
  </w:footnote>
  <w:footnote w:id="49">
    <w:p w:rsidR="005847CF" w:rsidRPr="00584D22" w:rsidP="00B231E3" w14:paraId="4A05E0BA" w14:textId="4570B519">
      <w:pPr>
        <w:pStyle w:val="FootnoteText"/>
      </w:pPr>
      <w:r w:rsidRPr="00584D22">
        <w:rPr>
          <w:rStyle w:val="FootnoteReference"/>
        </w:rPr>
        <w:footnoteRef/>
      </w:r>
      <w:r w:rsidRPr="00584D22">
        <w:t xml:space="preserve"> </w:t>
      </w:r>
      <w:r w:rsidRPr="00584D22">
        <w:rPr>
          <w:i/>
        </w:rPr>
        <w:t>See</w:t>
      </w:r>
      <w:r w:rsidRPr="00584D22">
        <w:t xml:space="preserve"> </w:t>
      </w:r>
      <w:r w:rsidRPr="00584D22">
        <w:rPr>
          <w:i/>
        </w:rPr>
        <w:t>Wireline Competition Bureau Seeks Comment on Consolidated Communications of Pennsylvania’s and Consolidated Communications of Maine’s Petition for Waiver of Commission’s “All-or-Nothing” Rule</w:t>
      </w:r>
      <w:r w:rsidRPr="00584D22">
        <w:t>, WC Docket No. 19-275, Public Notice, 34 FCC Rcd 8170 (WCB 2019).</w:t>
      </w:r>
    </w:p>
  </w:footnote>
  <w:footnote w:id="50">
    <w:p w:rsidR="005847CF" w:rsidRPr="00584D22" w14:paraId="66A27BCE" w14:textId="01CA73FC">
      <w:pPr>
        <w:pStyle w:val="FootnoteText"/>
      </w:pPr>
      <w:r w:rsidRPr="00584D22">
        <w:rPr>
          <w:rStyle w:val="FootnoteReference"/>
        </w:rPr>
        <w:footnoteRef/>
      </w:r>
      <w:r w:rsidRPr="00584D22">
        <w:t xml:space="preserve"> </w:t>
      </w:r>
      <w:r w:rsidRPr="00584D22">
        <w:rPr>
          <w:i/>
          <w:color w:val="000000"/>
        </w:rPr>
        <w:t xml:space="preserve">See </w:t>
      </w:r>
      <w:r w:rsidRPr="00982463">
        <w:rPr>
          <w:i/>
          <w:color w:val="000000"/>
        </w:rPr>
        <w:t>Price Cap Reconsideration Order</w:t>
      </w:r>
      <w:r w:rsidRPr="00584D22">
        <w:rPr>
          <w:color w:val="000000"/>
        </w:rPr>
        <w:t xml:space="preserve">, </w:t>
      </w:r>
      <w:hyperlink r:id="rId2" w:history="1">
        <w:r w:rsidRPr="00584D22">
          <w:t xml:space="preserve">6 FCC Rcd </w:t>
        </w:r>
        <w:r>
          <w:t>at</w:t>
        </w:r>
        <w:r w:rsidRPr="00584D22">
          <w:t xml:space="preserve"> 2706, n.207</w:t>
        </w:r>
      </w:hyperlink>
      <w:r w:rsidRPr="00584D22">
        <w:rPr>
          <w:color w:val="000000"/>
        </w:rPr>
        <w:t>.</w:t>
      </w:r>
    </w:p>
  </w:footnote>
  <w:footnote w:id="51">
    <w:p w:rsidR="00F1707B" w:rsidRPr="00584D22" w:rsidP="00F1707B" w14:paraId="26BA1969" w14:textId="77777777">
      <w:pPr>
        <w:pStyle w:val="FootnoteText"/>
      </w:pPr>
      <w:r w:rsidRPr="00584D22">
        <w:rPr>
          <w:rStyle w:val="FootnoteReference"/>
        </w:rPr>
        <w:footnoteRef/>
      </w:r>
      <w:r w:rsidRPr="00584D22">
        <w:t xml:space="preserve"> 47 CFR § 1.3.</w:t>
      </w:r>
    </w:p>
  </w:footnote>
  <w:footnote w:id="52">
    <w:p w:rsidR="00F1707B" w:rsidRPr="00584D22" w:rsidP="00F1707B" w14:paraId="4C6D9268" w14:textId="77777777">
      <w:pPr>
        <w:pStyle w:val="FootnoteText"/>
      </w:pPr>
      <w:r w:rsidRPr="00584D22">
        <w:rPr>
          <w:rStyle w:val="FootnoteReference"/>
        </w:rPr>
        <w:footnoteRef/>
      </w:r>
      <w:r w:rsidRPr="00584D22">
        <w:t xml:space="preserve"> </w:t>
      </w:r>
      <w:r w:rsidRPr="00584D22">
        <w:rPr>
          <w:i/>
        </w:rPr>
        <w:t>Northeast Cellular Telephone Co. v. FCC</w:t>
      </w:r>
      <w:r w:rsidRPr="00584D22">
        <w:t>, 897 F.2d 1164, 1166 (D.C. Cir. 1990).</w:t>
      </w:r>
    </w:p>
  </w:footnote>
  <w:footnote w:id="53">
    <w:p w:rsidR="00F1707B" w:rsidRPr="00584D22" w:rsidP="00F1707B" w14:paraId="229681A4" w14:textId="77777777">
      <w:pPr>
        <w:pStyle w:val="FootnoteText"/>
      </w:pPr>
      <w:r w:rsidRPr="00584D22">
        <w:rPr>
          <w:rStyle w:val="FootnoteReference"/>
        </w:rPr>
        <w:footnoteRef/>
      </w:r>
      <w:r w:rsidRPr="00584D22">
        <w:t xml:space="preserve"> </w:t>
      </w:r>
      <w:r>
        <w:rPr>
          <w:i/>
        </w:rPr>
        <w:t>Id</w:t>
      </w:r>
      <w:r w:rsidRPr="00584D22">
        <w:t>.</w:t>
      </w:r>
    </w:p>
  </w:footnote>
  <w:footnote w:id="54">
    <w:p w:rsidR="00F1707B" w:rsidRPr="00584D22" w:rsidP="00F1707B" w14:paraId="02F82C9A" w14:textId="77777777">
      <w:pPr>
        <w:pStyle w:val="FootnoteText"/>
      </w:pPr>
      <w:r w:rsidRPr="00584D22">
        <w:rPr>
          <w:rStyle w:val="FootnoteReference"/>
        </w:rPr>
        <w:footnoteRef/>
      </w:r>
      <w:r w:rsidRPr="00584D22">
        <w:t xml:space="preserve"> </w:t>
      </w:r>
      <w:r w:rsidRPr="00584D22">
        <w:rPr>
          <w:i/>
        </w:rPr>
        <w:t>WAIT Radio v. FCC</w:t>
      </w:r>
      <w:r w:rsidRPr="00584D22">
        <w:t xml:space="preserve">, 418 F.2d 1153, 1159 (D.C. Cir. 1969); </w:t>
      </w:r>
      <w:r w:rsidRPr="00584D22">
        <w:rPr>
          <w:i/>
        </w:rPr>
        <w:t>Northeast Cellular</w:t>
      </w:r>
      <w:r w:rsidRPr="00584D22">
        <w:t>, 897 F.2d at 1166.</w:t>
      </w:r>
    </w:p>
  </w:footnote>
  <w:footnote w:id="55">
    <w:p w:rsidR="005847CF" w14:paraId="48E5A73C" w14:textId="337FE527">
      <w:pPr>
        <w:pStyle w:val="FootnoteText"/>
      </w:pPr>
      <w:r>
        <w:rPr>
          <w:rStyle w:val="FootnoteReference"/>
        </w:rPr>
        <w:footnoteRef/>
      </w:r>
      <w:r>
        <w:t xml:space="preserve"> </w:t>
      </w:r>
      <w:r w:rsidRPr="00D160F5">
        <w:rPr>
          <w:i/>
          <w:iCs/>
        </w:rPr>
        <w:t>See</w:t>
      </w:r>
      <w:r>
        <w:t xml:space="preserve"> Petition at 5-6 (noting that “CCI believed that its 2019 consolidation of subsidiaries in Pennsylvania and Maine was permitted under the all-or-nothing rule waivers it had been granted in 2010, 2014 and 2017” but that “in informal conversations with Commission staff, it was suggested to CCI that a new waiver of Section 61.41(c)(2) of the Commission’s rules may be necessary for [Consolidated-Pennsylvania and Consolidated-Maine], both price cap companies, to operate the acquired rate-of-return sturdy areas without converting them to price cap regulation within one year.”).</w:t>
      </w:r>
    </w:p>
  </w:footnote>
  <w:footnote w:id="56">
    <w:p w:rsidR="005847CF" w14:paraId="2915884C" w14:textId="678CE9CF">
      <w:pPr>
        <w:pStyle w:val="FootnoteText"/>
      </w:pPr>
      <w:r>
        <w:rPr>
          <w:rStyle w:val="FootnoteReference"/>
        </w:rPr>
        <w:footnoteRef/>
      </w:r>
      <w:r>
        <w:t xml:space="preserve"> </w:t>
      </w:r>
      <w:r w:rsidRPr="00D160F5">
        <w:rPr>
          <w:i/>
          <w:iCs/>
        </w:rPr>
        <w:t>Consolidated-FairPoint Transfer Order</w:t>
      </w:r>
      <w:r>
        <w:t xml:space="preserve">, 32 FCC Rcd at 3830-32, paras. 27-32.  </w:t>
      </w:r>
    </w:p>
  </w:footnote>
  <w:footnote w:id="57">
    <w:p w:rsidR="005847CF" w:rsidP="00C773CB" w14:paraId="4517FC7D" w14:textId="77777777">
      <w:pPr>
        <w:pStyle w:val="FootnoteText"/>
      </w:pPr>
      <w:r>
        <w:rPr>
          <w:rStyle w:val="FootnoteReference"/>
        </w:rPr>
        <w:footnoteRef/>
      </w:r>
      <w:r w:rsidRPr="00472145">
        <w:rPr>
          <w:i/>
          <w:iCs/>
        </w:rPr>
        <w:t xml:space="preserve"> See</w:t>
      </w:r>
      <w:r>
        <w:t xml:space="preserve"> 47 CFR § 61.41(b).</w:t>
      </w:r>
    </w:p>
  </w:footnote>
  <w:footnote w:id="58">
    <w:p w:rsidR="00CA5878" w:rsidP="00CA5878" w14:paraId="6D92A090" w14:textId="77777777">
      <w:pPr>
        <w:pStyle w:val="FootnoteText"/>
      </w:pPr>
      <w:r>
        <w:rPr>
          <w:rStyle w:val="FootnoteReference"/>
        </w:rPr>
        <w:footnoteRef/>
      </w:r>
      <w:r>
        <w:t xml:space="preserve"> </w:t>
      </w:r>
      <w:r w:rsidRPr="001259D0">
        <w:rPr>
          <w:i/>
          <w:iCs/>
          <w:szCs w:val="22"/>
        </w:rPr>
        <w:t>See</w:t>
      </w:r>
      <w:r w:rsidRPr="00A94D51">
        <w:rPr>
          <w:szCs w:val="22"/>
        </w:rPr>
        <w:t xml:space="preserve"> Consolidated </w:t>
      </w:r>
      <w:r>
        <w:rPr>
          <w:szCs w:val="22"/>
        </w:rPr>
        <w:t>Communications</w:t>
      </w:r>
      <w:r w:rsidRPr="00A94D51">
        <w:rPr>
          <w:szCs w:val="22"/>
        </w:rPr>
        <w:t xml:space="preserve"> Companies, F.C.C. Tariff No. 9, Transmittal No. 113, Exh. 1 (filed Sept. 16, 2021).  </w:t>
      </w:r>
    </w:p>
  </w:footnote>
  <w:footnote w:id="59">
    <w:p w:rsidR="00CA5878" w:rsidP="00CA5878" w14:paraId="2D2696B2" w14:textId="77777777">
      <w:pPr>
        <w:pStyle w:val="FootnoteText"/>
      </w:pPr>
      <w:r>
        <w:rPr>
          <w:rStyle w:val="FootnoteReference"/>
        </w:rPr>
        <w:footnoteRef/>
      </w:r>
      <w:r>
        <w:t xml:space="preserve"> </w:t>
      </w:r>
      <w:r w:rsidRPr="001259D0">
        <w:rPr>
          <w:i/>
          <w:iCs/>
          <w:szCs w:val="22"/>
        </w:rPr>
        <w:t>See</w:t>
      </w:r>
      <w:r w:rsidRPr="00A94D51">
        <w:rPr>
          <w:szCs w:val="22"/>
        </w:rPr>
        <w:t xml:space="preserve"> Consolidated Communications Companies, Tariffs No. 1-9, Transmittal No. 111, Description &amp; Justification at 3 (June 16, 2021)</w:t>
      </w:r>
      <w:r>
        <w:rPr>
          <w:szCs w:val="22"/>
        </w:rPr>
        <w:t>.</w:t>
      </w:r>
      <w:r w:rsidRPr="00A94D51">
        <w:rPr>
          <w:szCs w:val="22"/>
        </w:rPr>
        <w:t xml:space="preserve"> </w:t>
      </w:r>
      <w:r>
        <w:rPr>
          <w:szCs w:val="22"/>
        </w:rPr>
        <w:t xml:space="preserve"> NECA </w:t>
      </w:r>
      <w:r w:rsidRPr="00AE5C25">
        <w:rPr>
          <w:szCs w:val="22"/>
        </w:rPr>
        <w:t>prepare</w:t>
      </w:r>
      <w:r>
        <w:rPr>
          <w:szCs w:val="22"/>
        </w:rPr>
        <w:t>s</w:t>
      </w:r>
      <w:r w:rsidRPr="00AE5C25">
        <w:rPr>
          <w:szCs w:val="22"/>
        </w:rPr>
        <w:t xml:space="preserve"> and file</w:t>
      </w:r>
      <w:r>
        <w:rPr>
          <w:szCs w:val="22"/>
        </w:rPr>
        <w:t>s</w:t>
      </w:r>
      <w:r w:rsidRPr="00AE5C25">
        <w:rPr>
          <w:szCs w:val="22"/>
        </w:rPr>
        <w:t xml:space="preserve"> access charge tariffs on behalf of telephone companies that do not file separate tariffs</w:t>
      </w:r>
      <w:r>
        <w:rPr>
          <w:szCs w:val="22"/>
        </w:rPr>
        <w:t xml:space="preserve">.  </w:t>
      </w:r>
      <w:r w:rsidRPr="00443851">
        <w:rPr>
          <w:i/>
          <w:iCs/>
          <w:szCs w:val="22"/>
        </w:rPr>
        <w:t>See</w:t>
      </w:r>
      <w:r>
        <w:rPr>
          <w:szCs w:val="22"/>
        </w:rPr>
        <w:t xml:space="preserve"> 47 CFR § 69.601(a). </w:t>
      </w:r>
    </w:p>
  </w:footnote>
  <w:footnote w:id="60">
    <w:p w:rsidR="005847CF" w14:paraId="2ED421F6" w14:textId="3D75DB42">
      <w:pPr>
        <w:pStyle w:val="FootnoteText"/>
      </w:pPr>
      <w:r>
        <w:rPr>
          <w:rStyle w:val="FootnoteReference"/>
        </w:rPr>
        <w:footnoteRef/>
      </w:r>
      <w:r>
        <w:t xml:space="preserve"> </w:t>
      </w:r>
      <w:r w:rsidRPr="009A13FD">
        <w:rPr>
          <w:i/>
          <w:iCs/>
        </w:rPr>
        <w:t>See</w:t>
      </w:r>
      <w:r>
        <w:t xml:space="preserve"> Petition at 5.</w:t>
      </w:r>
    </w:p>
  </w:footnote>
  <w:footnote w:id="61">
    <w:p w:rsidR="005847CF" w14:paraId="72B14A00" w14:textId="0D75F38A">
      <w:pPr>
        <w:pStyle w:val="FootnoteText"/>
      </w:pPr>
      <w:r>
        <w:rPr>
          <w:rStyle w:val="FootnoteReference"/>
        </w:rPr>
        <w:footnoteRef/>
      </w:r>
      <w:r>
        <w:t xml:space="preserve"> </w:t>
      </w:r>
      <w:r w:rsidRPr="009A13FD">
        <w:rPr>
          <w:i/>
          <w:iCs/>
        </w:rPr>
        <w:t>See</w:t>
      </w:r>
      <w:r>
        <w:t xml:space="preserve"> 47 CFR § 61.41(b); </w:t>
      </w:r>
      <w:r>
        <w:rPr>
          <w:i/>
          <w:iCs/>
        </w:rPr>
        <w:t>i</w:t>
      </w:r>
      <w:r w:rsidRPr="009A13FD">
        <w:rPr>
          <w:i/>
          <w:iCs/>
        </w:rPr>
        <w:t>d</w:t>
      </w:r>
      <w:r>
        <w:t>. § 61.43 (“Price cap local exchange carriers shall submit annual price cap tariff filing</w:t>
      </w:r>
      <w:r w:rsidR="00EB4293">
        <w:t>s</w:t>
      </w:r>
      <w:r>
        <w:t>.”)</w:t>
      </w:r>
      <w:r w:rsidR="00EB4293">
        <w:t xml:space="preserve">; </w:t>
      </w:r>
      <w:r w:rsidRPr="0018381D" w:rsidR="00EB4293">
        <w:rPr>
          <w:i/>
          <w:iCs/>
        </w:rPr>
        <w:t>see also</w:t>
      </w:r>
      <w:r w:rsidR="00EB4293">
        <w:t xml:space="preserve"> 47 CFR § 63.03(d)(3) (“N</w:t>
      </w:r>
      <w:r w:rsidRPr="006F4C75" w:rsidR="00EB4293">
        <w:t>otwithstanding any other provision in this part, any party that would be a domestic common carrier under section 214 of the Communications Act of 1934, as amended, including a carrier that begins providing service through a differently named subsidiary after an internal corporate restructuring, remains subject to all applicable conditions of service after an internal restructuring, such as rules governing slamming and tariffing.</w:t>
      </w:r>
      <w:r w:rsidR="00EB4293">
        <w:t>”).</w:t>
      </w:r>
    </w:p>
  </w:footnote>
  <w:footnote w:id="62">
    <w:p w:rsidR="005847CF" w:rsidRPr="00584D22" w14:paraId="3B336599" w14:textId="05DA0777">
      <w:pPr>
        <w:pStyle w:val="FootnoteText"/>
      </w:pPr>
      <w:r w:rsidRPr="00584D22">
        <w:rPr>
          <w:rStyle w:val="FootnoteReference"/>
        </w:rPr>
        <w:footnoteRef/>
      </w:r>
      <w:r w:rsidRPr="00584D22">
        <w:t xml:space="preserve"> The Study Areas that this waiver applies to are those previously served by Marianna and Scenery Hill Telephone Company (SAC 170185), Bentleyville Communications Corporation (SAC 170145), and Community Service Telephone Company (SAC 100015).  </w:t>
      </w:r>
      <w:r w:rsidRPr="009A13FD">
        <w:rPr>
          <w:i/>
          <w:iCs/>
        </w:rPr>
        <w:t>See</w:t>
      </w:r>
      <w:r>
        <w:t xml:space="preserve"> </w:t>
      </w:r>
      <w:r w:rsidRPr="00FB0438">
        <w:t xml:space="preserve">FCC, Study Area Boundaries, </w:t>
      </w:r>
      <w:hyperlink r:id="rId4" w:history="1">
        <w:r w:rsidRPr="005D6140" w:rsidR="002D059F">
          <w:rPr>
            <w:rStyle w:val="Hyperlink"/>
          </w:rPr>
          <w:t>https://www.fcc.gov/reports-research/maps/study-area-boundaries/</w:t>
        </w:r>
      </w:hyperlink>
      <w:r w:rsidR="002D059F">
        <w:t xml:space="preserve"> </w:t>
      </w:r>
      <w:r w:rsidRPr="00FB0438">
        <w:t>(last visited Dec. 2, 2021).</w:t>
      </w:r>
    </w:p>
  </w:footnote>
  <w:footnote w:id="63">
    <w:p w:rsidR="004A4C5A" w:rsidRPr="00584D22" w:rsidP="004A4C5A" w14:paraId="145D9ED3" w14:textId="77777777">
      <w:pPr>
        <w:pStyle w:val="FootnoteText"/>
      </w:pPr>
      <w:r w:rsidRPr="00584D22">
        <w:rPr>
          <w:rStyle w:val="FootnoteReference"/>
        </w:rPr>
        <w:footnoteRef/>
      </w:r>
      <w:r w:rsidRPr="00584D22">
        <w:t xml:space="preserve"> </w:t>
      </w:r>
      <w:r w:rsidRPr="00584D22">
        <w:rPr>
          <w:i/>
          <w:iCs/>
        </w:rPr>
        <w:t>See</w:t>
      </w:r>
      <w:r w:rsidRPr="00584D22">
        <w:t xml:space="preserve"> </w:t>
      </w:r>
      <w:r>
        <w:t xml:space="preserve">47 CFR § </w:t>
      </w:r>
      <w:r w:rsidRPr="00584D22">
        <w:t xml:space="preserve">51.915(f)(5) (“Beginning July 1, 2019, a Price Cap carrier may no longer recover any amount related to revenue recovery under this paragraph from CAF ICC Support.”). </w:t>
      </w:r>
    </w:p>
  </w:footnote>
  <w:footnote w:id="64">
    <w:p w:rsidR="005847CF" w:rsidRPr="00584D22" w:rsidP="00370D5D" w14:paraId="311DF826" w14:textId="509C40AD">
      <w:pPr>
        <w:pStyle w:val="FootnoteText"/>
      </w:pPr>
      <w:r w:rsidRPr="00584D22">
        <w:rPr>
          <w:rStyle w:val="FootnoteReference"/>
        </w:rPr>
        <w:footnoteRef/>
      </w:r>
      <w:r w:rsidRPr="00584D22">
        <w:t xml:space="preserve"> </w:t>
      </w:r>
      <w:r w:rsidRPr="00584D22">
        <w:rPr>
          <w:i/>
        </w:rPr>
        <w:t>See</w:t>
      </w:r>
      <w:r w:rsidRPr="00584D22">
        <w:t xml:space="preserve"> Petition at 8</w:t>
      </w:r>
      <w:r>
        <w:t>-9</w:t>
      </w:r>
      <w:r w:rsidRPr="00584D22">
        <w:t xml:space="preserve">; </w:t>
      </w:r>
      <w:r w:rsidRPr="00584D22">
        <w:rPr>
          <w:i/>
        </w:rPr>
        <w:t>Consolidated-FairPoint Transfer Order</w:t>
      </w:r>
      <w:r w:rsidRPr="00584D22">
        <w:t xml:space="preserve">, 32 FCC Rcd at 3831-32, para. 32; 47 CFR § 51.915(f).  </w:t>
      </w:r>
    </w:p>
  </w:footnote>
  <w:footnote w:id="65">
    <w:p w:rsidR="005847CF" w:rsidRPr="00584D22" w14:paraId="37D7DBE6" w14:textId="1299DE11">
      <w:pPr>
        <w:pStyle w:val="FootnoteText"/>
      </w:pPr>
      <w:r w:rsidRPr="00584D22">
        <w:rPr>
          <w:rStyle w:val="FootnoteReference"/>
        </w:rPr>
        <w:footnoteRef/>
      </w:r>
      <w:r w:rsidRPr="00584D22">
        <w:t xml:space="preserve"> </w:t>
      </w:r>
      <w:r w:rsidRPr="00584D22">
        <w:rPr>
          <w:i/>
          <w:iCs/>
        </w:rPr>
        <w:t>See</w:t>
      </w:r>
      <w:r w:rsidRPr="00584D22">
        <w:t xml:space="preserve"> </w:t>
      </w:r>
      <w:r w:rsidRPr="00584D22">
        <w:rPr>
          <w:i/>
          <w:iCs/>
        </w:rPr>
        <w:t>Rate-of-Return BDS Order</w:t>
      </w:r>
      <w:r w:rsidRPr="00584D22">
        <w:t xml:space="preserve">, 33 FCC Rcd at 10414, para. 27; 47 CFR §§ 51.909, 51.917. There, as here, moving the carriers to the shorter transition schedule for price cap carriers would have eliminated CAF ICC </w:t>
      </w:r>
      <w:r>
        <w:t xml:space="preserve">support </w:t>
      </w:r>
      <w:r w:rsidRPr="00584D22">
        <w:t xml:space="preserve">for the carriers in question.  </w:t>
      </w:r>
    </w:p>
  </w:footnote>
  <w:footnote w:id="66">
    <w:p w:rsidR="005847CF" w:rsidRPr="00584D22" w:rsidP="00087065" w14:paraId="149F8182" w14:textId="0C46843F">
      <w:pPr>
        <w:pStyle w:val="FootnoteText"/>
      </w:pPr>
      <w:r w:rsidRPr="00584D22">
        <w:rPr>
          <w:rStyle w:val="FootnoteReference"/>
        </w:rPr>
        <w:footnoteRef/>
      </w:r>
      <w:r w:rsidRPr="00584D22">
        <w:t xml:space="preserve"> </w:t>
      </w:r>
      <w:r w:rsidRPr="009A13FD">
        <w:rPr>
          <w:i/>
          <w:iCs/>
        </w:rPr>
        <w:t>See</w:t>
      </w:r>
      <w:r>
        <w:t xml:space="preserve"> </w:t>
      </w:r>
      <w:r w:rsidRPr="00584D22">
        <w:t xml:space="preserve">Petition at </w:t>
      </w:r>
      <w:r>
        <w:t xml:space="preserve">17 (“Complying with 61.41(c)(2)’s price cap tariff requirement…would…detract from the resources that otherwise would be available for investment in broadband communications infrastructure.”);  </w:t>
      </w:r>
      <w:r w:rsidRPr="009A13FD">
        <w:rPr>
          <w:i/>
          <w:iCs/>
        </w:rPr>
        <w:t>see</w:t>
      </w:r>
      <w:r>
        <w:rPr>
          <w:i/>
          <w:iCs/>
        </w:rPr>
        <w:t xml:space="preserve"> also</w:t>
      </w:r>
      <w:r w:rsidRPr="009A13FD">
        <w:rPr>
          <w:i/>
          <w:iCs/>
        </w:rPr>
        <w:t xml:space="preserve"> </w:t>
      </w:r>
      <w:r>
        <w:rPr>
          <w:i/>
          <w:iCs/>
        </w:rPr>
        <w:t>Inquiry Concerning Deployment of Advanced Telecommunications Capability to All Americans in a Reasonable and Timely Fashion</w:t>
      </w:r>
      <w:r w:rsidRPr="009A13FD">
        <w:t>, GN Docket No. 20-269, Fourteenth Broadband Deployment Report</w:t>
      </w:r>
      <w:r>
        <w:t xml:space="preserve">, </w:t>
      </w:r>
      <w:r w:rsidRPr="00D82582">
        <w:t>36 FCC Rcd 836</w:t>
      </w:r>
      <w:r>
        <w:t>, 837, para. 1 (2021) (recognizing that “[o]</w:t>
      </w:r>
      <w:r>
        <w:t>ver</w:t>
      </w:r>
      <w:r>
        <w:t xml:space="preserve"> the last four years, the Commission’s top priority has been closing the digital divide, in recognition that high-speed broadband and the digital opportunity it brings” and that “Americans in rural and remote regions continue to rely on broadband to stay connected to services and opportunities that are physically in distant locations.”);</w:t>
      </w:r>
      <w:r>
        <w:rPr>
          <w:i/>
          <w:iCs/>
        </w:rPr>
        <w:t xml:space="preserve"> </w:t>
      </w:r>
      <w:r w:rsidRPr="009A13FD">
        <w:rPr>
          <w:i/>
          <w:iCs/>
        </w:rPr>
        <w:t>Rural Digital Opportunity Fund et al</w:t>
      </w:r>
      <w:r>
        <w:t xml:space="preserve">., WC Docket No. 19-126 et al., Report and Order, </w:t>
      </w:r>
      <w:r w:rsidRPr="00D7751C">
        <w:t>35 FCC Rcd 686</w:t>
      </w:r>
      <w:r>
        <w:t>, 687, para. 1 (2020) (recognizing that “[b]ringing digital opportunity to Americans living on the wrong side of the digital divide continues to be the…Commission’s top priority” and that, “[w]</w:t>
      </w:r>
      <w:r>
        <w:t>ithout</w:t>
      </w:r>
      <w:r>
        <w:t xml:space="preserve"> access to broadband, rural communities cannot connect to the digital economy and the opportunities for better education, employment, healthcare, and civic and social engagement it provides.”).</w:t>
      </w:r>
    </w:p>
  </w:footnote>
  <w:footnote w:id="67">
    <w:p w:rsidR="005847CF" w:rsidRPr="00584D22" w:rsidP="003C70F5" w14:paraId="79210229" w14:textId="687AEE89">
      <w:pPr>
        <w:pStyle w:val="FootnoteText"/>
      </w:pPr>
      <w:r w:rsidRPr="00584D22">
        <w:rPr>
          <w:rStyle w:val="FootnoteReference"/>
        </w:rPr>
        <w:footnoteRef/>
      </w:r>
      <w:r w:rsidRPr="00584D22">
        <w:t xml:space="preserve"> </w:t>
      </w:r>
      <w:r w:rsidRPr="009A13FD">
        <w:t>Petition</w:t>
      </w:r>
      <w:r w:rsidRPr="00584D22">
        <w:t xml:space="preserve"> at 17-18.</w:t>
      </w:r>
    </w:p>
  </w:footnote>
  <w:footnote w:id="68">
    <w:p w:rsidR="005847CF" w:rsidRPr="00584D22" w14:paraId="63C7A05B" w14:textId="0C6DDEED">
      <w:pPr>
        <w:pStyle w:val="FootnoteText"/>
      </w:pPr>
      <w:r w:rsidRPr="00584D22">
        <w:rPr>
          <w:rStyle w:val="FootnoteReference"/>
        </w:rPr>
        <w:footnoteRef/>
      </w:r>
      <w:r w:rsidRPr="00584D22">
        <w:t xml:space="preserve"> </w:t>
      </w:r>
      <w:r w:rsidRPr="00584D22">
        <w:rPr>
          <w:i/>
          <w:iCs/>
        </w:rPr>
        <w:t>Id</w:t>
      </w:r>
      <w:r w:rsidRPr="00584D22">
        <w:t>.</w:t>
      </w:r>
    </w:p>
  </w:footnote>
  <w:footnote w:id="69">
    <w:p w:rsidR="005847CF" w:rsidP="00A8515E" w14:paraId="1138D371" w14:textId="6FCB6DB4">
      <w:pPr>
        <w:pStyle w:val="FootnoteText"/>
      </w:pPr>
      <w:r>
        <w:rPr>
          <w:rStyle w:val="FootnoteReference"/>
        </w:rPr>
        <w:footnoteRef/>
      </w:r>
      <w:r>
        <w:t xml:space="preserve"> </w:t>
      </w:r>
      <w:r w:rsidRPr="00A8515E">
        <w:t xml:space="preserve">Petitioners’ rate-of-return affiliates merged with price cap carriers effective May 15, 2019 and March 6, 2019.  </w:t>
      </w:r>
      <w:r w:rsidRPr="009F05C0">
        <w:rPr>
          <w:i/>
          <w:iCs/>
        </w:rPr>
        <w:t>See</w:t>
      </w:r>
      <w:r w:rsidRPr="00A8515E">
        <w:t xml:space="preserve"> Petition at 5.  </w:t>
      </w:r>
      <w:r>
        <w:t xml:space="preserve">Absent the Bureau granting Petitioner’s request for waiver of the all-or-nothing rule, </w:t>
      </w:r>
      <w:r w:rsidRPr="00A8515E">
        <w:t xml:space="preserve">Petitioners’ rate-of-return affiliates were required to </w:t>
      </w:r>
      <w:r>
        <w:t>convert to</w:t>
      </w:r>
      <w:r w:rsidRPr="00A8515E">
        <w:t xml:space="preserve"> price cap regulation no later than May 15, 2020 and March 6, 2020, respectively, one year following the effective date of the transaction</w:t>
      </w:r>
      <w:r>
        <w:t>s</w:t>
      </w:r>
      <w:r w:rsidRPr="00A8515E">
        <w:t xml:space="preserve">. </w:t>
      </w:r>
      <w:r w:rsidRPr="009F05C0">
        <w:rPr>
          <w:i/>
          <w:iCs/>
        </w:rPr>
        <w:t>See</w:t>
      </w:r>
      <w:r w:rsidRPr="00A8515E">
        <w:t xml:space="preserve"> 47 CFR § 61.41(c)(2).</w:t>
      </w:r>
      <w:r w:rsidRPr="0000464A">
        <w:t xml:space="preserve"> </w:t>
      </w:r>
      <w:r>
        <w:t xml:space="preserve">Petitioners’ filed their Petition requesting waiver of the all-or-nothing rule on September 11, 2019.  </w:t>
      </w:r>
      <w:r w:rsidRPr="008310A8">
        <w:rPr>
          <w:i/>
          <w:iCs/>
        </w:rPr>
        <w:t xml:space="preserve">See </w:t>
      </w:r>
      <w:r w:rsidRPr="009F05C0">
        <w:t>Petition</w:t>
      </w:r>
      <w:r>
        <w:t xml:space="preserve">.  Accordingly, Petitioners’ request for waiver of the all-or-nothing rule was pending at the time they were required to convert their Study Areas to price cap regulation and file price cap tariffs. </w:t>
      </w:r>
    </w:p>
  </w:footnote>
  <w:footnote w:id="70">
    <w:p w:rsidR="005847CF" w:rsidRPr="00584D22" w14:paraId="21A7427D" w14:textId="664F1F54">
      <w:pPr>
        <w:pStyle w:val="FootnoteText"/>
      </w:pPr>
      <w:r w:rsidRPr="00584D22">
        <w:rPr>
          <w:rStyle w:val="FootnoteReference"/>
        </w:rPr>
        <w:footnoteRef/>
      </w:r>
      <w:r w:rsidRPr="00584D22">
        <w:t xml:space="preserve"> </w:t>
      </w:r>
      <w:r w:rsidRPr="00584D22">
        <w:rPr>
          <w:i/>
          <w:iCs/>
        </w:rPr>
        <w:t>See USF/ICC Transformation Order</w:t>
      </w:r>
      <w:r w:rsidRPr="00584D22">
        <w:t>, 26 FCC Rcd at 17932-34, paras. 798, 800-01.</w:t>
      </w:r>
    </w:p>
  </w:footnote>
  <w:footnote w:id="71">
    <w:p w:rsidR="005847CF" w:rsidRPr="00584D22" w:rsidP="00274619" w14:paraId="1F6D965A" w14:textId="18E5EE05">
      <w:pPr>
        <w:pStyle w:val="FootnoteText"/>
      </w:pPr>
      <w:r w:rsidRPr="00584D22">
        <w:rPr>
          <w:rStyle w:val="FootnoteReference"/>
        </w:rPr>
        <w:footnoteRef/>
      </w:r>
      <w:r w:rsidRPr="00584D22">
        <w:t xml:space="preserve"> </w:t>
      </w:r>
      <w:r w:rsidRPr="00584D22">
        <w:rPr>
          <w:i/>
        </w:rPr>
        <w:t>See</w:t>
      </w:r>
      <w:r w:rsidRPr="00584D22">
        <w:t xml:space="preserve"> Petition at 10; </w:t>
      </w:r>
      <w:r w:rsidRPr="00584D22">
        <w:rPr>
          <w:i/>
          <w:iCs/>
        </w:rPr>
        <w:t>Wireline Competition Bureau Authorizes FairPoint to Receive Over $37 Million in Connect America Phase II Support in 14 States</w:t>
      </w:r>
      <w:r w:rsidRPr="00584D22">
        <w:t>, WC Docket No. 10-90, Public Notice, 30 FCC Rcd 8435 (WCB 2015) (</w:t>
      </w:r>
      <w:r w:rsidRPr="00584D22">
        <w:rPr>
          <w:i/>
        </w:rPr>
        <w:t>FairPoint CAF Phase II Authorization Public Notice</w:t>
      </w:r>
      <w:r w:rsidRPr="00584D22">
        <w:t>) (authorizing FairPoint, including former FairPoint subsidiaries that are currently wholly-owned subsidiaries of CCI, to receive over $37 million in annual CAF Phase II model-based support in 14 states</w:t>
      </w:r>
      <w:r>
        <w:t>,</w:t>
      </w:r>
      <w:r w:rsidRPr="00584D22">
        <w:t xml:space="preserve"> including Pennsylvania and Maine).  </w:t>
      </w:r>
    </w:p>
  </w:footnote>
  <w:footnote w:id="72">
    <w:p w:rsidR="005847CF" w:rsidRPr="00584D22" w:rsidP="00E95DB7" w14:paraId="06F8EDBB" w14:textId="7C4F1D40">
      <w:pPr>
        <w:pStyle w:val="FootnoteText"/>
      </w:pPr>
      <w:r w:rsidRPr="00584D22">
        <w:rPr>
          <w:rStyle w:val="FootnoteReference"/>
        </w:rPr>
        <w:footnoteRef/>
      </w:r>
      <w:r w:rsidRPr="00584D22">
        <w:t xml:space="preserve"> </w:t>
      </w:r>
      <w:r w:rsidRPr="00584D22">
        <w:rPr>
          <w:i/>
        </w:rPr>
        <w:t>See</w:t>
      </w:r>
      <w:r w:rsidRPr="00584D22">
        <w:t xml:space="preserve"> 47 CFR § 61.50; Letter from Barbara </w:t>
      </w:r>
      <w:r w:rsidRPr="00584D22">
        <w:t>Galardo</w:t>
      </w:r>
      <w:r w:rsidRPr="00584D22">
        <w:t xml:space="preserve">, Director of Cost and Access Tariffs, Consolidated Communications, to Kris Monteith, Chief, Wireline Competition Bureau, FCC, WC Docket No. 17-144 (dated Apr. 23, 2019); </w:t>
      </w:r>
      <w:r w:rsidRPr="00584D22">
        <w:rPr>
          <w:i/>
          <w:iCs/>
        </w:rPr>
        <w:t>BDS</w:t>
      </w:r>
      <w:r w:rsidRPr="00584D22">
        <w:t xml:space="preserve"> </w:t>
      </w:r>
      <w:r w:rsidRPr="00584D22">
        <w:rPr>
          <w:i/>
          <w:iCs/>
        </w:rPr>
        <w:t>Election Public Notice</w:t>
      </w:r>
      <w:r w:rsidRPr="00584D22">
        <w:t xml:space="preserve">, 34 FCC Rcd at 4847, Appx.; Petition at 12. </w:t>
      </w:r>
    </w:p>
  </w:footnote>
  <w:footnote w:id="73">
    <w:p w:rsidR="005847CF" w:rsidRPr="00584D22" w14:paraId="3667262C" w14:textId="4F1DEAB7">
      <w:pPr>
        <w:pStyle w:val="FootnoteText"/>
      </w:pPr>
      <w:r w:rsidRPr="00584D22">
        <w:rPr>
          <w:rStyle w:val="FootnoteReference"/>
        </w:rPr>
        <w:footnoteRef/>
      </w:r>
      <w:r w:rsidRPr="00584D22">
        <w:t xml:space="preserve"> </w:t>
      </w:r>
      <w:r w:rsidRPr="00584D22">
        <w:rPr>
          <w:i/>
          <w:iCs/>
        </w:rPr>
        <w:t>See</w:t>
      </w:r>
      <w:r w:rsidRPr="00584D22">
        <w:t xml:space="preserve"> 47 CFR § 61.50(c); </w:t>
      </w:r>
      <w:r w:rsidRPr="00584D22">
        <w:rPr>
          <w:i/>
          <w:iCs/>
        </w:rPr>
        <w:t>Rate-of-Return BDS Order</w:t>
      </w:r>
      <w:r w:rsidRPr="00584D22">
        <w:t>, 33 FCC Rcd at 10416, para. 33</w:t>
      </w:r>
      <w:r>
        <w:t xml:space="preserve">. </w:t>
      </w:r>
      <w:r w:rsidRPr="00584D22">
        <w:t xml:space="preserve"> </w:t>
      </w:r>
      <w:r>
        <w:t xml:space="preserve">As a result of CCI’s election, </w:t>
      </w:r>
      <w:r w:rsidRPr="00645E64">
        <w:t>Community Service Telephone Company</w:t>
      </w:r>
      <w:r>
        <w:t>’s</w:t>
      </w:r>
      <w:r w:rsidRPr="00645E64">
        <w:t>, Marianna and Scenery Hill Telephone Company</w:t>
      </w:r>
      <w:r>
        <w:t>’s</w:t>
      </w:r>
      <w:r w:rsidRPr="00645E64">
        <w:t>, and Bentleyville Communications Company</w:t>
      </w:r>
      <w:r>
        <w:t>’s</w:t>
      </w:r>
      <w:r w:rsidRPr="00645E64">
        <w:t xml:space="preserve"> </w:t>
      </w:r>
      <w:r w:rsidRPr="00A873D9">
        <w:t xml:space="preserve">higher-capacity business data service offerings above </w:t>
      </w:r>
      <w:r>
        <w:t>a DS3 bandwidth level</w:t>
      </w:r>
      <w:r w:rsidRPr="00A873D9">
        <w:t xml:space="preserve"> are no</w:t>
      </w:r>
      <w:r>
        <w:t xml:space="preserve"> longer </w:t>
      </w:r>
      <w:r w:rsidRPr="00A873D9">
        <w:t xml:space="preserve">subject to </w:t>
      </w:r>
      <w:r w:rsidRPr="00A873D9">
        <w:rPr>
          <w:i/>
          <w:iCs/>
        </w:rPr>
        <w:t xml:space="preserve">ex ante </w:t>
      </w:r>
      <w:r w:rsidRPr="00A873D9">
        <w:t>pricing regulation and tariffing and, therefore, are also unaffected by the waiver.</w:t>
      </w:r>
      <w:r>
        <w:t xml:space="preserve">  </w:t>
      </w:r>
      <w:r w:rsidRPr="00A873D9">
        <w:rPr>
          <w:i/>
          <w:iCs/>
        </w:rPr>
        <w:t>See</w:t>
      </w:r>
      <w:r>
        <w:t xml:space="preserve"> 47 CFR § 61.50(k)(1); </w:t>
      </w:r>
      <w:r w:rsidRPr="00A873D9">
        <w:rPr>
          <w:i/>
          <w:iCs/>
        </w:rPr>
        <w:t>Rate-of-Return BDS Order</w:t>
      </w:r>
      <w:r>
        <w:t xml:space="preserve">, 33 FCC Rcd at 10440-43, paras. 106-115. </w:t>
      </w:r>
    </w:p>
  </w:footnote>
  <w:footnote w:id="74">
    <w:p w:rsidR="005847CF" w:rsidRPr="00584D22" w:rsidP="00754D6E" w14:paraId="2BF2C8BB" w14:textId="34C507FD">
      <w:pPr>
        <w:pStyle w:val="FootnoteText"/>
      </w:pPr>
      <w:r w:rsidRPr="00584D22">
        <w:rPr>
          <w:rStyle w:val="FootnoteReference"/>
        </w:rPr>
        <w:footnoteRef/>
      </w:r>
      <w:r w:rsidRPr="00584D22">
        <w:rPr>
          <w:i/>
        </w:rPr>
        <w:t xml:space="preserve"> See</w:t>
      </w:r>
      <w:r w:rsidRPr="00584D22">
        <w:t xml:space="preserve"> Petition at 5</w:t>
      </w:r>
      <w:r w:rsidRPr="00584D22">
        <w:rPr>
          <w:i/>
        </w:rPr>
        <w:t>.</w:t>
      </w:r>
    </w:p>
  </w:footnote>
  <w:footnote w:id="75">
    <w:p w:rsidR="005847CF" w:rsidRPr="00584D22" w:rsidP="00DD00A9" w14:paraId="61DC1B73" w14:textId="3DF87C7A">
      <w:pPr>
        <w:pStyle w:val="FootnoteText"/>
      </w:pPr>
      <w:r w:rsidRPr="00584D22">
        <w:rPr>
          <w:rStyle w:val="FootnoteReference"/>
        </w:rPr>
        <w:footnoteRef/>
      </w:r>
      <w:r w:rsidRPr="00584D22">
        <w:t xml:space="preserve"> </w:t>
      </w:r>
      <w:r w:rsidRPr="00584D22">
        <w:rPr>
          <w:i/>
        </w:rPr>
        <w:t>See</w:t>
      </w:r>
      <w:r w:rsidRPr="00584D22">
        <w:t xml:space="preserve"> </w:t>
      </w:r>
      <w:r w:rsidRPr="0018381D" w:rsidR="00897214">
        <w:rPr>
          <w:i/>
          <w:iCs/>
        </w:rPr>
        <w:t>id</w:t>
      </w:r>
      <w:r w:rsidR="00897214">
        <w:t>.</w:t>
      </w:r>
      <w:r w:rsidRPr="00584D22" w:rsidR="00897214">
        <w:t xml:space="preserve"> </w:t>
      </w:r>
      <w:r w:rsidRPr="00584D22">
        <w:t xml:space="preserve">at 14-15. </w:t>
      </w:r>
    </w:p>
  </w:footnote>
  <w:footnote w:id="76">
    <w:p w:rsidR="005847CF" w:rsidRPr="00584D22" w:rsidP="00DD00A9" w14:paraId="69C1D29B" w14:textId="00CC355B">
      <w:pPr>
        <w:pStyle w:val="FootnoteText"/>
      </w:pPr>
      <w:r w:rsidRPr="00584D22">
        <w:rPr>
          <w:rStyle w:val="FootnoteReference"/>
        </w:rPr>
        <w:footnoteRef/>
      </w:r>
      <w:r w:rsidRPr="00584D22">
        <w:t xml:space="preserve"> </w:t>
      </w:r>
      <w:r w:rsidRPr="00584D22">
        <w:rPr>
          <w:i/>
          <w:iCs/>
        </w:rPr>
        <w:t xml:space="preserve">See </w:t>
      </w:r>
      <w:r w:rsidRPr="004735CB">
        <w:rPr>
          <w:rFonts w:ascii="TimesNewRomanPSMT" w:hAnsi="TimesNewRomanPSMT" w:cs="TimesNewRomanPSMT"/>
        </w:rPr>
        <w:t>47 CFR § 54.310</w:t>
      </w:r>
      <w:r>
        <w:rPr>
          <w:rFonts w:ascii="TimesNewRomanPSMT" w:hAnsi="TimesNewRomanPSMT" w:cs="TimesNewRomanPSMT"/>
        </w:rPr>
        <w:t xml:space="preserve">; </w:t>
      </w:r>
      <w:r w:rsidRPr="00584D22">
        <w:t xml:space="preserve">Petition at 9-11; </w:t>
      </w:r>
      <w:r w:rsidRPr="00584D22">
        <w:rPr>
          <w:i/>
        </w:rPr>
        <w:t>FairPoint CAF Phase II Authorization Public Notice</w:t>
      </w:r>
      <w:r w:rsidRPr="00584D22">
        <w:rPr>
          <w:iCs/>
        </w:rPr>
        <w:t xml:space="preserve">, </w:t>
      </w:r>
      <w:r w:rsidRPr="00584D22">
        <w:t xml:space="preserve">30 FCC Rcd at 8435-36 (authorizing FairPoint, including former FairPoint subsidiaries that are currently wholly-owned subsidiaries of CCI, to receive over $37 million in annual Connect America Fund Phase II model-based support in 14 states including Pennsylvania and Maine); </w:t>
      </w:r>
      <w:r w:rsidRPr="00BE54B0">
        <w:rPr>
          <w:i/>
          <w:iCs/>
        </w:rPr>
        <w:t>see</w:t>
      </w:r>
      <w:r w:rsidRPr="00584D22">
        <w:t xml:space="preserve"> </w:t>
      </w:r>
      <w:r w:rsidRPr="00BE54B0">
        <w:rPr>
          <w:i/>
          <w:iCs/>
        </w:rPr>
        <w:t>Consolidated-FairPoint Transfer Order</w:t>
      </w:r>
      <w:r w:rsidRPr="00584D22">
        <w:t>, 32 FCC Rcd at 3829, para. 2</w:t>
      </w:r>
      <w:r>
        <w:t>4</w:t>
      </w:r>
      <w:r w:rsidRPr="00584D22">
        <w:t xml:space="preserve"> n.76; </w:t>
      </w:r>
      <w:r w:rsidRPr="00BE54B0">
        <w:rPr>
          <w:i/>
          <w:iCs/>
        </w:rPr>
        <w:t>see</w:t>
      </w:r>
      <w:r w:rsidRPr="00584D22">
        <w:rPr>
          <w:i/>
          <w:iCs/>
        </w:rPr>
        <w:t xml:space="preserve"> also</w:t>
      </w:r>
      <w:r w:rsidRPr="00584D22">
        <w:t xml:space="preserve"> </w:t>
      </w:r>
      <w:r w:rsidRPr="00584D22">
        <w:rPr>
          <w:i/>
        </w:rPr>
        <w:t>Wireline Competition Bureau Authorizes Additional Price Cap Carriers to Receive Almost $950 Million in Phase II Connect America Support</w:t>
      </w:r>
      <w:r w:rsidRPr="00584D22">
        <w:rPr>
          <w:iCs/>
        </w:rPr>
        <w:t>, WC Docket No. 10-90, Public Notice, 30 FCC Rcd 8577 (WCB 2015) (</w:t>
      </w:r>
      <w:r w:rsidRPr="00584D22">
        <w:t>authorizing Consolidated Holdings to receive over $13.9 million in annual CAF Phase II model-based support in six states including Pennsylvania)</w:t>
      </w:r>
      <w:r w:rsidRPr="00584D22">
        <w:t>.   </w:t>
      </w:r>
    </w:p>
  </w:footnote>
  <w:footnote w:id="77">
    <w:p w:rsidR="005847CF" w:rsidRPr="00584D22" w:rsidP="00DD00A9" w14:paraId="4BB9857C" w14:textId="695F2621">
      <w:pPr>
        <w:pStyle w:val="FootnoteText"/>
      </w:pPr>
      <w:r w:rsidRPr="00584D22">
        <w:rPr>
          <w:rStyle w:val="FootnoteReference"/>
        </w:rPr>
        <w:footnoteRef/>
      </w:r>
      <w:r w:rsidRPr="00584D22">
        <w:t xml:space="preserve"> </w:t>
      </w:r>
      <w:r w:rsidRPr="00584D22">
        <w:rPr>
          <w:i/>
          <w:iCs/>
        </w:rPr>
        <w:t xml:space="preserve">See </w:t>
      </w:r>
      <w:r w:rsidRPr="00584D22">
        <w:t>Petition at 10-11</w:t>
      </w:r>
      <w:r>
        <w:t xml:space="preserve"> (</w:t>
      </w:r>
      <w:r w:rsidRPr="001259D0">
        <w:t xml:space="preserve">citing </w:t>
      </w:r>
      <w:r w:rsidRPr="00F20DCF">
        <w:rPr>
          <w:i/>
          <w:iCs/>
        </w:rPr>
        <w:t>Rate-of-Return BDS Order</w:t>
      </w:r>
      <w:r w:rsidRPr="00F20DCF">
        <w:t xml:space="preserve">, 33 FCC Rcd at </w:t>
      </w:r>
      <w:r>
        <w:t>10406, para. 8)</w:t>
      </w:r>
      <w:r w:rsidRPr="00584D22">
        <w:t>.</w:t>
      </w:r>
    </w:p>
  </w:footnote>
  <w:footnote w:id="78">
    <w:p w:rsidR="005847CF" w14:paraId="282B6E60" w14:textId="425086CD">
      <w:pPr>
        <w:pStyle w:val="FootnoteText"/>
      </w:pPr>
      <w:r>
        <w:rPr>
          <w:rStyle w:val="FootnoteReference"/>
        </w:rPr>
        <w:footnoteRef/>
      </w:r>
      <w:r>
        <w:t xml:space="preserve"> </w:t>
      </w:r>
      <w:r w:rsidRPr="00B1071D">
        <w:rPr>
          <w:i/>
          <w:iCs/>
        </w:rPr>
        <w:t xml:space="preserve">See </w:t>
      </w:r>
      <w:r w:rsidRPr="002B0396">
        <w:rPr>
          <w:i/>
          <w:iCs/>
        </w:rPr>
        <w:t>id</w:t>
      </w:r>
      <w:r>
        <w:t xml:space="preserve">. at 21-22. </w:t>
      </w:r>
    </w:p>
  </w:footnote>
  <w:footnote w:id="79">
    <w:p w:rsidR="005847CF" w14:paraId="23829944" w14:textId="12A3495F">
      <w:pPr>
        <w:pStyle w:val="FootnoteText"/>
      </w:pPr>
      <w:r>
        <w:rPr>
          <w:rStyle w:val="FootnoteReference"/>
        </w:rPr>
        <w:footnoteRef/>
      </w:r>
      <w:r>
        <w:t xml:space="preserve"> </w:t>
      </w:r>
      <w:r w:rsidRPr="001259D0">
        <w:t xml:space="preserve">Petition </w:t>
      </w:r>
      <w:r>
        <w:t>at 14.</w:t>
      </w:r>
    </w:p>
  </w:footnote>
  <w:footnote w:id="80">
    <w:p w:rsidR="005847CF" w:rsidP="00DF75AB" w14:paraId="0EBDA2B6" w14:textId="77777777">
      <w:pPr>
        <w:pStyle w:val="FootnoteText"/>
      </w:pPr>
      <w:r>
        <w:rPr>
          <w:rStyle w:val="FootnoteReference"/>
        </w:rPr>
        <w:footnoteRef/>
      </w:r>
      <w:r>
        <w:t xml:space="preserve"> </w:t>
      </w:r>
      <w:r w:rsidRPr="009A13FD">
        <w:rPr>
          <w:i/>
          <w:iCs/>
        </w:rPr>
        <w:t>See</w:t>
      </w:r>
      <w:r>
        <w:t xml:space="preserve"> Petition at 5.</w:t>
      </w:r>
    </w:p>
  </w:footnote>
  <w:footnote w:id="81">
    <w:p w:rsidR="007C6A53" w:rsidP="007C6A53" w14:paraId="26312CD3" w14:textId="77777777">
      <w:pPr>
        <w:pStyle w:val="FootnoteText"/>
      </w:pPr>
      <w:r>
        <w:rPr>
          <w:rStyle w:val="FootnoteReference"/>
        </w:rPr>
        <w:footnoteRef/>
      </w:r>
      <w:r>
        <w:t xml:space="preserve"> </w:t>
      </w:r>
      <w:r w:rsidRPr="00C91204">
        <w:rPr>
          <w:i/>
          <w:iCs/>
        </w:rPr>
        <w:t>See</w:t>
      </w:r>
      <w:r>
        <w:t xml:space="preserve"> 47 CFR § 51.917(f) (CAF ICC recovery for rate-of-return carriers).</w:t>
      </w:r>
    </w:p>
  </w:footnote>
  <w:footnote w:id="82">
    <w:p w:rsidR="007C6A53" w:rsidP="007C6A53" w14:paraId="47915F10" w14:textId="2CD8FFE7">
      <w:pPr>
        <w:pStyle w:val="FootnoteText"/>
      </w:pPr>
      <w:r>
        <w:rPr>
          <w:rStyle w:val="FootnoteReference"/>
        </w:rPr>
        <w:footnoteRef/>
      </w:r>
      <w:r>
        <w:t xml:space="preserve"> </w:t>
      </w:r>
      <w:r w:rsidRPr="00C91204">
        <w:rPr>
          <w:i/>
          <w:iCs/>
        </w:rPr>
        <w:t>See generally</w:t>
      </w:r>
      <w:r>
        <w:t xml:space="preserve"> 47 CFR </w:t>
      </w:r>
      <w:r w:rsidR="00B829B7">
        <w:t xml:space="preserve">pt. </w:t>
      </w:r>
      <w:r>
        <w:t>51 (</w:t>
      </w:r>
      <w:r w:rsidR="00B829B7">
        <w:t>s</w:t>
      </w:r>
      <w:r>
        <w:t xml:space="preserve">ubpart J); </w:t>
      </w:r>
      <w:r w:rsidRPr="001259D0">
        <w:rPr>
          <w:i/>
          <w:iCs/>
        </w:rPr>
        <w:t>USF/ICC Transformation Order</w:t>
      </w:r>
      <w:r>
        <w:t xml:space="preserve">, 26 FCC Rcd at 17904-17956, paras. 736-846 (comprehensively reforming intercarrier compensation). </w:t>
      </w:r>
    </w:p>
  </w:footnote>
  <w:footnote w:id="83">
    <w:p w:rsidR="005847CF" w:rsidRPr="00584D22" w:rsidP="005537A9" w14:paraId="4E27BF1E" w14:textId="1497042B">
      <w:pPr>
        <w:pStyle w:val="FootnoteText"/>
      </w:pPr>
      <w:r w:rsidRPr="00584D22">
        <w:rPr>
          <w:rStyle w:val="FootnoteReference"/>
        </w:rPr>
        <w:footnoteRef/>
      </w:r>
      <w:r w:rsidRPr="00584D22">
        <w:t xml:space="preserve"> </w:t>
      </w:r>
      <w:r w:rsidRPr="00584D22">
        <w:rPr>
          <w:i/>
          <w:iCs/>
        </w:rPr>
        <w:t>See</w:t>
      </w:r>
      <w:r w:rsidRPr="00584D22">
        <w:t xml:space="preserve"> 47 CFR § 61.41(c)(2)</w:t>
      </w:r>
      <w:r>
        <w:t>.</w:t>
      </w:r>
      <w:r w:rsidRPr="00584D22">
        <w:t xml:space="preserve"> </w:t>
      </w:r>
    </w:p>
  </w:footnote>
  <w:footnote w:id="84">
    <w:p w:rsidR="005847CF" w:rsidP="005537A9" w14:paraId="65DBB9CA" w14:textId="1805D6B8">
      <w:pPr>
        <w:pStyle w:val="FootnoteText"/>
      </w:pPr>
      <w:r>
        <w:rPr>
          <w:rStyle w:val="FootnoteReference"/>
        </w:rPr>
        <w:footnoteRef/>
      </w:r>
      <w:r>
        <w:t xml:space="preserve"> </w:t>
      </w:r>
      <w:r w:rsidRPr="00584D22">
        <w:t xml:space="preserve">We note that Petitioners filed their waiver request on September 11, 2019 </w:t>
      </w:r>
      <w:r>
        <w:t>after</w:t>
      </w:r>
      <w:r w:rsidRPr="00584D22">
        <w:t xml:space="preserve"> their rate-of-return affiliates merg</w:t>
      </w:r>
      <w:r>
        <w:t xml:space="preserve">ed </w:t>
      </w:r>
      <w:r w:rsidRPr="00584D22">
        <w:t xml:space="preserve">with price cap carriers effective May 15, 2019 and March 6, 2019.  </w:t>
      </w:r>
      <w:r w:rsidRPr="00584D22">
        <w:rPr>
          <w:i/>
          <w:iCs/>
        </w:rPr>
        <w:t>See</w:t>
      </w:r>
      <w:r w:rsidRPr="00584D22">
        <w:t xml:space="preserve"> Petition at 5.</w:t>
      </w:r>
    </w:p>
  </w:footnote>
  <w:footnote w:id="85">
    <w:p w:rsidR="005847CF" w:rsidRPr="00584D22" w:rsidP="002B0396" w14:paraId="44EBA80C" w14:textId="25C0505B">
      <w:pPr>
        <w:pStyle w:val="FootnoteText"/>
      </w:pPr>
      <w:r w:rsidRPr="00584D22">
        <w:rPr>
          <w:rStyle w:val="FootnoteReference"/>
        </w:rPr>
        <w:footnoteRef/>
      </w:r>
      <w:r w:rsidRPr="00584D22">
        <w:t xml:space="preserve"> </w:t>
      </w:r>
      <w:r>
        <w:t>A</w:t>
      </w:r>
      <w:r w:rsidRPr="00584D22">
        <w:t xml:space="preserve">bsent </w:t>
      </w:r>
      <w:r>
        <w:t xml:space="preserve">a waiver, </w:t>
      </w:r>
      <w:r w:rsidRPr="00584D22">
        <w:t>rate-of-return carriers merging with price cap carriers must convert their study areas to price cap regulation and file price</w:t>
      </w:r>
      <w:r>
        <w:t>-</w:t>
      </w:r>
      <w:r w:rsidRPr="00584D22">
        <w:t>cap tariffs</w:t>
      </w:r>
      <w:r>
        <w:t xml:space="preserve"> </w:t>
      </w:r>
      <w:r w:rsidRPr="00584D22">
        <w:t>within one year of the effective date of the transaction</w:t>
      </w:r>
      <w:r>
        <w:t>.</w:t>
      </w:r>
      <w:r w:rsidRPr="00584D22">
        <w:t xml:space="preserve"> 47 CFR § 61.41(c)(2)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47CF" w:rsidP="008E701A" w14:paraId="146DC900" w14:textId="72AD607A">
    <w:pPr>
      <w:pStyle w:val="Header"/>
    </w:pPr>
    <w:r>
      <w:tab/>
      <w:t>Federal Communications Commission</w:t>
    </w:r>
    <w:r>
      <w:tab/>
      <w:t xml:space="preserve">DA </w:t>
    </w:r>
    <w:r w:rsidR="00430D29">
      <w:t>22</w:t>
    </w:r>
    <w:r>
      <w:t>-</w:t>
    </w:r>
    <w:r w:rsidR="008A5BDE">
      <w:t>337</w:t>
    </w:r>
  </w:p>
  <w:p w:rsidR="005847CF" w:rsidP="009F05C0" w14:paraId="5FFCF0F5" w14:textId="258EBACB">
    <w:pPr>
      <w:tabs>
        <w:tab w:val="left" w:pos="-720"/>
      </w:tabs>
      <w:suppressAutoHyphens/>
      <w:spacing w:line="19" w:lineRule="exact"/>
      <w:rPr>
        <w:sz w:val="10"/>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47CF" w:rsidP="008E701A" w14:paraId="6BD84A3E" w14:textId="005B303F">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 xml:space="preserve">DA </w:t>
    </w:r>
    <w:r w:rsidR="00422E75">
      <w:rPr>
        <w:spacing w:val="-2"/>
      </w:rPr>
      <w:t>22</w:t>
    </w:r>
    <w:r>
      <w:rPr>
        <w:spacing w:val="-2"/>
      </w:rPr>
      <w:t>-</w:t>
    </w:r>
    <w:r w:rsidR="008A5BDE">
      <w:rPr>
        <w:spacing w:val="-2"/>
      </w:rPr>
      <w:t>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3"/>
    <w:multiLevelType w:val="singleLevel"/>
    <w:tmpl w:val="1C46202A"/>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CB168AE"/>
    <w:multiLevelType w:val="hybridMultilevel"/>
    <w:tmpl w:val="4314E0F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C5D19F7"/>
    <w:multiLevelType w:val="hybridMultilevel"/>
    <w:tmpl w:val="9488A79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57FC332A"/>
    <w:multiLevelType w:val="hybridMultilevel"/>
    <w:tmpl w:val="64801B1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5B080687"/>
    <w:multiLevelType w:val="hybridMultilevel"/>
    <w:tmpl w:val="1B10A61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10"/>
  </w:num>
  <w:num w:numId="3">
    <w:abstractNumId w:val="5"/>
  </w:num>
  <w:num w:numId="4">
    <w:abstractNumId w:val="7"/>
  </w:num>
  <w:num w:numId="5">
    <w:abstractNumId w:val="4"/>
  </w:num>
  <w:num w:numId="6">
    <w:abstractNumId w:val="1"/>
  </w:num>
  <w:num w:numId="7">
    <w:abstractNumId w:val="10"/>
    <w:lvlOverride w:ilvl="0">
      <w:startOverride w:val="1"/>
    </w:lvlOverride>
  </w:num>
  <w:num w:numId="8">
    <w:abstractNumId w:val="0"/>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10"/>
    <w:lvlOverride w:ilvl="0">
      <w:startOverride w:val="1"/>
    </w:lvlOverride>
  </w:num>
  <w:num w:numId="13">
    <w:abstractNumId w:val="10"/>
    <w:lvlOverride w:ilvl="0">
      <w:startOverride w:val="1"/>
    </w:lvlOverride>
  </w:num>
  <w:num w:numId="14">
    <w:abstractNumId w:val="10"/>
  </w:num>
  <w:num w:numId="15">
    <w:abstractNumId w:val="10"/>
  </w:num>
  <w:num w:numId="16">
    <w:abstractNumId w:val="10"/>
  </w:num>
  <w:num w:numId="17">
    <w:abstractNumId w:val="10"/>
    <w:lvlOverride w:ilvl="0">
      <w:startOverride w:val="1"/>
    </w:lvlOverride>
  </w:num>
  <w:num w:numId="18">
    <w:abstractNumId w:val="6"/>
  </w:num>
  <w:num w:numId="19">
    <w:abstractNumId w:val="2"/>
  </w:num>
  <w:num w:numId="20">
    <w:abstractNumId w:val="8"/>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F02"/>
    <w:rsid w:val="00000162"/>
    <w:rsid w:val="00000498"/>
    <w:rsid w:val="00000E70"/>
    <w:rsid w:val="0000172F"/>
    <w:rsid w:val="0000464A"/>
    <w:rsid w:val="00004D63"/>
    <w:rsid w:val="00004DE8"/>
    <w:rsid w:val="00005884"/>
    <w:rsid w:val="00005D89"/>
    <w:rsid w:val="00005DAB"/>
    <w:rsid w:val="00006EFF"/>
    <w:rsid w:val="000077D6"/>
    <w:rsid w:val="0001031D"/>
    <w:rsid w:val="00011A40"/>
    <w:rsid w:val="00011C1E"/>
    <w:rsid w:val="00011C88"/>
    <w:rsid w:val="0001269E"/>
    <w:rsid w:val="00012B17"/>
    <w:rsid w:val="000135F2"/>
    <w:rsid w:val="000140D1"/>
    <w:rsid w:val="00014193"/>
    <w:rsid w:val="00014AE7"/>
    <w:rsid w:val="00015D9D"/>
    <w:rsid w:val="00016B90"/>
    <w:rsid w:val="00016DA8"/>
    <w:rsid w:val="00016FF8"/>
    <w:rsid w:val="00017D13"/>
    <w:rsid w:val="00017FFE"/>
    <w:rsid w:val="0002392B"/>
    <w:rsid w:val="00026521"/>
    <w:rsid w:val="000302AE"/>
    <w:rsid w:val="000304AC"/>
    <w:rsid w:val="00030E9E"/>
    <w:rsid w:val="00031877"/>
    <w:rsid w:val="00032125"/>
    <w:rsid w:val="00034583"/>
    <w:rsid w:val="00034FD8"/>
    <w:rsid w:val="00036039"/>
    <w:rsid w:val="000376E3"/>
    <w:rsid w:val="00037F20"/>
    <w:rsid w:val="00037F90"/>
    <w:rsid w:val="0004050C"/>
    <w:rsid w:val="000405CD"/>
    <w:rsid w:val="00040D69"/>
    <w:rsid w:val="000419E6"/>
    <w:rsid w:val="00041FFD"/>
    <w:rsid w:val="00042823"/>
    <w:rsid w:val="00042FFD"/>
    <w:rsid w:val="00043AB5"/>
    <w:rsid w:val="00043E36"/>
    <w:rsid w:val="00043E98"/>
    <w:rsid w:val="00044ACC"/>
    <w:rsid w:val="0004587F"/>
    <w:rsid w:val="00046E11"/>
    <w:rsid w:val="00047A7C"/>
    <w:rsid w:val="00050738"/>
    <w:rsid w:val="00050A90"/>
    <w:rsid w:val="00053383"/>
    <w:rsid w:val="000549D3"/>
    <w:rsid w:val="00055F6E"/>
    <w:rsid w:val="00056A9D"/>
    <w:rsid w:val="00056FEC"/>
    <w:rsid w:val="00057FBC"/>
    <w:rsid w:val="000617DF"/>
    <w:rsid w:val="00062CD7"/>
    <w:rsid w:val="000633F6"/>
    <w:rsid w:val="00063560"/>
    <w:rsid w:val="00063661"/>
    <w:rsid w:val="00063ED9"/>
    <w:rsid w:val="00065357"/>
    <w:rsid w:val="00065D2D"/>
    <w:rsid w:val="00065F52"/>
    <w:rsid w:val="0006607A"/>
    <w:rsid w:val="00066B62"/>
    <w:rsid w:val="00066D54"/>
    <w:rsid w:val="00066FB5"/>
    <w:rsid w:val="00070D44"/>
    <w:rsid w:val="00071F01"/>
    <w:rsid w:val="000721EA"/>
    <w:rsid w:val="00075719"/>
    <w:rsid w:val="00081AE9"/>
    <w:rsid w:val="0008364E"/>
    <w:rsid w:val="0008403C"/>
    <w:rsid w:val="00084A98"/>
    <w:rsid w:val="00084F71"/>
    <w:rsid w:val="00084FB3"/>
    <w:rsid w:val="000853A7"/>
    <w:rsid w:val="00085B3E"/>
    <w:rsid w:val="00086227"/>
    <w:rsid w:val="00087065"/>
    <w:rsid w:val="000875BF"/>
    <w:rsid w:val="00092701"/>
    <w:rsid w:val="00095BAD"/>
    <w:rsid w:val="00095BE2"/>
    <w:rsid w:val="00095F01"/>
    <w:rsid w:val="00096D8C"/>
    <w:rsid w:val="0009782D"/>
    <w:rsid w:val="000A0293"/>
    <w:rsid w:val="000A1A78"/>
    <w:rsid w:val="000A215B"/>
    <w:rsid w:val="000A4218"/>
    <w:rsid w:val="000A4542"/>
    <w:rsid w:val="000A6E0D"/>
    <w:rsid w:val="000A7600"/>
    <w:rsid w:val="000B043B"/>
    <w:rsid w:val="000B0AB1"/>
    <w:rsid w:val="000B1782"/>
    <w:rsid w:val="000B4F06"/>
    <w:rsid w:val="000B569F"/>
    <w:rsid w:val="000B5B0A"/>
    <w:rsid w:val="000B69F8"/>
    <w:rsid w:val="000B7A65"/>
    <w:rsid w:val="000C0224"/>
    <w:rsid w:val="000C02DF"/>
    <w:rsid w:val="000C0B65"/>
    <w:rsid w:val="000C176B"/>
    <w:rsid w:val="000C2621"/>
    <w:rsid w:val="000C2B35"/>
    <w:rsid w:val="000C35A9"/>
    <w:rsid w:val="000C4287"/>
    <w:rsid w:val="000C43B0"/>
    <w:rsid w:val="000C4F0B"/>
    <w:rsid w:val="000C58BC"/>
    <w:rsid w:val="000C5FF2"/>
    <w:rsid w:val="000C7805"/>
    <w:rsid w:val="000C7B1C"/>
    <w:rsid w:val="000C7F3B"/>
    <w:rsid w:val="000D0FC5"/>
    <w:rsid w:val="000D17DD"/>
    <w:rsid w:val="000D25CE"/>
    <w:rsid w:val="000D2704"/>
    <w:rsid w:val="000D63EF"/>
    <w:rsid w:val="000D7E8E"/>
    <w:rsid w:val="000E03D7"/>
    <w:rsid w:val="000E05FE"/>
    <w:rsid w:val="000E067A"/>
    <w:rsid w:val="000E1F99"/>
    <w:rsid w:val="000E2769"/>
    <w:rsid w:val="000E3529"/>
    <w:rsid w:val="000E3D42"/>
    <w:rsid w:val="000E4169"/>
    <w:rsid w:val="000E4794"/>
    <w:rsid w:val="000E55BF"/>
    <w:rsid w:val="000E6635"/>
    <w:rsid w:val="000E7B8A"/>
    <w:rsid w:val="000F06D4"/>
    <w:rsid w:val="000F091E"/>
    <w:rsid w:val="000F19ED"/>
    <w:rsid w:val="000F2243"/>
    <w:rsid w:val="000F2685"/>
    <w:rsid w:val="000F4708"/>
    <w:rsid w:val="000F5EF9"/>
    <w:rsid w:val="000F5F3E"/>
    <w:rsid w:val="000F62E4"/>
    <w:rsid w:val="000F78CE"/>
    <w:rsid w:val="000F7E6F"/>
    <w:rsid w:val="00100429"/>
    <w:rsid w:val="00100C3C"/>
    <w:rsid w:val="00100DB6"/>
    <w:rsid w:val="00101099"/>
    <w:rsid w:val="00101C37"/>
    <w:rsid w:val="00102686"/>
    <w:rsid w:val="00102729"/>
    <w:rsid w:val="00102E48"/>
    <w:rsid w:val="00103ECC"/>
    <w:rsid w:val="0010485E"/>
    <w:rsid w:val="00104D98"/>
    <w:rsid w:val="001056FC"/>
    <w:rsid w:val="00105DA7"/>
    <w:rsid w:val="00110FBE"/>
    <w:rsid w:val="001114BD"/>
    <w:rsid w:val="00111530"/>
    <w:rsid w:val="00112A6F"/>
    <w:rsid w:val="00113035"/>
    <w:rsid w:val="001140DE"/>
    <w:rsid w:val="001145F1"/>
    <w:rsid w:val="001157E0"/>
    <w:rsid w:val="00116CF9"/>
    <w:rsid w:val="0011746D"/>
    <w:rsid w:val="00117BAD"/>
    <w:rsid w:val="001216FB"/>
    <w:rsid w:val="001227A1"/>
    <w:rsid w:val="00122B19"/>
    <w:rsid w:val="00122BD5"/>
    <w:rsid w:val="00123275"/>
    <w:rsid w:val="0012331E"/>
    <w:rsid w:val="00123349"/>
    <w:rsid w:val="00123E6D"/>
    <w:rsid w:val="001259D0"/>
    <w:rsid w:val="00126B9D"/>
    <w:rsid w:val="00126D37"/>
    <w:rsid w:val="001279DF"/>
    <w:rsid w:val="0013097E"/>
    <w:rsid w:val="00133F79"/>
    <w:rsid w:val="0013446A"/>
    <w:rsid w:val="0013461C"/>
    <w:rsid w:val="001347D7"/>
    <w:rsid w:val="00136284"/>
    <w:rsid w:val="00137BEA"/>
    <w:rsid w:val="00140E88"/>
    <w:rsid w:val="001419F2"/>
    <w:rsid w:val="00145974"/>
    <w:rsid w:val="00145C66"/>
    <w:rsid w:val="001501C5"/>
    <w:rsid w:val="001502FC"/>
    <w:rsid w:val="001512B1"/>
    <w:rsid w:val="0015152D"/>
    <w:rsid w:val="00151B27"/>
    <w:rsid w:val="001530D2"/>
    <w:rsid w:val="00154974"/>
    <w:rsid w:val="00154CFA"/>
    <w:rsid w:val="00155225"/>
    <w:rsid w:val="001552D1"/>
    <w:rsid w:val="001557CF"/>
    <w:rsid w:val="00155D75"/>
    <w:rsid w:val="00156F82"/>
    <w:rsid w:val="001606F9"/>
    <w:rsid w:val="0016118E"/>
    <w:rsid w:val="00161FDE"/>
    <w:rsid w:val="0016355E"/>
    <w:rsid w:val="00163992"/>
    <w:rsid w:val="00164AF9"/>
    <w:rsid w:val="00165A91"/>
    <w:rsid w:val="00165C55"/>
    <w:rsid w:val="00166918"/>
    <w:rsid w:val="0016734A"/>
    <w:rsid w:val="00170232"/>
    <w:rsid w:val="00170C05"/>
    <w:rsid w:val="00171250"/>
    <w:rsid w:val="00171D95"/>
    <w:rsid w:val="00171E84"/>
    <w:rsid w:val="0017267F"/>
    <w:rsid w:val="0017367E"/>
    <w:rsid w:val="00174582"/>
    <w:rsid w:val="001756E1"/>
    <w:rsid w:val="00175FBA"/>
    <w:rsid w:val="001761A1"/>
    <w:rsid w:val="00177490"/>
    <w:rsid w:val="0017757E"/>
    <w:rsid w:val="00180175"/>
    <w:rsid w:val="0018187E"/>
    <w:rsid w:val="00182647"/>
    <w:rsid w:val="0018381D"/>
    <w:rsid w:val="00184615"/>
    <w:rsid w:val="00184F12"/>
    <w:rsid w:val="00185CC3"/>
    <w:rsid w:val="0018610D"/>
    <w:rsid w:val="00186C58"/>
    <w:rsid w:val="00187B41"/>
    <w:rsid w:val="00187C3D"/>
    <w:rsid w:val="00194A66"/>
    <w:rsid w:val="00194BC3"/>
    <w:rsid w:val="00195A31"/>
    <w:rsid w:val="00195C5B"/>
    <w:rsid w:val="00196779"/>
    <w:rsid w:val="00196785"/>
    <w:rsid w:val="00197235"/>
    <w:rsid w:val="0019749D"/>
    <w:rsid w:val="001976CD"/>
    <w:rsid w:val="00197CF6"/>
    <w:rsid w:val="001A0B0D"/>
    <w:rsid w:val="001A1252"/>
    <w:rsid w:val="001A1E2C"/>
    <w:rsid w:val="001A3641"/>
    <w:rsid w:val="001A3B39"/>
    <w:rsid w:val="001A4010"/>
    <w:rsid w:val="001A56DF"/>
    <w:rsid w:val="001A6946"/>
    <w:rsid w:val="001A71F6"/>
    <w:rsid w:val="001A7C27"/>
    <w:rsid w:val="001B111F"/>
    <w:rsid w:val="001B20BF"/>
    <w:rsid w:val="001B3422"/>
    <w:rsid w:val="001B3F66"/>
    <w:rsid w:val="001B4281"/>
    <w:rsid w:val="001B45FE"/>
    <w:rsid w:val="001B4BB1"/>
    <w:rsid w:val="001B522A"/>
    <w:rsid w:val="001B5DAF"/>
    <w:rsid w:val="001B7181"/>
    <w:rsid w:val="001C07D8"/>
    <w:rsid w:val="001C08AB"/>
    <w:rsid w:val="001C1D2D"/>
    <w:rsid w:val="001C3694"/>
    <w:rsid w:val="001C4E25"/>
    <w:rsid w:val="001C6043"/>
    <w:rsid w:val="001C61F8"/>
    <w:rsid w:val="001C6E1D"/>
    <w:rsid w:val="001C7F7D"/>
    <w:rsid w:val="001D0DAE"/>
    <w:rsid w:val="001D1E4E"/>
    <w:rsid w:val="001D305F"/>
    <w:rsid w:val="001D3CA7"/>
    <w:rsid w:val="001D4096"/>
    <w:rsid w:val="001D445B"/>
    <w:rsid w:val="001D4BBE"/>
    <w:rsid w:val="001D4DCC"/>
    <w:rsid w:val="001D535F"/>
    <w:rsid w:val="001D5A67"/>
    <w:rsid w:val="001D5B2E"/>
    <w:rsid w:val="001D6B44"/>
    <w:rsid w:val="001D6BCF"/>
    <w:rsid w:val="001D760D"/>
    <w:rsid w:val="001D76DA"/>
    <w:rsid w:val="001E01CA"/>
    <w:rsid w:val="001E17A3"/>
    <w:rsid w:val="001E2181"/>
    <w:rsid w:val="001E32CF"/>
    <w:rsid w:val="001E3A24"/>
    <w:rsid w:val="001E3F97"/>
    <w:rsid w:val="001E5982"/>
    <w:rsid w:val="001E6F2D"/>
    <w:rsid w:val="001F0942"/>
    <w:rsid w:val="001F163E"/>
    <w:rsid w:val="001F1D9C"/>
    <w:rsid w:val="001F28CF"/>
    <w:rsid w:val="001F31ED"/>
    <w:rsid w:val="001F3D6D"/>
    <w:rsid w:val="001F4D32"/>
    <w:rsid w:val="001F4EC7"/>
    <w:rsid w:val="001F50E1"/>
    <w:rsid w:val="001F5226"/>
    <w:rsid w:val="001F5A59"/>
    <w:rsid w:val="001F5E88"/>
    <w:rsid w:val="001F69CD"/>
    <w:rsid w:val="001F6B5B"/>
    <w:rsid w:val="001F75AC"/>
    <w:rsid w:val="001F7C37"/>
    <w:rsid w:val="002008D5"/>
    <w:rsid w:val="00201117"/>
    <w:rsid w:val="00201B75"/>
    <w:rsid w:val="00203D4F"/>
    <w:rsid w:val="00204CF5"/>
    <w:rsid w:val="002050A9"/>
    <w:rsid w:val="002050FD"/>
    <w:rsid w:val="002056AE"/>
    <w:rsid w:val="00205C09"/>
    <w:rsid w:val="00207FE0"/>
    <w:rsid w:val="0021045A"/>
    <w:rsid w:val="00213886"/>
    <w:rsid w:val="00213A97"/>
    <w:rsid w:val="0021413C"/>
    <w:rsid w:val="00215087"/>
    <w:rsid w:val="002156D8"/>
    <w:rsid w:val="002158F8"/>
    <w:rsid w:val="00216B65"/>
    <w:rsid w:val="00216DDC"/>
    <w:rsid w:val="002179FB"/>
    <w:rsid w:val="0022017B"/>
    <w:rsid w:val="00220495"/>
    <w:rsid w:val="00220B73"/>
    <w:rsid w:val="00220D07"/>
    <w:rsid w:val="0022116E"/>
    <w:rsid w:val="00222575"/>
    <w:rsid w:val="002230A0"/>
    <w:rsid w:val="002238EA"/>
    <w:rsid w:val="00223A00"/>
    <w:rsid w:val="00223A33"/>
    <w:rsid w:val="00223BEE"/>
    <w:rsid w:val="00223D77"/>
    <w:rsid w:val="002244D7"/>
    <w:rsid w:val="00224BFF"/>
    <w:rsid w:val="002258F5"/>
    <w:rsid w:val="0022613D"/>
    <w:rsid w:val="00226189"/>
    <w:rsid w:val="002267EB"/>
    <w:rsid w:val="0022769A"/>
    <w:rsid w:val="00230557"/>
    <w:rsid w:val="0023237A"/>
    <w:rsid w:val="0023239C"/>
    <w:rsid w:val="00232A17"/>
    <w:rsid w:val="00232E40"/>
    <w:rsid w:val="002333E5"/>
    <w:rsid w:val="0023600C"/>
    <w:rsid w:val="00237104"/>
    <w:rsid w:val="00237710"/>
    <w:rsid w:val="00240E09"/>
    <w:rsid w:val="00240F75"/>
    <w:rsid w:val="00241DBC"/>
    <w:rsid w:val="00241FB0"/>
    <w:rsid w:val="002429A7"/>
    <w:rsid w:val="002432AB"/>
    <w:rsid w:val="00250CD9"/>
    <w:rsid w:val="00252621"/>
    <w:rsid w:val="00252B2C"/>
    <w:rsid w:val="0025446D"/>
    <w:rsid w:val="002554FC"/>
    <w:rsid w:val="00255E0F"/>
    <w:rsid w:val="00256106"/>
    <w:rsid w:val="00256914"/>
    <w:rsid w:val="00256D89"/>
    <w:rsid w:val="00257813"/>
    <w:rsid w:val="00262381"/>
    <w:rsid w:val="00262739"/>
    <w:rsid w:val="00263212"/>
    <w:rsid w:val="00263863"/>
    <w:rsid w:val="0026409C"/>
    <w:rsid w:val="00274619"/>
    <w:rsid w:val="002748E3"/>
    <w:rsid w:val="00274A0D"/>
    <w:rsid w:val="00274EFC"/>
    <w:rsid w:val="0027510B"/>
    <w:rsid w:val="0027599A"/>
    <w:rsid w:val="00275CF5"/>
    <w:rsid w:val="002763F9"/>
    <w:rsid w:val="00276F88"/>
    <w:rsid w:val="00277311"/>
    <w:rsid w:val="00280162"/>
    <w:rsid w:val="0028031E"/>
    <w:rsid w:val="002804ED"/>
    <w:rsid w:val="002809FB"/>
    <w:rsid w:val="00282742"/>
    <w:rsid w:val="0028301F"/>
    <w:rsid w:val="002840D2"/>
    <w:rsid w:val="00284790"/>
    <w:rsid w:val="00284ED5"/>
    <w:rsid w:val="00285017"/>
    <w:rsid w:val="00285C3B"/>
    <w:rsid w:val="00286A9E"/>
    <w:rsid w:val="00287B83"/>
    <w:rsid w:val="002906CD"/>
    <w:rsid w:val="00290EF1"/>
    <w:rsid w:val="00291EC4"/>
    <w:rsid w:val="002921CA"/>
    <w:rsid w:val="002924F0"/>
    <w:rsid w:val="00294A84"/>
    <w:rsid w:val="00295851"/>
    <w:rsid w:val="0029779A"/>
    <w:rsid w:val="00297DD9"/>
    <w:rsid w:val="002A044A"/>
    <w:rsid w:val="002A129D"/>
    <w:rsid w:val="002A2D2E"/>
    <w:rsid w:val="002A4650"/>
    <w:rsid w:val="002A5261"/>
    <w:rsid w:val="002A6243"/>
    <w:rsid w:val="002A7D1C"/>
    <w:rsid w:val="002B0396"/>
    <w:rsid w:val="002B0591"/>
    <w:rsid w:val="002B0F08"/>
    <w:rsid w:val="002B0FF9"/>
    <w:rsid w:val="002B13C7"/>
    <w:rsid w:val="002B158A"/>
    <w:rsid w:val="002B196A"/>
    <w:rsid w:val="002B1FFD"/>
    <w:rsid w:val="002B3D9E"/>
    <w:rsid w:val="002B51C8"/>
    <w:rsid w:val="002B556D"/>
    <w:rsid w:val="002B5C7F"/>
    <w:rsid w:val="002B6156"/>
    <w:rsid w:val="002B7AB0"/>
    <w:rsid w:val="002C00E8"/>
    <w:rsid w:val="002C14D5"/>
    <w:rsid w:val="002C1963"/>
    <w:rsid w:val="002C247B"/>
    <w:rsid w:val="002C4142"/>
    <w:rsid w:val="002C4491"/>
    <w:rsid w:val="002C4FDD"/>
    <w:rsid w:val="002C7A52"/>
    <w:rsid w:val="002D059F"/>
    <w:rsid w:val="002D13F2"/>
    <w:rsid w:val="002D3813"/>
    <w:rsid w:val="002D3B9B"/>
    <w:rsid w:val="002D408C"/>
    <w:rsid w:val="002D47FC"/>
    <w:rsid w:val="002D4B40"/>
    <w:rsid w:val="002D523F"/>
    <w:rsid w:val="002D556F"/>
    <w:rsid w:val="002D68FB"/>
    <w:rsid w:val="002D6BC9"/>
    <w:rsid w:val="002D6DA6"/>
    <w:rsid w:val="002D6DE8"/>
    <w:rsid w:val="002D7474"/>
    <w:rsid w:val="002D7938"/>
    <w:rsid w:val="002E08BC"/>
    <w:rsid w:val="002E09EE"/>
    <w:rsid w:val="002E109F"/>
    <w:rsid w:val="002E1535"/>
    <w:rsid w:val="002E23E9"/>
    <w:rsid w:val="002E4C46"/>
    <w:rsid w:val="002E594D"/>
    <w:rsid w:val="002E5B7C"/>
    <w:rsid w:val="002E69CE"/>
    <w:rsid w:val="002E6D1D"/>
    <w:rsid w:val="002F0451"/>
    <w:rsid w:val="002F0E9F"/>
    <w:rsid w:val="002F47FD"/>
    <w:rsid w:val="002F4E48"/>
    <w:rsid w:val="002F6BD8"/>
    <w:rsid w:val="003001B8"/>
    <w:rsid w:val="0030140A"/>
    <w:rsid w:val="00302961"/>
    <w:rsid w:val="00303788"/>
    <w:rsid w:val="00303C38"/>
    <w:rsid w:val="003061AA"/>
    <w:rsid w:val="00306742"/>
    <w:rsid w:val="00306943"/>
    <w:rsid w:val="003071C9"/>
    <w:rsid w:val="0030779C"/>
    <w:rsid w:val="003102B3"/>
    <w:rsid w:val="00310D55"/>
    <w:rsid w:val="0031195C"/>
    <w:rsid w:val="0031195D"/>
    <w:rsid w:val="00312259"/>
    <w:rsid w:val="00313CB6"/>
    <w:rsid w:val="00313DAE"/>
    <w:rsid w:val="00313DE2"/>
    <w:rsid w:val="003146AB"/>
    <w:rsid w:val="00314B3A"/>
    <w:rsid w:val="00316C8E"/>
    <w:rsid w:val="0032083B"/>
    <w:rsid w:val="003214A2"/>
    <w:rsid w:val="00321849"/>
    <w:rsid w:val="00323773"/>
    <w:rsid w:val="00323EA5"/>
    <w:rsid w:val="00323EBD"/>
    <w:rsid w:val="003249B1"/>
    <w:rsid w:val="0032602A"/>
    <w:rsid w:val="003270F2"/>
    <w:rsid w:val="003275DA"/>
    <w:rsid w:val="003276CF"/>
    <w:rsid w:val="00327757"/>
    <w:rsid w:val="00331D45"/>
    <w:rsid w:val="00331E80"/>
    <w:rsid w:val="00331F7D"/>
    <w:rsid w:val="003328BC"/>
    <w:rsid w:val="00333146"/>
    <w:rsid w:val="00334ACF"/>
    <w:rsid w:val="00335DD5"/>
    <w:rsid w:val="003361E6"/>
    <w:rsid w:val="00337CE0"/>
    <w:rsid w:val="00337FF1"/>
    <w:rsid w:val="0034043A"/>
    <w:rsid w:val="003411DF"/>
    <w:rsid w:val="0034301C"/>
    <w:rsid w:val="00343749"/>
    <w:rsid w:val="00343866"/>
    <w:rsid w:val="003440E8"/>
    <w:rsid w:val="00344117"/>
    <w:rsid w:val="00344A17"/>
    <w:rsid w:val="00345AC0"/>
    <w:rsid w:val="00346782"/>
    <w:rsid w:val="00347303"/>
    <w:rsid w:val="00347E5C"/>
    <w:rsid w:val="003507AD"/>
    <w:rsid w:val="00350F87"/>
    <w:rsid w:val="0035135F"/>
    <w:rsid w:val="00352C88"/>
    <w:rsid w:val="00352EF2"/>
    <w:rsid w:val="00353DD1"/>
    <w:rsid w:val="00354350"/>
    <w:rsid w:val="003566C6"/>
    <w:rsid w:val="00357410"/>
    <w:rsid w:val="00357C6F"/>
    <w:rsid w:val="00360AAD"/>
    <w:rsid w:val="00361198"/>
    <w:rsid w:val="003620AB"/>
    <w:rsid w:val="00362554"/>
    <w:rsid w:val="00363BA7"/>
    <w:rsid w:val="0036473F"/>
    <w:rsid w:val="00365A4B"/>
    <w:rsid w:val="003660ED"/>
    <w:rsid w:val="00366467"/>
    <w:rsid w:val="00366EAE"/>
    <w:rsid w:val="00367A24"/>
    <w:rsid w:val="003703C7"/>
    <w:rsid w:val="00370C0C"/>
    <w:rsid w:val="00370D5D"/>
    <w:rsid w:val="00371006"/>
    <w:rsid w:val="00372F1F"/>
    <w:rsid w:val="00372F71"/>
    <w:rsid w:val="00373123"/>
    <w:rsid w:val="00373989"/>
    <w:rsid w:val="00373FD8"/>
    <w:rsid w:val="00374EE8"/>
    <w:rsid w:val="0037568C"/>
    <w:rsid w:val="0037746C"/>
    <w:rsid w:val="00377A3D"/>
    <w:rsid w:val="0038047C"/>
    <w:rsid w:val="003807E7"/>
    <w:rsid w:val="00380F26"/>
    <w:rsid w:val="00383028"/>
    <w:rsid w:val="00383215"/>
    <w:rsid w:val="00383401"/>
    <w:rsid w:val="00384786"/>
    <w:rsid w:val="00384AB1"/>
    <w:rsid w:val="00385B9D"/>
    <w:rsid w:val="00386B84"/>
    <w:rsid w:val="00390BE9"/>
    <w:rsid w:val="00390DEB"/>
    <w:rsid w:val="00392DAD"/>
    <w:rsid w:val="00393982"/>
    <w:rsid w:val="003950A2"/>
    <w:rsid w:val="00395BC1"/>
    <w:rsid w:val="00397403"/>
    <w:rsid w:val="003A2CB4"/>
    <w:rsid w:val="003A31ED"/>
    <w:rsid w:val="003A357E"/>
    <w:rsid w:val="003A4D26"/>
    <w:rsid w:val="003A5E08"/>
    <w:rsid w:val="003A6030"/>
    <w:rsid w:val="003A65A0"/>
    <w:rsid w:val="003A7D90"/>
    <w:rsid w:val="003B0550"/>
    <w:rsid w:val="003B05E4"/>
    <w:rsid w:val="003B10C3"/>
    <w:rsid w:val="003B1A0F"/>
    <w:rsid w:val="003B3412"/>
    <w:rsid w:val="003B38AE"/>
    <w:rsid w:val="003B694F"/>
    <w:rsid w:val="003B7137"/>
    <w:rsid w:val="003B755F"/>
    <w:rsid w:val="003B7725"/>
    <w:rsid w:val="003B792C"/>
    <w:rsid w:val="003B7EF3"/>
    <w:rsid w:val="003C09E9"/>
    <w:rsid w:val="003C12FE"/>
    <w:rsid w:val="003C1F1C"/>
    <w:rsid w:val="003C30F2"/>
    <w:rsid w:val="003C342A"/>
    <w:rsid w:val="003C4224"/>
    <w:rsid w:val="003C4AC5"/>
    <w:rsid w:val="003C6BE3"/>
    <w:rsid w:val="003C70F5"/>
    <w:rsid w:val="003C75CA"/>
    <w:rsid w:val="003C7791"/>
    <w:rsid w:val="003C78BC"/>
    <w:rsid w:val="003D088E"/>
    <w:rsid w:val="003D1C53"/>
    <w:rsid w:val="003D224B"/>
    <w:rsid w:val="003D22A2"/>
    <w:rsid w:val="003D4544"/>
    <w:rsid w:val="003D4638"/>
    <w:rsid w:val="003D56DF"/>
    <w:rsid w:val="003D5ADB"/>
    <w:rsid w:val="003D5D7D"/>
    <w:rsid w:val="003D60DB"/>
    <w:rsid w:val="003D6180"/>
    <w:rsid w:val="003D61D4"/>
    <w:rsid w:val="003D69D4"/>
    <w:rsid w:val="003E0183"/>
    <w:rsid w:val="003E135C"/>
    <w:rsid w:val="003E218D"/>
    <w:rsid w:val="003E2FB3"/>
    <w:rsid w:val="003E3021"/>
    <w:rsid w:val="003E41B2"/>
    <w:rsid w:val="003E4206"/>
    <w:rsid w:val="003E425A"/>
    <w:rsid w:val="003E49BF"/>
    <w:rsid w:val="003E5ACD"/>
    <w:rsid w:val="003E5F81"/>
    <w:rsid w:val="003E6DBC"/>
    <w:rsid w:val="003E6E0A"/>
    <w:rsid w:val="003F07D8"/>
    <w:rsid w:val="003F0F6A"/>
    <w:rsid w:val="003F171C"/>
    <w:rsid w:val="003F18ED"/>
    <w:rsid w:val="003F2098"/>
    <w:rsid w:val="003F2A6F"/>
    <w:rsid w:val="003F3139"/>
    <w:rsid w:val="003F369B"/>
    <w:rsid w:val="003F401E"/>
    <w:rsid w:val="003F5155"/>
    <w:rsid w:val="003F5970"/>
    <w:rsid w:val="003F6E78"/>
    <w:rsid w:val="003F6F2A"/>
    <w:rsid w:val="003F75D4"/>
    <w:rsid w:val="003F7D29"/>
    <w:rsid w:val="00404C48"/>
    <w:rsid w:val="00404F25"/>
    <w:rsid w:val="0040548E"/>
    <w:rsid w:val="004059A4"/>
    <w:rsid w:val="00405E31"/>
    <w:rsid w:val="00405EE3"/>
    <w:rsid w:val="004060F6"/>
    <w:rsid w:val="0040727B"/>
    <w:rsid w:val="00407342"/>
    <w:rsid w:val="00407925"/>
    <w:rsid w:val="004104B7"/>
    <w:rsid w:val="0041218A"/>
    <w:rsid w:val="00412E25"/>
    <w:rsid w:val="00412FC5"/>
    <w:rsid w:val="004135F1"/>
    <w:rsid w:val="00413857"/>
    <w:rsid w:val="004146F2"/>
    <w:rsid w:val="0041568B"/>
    <w:rsid w:val="00415C30"/>
    <w:rsid w:val="00415CF7"/>
    <w:rsid w:val="00415DE7"/>
    <w:rsid w:val="00416CBC"/>
    <w:rsid w:val="004174F7"/>
    <w:rsid w:val="00420167"/>
    <w:rsid w:val="0042054F"/>
    <w:rsid w:val="00422276"/>
    <w:rsid w:val="00422E53"/>
    <w:rsid w:val="00422E75"/>
    <w:rsid w:val="0042301B"/>
    <w:rsid w:val="004242F1"/>
    <w:rsid w:val="00425677"/>
    <w:rsid w:val="00425E10"/>
    <w:rsid w:val="00426B25"/>
    <w:rsid w:val="00427201"/>
    <w:rsid w:val="0042722F"/>
    <w:rsid w:val="00427427"/>
    <w:rsid w:val="00427C48"/>
    <w:rsid w:val="0043015A"/>
    <w:rsid w:val="00430861"/>
    <w:rsid w:val="00430D29"/>
    <w:rsid w:val="00432B50"/>
    <w:rsid w:val="0043392A"/>
    <w:rsid w:val="00433CB6"/>
    <w:rsid w:val="004341F8"/>
    <w:rsid w:val="0043479F"/>
    <w:rsid w:val="004353C1"/>
    <w:rsid w:val="00435573"/>
    <w:rsid w:val="00437356"/>
    <w:rsid w:val="0043750E"/>
    <w:rsid w:val="00441A0F"/>
    <w:rsid w:val="00441F80"/>
    <w:rsid w:val="00443851"/>
    <w:rsid w:val="00444204"/>
    <w:rsid w:val="00444C93"/>
    <w:rsid w:val="00445A00"/>
    <w:rsid w:val="00447B8F"/>
    <w:rsid w:val="00447EB6"/>
    <w:rsid w:val="00451B0F"/>
    <w:rsid w:val="00451E96"/>
    <w:rsid w:val="0045236C"/>
    <w:rsid w:val="00454CB0"/>
    <w:rsid w:val="00455217"/>
    <w:rsid w:val="004553CA"/>
    <w:rsid w:val="004558E2"/>
    <w:rsid w:val="00455909"/>
    <w:rsid w:val="00455934"/>
    <w:rsid w:val="004570EE"/>
    <w:rsid w:val="00461B30"/>
    <w:rsid w:val="0046372A"/>
    <w:rsid w:val="00463DE5"/>
    <w:rsid w:val="00465F4F"/>
    <w:rsid w:val="00466114"/>
    <w:rsid w:val="0046789D"/>
    <w:rsid w:val="00470C08"/>
    <w:rsid w:val="00471392"/>
    <w:rsid w:val="00471586"/>
    <w:rsid w:val="004718AE"/>
    <w:rsid w:val="00472145"/>
    <w:rsid w:val="004735CB"/>
    <w:rsid w:val="00473A97"/>
    <w:rsid w:val="004741B5"/>
    <w:rsid w:val="00474769"/>
    <w:rsid w:val="00474A6E"/>
    <w:rsid w:val="00474AED"/>
    <w:rsid w:val="00476778"/>
    <w:rsid w:val="00476E5D"/>
    <w:rsid w:val="00476F62"/>
    <w:rsid w:val="004777A2"/>
    <w:rsid w:val="00477DA6"/>
    <w:rsid w:val="0048180F"/>
    <w:rsid w:val="00482689"/>
    <w:rsid w:val="0048370C"/>
    <w:rsid w:val="00484817"/>
    <w:rsid w:val="00484AA5"/>
    <w:rsid w:val="00485E4E"/>
    <w:rsid w:val="00486260"/>
    <w:rsid w:val="00487647"/>
    <w:rsid w:val="0049043C"/>
    <w:rsid w:val="00490E07"/>
    <w:rsid w:val="004934C2"/>
    <w:rsid w:val="0049384C"/>
    <w:rsid w:val="00496384"/>
    <w:rsid w:val="00497E62"/>
    <w:rsid w:val="004A1898"/>
    <w:rsid w:val="004A18E0"/>
    <w:rsid w:val="004A1FF7"/>
    <w:rsid w:val="004A3CF7"/>
    <w:rsid w:val="004A48F3"/>
    <w:rsid w:val="004A4A04"/>
    <w:rsid w:val="004A4B64"/>
    <w:rsid w:val="004A4BFE"/>
    <w:rsid w:val="004A4C5A"/>
    <w:rsid w:val="004A5868"/>
    <w:rsid w:val="004A5FC9"/>
    <w:rsid w:val="004A634A"/>
    <w:rsid w:val="004A653F"/>
    <w:rsid w:val="004A6EAD"/>
    <w:rsid w:val="004B0E50"/>
    <w:rsid w:val="004B1A73"/>
    <w:rsid w:val="004B1FE5"/>
    <w:rsid w:val="004B27C9"/>
    <w:rsid w:val="004B4A40"/>
    <w:rsid w:val="004B5AED"/>
    <w:rsid w:val="004B769D"/>
    <w:rsid w:val="004B77C8"/>
    <w:rsid w:val="004B7EB2"/>
    <w:rsid w:val="004C0736"/>
    <w:rsid w:val="004C2EE3"/>
    <w:rsid w:val="004C33AB"/>
    <w:rsid w:val="004C4CEE"/>
    <w:rsid w:val="004C52D1"/>
    <w:rsid w:val="004C5C75"/>
    <w:rsid w:val="004C631D"/>
    <w:rsid w:val="004C717A"/>
    <w:rsid w:val="004D0732"/>
    <w:rsid w:val="004D0F42"/>
    <w:rsid w:val="004D13E4"/>
    <w:rsid w:val="004D1AFD"/>
    <w:rsid w:val="004D22ED"/>
    <w:rsid w:val="004D39B9"/>
    <w:rsid w:val="004D3DE3"/>
    <w:rsid w:val="004D4265"/>
    <w:rsid w:val="004D71D7"/>
    <w:rsid w:val="004E1588"/>
    <w:rsid w:val="004E24E0"/>
    <w:rsid w:val="004E285E"/>
    <w:rsid w:val="004E2B56"/>
    <w:rsid w:val="004E4900"/>
    <w:rsid w:val="004E4A22"/>
    <w:rsid w:val="004E52F2"/>
    <w:rsid w:val="004E53C2"/>
    <w:rsid w:val="004E6A65"/>
    <w:rsid w:val="004F02A9"/>
    <w:rsid w:val="004F05C3"/>
    <w:rsid w:val="004F0AC5"/>
    <w:rsid w:val="004F1EBE"/>
    <w:rsid w:val="004F3BE6"/>
    <w:rsid w:val="004F5A45"/>
    <w:rsid w:val="0050010A"/>
    <w:rsid w:val="005006A1"/>
    <w:rsid w:val="00500861"/>
    <w:rsid w:val="00501268"/>
    <w:rsid w:val="00501C69"/>
    <w:rsid w:val="005028DC"/>
    <w:rsid w:val="0050364D"/>
    <w:rsid w:val="00503E84"/>
    <w:rsid w:val="00503F5E"/>
    <w:rsid w:val="0050410D"/>
    <w:rsid w:val="00504750"/>
    <w:rsid w:val="00504D63"/>
    <w:rsid w:val="00504FD0"/>
    <w:rsid w:val="005067E9"/>
    <w:rsid w:val="00506B31"/>
    <w:rsid w:val="00506C71"/>
    <w:rsid w:val="00506FBF"/>
    <w:rsid w:val="00510D41"/>
    <w:rsid w:val="00510E5C"/>
    <w:rsid w:val="00510EC6"/>
    <w:rsid w:val="005118B4"/>
    <w:rsid w:val="00511968"/>
    <w:rsid w:val="005119A1"/>
    <w:rsid w:val="00511CD4"/>
    <w:rsid w:val="00513B4A"/>
    <w:rsid w:val="00513C92"/>
    <w:rsid w:val="00513EB0"/>
    <w:rsid w:val="00515E0B"/>
    <w:rsid w:val="00515FB8"/>
    <w:rsid w:val="0052011D"/>
    <w:rsid w:val="00520181"/>
    <w:rsid w:val="005208D7"/>
    <w:rsid w:val="00521508"/>
    <w:rsid w:val="0052285E"/>
    <w:rsid w:val="00522A16"/>
    <w:rsid w:val="00523282"/>
    <w:rsid w:val="0052427B"/>
    <w:rsid w:val="00525DC3"/>
    <w:rsid w:val="005264AA"/>
    <w:rsid w:val="00526EEC"/>
    <w:rsid w:val="00527922"/>
    <w:rsid w:val="00530C68"/>
    <w:rsid w:val="005321FE"/>
    <w:rsid w:val="005325F0"/>
    <w:rsid w:val="00533731"/>
    <w:rsid w:val="00534AAD"/>
    <w:rsid w:val="00535810"/>
    <w:rsid w:val="00535EB6"/>
    <w:rsid w:val="005362B2"/>
    <w:rsid w:val="005408A9"/>
    <w:rsid w:val="00545A04"/>
    <w:rsid w:val="00545DC2"/>
    <w:rsid w:val="005464CF"/>
    <w:rsid w:val="00550631"/>
    <w:rsid w:val="005522A6"/>
    <w:rsid w:val="00552F33"/>
    <w:rsid w:val="005537A9"/>
    <w:rsid w:val="00553C50"/>
    <w:rsid w:val="0055520A"/>
    <w:rsid w:val="00555A50"/>
    <w:rsid w:val="0055614C"/>
    <w:rsid w:val="005570CF"/>
    <w:rsid w:val="005571A1"/>
    <w:rsid w:val="00561028"/>
    <w:rsid w:val="00561153"/>
    <w:rsid w:val="0056193F"/>
    <w:rsid w:val="005621E5"/>
    <w:rsid w:val="005628D7"/>
    <w:rsid w:val="00562B75"/>
    <w:rsid w:val="005631AE"/>
    <w:rsid w:val="005641DE"/>
    <w:rsid w:val="0056478C"/>
    <w:rsid w:val="00565B76"/>
    <w:rsid w:val="00565CDD"/>
    <w:rsid w:val="00566D06"/>
    <w:rsid w:val="00567A14"/>
    <w:rsid w:val="00570796"/>
    <w:rsid w:val="0057239B"/>
    <w:rsid w:val="005742FB"/>
    <w:rsid w:val="0057749E"/>
    <w:rsid w:val="005776C7"/>
    <w:rsid w:val="00577CBA"/>
    <w:rsid w:val="00577DDA"/>
    <w:rsid w:val="005808A5"/>
    <w:rsid w:val="00581199"/>
    <w:rsid w:val="00581D67"/>
    <w:rsid w:val="00582C1C"/>
    <w:rsid w:val="00582DD3"/>
    <w:rsid w:val="005839FD"/>
    <w:rsid w:val="00583B57"/>
    <w:rsid w:val="005847CF"/>
    <w:rsid w:val="00584D22"/>
    <w:rsid w:val="00585326"/>
    <w:rsid w:val="00585779"/>
    <w:rsid w:val="00585983"/>
    <w:rsid w:val="00586BCC"/>
    <w:rsid w:val="005878EB"/>
    <w:rsid w:val="005901E6"/>
    <w:rsid w:val="00591D32"/>
    <w:rsid w:val="00592E59"/>
    <w:rsid w:val="0059328A"/>
    <w:rsid w:val="00593536"/>
    <w:rsid w:val="005946E3"/>
    <w:rsid w:val="00595AFA"/>
    <w:rsid w:val="005972D9"/>
    <w:rsid w:val="00597AB8"/>
    <w:rsid w:val="005A0657"/>
    <w:rsid w:val="005A0CA3"/>
    <w:rsid w:val="005A3031"/>
    <w:rsid w:val="005A3D77"/>
    <w:rsid w:val="005A42B0"/>
    <w:rsid w:val="005A4622"/>
    <w:rsid w:val="005A47C4"/>
    <w:rsid w:val="005A52C2"/>
    <w:rsid w:val="005A7F92"/>
    <w:rsid w:val="005B0DA6"/>
    <w:rsid w:val="005B23F1"/>
    <w:rsid w:val="005B2825"/>
    <w:rsid w:val="005B3064"/>
    <w:rsid w:val="005B4394"/>
    <w:rsid w:val="005B46DB"/>
    <w:rsid w:val="005B5D05"/>
    <w:rsid w:val="005B5DED"/>
    <w:rsid w:val="005B602D"/>
    <w:rsid w:val="005B6076"/>
    <w:rsid w:val="005B6CB2"/>
    <w:rsid w:val="005B7868"/>
    <w:rsid w:val="005B786B"/>
    <w:rsid w:val="005C0C3C"/>
    <w:rsid w:val="005C27B4"/>
    <w:rsid w:val="005C2837"/>
    <w:rsid w:val="005C4417"/>
    <w:rsid w:val="005C4EE9"/>
    <w:rsid w:val="005C5F98"/>
    <w:rsid w:val="005C64CA"/>
    <w:rsid w:val="005D08FB"/>
    <w:rsid w:val="005D18E0"/>
    <w:rsid w:val="005D2C68"/>
    <w:rsid w:val="005D3015"/>
    <w:rsid w:val="005D3412"/>
    <w:rsid w:val="005D405F"/>
    <w:rsid w:val="005D435F"/>
    <w:rsid w:val="005D6140"/>
    <w:rsid w:val="005D6766"/>
    <w:rsid w:val="005E0AA1"/>
    <w:rsid w:val="005E14C2"/>
    <w:rsid w:val="005E2834"/>
    <w:rsid w:val="005E28A8"/>
    <w:rsid w:val="005E39F3"/>
    <w:rsid w:val="005E5CF7"/>
    <w:rsid w:val="005F04F7"/>
    <w:rsid w:val="005F05DC"/>
    <w:rsid w:val="005F06F1"/>
    <w:rsid w:val="005F0EE5"/>
    <w:rsid w:val="005F34A5"/>
    <w:rsid w:val="005F43D8"/>
    <w:rsid w:val="005F4F72"/>
    <w:rsid w:val="005F65EC"/>
    <w:rsid w:val="005F6A44"/>
    <w:rsid w:val="005F6FE5"/>
    <w:rsid w:val="005F765D"/>
    <w:rsid w:val="005F78CA"/>
    <w:rsid w:val="006007DF"/>
    <w:rsid w:val="00602798"/>
    <w:rsid w:val="00603E92"/>
    <w:rsid w:val="0060465E"/>
    <w:rsid w:val="0060529A"/>
    <w:rsid w:val="00605604"/>
    <w:rsid w:val="006063E8"/>
    <w:rsid w:val="00606507"/>
    <w:rsid w:val="006074B3"/>
    <w:rsid w:val="00607906"/>
    <w:rsid w:val="00607BA5"/>
    <w:rsid w:val="00607F91"/>
    <w:rsid w:val="006101A3"/>
    <w:rsid w:val="0061021C"/>
    <w:rsid w:val="0061180A"/>
    <w:rsid w:val="00611C75"/>
    <w:rsid w:val="00611F76"/>
    <w:rsid w:val="006121B1"/>
    <w:rsid w:val="00614AD6"/>
    <w:rsid w:val="006155D8"/>
    <w:rsid w:val="00615721"/>
    <w:rsid w:val="00615B77"/>
    <w:rsid w:val="00615DB8"/>
    <w:rsid w:val="00617E31"/>
    <w:rsid w:val="00621427"/>
    <w:rsid w:val="00623E04"/>
    <w:rsid w:val="006251B0"/>
    <w:rsid w:val="00626EB6"/>
    <w:rsid w:val="006270EF"/>
    <w:rsid w:val="00627706"/>
    <w:rsid w:val="00627F52"/>
    <w:rsid w:val="00630D33"/>
    <w:rsid w:val="00632886"/>
    <w:rsid w:val="00635713"/>
    <w:rsid w:val="00635C68"/>
    <w:rsid w:val="006367C7"/>
    <w:rsid w:val="006407E6"/>
    <w:rsid w:val="0064106D"/>
    <w:rsid w:val="006420EC"/>
    <w:rsid w:val="00642328"/>
    <w:rsid w:val="00642657"/>
    <w:rsid w:val="00642BB3"/>
    <w:rsid w:val="006430BF"/>
    <w:rsid w:val="006439EE"/>
    <w:rsid w:val="00644DF7"/>
    <w:rsid w:val="00645E64"/>
    <w:rsid w:val="00646EAE"/>
    <w:rsid w:val="00647192"/>
    <w:rsid w:val="00647C7E"/>
    <w:rsid w:val="00647D7A"/>
    <w:rsid w:val="00650280"/>
    <w:rsid w:val="00650CB7"/>
    <w:rsid w:val="0065209D"/>
    <w:rsid w:val="006526D1"/>
    <w:rsid w:val="00652AEE"/>
    <w:rsid w:val="00652B69"/>
    <w:rsid w:val="0065411E"/>
    <w:rsid w:val="00654DA5"/>
    <w:rsid w:val="00654E94"/>
    <w:rsid w:val="00655AF2"/>
    <w:rsid w:val="00655C10"/>
    <w:rsid w:val="00655D03"/>
    <w:rsid w:val="00655FA5"/>
    <w:rsid w:val="00656013"/>
    <w:rsid w:val="006570C0"/>
    <w:rsid w:val="00657935"/>
    <w:rsid w:val="0066103F"/>
    <w:rsid w:val="00661F1C"/>
    <w:rsid w:val="00662221"/>
    <w:rsid w:val="00664227"/>
    <w:rsid w:val="006644E4"/>
    <w:rsid w:val="00664D76"/>
    <w:rsid w:val="00665B14"/>
    <w:rsid w:val="00665DA0"/>
    <w:rsid w:val="00667A2E"/>
    <w:rsid w:val="00667AD7"/>
    <w:rsid w:val="0067091D"/>
    <w:rsid w:val="00671884"/>
    <w:rsid w:val="00672319"/>
    <w:rsid w:val="006727FA"/>
    <w:rsid w:val="00672B03"/>
    <w:rsid w:val="00673024"/>
    <w:rsid w:val="00674090"/>
    <w:rsid w:val="00674D4B"/>
    <w:rsid w:val="006754BB"/>
    <w:rsid w:val="00675C00"/>
    <w:rsid w:val="00675FCC"/>
    <w:rsid w:val="00676952"/>
    <w:rsid w:val="00676F1F"/>
    <w:rsid w:val="0067700C"/>
    <w:rsid w:val="00677675"/>
    <w:rsid w:val="00677C16"/>
    <w:rsid w:val="00681F8C"/>
    <w:rsid w:val="00682175"/>
    <w:rsid w:val="00683388"/>
    <w:rsid w:val="00683B80"/>
    <w:rsid w:val="00683F84"/>
    <w:rsid w:val="00684031"/>
    <w:rsid w:val="00684B14"/>
    <w:rsid w:val="0068557A"/>
    <w:rsid w:val="00685928"/>
    <w:rsid w:val="00685C39"/>
    <w:rsid w:val="00686A54"/>
    <w:rsid w:val="00687499"/>
    <w:rsid w:val="00687CE4"/>
    <w:rsid w:val="00691475"/>
    <w:rsid w:val="006925BE"/>
    <w:rsid w:val="0069299B"/>
    <w:rsid w:val="00693487"/>
    <w:rsid w:val="00697211"/>
    <w:rsid w:val="0069793B"/>
    <w:rsid w:val="006A0D1E"/>
    <w:rsid w:val="006A10C5"/>
    <w:rsid w:val="006A4DF9"/>
    <w:rsid w:val="006A4F04"/>
    <w:rsid w:val="006A4FF4"/>
    <w:rsid w:val="006A593A"/>
    <w:rsid w:val="006A62B7"/>
    <w:rsid w:val="006A6982"/>
    <w:rsid w:val="006A6A81"/>
    <w:rsid w:val="006B0A15"/>
    <w:rsid w:val="006B209C"/>
    <w:rsid w:val="006B307E"/>
    <w:rsid w:val="006B33B0"/>
    <w:rsid w:val="006B3745"/>
    <w:rsid w:val="006B4294"/>
    <w:rsid w:val="006B53C6"/>
    <w:rsid w:val="006B63A2"/>
    <w:rsid w:val="006B79EB"/>
    <w:rsid w:val="006B7E03"/>
    <w:rsid w:val="006C086B"/>
    <w:rsid w:val="006C1B7B"/>
    <w:rsid w:val="006C2756"/>
    <w:rsid w:val="006C3D53"/>
    <w:rsid w:val="006C4D6D"/>
    <w:rsid w:val="006C6E28"/>
    <w:rsid w:val="006C6F45"/>
    <w:rsid w:val="006C7158"/>
    <w:rsid w:val="006C7655"/>
    <w:rsid w:val="006D22DA"/>
    <w:rsid w:val="006D389A"/>
    <w:rsid w:val="006D561A"/>
    <w:rsid w:val="006D56E1"/>
    <w:rsid w:val="006D64D3"/>
    <w:rsid w:val="006E0CFA"/>
    <w:rsid w:val="006E12C1"/>
    <w:rsid w:val="006E17C0"/>
    <w:rsid w:val="006E2571"/>
    <w:rsid w:val="006E346A"/>
    <w:rsid w:val="006E3891"/>
    <w:rsid w:val="006E42C7"/>
    <w:rsid w:val="006E4B1F"/>
    <w:rsid w:val="006E4C43"/>
    <w:rsid w:val="006E5B22"/>
    <w:rsid w:val="006E5C06"/>
    <w:rsid w:val="006E5D18"/>
    <w:rsid w:val="006E65EB"/>
    <w:rsid w:val="006E6781"/>
    <w:rsid w:val="006E732A"/>
    <w:rsid w:val="006F0FE5"/>
    <w:rsid w:val="006F100D"/>
    <w:rsid w:val="006F2AF3"/>
    <w:rsid w:val="006F2E8A"/>
    <w:rsid w:val="006F3337"/>
    <w:rsid w:val="006F4C75"/>
    <w:rsid w:val="006F531B"/>
    <w:rsid w:val="006F65AF"/>
    <w:rsid w:val="006F7393"/>
    <w:rsid w:val="006F7D67"/>
    <w:rsid w:val="007012F1"/>
    <w:rsid w:val="00702075"/>
    <w:rsid w:val="0070224F"/>
    <w:rsid w:val="007031D7"/>
    <w:rsid w:val="007040BC"/>
    <w:rsid w:val="00706244"/>
    <w:rsid w:val="00706FAB"/>
    <w:rsid w:val="007075A5"/>
    <w:rsid w:val="00710A87"/>
    <w:rsid w:val="00710CD9"/>
    <w:rsid w:val="007110F7"/>
    <w:rsid w:val="007115F7"/>
    <w:rsid w:val="00711D6D"/>
    <w:rsid w:val="00711F3E"/>
    <w:rsid w:val="007132DC"/>
    <w:rsid w:val="00713527"/>
    <w:rsid w:val="00713F95"/>
    <w:rsid w:val="007146C4"/>
    <w:rsid w:val="00714CCC"/>
    <w:rsid w:val="0072045A"/>
    <w:rsid w:val="00721953"/>
    <w:rsid w:val="00722C9C"/>
    <w:rsid w:val="00722DEF"/>
    <w:rsid w:val="007239B2"/>
    <w:rsid w:val="00723A26"/>
    <w:rsid w:val="00723C0A"/>
    <w:rsid w:val="00724062"/>
    <w:rsid w:val="007253C5"/>
    <w:rsid w:val="00726D6D"/>
    <w:rsid w:val="007279CB"/>
    <w:rsid w:val="0073085A"/>
    <w:rsid w:val="00736246"/>
    <w:rsid w:val="007362E9"/>
    <w:rsid w:val="00736A09"/>
    <w:rsid w:val="00737669"/>
    <w:rsid w:val="007408F9"/>
    <w:rsid w:val="007417C1"/>
    <w:rsid w:val="00741D53"/>
    <w:rsid w:val="00741E65"/>
    <w:rsid w:val="00742B10"/>
    <w:rsid w:val="00742C28"/>
    <w:rsid w:val="00745375"/>
    <w:rsid w:val="00745422"/>
    <w:rsid w:val="00745744"/>
    <w:rsid w:val="00746363"/>
    <w:rsid w:val="00747079"/>
    <w:rsid w:val="0074758E"/>
    <w:rsid w:val="007516D4"/>
    <w:rsid w:val="00752F2A"/>
    <w:rsid w:val="00753549"/>
    <w:rsid w:val="00753AC2"/>
    <w:rsid w:val="007541E7"/>
    <w:rsid w:val="007542B0"/>
    <w:rsid w:val="00754AE1"/>
    <w:rsid w:val="00754D6E"/>
    <w:rsid w:val="00755B23"/>
    <w:rsid w:val="00757BE3"/>
    <w:rsid w:val="0076085D"/>
    <w:rsid w:val="00761D38"/>
    <w:rsid w:val="0076227D"/>
    <w:rsid w:val="007623FB"/>
    <w:rsid w:val="00762561"/>
    <w:rsid w:val="00762686"/>
    <w:rsid w:val="0076342E"/>
    <w:rsid w:val="00763B88"/>
    <w:rsid w:val="007646AB"/>
    <w:rsid w:val="0076496C"/>
    <w:rsid w:val="007657CE"/>
    <w:rsid w:val="007671ED"/>
    <w:rsid w:val="00767376"/>
    <w:rsid w:val="00767F93"/>
    <w:rsid w:val="00770428"/>
    <w:rsid w:val="00770484"/>
    <w:rsid w:val="00770895"/>
    <w:rsid w:val="00771601"/>
    <w:rsid w:val="0077191E"/>
    <w:rsid w:val="00772AE9"/>
    <w:rsid w:val="00773E6A"/>
    <w:rsid w:val="00774996"/>
    <w:rsid w:val="00775124"/>
    <w:rsid w:val="007761F6"/>
    <w:rsid w:val="0077658F"/>
    <w:rsid w:val="00777A2C"/>
    <w:rsid w:val="0078043A"/>
    <w:rsid w:val="00780854"/>
    <w:rsid w:val="00781A39"/>
    <w:rsid w:val="00781AD9"/>
    <w:rsid w:val="00782525"/>
    <w:rsid w:val="00782F07"/>
    <w:rsid w:val="007839C1"/>
    <w:rsid w:val="00784189"/>
    <w:rsid w:val="00785449"/>
    <w:rsid w:val="00785689"/>
    <w:rsid w:val="00786335"/>
    <w:rsid w:val="007908C6"/>
    <w:rsid w:val="0079133F"/>
    <w:rsid w:val="00792A99"/>
    <w:rsid w:val="0079382C"/>
    <w:rsid w:val="00794167"/>
    <w:rsid w:val="00794AF6"/>
    <w:rsid w:val="00797368"/>
    <w:rsid w:val="0079737D"/>
    <w:rsid w:val="0079754B"/>
    <w:rsid w:val="00797694"/>
    <w:rsid w:val="007A0117"/>
    <w:rsid w:val="007A0BE3"/>
    <w:rsid w:val="007A1BA3"/>
    <w:rsid w:val="007A1E6D"/>
    <w:rsid w:val="007A1FAD"/>
    <w:rsid w:val="007A2241"/>
    <w:rsid w:val="007A2D10"/>
    <w:rsid w:val="007A33FE"/>
    <w:rsid w:val="007A4FCD"/>
    <w:rsid w:val="007A65B1"/>
    <w:rsid w:val="007A6DAB"/>
    <w:rsid w:val="007A6F78"/>
    <w:rsid w:val="007A72CF"/>
    <w:rsid w:val="007A735D"/>
    <w:rsid w:val="007B0EB2"/>
    <w:rsid w:val="007B10F1"/>
    <w:rsid w:val="007B1E81"/>
    <w:rsid w:val="007B2AF4"/>
    <w:rsid w:val="007B2F28"/>
    <w:rsid w:val="007B3B1D"/>
    <w:rsid w:val="007B3EC7"/>
    <w:rsid w:val="007B4495"/>
    <w:rsid w:val="007B4602"/>
    <w:rsid w:val="007B5E44"/>
    <w:rsid w:val="007B7672"/>
    <w:rsid w:val="007B77B2"/>
    <w:rsid w:val="007B7C7D"/>
    <w:rsid w:val="007C00C1"/>
    <w:rsid w:val="007C0BED"/>
    <w:rsid w:val="007C1D09"/>
    <w:rsid w:val="007C229E"/>
    <w:rsid w:val="007C2C68"/>
    <w:rsid w:val="007C2CD7"/>
    <w:rsid w:val="007C3D07"/>
    <w:rsid w:val="007C4F6F"/>
    <w:rsid w:val="007C632F"/>
    <w:rsid w:val="007C6448"/>
    <w:rsid w:val="007C6686"/>
    <w:rsid w:val="007C685E"/>
    <w:rsid w:val="007C6A53"/>
    <w:rsid w:val="007C6DC0"/>
    <w:rsid w:val="007C79F6"/>
    <w:rsid w:val="007D08D8"/>
    <w:rsid w:val="007D1527"/>
    <w:rsid w:val="007D23F0"/>
    <w:rsid w:val="007D2D25"/>
    <w:rsid w:val="007D347A"/>
    <w:rsid w:val="007D37F8"/>
    <w:rsid w:val="007D3FB1"/>
    <w:rsid w:val="007D5939"/>
    <w:rsid w:val="007D6B50"/>
    <w:rsid w:val="007D7450"/>
    <w:rsid w:val="007E09A6"/>
    <w:rsid w:val="007E1586"/>
    <w:rsid w:val="007E336B"/>
    <w:rsid w:val="007E4575"/>
    <w:rsid w:val="007E5EDF"/>
    <w:rsid w:val="007E6B13"/>
    <w:rsid w:val="007E6BAE"/>
    <w:rsid w:val="007E71A5"/>
    <w:rsid w:val="007F045B"/>
    <w:rsid w:val="007F2614"/>
    <w:rsid w:val="007F306A"/>
    <w:rsid w:val="007F6BA9"/>
    <w:rsid w:val="007F6C84"/>
    <w:rsid w:val="007F6D33"/>
    <w:rsid w:val="00800CC7"/>
    <w:rsid w:val="00802242"/>
    <w:rsid w:val="00803807"/>
    <w:rsid w:val="00806474"/>
    <w:rsid w:val="008069FC"/>
    <w:rsid w:val="00806DDC"/>
    <w:rsid w:val="008074D8"/>
    <w:rsid w:val="008076C2"/>
    <w:rsid w:val="00807E2A"/>
    <w:rsid w:val="0081095E"/>
    <w:rsid w:val="00810B6F"/>
    <w:rsid w:val="008126F1"/>
    <w:rsid w:val="00817AFC"/>
    <w:rsid w:val="00820677"/>
    <w:rsid w:val="00820C4C"/>
    <w:rsid w:val="00821D0E"/>
    <w:rsid w:val="00822274"/>
    <w:rsid w:val="00822CE0"/>
    <w:rsid w:val="0082420D"/>
    <w:rsid w:val="00825299"/>
    <w:rsid w:val="00826BC9"/>
    <w:rsid w:val="008310A8"/>
    <w:rsid w:val="0083168C"/>
    <w:rsid w:val="00832D04"/>
    <w:rsid w:val="0083434C"/>
    <w:rsid w:val="00834483"/>
    <w:rsid w:val="00834D63"/>
    <w:rsid w:val="008356FE"/>
    <w:rsid w:val="00837E28"/>
    <w:rsid w:val="0084135A"/>
    <w:rsid w:val="00841887"/>
    <w:rsid w:val="00841AB1"/>
    <w:rsid w:val="008429B2"/>
    <w:rsid w:val="00843DF4"/>
    <w:rsid w:val="00844BD0"/>
    <w:rsid w:val="00844D32"/>
    <w:rsid w:val="008451D0"/>
    <w:rsid w:val="00847D4D"/>
    <w:rsid w:val="0085014E"/>
    <w:rsid w:val="008510AB"/>
    <w:rsid w:val="00853721"/>
    <w:rsid w:val="0085386E"/>
    <w:rsid w:val="00853C88"/>
    <w:rsid w:val="00853EA8"/>
    <w:rsid w:val="00853F50"/>
    <w:rsid w:val="00854D81"/>
    <w:rsid w:val="00855876"/>
    <w:rsid w:val="00856624"/>
    <w:rsid w:val="008571EB"/>
    <w:rsid w:val="00857536"/>
    <w:rsid w:val="00860226"/>
    <w:rsid w:val="00863CF0"/>
    <w:rsid w:val="00863D70"/>
    <w:rsid w:val="00865868"/>
    <w:rsid w:val="00865D84"/>
    <w:rsid w:val="008707BD"/>
    <w:rsid w:val="00871BC5"/>
    <w:rsid w:val="008720B3"/>
    <w:rsid w:val="00872263"/>
    <w:rsid w:val="00872394"/>
    <w:rsid w:val="0087272E"/>
    <w:rsid w:val="008736DB"/>
    <w:rsid w:val="008761D0"/>
    <w:rsid w:val="00876758"/>
    <w:rsid w:val="00877048"/>
    <w:rsid w:val="00877253"/>
    <w:rsid w:val="008776F7"/>
    <w:rsid w:val="0088101B"/>
    <w:rsid w:val="00882B99"/>
    <w:rsid w:val="00884462"/>
    <w:rsid w:val="00884D0E"/>
    <w:rsid w:val="00885575"/>
    <w:rsid w:val="00886827"/>
    <w:rsid w:val="00886B2D"/>
    <w:rsid w:val="008874AC"/>
    <w:rsid w:val="00887741"/>
    <w:rsid w:val="00887E1E"/>
    <w:rsid w:val="008901EF"/>
    <w:rsid w:val="00890E0D"/>
    <w:rsid w:val="00891E48"/>
    <w:rsid w:val="008927AC"/>
    <w:rsid w:val="00894199"/>
    <w:rsid w:val="00897214"/>
    <w:rsid w:val="00897CC2"/>
    <w:rsid w:val="008A02B7"/>
    <w:rsid w:val="008A05B5"/>
    <w:rsid w:val="008A0D58"/>
    <w:rsid w:val="008A1990"/>
    <w:rsid w:val="008A2294"/>
    <w:rsid w:val="008A3060"/>
    <w:rsid w:val="008A3226"/>
    <w:rsid w:val="008A4E0F"/>
    <w:rsid w:val="008A5062"/>
    <w:rsid w:val="008A5BDE"/>
    <w:rsid w:val="008A5EE1"/>
    <w:rsid w:val="008A74EF"/>
    <w:rsid w:val="008A7A91"/>
    <w:rsid w:val="008A7BCB"/>
    <w:rsid w:val="008B0077"/>
    <w:rsid w:val="008B0221"/>
    <w:rsid w:val="008B0AA2"/>
    <w:rsid w:val="008B0B19"/>
    <w:rsid w:val="008B1CF0"/>
    <w:rsid w:val="008B2787"/>
    <w:rsid w:val="008B56A3"/>
    <w:rsid w:val="008B5FF5"/>
    <w:rsid w:val="008B6587"/>
    <w:rsid w:val="008B6BD3"/>
    <w:rsid w:val="008B7018"/>
    <w:rsid w:val="008B7E0C"/>
    <w:rsid w:val="008B7F02"/>
    <w:rsid w:val="008C0C46"/>
    <w:rsid w:val="008C0F85"/>
    <w:rsid w:val="008C1F83"/>
    <w:rsid w:val="008C3ED7"/>
    <w:rsid w:val="008C513C"/>
    <w:rsid w:val="008C68F1"/>
    <w:rsid w:val="008C6B4D"/>
    <w:rsid w:val="008D05D8"/>
    <w:rsid w:val="008D20E3"/>
    <w:rsid w:val="008D2EF2"/>
    <w:rsid w:val="008D3191"/>
    <w:rsid w:val="008D32D9"/>
    <w:rsid w:val="008D5EA1"/>
    <w:rsid w:val="008D626F"/>
    <w:rsid w:val="008D6544"/>
    <w:rsid w:val="008D6815"/>
    <w:rsid w:val="008D70E8"/>
    <w:rsid w:val="008D7B20"/>
    <w:rsid w:val="008E02D3"/>
    <w:rsid w:val="008E2136"/>
    <w:rsid w:val="008E4708"/>
    <w:rsid w:val="008E4AD8"/>
    <w:rsid w:val="008E508E"/>
    <w:rsid w:val="008E549C"/>
    <w:rsid w:val="008E6685"/>
    <w:rsid w:val="008E701A"/>
    <w:rsid w:val="008E7529"/>
    <w:rsid w:val="008E7616"/>
    <w:rsid w:val="008E7647"/>
    <w:rsid w:val="008F0580"/>
    <w:rsid w:val="008F080C"/>
    <w:rsid w:val="008F2E88"/>
    <w:rsid w:val="008F39C4"/>
    <w:rsid w:val="008F54AB"/>
    <w:rsid w:val="008F57D6"/>
    <w:rsid w:val="008F5DAC"/>
    <w:rsid w:val="00900F2A"/>
    <w:rsid w:val="00900FF3"/>
    <w:rsid w:val="009018FC"/>
    <w:rsid w:val="00901BD4"/>
    <w:rsid w:val="00902600"/>
    <w:rsid w:val="00902EED"/>
    <w:rsid w:val="00903CA9"/>
    <w:rsid w:val="00905BFF"/>
    <w:rsid w:val="00906289"/>
    <w:rsid w:val="009064BF"/>
    <w:rsid w:val="00906845"/>
    <w:rsid w:val="009076D6"/>
    <w:rsid w:val="00907800"/>
    <w:rsid w:val="00910EEE"/>
    <w:rsid w:val="00911C84"/>
    <w:rsid w:val="009132C2"/>
    <w:rsid w:val="0091365A"/>
    <w:rsid w:val="0091559C"/>
    <w:rsid w:val="00917F08"/>
    <w:rsid w:val="00921413"/>
    <w:rsid w:val="00921803"/>
    <w:rsid w:val="00921E9C"/>
    <w:rsid w:val="009224A6"/>
    <w:rsid w:val="00922749"/>
    <w:rsid w:val="00923DD3"/>
    <w:rsid w:val="0092455E"/>
    <w:rsid w:val="00924A19"/>
    <w:rsid w:val="009257F5"/>
    <w:rsid w:val="00925D41"/>
    <w:rsid w:val="009264F0"/>
    <w:rsid w:val="00926503"/>
    <w:rsid w:val="00927639"/>
    <w:rsid w:val="009300AF"/>
    <w:rsid w:val="00931D20"/>
    <w:rsid w:val="00932AEF"/>
    <w:rsid w:val="00934542"/>
    <w:rsid w:val="00934809"/>
    <w:rsid w:val="009359FA"/>
    <w:rsid w:val="009369F1"/>
    <w:rsid w:val="00936F23"/>
    <w:rsid w:val="00937852"/>
    <w:rsid w:val="009401F1"/>
    <w:rsid w:val="0094095F"/>
    <w:rsid w:val="00940CDE"/>
    <w:rsid w:val="00943B90"/>
    <w:rsid w:val="00943BDA"/>
    <w:rsid w:val="009440B8"/>
    <w:rsid w:val="0094550A"/>
    <w:rsid w:val="00945D48"/>
    <w:rsid w:val="009465A8"/>
    <w:rsid w:val="009468CF"/>
    <w:rsid w:val="00946C76"/>
    <w:rsid w:val="00947DAA"/>
    <w:rsid w:val="00950282"/>
    <w:rsid w:val="00951AB6"/>
    <w:rsid w:val="00951C1B"/>
    <w:rsid w:val="00952F88"/>
    <w:rsid w:val="009562E4"/>
    <w:rsid w:val="00956A74"/>
    <w:rsid w:val="00957928"/>
    <w:rsid w:val="009579CC"/>
    <w:rsid w:val="00960E18"/>
    <w:rsid w:val="00961144"/>
    <w:rsid w:val="00962633"/>
    <w:rsid w:val="00962698"/>
    <w:rsid w:val="009637F4"/>
    <w:rsid w:val="009648F5"/>
    <w:rsid w:val="00964E8A"/>
    <w:rsid w:val="00965016"/>
    <w:rsid w:val="009711F2"/>
    <w:rsid w:val="009712C9"/>
    <w:rsid w:val="009726D8"/>
    <w:rsid w:val="0097369A"/>
    <w:rsid w:val="00974204"/>
    <w:rsid w:val="009757AF"/>
    <w:rsid w:val="00975F57"/>
    <w:rsid w:val="00980604"/>
    <w:rsid w:val="00980FA6"/>
    <w:rsid w:val="009810D3"/>
    <w:rsid w:val="00981D15"/>
    <w:rsid w:val="00982463"/>
    <w:rsid w:val="00982519"/>
    <w:rsid w:val="009827BC"/>
    <w:rsid w:val="00982F23"/>
    <w:rsid w:val="00982FEF"/>
    <w:rsid w:val="00983DC6"/>
    <w:rsid w:val="009858FA"/>
    <w:rsid w:val="00986C23"/>
    <w:rsid w:val="00987477"/>
    <w:rsid w:val="0099041F"/>
    <w:rsid w:val="00990917"/>
    <w:rsid w:val="00990F3F"/>
    <w:rsid w:val="0099280E"/>
    <w:rsid w:val="0099334A"/>
    <w:rsid w:val="00993463"/>
    <w:rsid w:val="00994387"/>
    <w:rsid w:val="00994BAA"/>
    <w:rsid w:val="00994F58"/>
    <w:rsid w:val="00995B47"/>
    <w:rsid w:val="0099687E"/>
    <w:rsid w:val="00997911"/>
    <w:rsid w:val="009A0AC6"/>
    <w:rsid w:val="009A13FD"/>
    <w:rsid w:val="009A1E24"/>
    <w:rsid w:val="009A3181"/>
    <w:rsid w:val="009A351F"/>
    <w:rsid w:val="009A3E70"/>
    <w:rsid w:val="009A404D"/>
    <w:rsid w:val="009A4633"/>
    <w:rsid w:val="009A65B2"/>
    <w:rsid w:val="009A66D2"/>
    <w:rsid w:val="009B0A22"/>
    <w:rsid w:val="009B0A81"/>
    <w:rsid w:val="009B0CC5"/>
    <w:rsid w:val="009B1135"/>
    <w:rsid w:val="009B2EFE"/>
    <w:rsid w:val="009B4C46"/>
    <w:rsid w:val="009B7DD0"/>
    <w:rsid w:val="009C0C91"/>
    <w:rsid w:val="009C13AD"/>
    <w:rsid w:val="009C1A03"/>
    <w:rsid w:val="009C1ACF"/>
    <w:rsid w:val="009C2464"/>
    <w:rsid w:val="009C27C3"/>
    <w:rsid w:val="009C2B41"/>
    <w:rsid w:val="009C2BE2"/>
    <w:rsid w:val="009C3BD6"/>
    <w:rsid w:val="009C4374"/>
    <w:rsid w:val="009C46A7"/>
    <w:rsid w:val="009C6097"/>
    <w:rsid w:val="009C7835"/>
    <w:rsid w:val="009C7837"/>
    <w:rsid w:val="009D0580"/>
    <w:rsid w:val="009D0A01"/>
    <w:rsid w:val="009D13A5"/>
    <w:rsid w:val="009D18C0"/>
    <w:rsid w:val="009D3325"/>
    <w:rsid w:val="009D3CA9"/>
    <w:rsid w:val="009D4878"/>
    <w:rsid w:val="009D7308"/>
    <w:rsid w:val="009E0D99"/>
    <w:rsid w:val="009E69ED"/>
    <w:rsid w:val="009E769E"/>
    <w:rsid w:val="009F0356"/>
    <w:rsid w:val="009F05C0"/>
    <w:rsid w:val="009F0604"/>
    <w:rsid w:val="009F0764"/>
    <w:rsid w:val="009F1595"/>
    <w:rsid w:val="009F1863"/>
    <w:rsid w:val="009F3770"/>
    <w:rsid w:val="009F3901"/>
    <w:rsid w:val="009F432F"/>
    <w:rsid w:val="009F4D80"/>
    <w:rsid w:val="009F58E1"/>
    <w:rsid w:val="009F7477"/>
    <w:rsid w:val="009F76DB"/>
    <w:rsid w:val="009F7B7E"/>
    <w:rsid w:val="00A01433"/>
    <w:rsid w:val="00A039FE"/>
    <w:rsid w:val="00A03EA8"/>
    <w:rsid w:val="00A042CA"/>
    <w:rsid w:val="00A051C5"/>
    <w:rsid w:val="00A10288"/>
    <w:rsid w:val="00A11752"/>
    <w:rsid w:val="00A122E6"/>
    <w:rsid w:val="00A127C6"/>
    <w:rsid w:val="00A144FC"/>
    <w:rsid w:val="00A147D5"/>
    <w:rsid w:val="00A15804"/>
    <w:rsid w:val="00A22A01"/>
    <w:rsid w:val="00A23BA5"/>
    <w:rsid w:val="00A24187"/>
    <w:rsid w:val="00A24931"/>
    <w:rsid w:val="00A26082"/>
    <w:rsid w:val="00A264CA"/>
    <w:rsid w:val="00A272F8"/>
    <w:rsid w:val="00A275AD"/>
    <w:rsid w:val="00A278FE"/>
    <w:rsid w:val="00A3077D"/>
    <w:rsid w:val="00A308D5"/>
    <w:rsid w:val="00A32C3B"/>
    <w:rsid w:val="00A336D9"/>
    <w:rsid w:val="00A337F9"/>
    <w:rsid w:val="00A35BF0"/>
    <w:rsid w:val="00A36759"/>
    <w:rsid w:val="00A36996"/>
    <w:rsid w:val="00A40A9A"/>
    <w:rsid w:val="00A41552"/>
    <w:rsid w:val="00A41A4D"/>
    <w:rsid w:val="00A42299"/>
    <w:rsid w:val="00A45845"/>
    <w:rsid w:val="00A45B68"/>
    <w:rsid w:val="00A45F4F"/>
    <w:rsid w:val="00A46D6E"/>
    <w:rsid w:val="00A504A1"/>
    <w:rsid w:val="00A50910"/>
    <w:rsid w:val="00A50F34"/>
    <w:rsid w:val="00A51195"/>
    <w:rsid w:val="00A5169E"/>
    <w:rsid w:val="00A519BB"/>
    <w:rsid w:val="00A52575"/>
    <w:rsid w:val="00A52814"/>
    <w:rsid w:val="00A5448A"/>
    <w:rsid w:val="00A55960"/>
    <w:rsid w:val="00A5677E"/>
    <w:rsid w:val="00A600A9"/>
    <w:rsid w:val="00A60C09"/>
    <w:rsid w:val="00A61E4C"/>
    <w:rsid w:val="00A622F3"/>
    <w:rsid w:val="00A62BC0"/>
    <w:rsid w:val="00A62FF6"/>
    <w:rsid w:val="00A6520E"/>
    <w:rsid w:val="00A66884"/>
    <w:rsid w:val="00A704D0"/>
    <w:rsid w:val="00A72AB4"/>
    <w:rsid w:val="00A72F05"/>
    <w:rsid w:val="00A731A6"/>
    <w:rsid w:val="00A74D44"/>
    <w:rsid w:val="00A77505"/>
    <w:rsid w:val="00A806B2"/>
    <w:rsid w:val="00A809A6"/>
    <w:rsid w:val="00A8101E"/>
    <w:rsid w:val="00A81B68"/>
    <w:rsid w:val="00A8275E"/>
    <w:rsid w:val="00A8515E"/>
    <w:rsid w:val="00A858C2"/>
    <w:rsid w:val="00A873D9"/>
    <w:rsid w:val="00A9103D"/>
    <w:rsid w:val="00A92069"/>
    <w:rsid w:val="00A93A2F"/>
    <w:rsid w:val="00A93C20"/>
    <w:rsid w:val="00A93EC8"/>
    <w:rsid w:val="00A94D51"/>
    <w:rsid w:val="00A96CF4"/>
    <w:rsid w:val="00A97D28"/>
    <w:rsid w:val="00AA02BE"/>
    <w:rsid w:val="00AA0911"/>
    <w:rsid w:val="00AA1242"/>
    <w:rsid w:val="00AA171B"/>
    <w:rsid w:val="00AA5290"/>
    <w:rsid w:val="00AA5514"/>
    <w:rsid w:val="00AA55B7"/>
    <w:rsid w:val="00AA5B9E"/>
    <w:rsid w:val="00AA61AB"/>
    <w:rsid w:val="00AA6568"/>
    <w:rsid w:val="00AA7D88"/>
    <w:rsid w:val="00AB0E2B"/>
    <w:rsid w:val="00AB1CA4"/>
    <w:rsid w:val="00AB1F0F"/>
    <w:rsid w:val="00AB216F"/>
    <w:rsid w:val="00AB2407"/>
    <w:rsid w:val="00AB2B17"/>
    <w:rsid w:val="00AB2BC0"/>
    <w:rsid w:val="00AB327E"/>
    <w:rsid w:val="00AB35E6"/>
    <w:rsid w:val="00AB465E"/>
    <w:rsid w:val="00AB46A1"/>
    <w:rsid w:val="00AB53DF"/>
    <w:rsid w:val="00AB6A42"/>
    <w:rsid w:val="00AC0125"/>
    <w:rsid w:val="00AC037A"/>
    <w:rsid w:val="00AC5751"/>
    <w:rsid w:val="00AC5F8B"/>
    <w:rsid w:val="00AC5FF3"/>
    <w:rsid w:val="00AC66E7"/>
    <w:rsid w:val="00AC6F88"/>
    <w:rsid w:val="00AC7729"/>
    <w:rsid w:val="00AD0C34"/>
    <w:rsid w:val="00AD1000"/>
    <w:rsid w:val="00AD22F4"/>
    <w:rsid w:val="00AD262A"/>
    <w:rsid w:val="00AD27F4"/>
    <w:rsid w:val="00AD4EBE"/>
    <w:rsid w:val="00AD6661"/>
    <w:rsid w:val="00AD6919"/>
    <w:rsid w:val="00AD6D0E"/>
    <w:rsid w:val="00AD72F2"/>
    <w:rsid w:val="00AE2068"/>
    <w:rsid w:val="00AE3B09"/>
    <w:rsid w:val="00AE3C30"/>
    <w:rsid w:val="00AE3EF3"/>
    <w:rsid w:val="00AE4308"/>
    <w:rsid w:val="00AE4695"/>
    <w:rsid w:val="00AE52BC"/>
    <w:rsid w:val="00AE57F9"/>
    <w:rsid w:val="00AE59B3"/>
    <w:rsid w:val="00AE5C25"/>
    <w:rsid w:val="00AE7365"/>
    <w:rsid w:val="00AE7DC8"/>
    <w:rsid w:val="00AF001A"/>
    <w:rsid w:val="00AF2166"/>
    <w:rsid w:val="00AF26D7"/>
    <w:rsid w:val="00AF3CEF"/>
    <w:rsid w:val="00AF544F"/>
    <w:rsid w:val="00AF78CB"/>
    <w:rsid w:val="00AF7DB7"/>
    <w:rsid w:val="00AF7DBE"/>
    <w:rsid w:val="00B03105"/>
    <w:rsid w:val="00B03898"/>
    <w:rsid w:val="00B048B4"/>
    <w:rsid w:val="00B06813"/>
    <w:rsid w:val="00B06FEC"/>
    <w:rsid w:val="00B0734A"/>
    <w:rsid w:val="00B078A3"/>
    <w:rsid w:val="00B07E5C"/>
    <w:rsid w:val="00B1071D"/>
    <w:rsid w:val="00B12303"/>
    <w:rsid w:val="00B12423"/>
    <w:rsid w:val="00B12DC9"/>
    <w:rsid w:val="00B13281"/>
    <w:rsid w:val="00B135A7"/>
    <w:rsid w:val="00B1378A"/>
    <w:rsid w:val="00B13A69"/>
    <w:rsid w:val="00B14746"/>
    <w:rsid w:val="00B14BE1"/>
    <w:rsid w:val="00B14CB0"/>
    <w:rsid w:val="00B158AF"/>
    <w:rsid w:val="00B15FE8"/>
    <w:rsid w:val="00B16ADC"/>
    <w:rsid w:val="00B16E14"/>
    <w:rsid w:val="00B177CF"/>
    <w:rsid w:val="00B17F97"/>
    <w:rsid w:val="00B20C76"/>
    <w:rsid w:val="00B220F1"/>
    <w:rsid w:val="00B22C92"/>
    <w:rsid w:val="00B22E88"/>
    <w:rsid w:val="00B231E3"/>
    <w:rsid w:val="00B232C3"/>
    <w:rsid w:val="00B23D85"/>
    <w:rsid w:val="00B24D28"/>
    <w:rsid w:val="00B262CE"/>
    <w:rsid w:val="00B269AA"/>
    <w:rsid w:val="00B30C04"/>
    <w:rsid w:val="00B31CA6"/>
    <w:rsid w:val="00B32E04"/>
    <w:rsid w:val="00B34F7C"/>
    <w:rsid w:val="00B350C0"/>
    <w:rsid w:val="00B37BE9"/>
    <w:rsid w:val="00B40078"/>
    <w:rsid w:val="00B40619"/>
    <w:rsid w:val="00B40FF1"/>
    <w:rsid w:val="00B424D1"/>
    <w:rsid w:val="00B42A74"/>
    <w:rsid w:val="00B43164"/>
    <w:rsid w:val="00B4344C"/>
    <w:rsid w:val="00B4378D"/>
    <w:rsid w:val="00B4482C"/>
    <w:rsid w:val="00B45291"/>
    <w:rsid w:val="00B46013"/>
    <w:rsid w:val="00B46C05"/>
    <w:rsid w:val="00B510F5"/>
    <w:rsid w:val="00B51CB7"/>
    <w:rsid w:val="00B52882"/>
    <w:rsid w:val="00B529E6"/>
    <w:rsid w:val="00B5384C"/>
    <w:rsid w:val="00B545EA"/>
    <w:rsid w:val="00B54988"/>
    <w:rsid w:val="00B55213"/>
    <w:rsid w:val="00B55253"/>
    <w:rsid w:val="00B5528A"/>
    <w:rsid w:val="00B5598C"/>
    <w:rsid w:val="00B55BF0"/>
    <w:rsid w:val="00B574D0"/>
    <w:rsid w:val="00B57FE1"/>
    <w:rsid w:val="00B6123A"/>
    <w:rsid w:val="00B62DEA"/>
    <w:rsid w:val="00B63222"/>
    <w:rsid w:val="00B6333C"/>
    <w:rsid w:val="00B63C7E"/>
    <w:rsid w:val="00B64623"/>
    <w:rsid w:val="00B64AC2"/>
    <w:rsid w:val="00B65B78"/>
    <w:rsid w:val="00B6681C"/>
    <w:rsid w:val="00B66851"/>
    <w:rsid w:val="00B677C5"/>
    <w:rsid w:val="00B70646"/>
    <w:rsid w:val="00B710A0"/>
    <w:rsid w:val="00B7159B"/>
    <w:rsid w:val="00B72FFE"/>
    <w:rsid w:val="00B7304E"/>
    <w:rsid w:val="00B73AA0"/>
    <w:rsid w:val="00B75061"/>
    <w:rsid w:val="00B7743E"/>
    <w:rsid w:val="00B803FF"/>
    <w:rsid w:val="00B811F7"/>
    <w:rsid w:val="00B829B7"/>
    <w:rsid w:val="00B835DD"/>
    <w:rsid w:val="00B847AD"/>
    <w:rsid w:val="00B85D80"/>
    <w:rsid w:val="00B86716"/>
    <w:rsid w:val="00B913AC"/>
    <w:rsid w:val="00B91A44"/>
    <w:rsid w:val="00B91B6F"/>
    <w:rsid w:val="00B9405F"/>
    <w:rsid w:val="00B942CD"/>
    <w:rsid w:val="00B94EC8"/>
    <w:rsid w:val="00B95AFA"/>
    <w:rsid w:val="00B95F7A"/>
    <w:rsid w:val="00B96B97"/>
    <w:rsid w:val="00B97A02"/>
    <w:rsid w:val="00BA1338"/>
    <w:rsid w:val="00BA25B1"/>
    <w:rsid w:val="00BA2708"/>
    <w:rsid w:val="00BA3518"/>
    <w:rsid w:val="00BA3E80"/>
    <w:rsid w:val="00BA42F1"/>
    <w:rsid w:val="00BA4491"/>
    <w:rsid w:val="00BA517D"/>
    <w:rsid w:val="00BA5BBE"/>
    <w:rsid w:val="00BA5DC6"/>
    <w:rsid w:val="00BA6196"/>
    <w:rsid w:val="00BA64A3"/>
    <w:rsid w:val="00BA6AB8"/>
    <w:rsid w:val="00BA747A"/>
    <w:rsid w:val="00BA755A"/>
    <w:rsid w:val="00BA7E9C"/>
    <w:rsid w:val="00BB0290"/>
    <w:rsid w:val="00BB1E21"/>
    <w:rsid w:val="00BB2982"/>
    <w:rsid w:val="00BB2BE4"/>
    <w:rsid w:val="00BB37D5"/>
    <w:rsid w:val="00BB40B5"/>
    <w:rsid w:val="00BB56A3"/>
    <w:rsid w:val="00BB5997"/>
    <w:rsid w:val="00BB5A35"/>
    <w:rsid w:val="00BB6494"/>
    <w:rsid w:val="00BC00D3"/>
    <w:rsid w:val="00BC0F2F"/>
    <w:rsid w:val="00BC133B"/>
    <w:rsid w:val="00BC332E"/>
    <w:rsid w:val="00BC46E4"/>
    <w:rsid w:val="00BC4BB1"/>
    <w:rsid w:val="00BC58DE"/>
    <w:rsid w:val="00BC5FAD"/>
    <w:rsid w:val="00BC6D8C"/>
    <w:rsid w:val="00BC75CC"/>
    <w:rsid w:val="00BD01A6"/>
    <w:rsid w:val="00BD0C18"/>
    <w:rsid w:val="00BD133B"/>
    <w:rsid w:val="00BD2D08"/>
    <w:rsid w:val="00BD314F"/>
    <w:rsid w:val="00BD5C21"/>
    <w:rsid w:val="00BD6206"/>
    <w:rsid w:val="00BD687A"/>
    <w:rsid w:val="00BE0543"/>
    <w:rsid w:val="00BE0EF5"/>
    <w:rsid w:val="00BE18FE"/>
    <w:rsid w:val="00BE1CDF"/>
    <w:rsid w:val="00BE2523"/>
    <w:rsid w:val="00BE4024"/>
    <w:rsid w:val="00BE42C4"/>
    <w:rsid w:val="00BE4FD2"/>
    <w:rsid w:val="00BE508F"/>
    <w:rsid w:val="00BE54B0"/>
    <w:rsid w:val="00BE5D42"/>
    <w:rsid w:val="00BE79F0"/>
    <w:rsid w:val="00BF0096"/>
    <w:rsid w:val="00BF1D3F"/>
    <w:rsid w:val="00BF2F0A"/>
    <w:rsid w:val="00BF3000"/>
    <w:rsid w:val="00BF30FB"/>
    <w:rsid w:val="00BF4741"/>
    <w:rsid w:val="00BF47DD"/>
    <w:rsid w:val="00BF4A58"/>
    <w:rsid w:val="00BF4BCC"/>
    <w:rsid w:val="00BF51C1"/>
    <w:rsid w:val="00BF5472"/>
    <w:rsid w:val="00BF68E9"/>
    <w:rsid w:val="00C011AE"/>
    <w:rsid w:val="00C030EF"/>
    <w:rsid w:val="00C03EF9"/>
    <w:rsid w:val="00C04322"/>
    <w:rsid w:val="00C05802"/>
    <w:rsid w:val="00C06E7A"/>
    <w:rsid w:val="00C0743F"/>
    <w:rsid w:val="00C1075B"/>
    <w:rsid w:val="00C11C8B"/>
    <w:rsid w:val="00C120D4"/>
    <w:rsid w:val="00C1331D"/>
    <w:rsid w:val="00C14C8D"/>
    <w:rsid w:val="00C16AD1"/>
    <w:rsid w:val="00C211BC"/>
    <w:rsid w:val="00C22D0F"/>
    <w:rsid w:val="00C23A4E"/>
    <w:rsid w:val="00C24751"/>
    <w:rsid w:val="00C25638"/>
    <w:rsid w:val="00C30416"/>
    <w:rsid w:val="00C31D7D"/>
    <w:rsid w:val="00C328EE"/>
    <w:rsid w:val="00C330B3"/>
    <w:rsid w:val="00C33DD8"/>
    <w:rsid w:val="00C34006"/>
    <w:rsid w:val="00C34C18"/>
    <w:rsid w:val="00C36B4C"/>
    <w:rsid w:val="00C37E9E"/>
    <w:rsid w:val="00C40F30"/>
    <w:rsid w:val="00C42257"/>
    <w:rsid w:val="00C426B1"/>
    <w:rsid w:val="00C4574E"/>
    <w:rsid w:val="00C45C42"/>
    <w:rsid w:val="00C45D06"/>
    <w:rsid w:val="00C46235"/>
    <w:rsid w:val="00C46852"/>
    <w:rsid w:val="00C47FBA"/>
    <w:rsid w:val="00C5047C"/>
    <w:rsid w:val="00C528DB"/>
    <w:rsid w:val="00C53AB5"/>
    <w:rsid w:val="00C53CAD"/>
    <w:rsid w:val="00C53DF3"/>
    <w:rsid w:val="00C55023"/>
    <w:rsid w:val="00C5568B"/>
    <w:rsid w:val="00C559B8"/>
    <w:rsid w:val="00C565F6"/>
    <w:rsid w:val="00C566FA"/>
    <w:rsid w:val="00C5685F"/>
    <w:rsid w:val="00C56EB0"/>
    <w:rsid w:val="00C57D3E"/>
    <w:rsid w:val="00C57EFA"/>
    <w:rsid w:val="00C6083B"/>
    <w:rsid w:val="00C60FD6"/>
    <w:rsid w:val="00C615DD"/>
    <w:rsid w:val="00C61BF0"/>
    <w:rsid w:val="00C6202C"/>
    <w:rsid w:val="00C62970"/>
    <w:rsid w:val="00C63F41"/>
    <w:rsid w:val="00C64812"/>
    <w:rsid w:val="00C6598E"/>
    <w:rsid w:val="00C65B9C"/>
    <w:rsid w:val="00C66160"/>
    <w:rsid w:val="00C664DF"/>
    <w:rsid w:val="00C7026B"/>
    <w:rsid w:val="00C70698"/>
    <w:rsid w:val="00C721AC"/>
    <w:rsid w:val="00C721DD"/>
    <w:rsid w:val="00C72212"/>
    <w:rsid w:val="00C726BB"/>
    <w:rsid w:val="00C72908"/>
    <w:rsid w:val="00C72B30"/>
    <w:rsid w:val="00C746E3"/>
    <w:rsid w:val="00C74FA5"/>
    <w:rsid w:val="00C76366"/>
    <w:rsid w:val="00C773CB"/>
    <w:rsid w:val="00C777C6"/>
    <w:rsid w:val="00C80425"/>
    <w:rsid w:val="00C80B4D"/>
    <w:rsid w:val="00C80EA2"/>
    <w:rsid w:val="00C82A5B"/>
    <w:rsid w:val="00C82C3A"/>
    <w:rsid w:val="00C82D6C"/>
    <w:rsid w:val="00C83094"/>
    <w:rsid w:val="00C832FB"/>
    <w:rsid w:val="00C838DF"/>
    <w:rsid w:val="00C83BBD"/>
    <w:rsid w:val="00C83EA7"/>
    <w:rsid w:val="00C8435E"/>
    <w:rsid w:val="00C85163"/>
    <w:rsid w:val="00C8592B"/>
    <w:rsid w:val="00C9016A"/>
    <w:rsid w:val="00C90D6A"/>
    <w:rsid w:val="00C90FEE"/>
    <w:rsid w:val="00C911B9"/>
    <w:rsid w:val="00C91204"/>
    <w:rsid w:val="00C91F2B"/>
    <w:rsid w:val="00C91F44"/>
    <w:rsid w:val="00C93D81"/>
    <w:rsid w:val="00C94590"/>
    <w:rsid w:val="00C94E68"/>
    <w:rsid w:val="00C95AD4"/>
    <w:rsid w:val="00CA0615"/>
    <w:rsid w:val="00CA0923"/>
    <w:rsid w:val="00CA15C5"/>
    <w:rsid w:val="00CA1864"/>
    <w:rsid w:val="00CA1F16"/>
    <w:rsid w:val="00CA247E"/>
    <w:rsid w:val="00CA2BA8"/>
    <w:rsid w:val="00CA321D"/>
    <w:rsid w:val="00CA33FD"/>
    <w:rsid w:val="00CA3A83"/>
    <w:rsid w:val="00CA43DE"/>
    <w:rsid w:val="00CA5674"/>
    <w:rsid w:val="00CA5878"/>
    <w:rsid w:val="00CA6916"/>
    <w:rsid w:val="00CA6A74"/>
    <w:rsid w:val="00CA6A9A"/>
    <w:rsid w:val="00CA6D21"/>
    <w:rsid w:val="00CA6E6F"/>
    <w:rsid w:val="00CA7761"/>
    <w:rsid w:val="00CA7E4A"/>
    <w:rsid w:val="00CB14EF"/>
    <w:rsid w:val="00CB1EC4"/>
    <w:rsid w:val="00CB2154"/>
    <w:rsid w:val="00CB244B"/>
    <w:rsid w:val="00CB5275"/>
    <w:rsid w:val="00CB58C2"/>
    <w:rsid w:val="00CB666A"/>
    <w:rsid w:val="00CB70BF"/>
    <w:rsid w:val="00CC0003"/>
    <w:rsid w:val="00CC1395"/>
    <w:rsid w:val="00CC1876"/>
    <w:rsid w:val="00CC1F10"/>
    <w:rsid w:val="00CC372D"/>
    <w:rsid w:val="00CC4461"/>
    <w:rsid w:val="00CC61E9"/>
    <w:rsid w:val="00CC72B6"/>
    <w:rsid w:val="00CC74FB"/>
    <w:rsid w:val="00CC7E7F"/>
    <w:rsid w:val="00CD0C5C"/>
    <w:rsid w:val="00CD1046"/>
    <w:rsid w:val="00CD1868"/>
    <w:rsid w:val="00CD187B"/>
    <w:rsid w:val="00CD1F80"/>
    <w:rsid w:val="00CD2BC5"/>
    <w:rsid w:val="00CD317B"/>
    <w:rsid w:val="00CD342D"/>
    <w:rsid w:val="00CD46C3"/>
    <w:rsid w:val="00CD531F"/>
    <w:rsid w:val="00CD5510"/>
    <w:rsid w:val="00CD65D5"/>
    <w:rsid w:val="00CD67CD"/>
    <w:rsid w:val="00CD6847"/>
    <w:rsid w:val="00CD6A40"/>
    <w:rsid w:val="00CD7CE1"/>
    <w:rsid w:val="00CE07DA"/>
    <w:rsid w:val="00CE08A2"/>
    <w:rsid w:val="00CE08EC"/>
    <w:rsid w:val="00CE0C53"/>
    <w:rsid w:val="00CE194B"/>
    <w:rsid w:val="00CE1B15"/>
    <w:rsid w:val="00CE1F4F"/>
    <w:rsid w:val="00CE2A70"/>
    <w:rsid w:val="00CE3B53"/>
    <w:rsid w:val="00CE4A00"/>
    <w:rsid w:val="00CE4F7D"/>
    <w:rsid w:val="00CE54E5"/>
    <w:rsid w:val="00CE5A49"/>
    <w:rsid w:val="00CE5F73"/>
    <w:rsid w:val="00CE68AE"/>
    <w:rsid w:val="00CE6EB7"/>
    <w:rsid w:val="00CF05F2"/>
    <w:rsid w:val="00CF0E03"/>
    <w:rsid w:val="00CF1655"/>
    <w:rsid w:val="00CF186A"/>
    <w:rsid w:val="00CF3455"/>
    <w:rsid w:val="00CF3957"/>
    <w:rsid w:val="00CF48C2"/>
    <w:rsid w:val="00CF4D90"/>
    <w:rsid w:val="00CF5452"/>
    <w:rsid w:val="00CF5935"/>
    <w:rsid w:val="00CF6445"/>
    <w:rsid w:val="00CF65F3"/>
    <w:rsid w:val="00CF6E96"/>
    <w:rsid w:val="00CF6EE6"/>
    <w:rsid w:val="00CF7034"/>
    <w:rsid w:val="00CF7362"/>
    <w:rsid w:val="00CF7DB9"/>
    <w:rsid w:val="00D00C81"/>
    <w:rsid w:val="00D01A32"/>
    <w:rsid w:val="00D01D73"/>
    <w:rsid w:val="00D0218D"/>
    <w:rsid w:val="00D02AD5"/>
    <w:rsid w:val="00D0331A"/>
    <w:rsid w:val="00D04494"/>
    <w:rsid w:val="00D04A3C"/>
    <w:rsid w:val="00D05767"/>
    <w:rsid w:val="00D0622D"/>
    <w:rsid w:val="00D07144"/>
    <w:rsid w:val="00D0785C"/>
    <w:rsid w:val="00D07AB2"/>
    <w:rsid w:val="00D07F13"/>
    <w:rsid w:val="00D10847"/>
    <w:rsid w:val="00D11E86"/>
    <w:rsid w:val="00D12D90"/>
    <w:rsid w:val="00D135A0"/>
    <w:rsid w:val="00D140CF"/>
    <w:rsid w:val="00D144E6"/>
    <w:rsid w:val="00D15429"/>
    <w:rsid w:val="00D160F5"/>
    <w:rsid w:val="00D17407"/>
    <w:rsid w:val="00D203E4"/>
    <w:rsid w:val="00D21B89"/>
    <w:rsid w:val="00D2273E"/>
    <w:rsid w:val="00D228F1"/>
    <w:rsid w:val="00D23505"/>
    <w:rsid w:val="00D23ED3"/>
    <w:rsid w:val="00D246BC"/>
    <w:rsid w:val="00D24811"/>
    <w:rsid w:val="00D25FB5"/>
    <w:rsid w:val="00D300D9"/>
    <w:rsid w:val="00D303FD"/>
    <w:rsid w:val="00D311C4"/>
    <w:rsid w:val="00D32DE1"/>
    <w:rsid w:val="00D33267"/>
    <w:rsid w:val="00D3639F"/>
    <w:rsid w:val="00D3736E"/>
    <w:rsid w:val="00D37E36"/>
    <w:rsid w:val="00D409C8"/>
    <w:rsid w:val="00D42641"/>
    <w:rsid w:val="00D43C3B"/>
    <w:rsid w:val="00D43F6E"/>
    <w:rsid w:val="00D44223"/>
    <w:rsid w:val="00D467E5"/>
    <w:rsid w:val="00D46E6B"/>
    <w:rsid w:val="00D5389D"/>
    <w:rsid w:val="00D545A2"/>
    <w:rsid w:val="00D5702D"/>
    <w:rsid w:val="00D60153"/>
    <w:rsid w:val="00D619CA"/>
    <w:rsid w:val="00D61B17"/>
    <w:rsid w:val="00D61D0B"/>
    <w:rsid w:val="00D62233"/>
    <w:rsid w:val="00D630DE"/>
    <w:rsid w:val="00D6387E"/>
    <w:rsid w:val="00D641E3"/>
    <w:rsid w:val="00D65124"/>
    <w:rsid w:val="00D65E53"/>
    <w:rsid w:val="00D66BBE"/>
    <w:rsid w:val="00D671F2"/>
    <w:rsid w:val="00D672A8"/>
    <w:rsid w:val="00D70CA4"/>
    <w:rsid w:val="00D72EFC"/>
    <w:rsid w:val="00D73E79"/>
    <w:rsid w:val="00D73EEE"/>
    <w:rsid w:val="00D74CAF"/>
    <w:rsid w:val="00D74D21"/>
    <w:rsid w:val="00D76637"/>
    <w:rsid w:val="00D76AC4"/>
    <w:rsid w:val="00D77116"/>
    <w:rsid w:val="00D7751C"/>
    <w:rsid w:val="00D80576"/>
    <w:rsid w:val="00D815C1"/>
    <w:rsid w:val="00D81C7A"/>
    <w:rsid w:val="00D81E2F"/>
    <w:rsid w:val="00D82582"/>
    <w:rsid w:val="00D82744"/>
    <w:rsid w:val="00D84301"/>
    <w:rsid w:val="00D84D69"/>
    <w:rsid w:val="00D850CA"/>
    <w:rsid w:val="00D854CF"/>
    <w:rsid w:val="00D867EA"/>
    <w:rsid w:val="00D86B1C"/>
    <w:rsid w:val="00D872A1"/>
    <w:rsid w:val="00D8785F"/>
    <w:rsid w:val="00D878B3"/>
    <w:rsid w:val="00D903CC"/>
    <w:rsid w:val="00D90B8B"/>
    <w:rsid w:val="00D91CA0"/>
    <w:rsid w:val="00D92AEF"/>
    <w:rsid w:val="00D941AB"/>
    <w:rsid w:val="00D956C3"/>
    <w:rsid w:val="00D95779"/>
    <w:rsid w:val="00D97360"/>
    <w:rsid w:val="00DA0BCA"/>
    <w:rsid w:val="00DA2529"/>
    <w:rsid w:val="00DA272F"/>
    <w:rsid w:val="00DA44AF"/>
    <w:rsid w:val="00DA46FB"/>
    <w:rsid w:val="00DA4941"/>
    <w:rsid w:val="00DA5C2A"/>
    <w:rsid w:val="00DA5D6B"/>
    <w:rsid w:val="00DA61B4"/>
    <w:rsid w:val="00DB0D40"/>
    <w:rsid w:val="00DB130A"/>
    <w:rsid w:val="00DB1471"/>
    <w:rsid w:val="00DB287F"/>
    <w:rsid w:val="00DB2E7D"/>
    <w:rsid w:val="00DB2EBB"/>
    <w:rsid w:val="00DB530A"/>
    <w:rsid w:val="00DB6C9B"/>
    <w:rsid w:val="00DB7494"/>
    <w:rsid w:val="00DB796E"/>
    <w:rsid w:val="00DB7DAC"/>
    <w:rsid w:val="00DC0077"/>
    <w:rsid w:val="00DC021C"/>
    <w:rsid w:val="00DC0295"/>
    <w:rsid w:val="00DC10A1"/>
    <w:rsid w:val="00DC2E88"/>
    <w:rsid w:val="00DC386A"/>
    <w:rsid w:val="00DC3E72"/>
    <w:rsid w:val="00DC467F"/>
    <w:rsid w:val="00DC47AA"/>
    <w:rsid w:val="00DC514B"/>
    <w:rsid w:val="00DC5A1A"/>
    <w:rsid w:val="00DC655F"/>
    <w:rsid w:val="00DC66EC"/>
    <w:rsid w:val="00DC67C9"/>
    <w:rsid w:val="00DD00A9"/>
    <w:rsid w:val="00DD0B59"/>
    <w:rsid w:val="00DD0D29"/>
    <w:rsid w:val="00DD3276"/>
    <w:rsid w:val="00DD447B"/>
    <w:rsid w:val="00DD497F"/>
    <w:rsid w:val="00DD4A58"/>
    <w:rsid w:val="00DD4EE0"/>
    <w:rsid w:val="00DD5AEF"/>
    <w:rsid w:val="00DD63EC"/>
    <w:rsid w:val="00DD6841"/>
    <w:rsid w:val="00DD6A8D"/>
    <w:rsid w:val="00DD6C07"/>
    <w:rsid w:val="00DD74EA"/>
    <w:rsid w:val="00DD7EBD"/>
    <w:rsid w:val="00DE0C95"/>
    <w:rsid w:val="00DE0EFC"/>
    <w:rsid w:val="00DE0F5B"/>
    <w:rsid w:val="00DE2079"/>
    <w:rsid w:val="00DE369D"/>
    <w:rsid w:val="00DE3EE9"/>
    <w:rsid w:val="00DE42C3"/>
    <w:rsid w:val="00DE4633"/>
    <w:rsid w:val="00DE49A5"/>
    <w:rsid w:val="00DE654B"/>
    <w:rsid w:val="00DF09D0"/>
    <w:rsid w:val="00DF1168"/>
    <w:rsid w:val="00DF15C6"/>
    <w:rsid w:val="00DF161B"/>
    <w:rsid w:val="00DF18F1"/>
    <w:rsid w:val="00DF2F8F"/>
    <w:rsid w:val="00DF38E6"/>
    <w:rsid w:val="00DF4862"/>
    <w:rsid w:val="00DF51EF"/>
    <w:rsid w:val="00DF5CC7"/>
    <w:rsid w:val="00DF5F39"/>
    <w:rsid w:val="00DF62B6"/>
    <w:rsid w:val="00DF6E34"/>
    <w:rsid w:val="00DF7083"/>
    <w:rsid w:val="00DF75AB"/>
    <w:rsid w:val="00E00F21"/>
    <w:rsid w:val="00E01ABB"/>
    <w:rsid w:val="00E01BE0"/>
    <w:rsid w:val="00E02669"/>
    <w:rsid w:val="00E05326"/>
    <w:rsid w:val="00E06667"/>
    <w:rsid w:val="00E071D8"/>
    <w:rsid w:val="00E07225"/>
    <w:rsid w:val="00E078D3"/>
    <w:rsid w:val="00E11994"/>
    <w:rsid w:val="00E11C1A"/>
    <w:rsid w:val="00E11EB2"/>
    <w:rsid w:val="00E11EB6"/>
    <w:rsid w:val="00E12E98"/>
    <w:rsid w:val="00E152A8"/>
    <w:rsid w:val="00E1573B"/>
    <w:rsid w:val="00E158E1"/>
    <w:rsid w:val="00E1668B"/>
    <w:rsid w:val="00E16BA8"/>
    <w:rsid w:val="00E17036"/>
    <w:rsid w:val="00E17730"/>
    <w:rsid w:val="00E21727"/>
    <w:rsid w:val="00E22E74"/>
    <w:rsid w:val="00E232B2"/>
    <w:rsid w:val="00E251BD"/>
    <w:rsid w:val="00E2607E"/>
    <w:rsid w:val="00E2608D"/>
    <w:rsid w:val="00E27263"/>
    <w:rsid w:val="00E32A12"/>
    <w:rsid w:val="00E3348F"/>
    <w:rsid w:val="00E33BBC"/>
    <w:rsid w:val="00E33DF1"/>
    <w:rsid w:val="00E341A1"/>
    <w:rsid w:val="00E34F95"/>
    <w:rsid w:val="00E357F7"/>
    <w:rsid w:val="00E36635"/>
    <w:rsid w:val="00E366EF"/>
    <w:rsid w:val="00E36A98"/>
    <w:rsid w:val="00E36EC8"/>
    <w:rsid w:val="00E36F74"/>
    <w:rsid w:val="00E4104C"/>
    <w:rsid w:val="00E41BB2"/>
    <w:rsid w:val="00E43111"/>
    <w:rsid w:val="00E4383E"/>
    <w:rsid w:val="00E43AB7"/>
    <w:rsid w:val="00E43B05"/>
    <w:rsid w:val="00E43C86"/>
    <w:rsid w:val="00E43E79"/>
    <w:rsid w:val="00E446B9"/>
    <w:rsid w:val="00E44F71"/>
    <w:rsid w:val="00E457C1"/>
    <w:rsid w:val="00E47B4B"/>
    <w:rsid w:val="00E510D5"/>
    <w:rsid w:val="00E516BF"/>
    <w:rsid w:val="00E53C00"/>
    <w:rsid w:val="00E5409F"/>
    <w:rsid w:val="00E547DE"/>
    <w:rsid w:val="00E57182"/>
    <w:rsid w:val="00E572A3"/>
    <w:rsid w:val="00E57D4E"/>
    <w:rsid w:val="00E6197A"/>
    <w:rsid w:val="00E61F79"/>
    <w:rsid w:val="00E62BE3"/>
    <w:rsid w:val="00E6304B"/>
    <w:rsid w:val="00E6410A"/>
    <w:rsid w:val="00E65B9A"/>
    <w:rsid w:val="00E70450"/>
    <w:rsid w:val="00E70A8A"/>
    <w:rsid w:val="00E7200B"/>
    <w:rsid w:val="00E7436D"/>
    <w:rsid w:val="00E74AD1"/>
    <w:rsid w:val="00E74DEF"/>
    <w:rsid w:val="00E7524C"/>
    <w:rsid w:val="00E75518"/>
    <w:rsid w:val="00E75521"/>
    <w:rsid w:val="00E7595E"/>
    <w:rsid w:val="00E75D36"/>
    <w:rsid w:val="00E81865"/>
    <w:rsid w:val="00E82F3F"/>
    <w:rsid w:val="00E85622"/>
    <w:rsid w:val="00E869AF"/>
    <w:rsid w:val="00E86FF0"/>
    <w:rsid w:val="00E933E4"/>
    <w:rsid w:val="00E936F0"/>
    <w:rsid w:val="00E94207"/>
    <w:rsid w:val="00E95DB7"/>
    <w:rsid w:val="00E95F98"/>
    <w:rsid w:val="00E960F3"/>
    <w:rsid w:val="00E966D8"/>
    <w:rsid w:val="00E97E38"/>
    <w:rsid w:val="00EA0611"/>
    <w:rsid w:val="00EA0636"/>
    <w:rsid w:val="00EA40F6"/>
    <w:rsid w:val="00EA5B0C"/>
    <w:rsid w:val="00EA7D02"/>
    <w:rsid w:val="00EB0E74"/>
    <w:rsid w:val="00EB2551"/>
    <w:rsid w:val="00EB3B89"/>
    <w:rsid w:val="00EB4040"/>
    <w:rsid w:val="00EB4293"/>
    <w:rsid w:val="00EB4619"/>
    <w:rsid w:val="00EB507C"/>
    <w:rsid w:val="00EC078F"/>
    <w:rsid w:val="00EC10DA"/>
    <w:rsid w:val="00EC1C91"/>
    <w:rsid w:val="00EC3E2A"/>
    <w:rsid w:val="00EC3EEA"/>
    <w:rsid w:val="00EC4077"/>
    <w:rsid w:val="00EC48E3"/>
    <w:rsid w:val="00EC5515"/>
    <w:rsid w:val="00EC56C2"/>
    <w:rsid w:val="00EC6909"/>
    <w:rsid w:val="00EC7595"/>
    <w:rsid w:val="00EC778B"/>
    <w:rsid w:val="00ED0A6D"/>
    <w:rsid w:val="00ED1B15"/>
    <w:rsid w:val="00ED21D2"/>
    <w:rsid w:val="00ED3D00"/>
    <w:rsid w:val="00ED44EC"/>
    <w:rsid w:val="00ED5309"/>
    <w:rsid w:val="00ED567D"/>
    <w:rsid w:val="00ED72D2"/>
    <w:rsid w:val="00ED7C1D"/>
    <w:rsid w:val="00ED7CF5"/>
    <w:rsid w:val="00EE02FB"/>
    <w:rsid w:val="00EE0B44"/>
    <w:rsid w:val="00EE342B"/>
    <w:rsid w:val="00EE3513"/>
    <w:rsid w:val="00EE4786"/>
    <w:rsid w:val="00EE504C"/>
    <w:rsid w:val="00EE5382"/>
    <w:rsid w:val="00EE5889"/>
    <w:rsid w:val="00EE6488"/>
    <w:rsid w:val="00EE6A84"/>
    <w:rsid w:val="00EE6DE0"/>
    <w:rsid w:val="00EE6F95"/>
    <w:rsid w:val="00EE7694"/>
    <w:rsid w:val="00EE7EAF"/>
    <w:rsid w:val="00EF07EA"/>
    <w:rsid w:val="00EF15BA"/>
    <w:rsid w:val="00EF1CAC"/>
    <w:rsid w:val="00EF23D7"/>
    <w:rsid w:val="00EF3ED1"/>
    <w:rsid w:val="00EF3F84"/>
    <w:rsid w:val="00EF3F85"/>
    <w:rsid w:val="00EF44F9"/>
    <w:rsid w:val="00EF53BE"/>
    <w:rsid w:val="00EF5A5E"/>
    <w:rsid w:val="00EF6B31"/>
    <w:rsid w:val="00EF6E61"/>
    <w:rsid w:val="00EF70F3"/>
    <w:rsid w:val="00EF728E"/>
    <w:rsid w:val="00EF77F9"/>
    <w:rsid w:val="00EF794F"/>
    <w:rsid w:val="00F00E09"/>
    <w:rsid w:val="00F0162E"/>
    <w:rsid w:val="00F01D94"/>
    <w:rsid w:val="00F021FA"/>
    <w:rsid w:val="00F02ED8"/>
    <w:rsid w:val="00F04B44"/>
    <w:rsid w:val="00F05686"/>
    <w:rsid w:val="00F05774"/>
    <w:rsid w:val="00F059A0"/>
    <w:rsid w:val="00F102E8"/>
    <w:rsid w:val="00F10FBD"/>
    <w:rsid w:val="00F1206D"/>
    <w:rsid w:val="00F12117"/>
    <w:rsid w:val="00F1247E"/>
    <w:rsid w:val="00F13395"/>
    <w:rsid w:val="00F138F2"/>
    <w:rsid w:val="00F14C28"/>
    <w:rsid w:val="00F151C6"/>
    <w:rsid w:val="00F153C0"/>
    <w:rsid w:val="00F16428"/>
    <w:rsid w:val="00F16ACF"/>
    <w:rsid w:val="00F16C10"/>
    <w:rsid w:val="00F16E39"/>
    <w:rsid w:val="00F1707B"/>
    <w:rsid w:val="00F17F5E"/>
    <w:rsid w:val="00F20B9E"/>
    <w:rsid w:val="00F20DCF"/>
    <w:rsid w:val="00F213BA"/>
    <w:rsid w:val="00F216E0"/>
    <w:rsid w:val="00F21EA6"/>
    <w:rsid w:val="00F2209F"/>
    <w:rsid w:val="00F2318A"/>
    <w:rsid w:val="00F23328"/>
    <w:rsid w:val="00F23799"/>
    <w:rsid w:val="00F244CF"/>
    <w:rsid w:val="00F2512C"/>
    <w:rsid w:val="00F265AF"/>
    <w:rsid w:val="00F3069F"/>
    <w:rsid w:val="00F35974"/>
    <w:rsid w:val="00F361EE"/>
    <w:rsid w:val="00F37662"/>
    <w:rsid w:val="00F37B3A"/>
    <w:rsid w:val="00F40A12"/>
    <w:rsid w:val="00F41EAA"/>
    <w:rsid w:val="00F428CA"/>
    <w:rsid w:val="00F430F7"/>
    <w:rsid w:val="00F433C0"/>
    <w:rsid w:val="00F43A3A"/>
    <w:rsid w:val="00F43BB5"/>
    <w:rsid w:val="00F444AB"/>
    <w:rsid w:val="00F45DD2"/>
    <w:rsid w:val="00F46079"/>
    <w:rsid w:val="00F46B96"/>
    <w:rsid w:val="00F47765"/>
    <w:rsid w:val="00F5017A"/>
    <w:rsid w:val="00F50370"/>
    <w:rsid w:val="00F5106E"/>
    <w:rsid w:val="00F51274"/>
    <w:rsid w:val="00F51506"/>
    <w:rsid w:val="00F5359B"/>
    <w:rsid w:val="00F55273"/>
    <w:rsid w:val="00F55ED6"/>
    <w:rsid w:val="00F56B71"/>
    <w:rsid w:val="00F5741C"/>
    <w:rsid w:val="00F57C56"/>
    <w:rsid w:val="00F62AFD"/>
    <w:rsid w:val="00F62BA5"/>
    <w:rsid w:val="00F62BE2"/>
    <w:rsid w:val="00F62E97"/>
    <w:rsid w:val="00F63CBD"/>
    <w:rsid w:val="00F64209"/>
    <w:rsid w:val="00F6528B"/>
    <w:rsid w:val="00F671C0"/>
    <w:rsid w:val="00F704D2"/>
    <w:rsid w:val="00F70AF0"/>
    <w:rsid w:val="00F72D94"/>
    <w:rsid w:val="00F733F5"/>
    <w:rsid w:val="00F7349B"/>
    <w:rsid w:val="00F73BB0"/>
    <w:rsid w:val="00F74711"/>
    <w:rsid w:val="00F769A8"/>
    <w:rsid w:val="00F76A80"/>
    <w:rsid w:val="00F77317"/>
    <w:rsid w:val="00F77DDA"/>
    <w:rsid w:val="00F80FA0"/>
    <w:rsid w:val="00F82876"/>
    <w:rsid w:val="00F829EE"/>
    <w:rsid w:val="00F82F8C"/>
    <w:rsid w:val="00F83C6A"/>
    <w:rsid w:val="00F84771"/>
    <w:rsid w:val="00F84840"/>
    <w:rsid w:val="00F85DE3"/>
    <w:rsid w:val="00F86B38"/>
    <w:rsid w:val="00F86F51"/>
    <w:rsid w:val="00F90470"/>
    <w:rsid w:val="00F9097F"/>
    <w:rsid w:val="00F9107D"/>
    <w:rsid w:val="00F93662"/>
    <w:rsid w:val="00F93BF5"/>
    <w:rsid w:val="00F941D8"/>
    <w:rsid w:val="00F94B46"/>
    <w:rsid w:val="00F95408"/>
    <w:rsid w:val="00F95B37"/>
    <w:rsid w:val="00F97617"/>
    <w:rsid w:val="00FA0CBD"/>
    <w:rsid w:val="00FA1220"/>
    <w:rsid w:val="00FA1367"/>
    <w:rsid w:val="00FA2E91"/>
    <w:rsid w:val="00FA3B7C"/>
    <w:rsid w:val="00FA3FAF"/>
    <w:rsid w:val="00FA43FF"/>
    <w:rsid w:val="00FA546D"/>
    <w:rsid w:val="00FA5C4E"/>
    <w:rsid w:val="00FA656A"/>
    <w:rsid w:val="00FA7FFB"/>
    <w:rsid w:val="00FB0438"/>
    <w:rsid w:val="00FB082F"/>
    <w:rsid w:val="00FB0E59"/>
    <w:rsid w:val="00FB1337"/>
    <w:rsid w:val="00FB1699"/>
    <w:rsid w:val="00FB173F"/>
    <w:rsid w:val="00FB1890"/>
    <w:rsid w:val="00FB38AE"/>
    <w:rsid w:val="00FB3FAA"/>
    <w:rsid w:val="00FB465A"/>
    <w:rsid w:val="00FB5CD0"/>
    <w:rsid w:val="00FB60CF"/>
    <w:rsid w:val="00FB67E6"/>
    <w:rsid w:val="00FC0AD7"/>
    <w:rsid w:val="00FC1454"/>
    <w:rsid w:val="00FC1651"/>
    <w:rsid w:val="00FC19F8"/>
    <w:rsid w:val="00FC208F"/>
    <w:rsid w:val="00FC240C"/>
    <w:rsid w:val="00FC24BD"/>
    <w:rsid w:val="00FC3428"/>
    <w:rsid w:val="00FC3480"/>
    <w:rsid w:val="00FC424B"/>
    <w:rsid w:val="00FC43BA"/>
    <w:rsid w:val="00FC45D6"/>
    <w:rsid w:val="00FC45E8"/>
    <w:rsid w:val="00FC5BD7"/>
    <w:rsid w:val="00FC7B96"/>
    <w:rsid w:val="00FD0ED4"/>
    <w:rsid w:val="00FD2A17"/>
    <w:rsid w:val="00FD2B49"/>
    <w:rsid w:val="00FD3442"/>
    <w:rsid w:val="00FD39B8"/>
    <w:rsid w:val="00FD54F1"/>
    <w:rsid w:val="00FD63A4"/>
    <w:rsid w:val="00FD6C60"/>
    <w:rsid w:val="00FD6C74"/>
    <w:rsid w:val="00FD6E8F"/>
    <w:rsid w:val="00FE092E"/>
    <w:rsid w:val="00FE0E76"/>
    <w:rsid w:val="00FE1472"/>
    <w:rsid w:val="00FE295D"/>
    <w:rsid w:val="00FE342E"/>
    <w:rsid w:val="00FE5CE9"/>
    <w:rsid w:val="00FE65B3"/>
    <w:rsid w:val="00FE7397"/>
    <w:rsid w:val="00FE7D2F"/>
    <w:rsid w:val="00FF13E1"/>
    <w:rsid w:val="00FF304F"/>
    <w:rsid w:val="00FF49AB"/>
    <w:rsid w:val="00FF5553"/>
    <w:rsid w:val="00FF67F3"/>
    <w:rsid w:val="00FF71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3984ECD"/>
  <w15:chartTrackingRefBased/>
  <w15:docId w15:val="{9B431947-1085-406F-93EA-F159539C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29779A"/>
    <w:pPr>
      <w:widowControl w:val="0"/>
    </w:pPr>
    <w:rPr>
      <w:snapToGrid w:val="0"/>
      <w:kern w:val="28"/>
      <w:sz w:val="22"/>
    </w:rPr>
  </w:style>
  <w:style w:type="paragraph" w:styleId="Heading1">
    <w:name w:val="heading 1"/>
    <w:basedOn w:val="Normal"/>
    <w:next w:val="ParaNum"/>
    <w:qFormat/>
    <w:rsid w:val="0029779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29779A"/>
    <w:pPr>
      <w:keepNext/>
      <w:numPr>
        <w:ilvl w:val="1"/>
        <w:numId w:val="3"/>
      </w:numPr>
      <w:spacing w:after="120"/>
      <w:outlineLvl w:val="1"/>
    </w:pPr>
    <w:rPr>
      <w:b/>
    </w:rPr>
  </w:style>
  <w:style w:type="paragraph" w:styleId="Heading3">
    <w:name w:val="heading 3"/>
    <w:basedOn w:val="Normal"/>
    <w:next w:val="ParaNum"/>
    <w:qFormat/>
    <w:rsid w:val="0029779A"/>
    <w:pPr>
      <w:keepNext/>
      <w:numPr>
        <w:ilvl w:val="2"/>
        <w:numId w:val="3"/>
      </w:numPr>
      <w:tabs>
        <w:tab w:val="left" w:pos="2160"/>
      </w:tabs>
      <w:spacing w:after="120"/>
      <w:outlineLvl w:val="2"/>
    </w:pPr>
    <w:rPr>
      <w:b/>
    </w:rPr>
  </w:style>
  <w:style w:type="paragraph" w:styleId="Heading4">
    <w:name w:val="heading 4"/>
    <w:basedOn w:val="Normal"/>
    <w:next w:val="ParaNum"/>
    <w:qFormat/>
    <w:rsid w:val="0029779A"/>
    <w:pPr>
      <w:keepNext/>
      <w:numPr>
        <w:ilvl w:val="3"/>
        <w:numId w:val="3"/>
      </w:numPr>
      <w:tabs>
        <w:tab w:val="left" w:pos="2880"/>
      </w:tabs>
      <w:spacing w:after="120"/>
      <w:outlineLvl w:val="3"/>
    </w:pPr>
    <w:rPr>
      <w:b/>
    </w:rPr>
  </w:style>
  <w:style w:type="paragraph" w:styleId="Heading5">
    <w:name w:val="heading 5"/>
    <w:basedOn w:val="Normal"/>
    <w:next w:val="ParaNum"/>
    <w:qFormat/>
    <w:rsid w:val="0029779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29779A"/>
    <w:pPr>
      <w:numPr>
        <w:ilvl w:val="5"/>
        <w:numId w:val="3"/>
      </w:numPr>
      <w:tabs>
        <w:tab w:val="left" w:pos="4320"/>
      </w:tabs>
      <w:spacing w:after="120"/>
      <w:outlineLvl w:val="5"/>
    </w:pPr>
    <w:rPr>
      <w:b/>
    </w:rPr>
  </w:style>
  <w:style w:type="paragraph" w:styleId="Heading7">
    <w:name w:val="heading 7"/>
    <w:basedOn w:val="Normal"/>
    <w:next w:val="ParaNum"/>
    <w:qFormat/>
    <w:rsid w:val="0029779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9779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29779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977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779A"/>
  </w:style>
  <w:style w:type="paragraph" w:customStyle="1" w:styleId="ParaNum">
    <w:name w:val="ParaNum"/>
    <w:basedOn w:val="Normal"/>
    <w:link w:val="ParaNumChar"/>
    <w:rsid w:val="0029779A"/>
    <w:pPr>
      <w:numPr>
        <w:numId w:val="2"/>
      </w:numPr>
      <w:tabs>
        <w:tab w:val="clear" w:pos="1080"/>
        <w:tab w:val="num" w:pos="1440"/>
      </w:tabs>
      <w:spacing w:after="120"/>
    </w:pPr>
  </w:style>
  <w:style w:type="paragraph" w:styleId="EndnoteText">
    <w:name w:val="endnote text"/>
    <w:basedOn w:val="Normal"/>
    <w:semiHidden/>
    <w:rsid w:val="0029779A"/>
    <w:rPr>
      <w:sz w:val="20"/>
    </w:rPr>
  </w:style>
  <w:style w:type="character" w:styleId="EndnoteReference">
    <w:name w:val="endnote reference"/>
    <w:semiHidden/>
    <w:rsid w:val="0029779A"/>
    <w:rPr>
      <w:vertAlign w:val="superscript"/>
    </w:rPr>
  </w:style>
  <w:style w:type="paragraph" w:styleId="FootnoteText">
    <w:name w:val="footnote text"/>
    <w:aliases w:val="ALTS FOOTNOTE Char Char,ALTS FOOTNOTE Char Char Char Char,Footnote Text Char,Footnote Text Char Char,Footnote Text Char Char Char Char,Footnote Text Char1,Footnote Text Char1 Char Char,f,fn Char,fn Char Char,fn Char Char Char Char,fn Char1"/>
    <w:link w:val="FootnoteTextChar3"/>
    <w:rsid w:val="0029779A"/>
    <w:pPr>
      <w:spacing w:after="120"/>
    </w:pPr>
  </w:style>
  <w:style w:type="character" w:styleId="FootnoteReference">
    <w:name w:val="footnote reference"/>
    <w:aliases w:val="(NECG) Footnote Reference,Appel note de bas de p,FR,Footnote Reference/,Footnote Reference1,Style 12,Style 124,Style 13,Style 17,Style 20,Style 3,Style 34,Style 4,Style 6,Style 7,Style 9,callout,fr,o"/>
    <w:rsid w:val="0029779A"/>
    <w:rPr>
      <w:rFonts w:ascii="Times New Roman" w:hAnsi="Times New Roman"/>
      <w:dstrike w:val="0"/>
      <w:color w:val="auto"/>
      <w:sz w:val="20"/>
      <w:vertAlign w:val="superscript"/>
    </w:rPr>
  </w:style>
  <w:style w:type="paragraph" w:styleId="TOC1">
    <w:name w:val="toc 1"/>
    <w:basedOn w:val="Normal"/>
    <w:next w:val="Normal"/>
    <w:semiHidden/>
    <w:rsid w:val="0029779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9779A"/>
    <w:pPr>
      <w:tabs>
        <w:tab w:val="left" w:pos="720"/>
        <w:tab w:val="right" w:leader="dot" w:pos="9360"/>
      </w:tabs>
      <w:suppressAutoHyphens/>
      <w:ind w:left="720" w:right="720" w:hanging="360"/>
    </w:pPr>
    <w:rPr>
      <w:noProof/>
    </w:rPr>
  </w:style>
  <w:style w:type="paragraph" w:styleId="TOC3">
    <w:name w:val="toc 3"/>
    <w:basedOn w:val="Normal"/>
    <w:next w:val="Normal"/>
    <w:semiHidden/>
    <w:rsid w:val="0029779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9779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977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977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977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977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9779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9779A"/>
    <w:pPr>
      <w:tabs>
        <w:tab w:val="right" w:pos="9360"/>
      </w:tabs>
      <w:suppressAutoHyphens/>
    </w:pPr>
  </w:style>
  <w:style w:type="character" w:customStyle="1" w:styleId="EquationCaption">
    <w:name w:val="_Equation Caption"/>
    <w:rsid w:val="0029779A"/>
  </w:style>
  <w:style w:type="paragraph" w:styleId="Header">
    <w:name w:val="header"/>
    <w:basedOn w:val="Normal"/>
    <w:autoRedefine/>
    <w:rsid w:val="0029779A"/>
    <w:pPr>
      <w:tabs>
        <w:tab w:val="center" w:pos="4680"/>
        <w:tab w:val="right" w:pos="9360"/>
      </w:tabs>
    </w:pPr>
    <w:rPr>
      <w:b/>
    </w:rPr>
  </w:style>
  <w:style w:type="paragraph" w:styleId="Footer">
    <w:name w:val="footer"/>
    <w:basedOn w:val="Normal"/>
    <w:link w:val="FooterChar"/>
    <w:uiPriority w:val="99"/>
    <w:rsid w:val="0029779A"/>
    <w:pPr>
      <w:tabs>
        <w:tab w:val="center" w:pos="4320"/>
        <w:tab w:val="right" w:pos="8640"/>
      </w:tabs>
    </w:pPr>
  </w:style>
  <w:style w:type="character" w:styleId="PageNumber">
    <w:name w:val="page number"/>
    <w:basedOn w:val="DefaultParagraphFont"/>
    <w:rsid w:val="0029779A"/>
  </w:style>
  <w:style w:type="paragraph" w:styleId="BlockText">
    <w:name w:val="Block Text"/>
    <w:basedOn w:val="Normal"/>
    <w:rsid w:val="0029779A"/>
    <w:pPr>
      <w:spacing w:after="240"/>
      <w:ind w:left="1440" w:right="1440"/>
    </w:pPr>
  </w:style>
  <w:style w:type="paragraph" w:customStyle="1" w:styleId="Paratitle">
    <w:name w:val="Para title"/>
    <w:basedOn w:val="Normal"/>
    <w:rsid w:val="0029779A"/>
    <w:pPr>
      <w:tabs>
        <w:tab w:val="center" w:pos="9270"/>
      </w:tabs>
      <w:spacing w:after="240"/>
    </w:pPr>
    <w:rPr>
      <w:spacing w:val="-2"/>
    </w:rPr>
  </w:style>
  <w:style w:type="paragraph" w:customStyle="1" w:styleId="Bullet">
    <w:name w:val="Bullet"/>
    <w:basedOn w:val="Normal"/>
    <w:rsid w:val="0029779A"/>
    <w:pPr>
      <w:tabs>
        <w:tab w:val="left" w:pos="2160"/>
      </w:tabs>
      <w:spacing w:after="220"/>
      <w:ind w:left="2160" w:hanging="720"/>
    </w:pPr>
  </w:style>
  <w:style w:type="paragraph" w:customStyle="1" w:styleId="TableFormat">
    <w:name w:val="TableFormat"/>
    <w:basedOn w:val="Bullet"/>
    <w:rsid w:val="0029779A"/>
    <w:pPr>
      <w:tabs>
        <w:tab w:val="clear" w:pos="2160"/>
        <w:tab w:val="left" w:pos="5040"/>
      </w:tabs>
      <w:ind w:left="5040" w:hanging="3600"/>
    </w:pPr>
  </w:style>
  <w:style w:type="paragraph" w:customStyle="1" w:styleId="TOCTitle">
    <w:name w:val="TOC Title"/>
    <w:basedOn w:val="Normal"/>
    <w:rsid w:val="002977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9779A"/>
    <w:pPr>
      <w:jc w:val="center"/>
    </w:pPr>
    <w:rPr>
      <w:rFonts w:ascii="Times New Roman Bold" w:hAnsi="Times New Roman Bold"/>
      <w:b/>
      <w:bCs/>
      <w:caps/>
      <w:szCs w:val="22"/>
    </w:rPr>
  </w:style>
  <w:style w:type="character" w:styleId="Hyperlink">
    <w:name w:val="Hyperlink"/>
    <w:rsid w:val="0029779A"/>
    <w:rPr>
      <w:color w:val="0000FF"/>
      <w:u w:val="single"/>
    </w:rPr>
  </w:style>
  <w:style w:type="character" w:customStyle="1" w:styleId="FooterChar">
    <w:name w:val="Footer Char"/>
    <w:link w:val="Footer"/>
    <w:uiPriority w:val="99"/>
    <w:rsid w:val="0029779A"/>
    <w:rPr>
      <w:snapToGrid w:val="0"/>
      <w:kern w:val="28"/>
      <w:sz w:val="22"/>
    </w:rPr>
  </w:style>
  <w:style w:type="paragraph" w:styleId="ListBullet2">
    <w:name w:val="List Bullet 2"/>
    <w:basedOn w:val="Normal"/>
    <w:rsid w:val="006E5C06"/>
    <w:pPr>
      <w:numPr>
        <w:numId w:val="8"/>
      </w:numPr>
      <w:ind w:left="360"/>
    </w:pPr>
    <w:rPr>
      <w:sz w:val="24"/>
    </w:rPr>
  </w:style>
  <w:style w:type="character" w:customStyle="1" w:styleId="ParaNumChar">
    <w:name w:val="ParaNum Char"/>
    <w:link w:val="ParaNum"/>
    <w:locked/>
    <w:rsid w:val="006E5C06"/>
    <w:rPr>
      <w:snapToGrid w:val="0"/>
      <w:kern w:val="28"/>
      <w:sz w:val="22"/>
    </w:rPr>
  </w:style>
  <w:style w:type="character" w:customStyle="1" w:styleId="FootnoteTextChar3">
    <w:name w:val="Footnote Text Char3"/>
    <w:aliases w:val="ALTS FOOTNOTE Char Char Char Char Char1,ALTS FOOTNOTE Char Char Char1,Footnote Text Char Char Char Char Char1,Footnote Text Char Char Char1,Footnote Text Char1 Char Char Char1,Footnote Text Char1 Char1,f Char,fn Char Char Char1"/>
    <w:link w:val="FootnoteText"/>
    <w:locked/>
    <w:rsid w:val="006E5C06"/>
  </w:style>
  <w:style w:type="character" w:customStyle="1" w:styleId="FootnoteTextChar2">
    <w:name w:val="Footnote Text Char2"/>
    <w:aliases w:val="ALTS FOOTNOTE Char Char Char,ALTS FOOTNOTE Char Char Char Char Char,Footnote Text Char Char Char,Footnote Text Char Char Char Char Char,Footnote Text Char1 Char,Footnote Text Char1 Char Char Char,fn Char Char Char,fn Char1 Char"/>
    <w:locked/>
    <w:rsid w:val="002B1FFD"/>
  </w:style>
  <w:style w:type="character" w:styleId="CommentReference">
    <w:name w:val="annotation reference"/>
    <w:basedOn w:val="DefaultParagraphFont"/>
    <w:rsid w:val="00A55960"/>
    <w:rPr>
      <w:sz w:val="16"/>
      <w:szCs w:val="16"/>
    </w:rPr>
  </w:style>
  <w:style w:type="paragraph" w:styleId="CommentText">
    <w:name w:val="annotation text"/>
    <w:basedOn w:val="Normal"/>
    <w:link w:val="CommentTextChar"/>
    <w:rsid w:val="00A55960"/>
    <w:rPr>
      <w:sz w:val="20"/>
    </w:rPr>
  </w:style>
  <w:style w:type="character" w:customStyle="1" w:styleId="CommentTextChar">
    <w:name w:val="Comment Text Char"/>
    <w:basedOn w:val="DefaultParagraphFont"/>
    <w:link w:val="CommentText"/>
    <w:rsid w:val="00A55960"/>
    <w:rPr>
      <w:snapToGrid w:val="0"/>
      <w:kern w:val="28"/>
    </w:rPr>
  </w:style>
  <w:style w:type="paragraph" w:styleId="CommentSubject">
    <w:name w:val="annotation subject"/>
    <w:basedOn w:val="CommentText"/>
    <w:next w:val="CommentText"/>
    <w:link w:val="CommentSubjectChar"/>
    <w:rsid w:val="00A55960"/>
    <w:rPr>
      <w:b/>
      <w:bCs/>
    </w:rPr>
  </w:style>
  <w:style w:type="character" w:customStyle="1" w:styleId="CommentSubjectChar">
    <w:name w:val="Comment Subject Char"/>
    <w:basedOn w:val="CommentTextChar"/>
    <w:link w:val="CommentSubject"/>
    <w:rsid w:val="00A55960"/>
    <w:rPr>
      <w:b/>
      <w:bCs/>
      <w:snapToGrid w:val="0"/>
      <w:kern w:val="28"/>
    </w:rPr>
  </w:style>
  <w:style w:type="paragraph" w:styleId="BalloonText">
    <w:name w:val="Balloon Text"/>
    <w:basedOn w:val="Normal"/>
    <w:link w:val="BalloonTextChar"/>
    <w:uiPriority w:val="99"/>
    <w:rsid w:val="00A55960"/>
    <w:rPr>
      <w:rFonts w:ascii="Segoe UI" w:hAnsi="Segoe UI" w:cs="Segoe UI"/>
      <w:sz w:val="18"/>
      <w:szCs w:val="18"/>
    </w:rPr>
  </w:style>
  <w:style w:type="character" w:customStyle="1" w:styleId="BalloonTextChar">
    <w:name w:val="Balloon Text Char"/>
    <w:basedOn w:val="DefaultParagraphFont"/>
    <w:link w:val="BalloonText"/>
    <w:uiPriority w:val="99"/>
    <w:rsid w:val="00A55960"/>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3270F2"/>
    <w:rPr>
      <w:color w:val="605E5C"/>
      <w:shd w:val="clear" w:color="auto" w:fill="E1DFDD"/>
    </w:rPr>
  </w:style>
  <w:style w:type="paragraph" w:styleId="Revision">
    <w:name w:val="Revision"/>
    <w:hidden/>
    <w:uiPriority w:val="99"/>
    <w:semiHidden/>
    <w:rsid w:val="00373123"/>
    <w:rPr>
      <w:snapToGrid w:val="0"/>
      <w:kern w:val="28"/>
      <w:sz w:val="22"/>
    </w:rPr>
  </w:style>
  <w:style w:type="character" w:customStyle="1" w:styleId="FootnoteTextChar2Char">
    <w:name w:val="Footnote Text Char2 Char"/>
    <w:aliases w:val="Footnote Text Char2 Char1 Char1 Char Char,Footnote Text Char2 Char1 Char1 Char Char Char Char,Footnote Text Char3 Char1 Char2 Char,Footnote Text Char3 Char1 Char2 Char Char Char,Footnote Text Char5 Char Char"/>
    <w:rsid w:val="009C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92013197850" TargetMode="External" /><Relationship Id="rId2" Type="http://schemas.openxmlformats.org/officeDocument/2006/relationships/hyperlink" Target="http://www.westlaw.com/Find/Default.wl?rs=TEXT1.0&amp;vr=2.0&amp;DB=4493&amp;FindType=Y&amp;ReferencePositionType=S&amp;SerialNum=1991223281&amp;ReferencePosition=2706" TargetMode="External" /><Relationship Id="rId3" Type="http://schemas.openxmlformats.org/officeDocument/2006/relationships/hyperlink" Target="https://ecfsapi.fcc.gov/file/122060849815/FINAL_CCH%20FairPoint%20Section%20214%20Transfer%20Application.pdf" TargetMode="External" /><Relationship Id="rId4" Type="http://schemas.openxmlformats.org/officeDocument/2006/relationships/hyperlink" Target="https://www.fcc.gov/reports-research/maps/study-area-boundarie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