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Java 21.5.0 -->
  <w:body>
    <w:p w:rsidR="00AE721B" w:rsidP="00AE721B" w14:paraId="0581204C" w14:textId="77777777">
      <w:pPr>
        <w:suppressAutoHyphens/>
        <w:jc w:val="right"/>
        <w:rPr>
          <w:b/>
          <w:szCs w:val="22"/>
        </w:rPr>
      </w:pPr>
    </w:p>
    <w:p w:rsidR="00AE721B" w:rsidP="00AE721B" w14:paraId="45C0C22D" w14:textId="564EB35D">
      <w:pPr>
        <w:suppressAutoHyphens/>
        <w:jc w:val="right"/>
        <w:rPr>
          <w:b/>
          <w:szCs w:val="22"/>
        </w:rPr>
      </w:pPr>
      <w:r>
        <w:rPr>
          <w:b/>
          <w:szCs w:val="22"/>
        </w:rPr>
        <w:t>DA 2</w:t>
      </w:r>
      <w:r w:rsidR="00175AB6">
        <w:rPr>
          <w:b/>
          <w:szCs w:val="22"/>
        </w:rPr>
        <w:t>2</w:t>
      </w:r>
      <w:r>
        <w:rPr>
          <w:b/>
          <w:szCs w:val="22"/>
        </w:rPr>
        <w:t>-</w:t>
      </w:r>
      <w:r w:rsidR="00175AB6">
        <w:rPr>
          <w:b/>
          <w:szCs w:val="22"/>
        </w:rPr>
        <w:t>341</w:t>
      </w:r>
    </w:p>
    <w:p w:rsidR="00AE721B" w:rsidP="00AE721B" w14:paraId="0EE60587" w14:textId="624784B0">
      <w:pPr>
        <w:jc w:val="right"/>
        <w:rPr>
          <w:b/>
          <w:bCs/>
        </w:rPr>
      </w:pPr>
      <w:r>
        <w:rPr>
          <w:b/>
          <w:szCs w:val="22"/>
        </w:rPr>
        <w:t xml:space="preserve">Released: </w:t>
      </w:r>
      <w:r w:rsidR="00FC7F63">
        <w:rPr>
          <w:b/>
          <w:szCs w:val="22"/>
        </w:rPr>
        <w:t>April 1</w:t>
      </w:r>
      <w:r w:rsidR="004D3B9C">
        <w:rPr>
          <w:b/>
          <w:szCs w:val="22"/>
        </w:rPr>
        <w:t>, 2022</w:t>
      </w:r>
    </w:p>
    <w:p w:rsidR="00AE721B" w:rsidRPr="002169E1" w:rsidP="00AE721B" w14:paraId="296EC2F8" w14:textId="77777777">
      <w:pPr>
        <w:jc w:val="center"/>
      </w:pPr>
    </w:p>
    <w:p w:rsidR="00AE721B" w:rsidP="00AE721B" w14:paraId="193A5D0B" w14:textId="77777777">
      <w:pPr>
        <w:jc w:val="center"/>
        <w:rPr>
          <w:b/>
          <w:bCs/>
        </w:rPr>
      </w:pPr>
      <w:r>
        <w:rPr>
          <w:b/>
          <w:bCs/>
        </w:rPr>
        <w:t xml:space="preserve">OFFICE OF ENGINEERING AND TECHNOLOGY </w:t>
      </w:r>
    </w:p>
    <w:p w:rsidR="00AE721B" w:rsidRPr="002169E1" w:rsidP="00AE721B" w14:paraId="594C4A86" w14:textId="44725AC7">
      <w:pPr>
        <w:jc w:val="center"/>
      </w:pPr>
      <w:r>
        <w:rPr>
          <w:b/>
          <w:bCs/>
        </w:rPr>
        <w:t>OPENS</w:t>
      </w:r>
      <w:r>
        <w:rPr>
          <w:b/>
          <w:bCs/>
        </w:rPr>
        <w:t xml:space="preserve"> ET DOCKET NO. 2</w:t>
      </w:r>
      <w:r w:rsidR="004D3B9C">
        <w:rPr>
          <w:b/>
          <w:bCs/>
        </w:rPr>
        <w:t>2</w:t>
      </w:r>
      <w:r>
        <w:rPr>
          <w:b/>
          <w:bCs/>
        </w:rPr>
        <w:t>-</w:t>
      </w:r>
      <w:r w:rsidR="004D3B9C">
        <w:rPr>
          <w:b/>
          <w:bCs/>
        </w:rPr>
        <w:t>137</w:t>
      </w:r>
    </w:p>
    <w:p w:rsidR="00AE721B" w:rsidP="00AE721B" w14:paraId="5ED3E067" w14:textId="77777777">
      <w:pPr>
        <w:jc w:val="center"/>
        <w:rPr>
          <w:b/>
          <w:bCs/>
        </w:rPr>
      </w:pPr>
    </w:p>
    <w:p w:rsidR="00AE721B" w:rsidP="00AE721B" w14:paraId="0154B493" w14:textId="1F01B3C7">
      <w:pPr>
        <w:jc w:val="center"/>
        <w:rPr>
          <w:b/>
          <w:bCs/>
        </w:rPr>
      </w:pPr>
      <w:r>
        <w:rPr>
          <w:b/>
          <w:bCs/>
        </w:rPr>
        <w:t>ET Docket No. 2</w:t>
      </w:r>
      <w:r w:rsidR="004D3B9C">
        <w:rPr>
          <w:b/>
          <w:bCs/>
        </w:rPr>
        <w:t>2</w:t>
      </w:r>
      <w:r>
        <w:rPr>
          <w:b/>
          <w:bCs/>
        </w:rPr>
        <w:t>-</w:t>
      </w:r>
      <w:r w:rsidR="004D3B9C">
        <w:rPr>
          <w:b/>
          <w:bCs/>
        </w:rPr>
        <w:t>137</w:t>
      </w:r>
    </w:p>
    <w:p w:rsidR="00AE721B" w:rsidRPr="002169E1" w:rsidP="00AE721B" w14:paraId="29A0271F" w14:textId="77777777">
      <w:pPr>
        <w:rPr>
          <w:b/>
          <w:bCs/>
        </w:rPr>
      </w:pPr>
    </w:p>
    <w:p w:rsidR="00EB01AD" w:rsidRPr="00D4539A" w:rsidP="00AE721B" w14:paraId="7FC9D6EA" w14:textId="4A82B8A0">
      <w:pPr>
        <w:ind w:firstLine="720"/>
        <w:rPr>
          <w:szCs w:val="22"/>
        </w:rPr>
      </w:pPr>
      <w:r w:rsidRPr="00EB01AD">
        <w:t xml:space="preserve">By this Public Notice, the Office of Engineering and Technology </w:t>
      </w:r>
      <w:r w:rsidR="00150F82">
        <w:t>opens</w:t>
      </w:r>
      <w:r w:rsidRPr="00EB01AD">
        <w:t xml:space="preserve"> ET Docket No. 2</w:t>
      </w:r>
      <w:r w:rsidR="004D3B9C">
        <w:t>2</w:t>
      </w:r>
      <w:r w:rsidRPr="00EB01AD">
        <w:t>-</w:t>
      </w:r>
      <w:r w:rsidR="004D3B9C">
        <w:t>137</w:t>
      </w:r>
      <w:r w:rsidRPr="00EB01AD">
        <w:t xml:space="preserve">, which </w:t>
      </w:r>
      <w:r>
        <w:t>is</w:t>
      </w:r>
      <w:r w:rsidRPr="00EB01AD">
        <w:t xml:space="preserve"> </w:t>
      </w:r>
      <w:r w:rsidR="00D4539A">
        <w:t xml:space="preserve">a Notice of Inquiry </w:t>
      </w:r>
      <w:r w:rsidRPr="00EB01AD">
        <w:t xml:space="preserve">captioned </w:t>
      </w:r>
      <w:r w:rsidRPr="00D4539A">
        <w:rPr>
          <w:szCs w:val="22"/>
        </w:rPr>
        <w:t>“</w:t>
      </w:r>
      <w:r w:rsidRPr="00D4539A" w:rsidR="00D4539A">
        <w:rPr>
          <w:rStyle w:val="cf01"/>
          <w:rFonts w:ascii="Times New Roman" w:hAnsi="Times New Roman" w:cs="Times New Roman"/>
          <w:sz w:val="22"/>
          <w:szCs w:val="22"/>
        </w:rPr>
        <w:t>Promoting Efficient Use of Spectrum through Improved Receiver Interference Immunity Performanc</w:t>
      </w:r>
      <w:r w:rsidR="00D4539A">
        <w:rPr>
          <w:rStyle w:val="cf01"/>
          <w:rFonts w:ascii="Times New Roman" w:hAnsi="Times New Roman" w:cs="Times New Roman"/>
          <w:sz w:val="22"/>
          <w:szCs w:val="22"/>
        </w:rPr>
        <w:t>e</w:t>
      </w:r>
      <w:r w:rsidRPr="00D4539A">
        <w:rPr>
          <w:szCs w:val="22"/>
        </w:rPr>
        <w:t>.”</w:t>
      </w:r>
    </w:p>
    <w:p w:rsidR="00EB01AD" w:rsidP="00AE721B" w14:paraId="44282870" w14:textId="77777777">
      <w:pPr>
        <w:ind w:firstLine="720"/>
      </w:pPr>
    </w:p>
    <w:p w:rsidR="00AE721B" w:rsidRPr="002169E1" w:rsidP="00AE721B" w14:paraId="2A645073" w14:textId="7D46CF0F">
      <w:pPr>
        <w:ind w:firstLine="720"/>
      </w:pPr>
      <w:r>
        <w:t>P</w:t>
      </w:r>
      <w:r w:rsidRPr="002169E1">
        <w:t xml:space="preserve">resentations are subject to “permit-but-disclose” </w:t>
      </w:r>
      <w:r w:rsidRPr="002169E1">
        <w:rPr>
          <w:i/>
          <w:iCs/>
        </w:rPr>
        <w:t xml:space="preserve">ex parte </w:t>
      </w:r>
      <w:r w:rsidRPr="002169E1">
        <w:t xml:space="preserve">rules.  </w:t>
      </w:r>
      <w:r w:rsidRPr="002169E1">
        <w:rPr>
          <w:i/>
          <w:iCs/>
        </w:rPr>
        <w:t>See</w:t>
      </w:r>
      <w:r w:rsidRPr="002169E1">
        <w:t xml:space="preserve"> 47 C.F.R. §§ 1.1206, 1.1200(a).  </w:t>
      </w:r>
      <w:r w:rsidRPr="00A7224B">
        <w:rPr>
          <w:sz w:val="23"/>
          <w:szCs w:val="23"/>
        </w:rPr>
        <w:t xml:space="preserve">Persons making </w:t>
      </w:r>
      <w:r w:rsidRPr="00A7224B">
        <w:rPr>
          <w:i/>
          <w:iCs/>
          <w:sz w:val="23"/>
          <w:szCs w:val="23"/>
        </w:rPr>
        <w:t xml:space="preserve">ex parte </w:t>
      </w:r>
      <w:r w:rsidRPr="00A7224B">
        <w:rPr>
          <w:sz w:val="23"/>
          <w:szCs w:val="23"/>
        </w:rPr>
        <w:t>presentations must file a copy of any written presentation or a memorandum summarizing any oral presentation within two business days after the presentation (unless a different deadline applicable to the Sunshine period applies).</w:t>
      </w:r>
      <w:r>
        <w:rPr>
          <w:sz w:val="23"/>
          <w:szCs w:val="23"/>
        </w:rPr>
        <w:t xml:space="preserve">  </w:t>
      </w:r>
      <w:r w:rsidRPr="00A7224B">
        <w:rPr>
          <w:sz w:val="23"/>
          <w:szCs w:val="23"/>
        </w:rPr>
        <w:t xml:space="preserve">Participants in this proceeding should familiarize themselves with the Commission’s </w:t>
      </w:r>
      <w:r w:rsidRPr="00A7224B">
        <w:rPr>
          <w:i/>
          <w:iCs/>
          <w:sz w:val="23"/>
          <w:szCs w:val="23"/>
        </w:rPr>
        <w:t xml:space="preserve">ex parte </w:t>
      </w:r>
      <w:r w:rsidRPr="00A7224B">
        <w:rPr>
          <w:sz w:val="23"/>
          <w:szCs w:val="23"/>
        </w:rPr>
        <w:t>rules</w:t>
      </w:r>
      <w:r w:rsidRPr="00E47B3D">
        <w:rPr>
          <w:sz w:val="23"/>
          <w:szCs w:val="23"/>
        </w:rPr>
        <w:t xml:space="preserve">, including the general prohibition on presentations (written and oral) on matters listed on the Sunshine Agenda, which is typically released a week prior to the Commission’s meeting.  </w:t>
      </w:r>
      <w:r w:rsidRPr="00491E7A">
        <w:rPr>
          <w:i/>
          <w:iCs/>
          <w:sz w:val="23"/>
          <w:szCs w:val="23"/>
        </w:rPr>
        <w:t>See</w:t>
      </w:r>
      <w:r w:rsidRPr="00E47B3D">
        <w:rPr>
          <w:sz w:val="23"/>
          <w:szCs w:val="23"/>
        </w:rPr>
        <w:t xml:space="preserve"> 47 CFR §§ 1.1200(a), 1.1203.</w:t>
      </w:r>
    </w:p>
    <w:p w:rsidR="00AE721B" w:rsidP="00AE721B" w14:paraId="656F21D9" w14:textId="00F37F28">
      <w:pPr>
        <w:ind w:firstLine="720"/>
      </w:pPr>
    </w:p>
    <w:p w:rsidR="005E0988" w:rsidRPr="00342B07" w:rsidP="005E0988" w14:paraId="3A879566" w14:textId="77777777">
      <w:pPr>
        <w:spacing w:after="120"/>
        <w:ind w:firstLine="720"/>
        <w:rPr>
          <w:szCs w:val="22"/>
        </w:rPr>
      </w:pPr>
      <w:r w:rsidRPr="00342B07">
        <w:rPr>
          <w:i/>
          <w:iCs/>
          <w:szCs w:val="22"/>
        </w:rPr>
        <w:t xml:space="preserve">Accessibility Information.  </w:t>
      </w:r>
      <w:r w:rsidRPr="00342B07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4" w:history="1">
        <w:r w:rsidRPr="00342B07">
          <w:rPr>
            <w:color w:val="0000FF"/>
            <w:szCs w:val="22"/>
            <w:u w:val="single"/>
          </w:rPr>
          <w:t xml:space="preserve">fcc504@fcc.gov </w:t>
        </w:r>
      </w:hyperlink>
      <w:r w:rsidRPr="00342B07">
        <w:rPr>
          <w:szCs w:val="22"/>
        </w:rPr>
        <w:t>or call the Consumer and Governmental Affairs Bureau at (202) 418-0530 (voice)</w:t>
      </w:r>
      <w:r>
        <w:rPr>
          <w:szCs w:val="22"/>
        </w:rPr>
        <w:t>.</w:t>
      </w:r>
    </w:p>
    <w:p w:rsidR="005E0988" w:rsidRPr="002169E1" w:rsidP="005E0988" w14:paraId="34E7C544" w14:textId="77777777"/>
    <w:p w:rsidR="00AE721B" w:rsidP="00AE721B" w14:paraId="73727E96" w14:textId="77777777">
      <w:pPr>
        <w:ind w:firstLine="720"/>
      </w:pPr>
      <w:r w:rsidRPr="002169E1">
        <w:t>Action</w:t>
      </w:r>
      <w:r>
        <w:t xml:space="preserve"> by Acting Chief, Office of Engineering and Technology.</w:t>
      </w:r>
    </w:p>
    <w:p w:rsidR="00AE721B" w:rsidRPr="002169E1" w:rsidP="00AE721B" w14:paraId="0A6F2AE5" w14:textId="77777777"/>
    <w:p w:rsidR="00AE721B" w:rsidRPr="00AE721B" w:rsidP="00AE721B" w14:paraId="31BD72D1" w14:textId="404E3E2B">
      <w:pPr>
        <w:ind w:firstLine="720"/>
        <w:jc w:val="center"/>
      </w:pPr>
      <w:r w:rsidRPr="002169E1">
        <w:t xml:space="preserve">– </w:t>
      </w:r>
      <w:r w:rsidRPr="002169E1">
        <w:rPr>
          <w:b/>
          <w:bCs/>
        </w:rPr>
        <w:t>FCC</w:t>
      </w:r>
      <w:r w:rsidRPr="002169E1">
        <w:t xml:space="preserve"> –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18/wordml/c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F53465" w14:paraId="79F2CA9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F53465" w14:paraId="7251F0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F53465" w14:paraId="491F836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F53465" w14:paraId="1314E8C0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F53465" w14:paraId="0595CC7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F53465" w14:paraId="2D7190DD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F53465" w14:paraId="78CF4499" w14:textId="64B4A0C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F53465" w14:paraId="4287AB60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F53465" w14:paraId="33FB6A4D" w14:textId="0AA481D0">
    <w:pPr>
      <w:pStyle w:val="Header"/>
    </w:pPr>
    <w:r>
      <w:rPr>
        <w:noProof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Paul Murray">
    <w15:presenceInfo w15:providerId="AD" w15:userId="S::Paul.Murray@fcc.gov::9fbb3988-9a73-4b51-a8a5-9007d9941bf4"/>
  </w15:person>
  <w15:person w15:author="David Duarte">
    <w15:presenceInfo w15:providerId="AD" w15:userId="S::David.Duarte@fcc.gov::fa790b92-f86a-4527-97a8-8db777c503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18/wordml/c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1B"/>
    <w:rsid w:val="00062AA4"/>
    <w:rsid w:val="00150F82"/>
    <w:rsid w:val="00175AB6"/>
    <w:rsid w:val="0018337D"/>
    <w:rsid w:val="002169E1"/>
    <w:rsid w:val="00342B07"/>
    <w:rsid w:val="00491E7A"/>
    <w:rsid w:val="004D3B9C"/>
    <w:rsid w:val="005270C6"/>
    <w:rsid w:val="005E0988"/>
    <w:rsid w:val="00604B05"/>
    <w:rsid w:val="006111A6"/>
    <w:rsid w:val="00654200"/>
    <w:rsid w:val="006754FF"/>
    <w:rsid w:val="008838D2"/>
    <w:rsid w:val="00A7224B"/>
    <w:rsid w:val="00A85A24"/>
    <w:rsid w:val="00AE721B"/>
    <w:rsid w:val="00B135AD"/>
    <w:rsid w:val="00B16424"/>
    <w:rsid w:val="00C52753"/>
    <w:rsid w:val="00D4539A"/>
    <w:rsid w:val="00DC1CA7"/>
    <w:rsid w:val="00DC779F"/>
    <w:rsid w:val="00E47B3D"/>
    <w:rsid w:val="00EB01AD"/>
    <w:rsid w:val="00F53465"/>
    <w:rsid w:val="00FC7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2C09E2D"/>
  <w15:chartTrackingRefBased/>
  <w15:docId w15:val="{F7EFE7DC-71F8-467B-AE0F-7123F572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18/wordml/c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E721B"/>
    <w:rPr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2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A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A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AA4"/>
    <w:rPr>
      <w:b/>
      <w:bCs/>
    </w:rPr>
  </w:style>
  <w:style w:type="character" w:customStyle="1" w:styleId="cf01">
    <w:name w:val="cf01"/>
    <w:basedOn w:val="DefaultParagraphFont"/>
    <w:rsid w:val="00D4539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18/wordml/c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14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