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340FD6" w:rsidP="00340FD6" w14:paraId="26ED00F4" w14:textId="77777777">
      <w:pPr>
        <w:ind w:left="5760" w:firstLine="720"/>
      </w:pPr>
    </w:p>
    <w:p w:rsidR="008C27DC" w:rsidRPr="00B04621" w:rsidP="008C27DC" w14:paraId="4A950375" w14:textId="2A8D381E">
      <w:pPr>
        <w:ind w:left="5760" w:firstLine="720"/>
      </w:pPr>
      <w:r w:rsidRPr="00B04621">
        <w:t>DA</w:t>
      </w:r>
      <w:r>
        <w:t xml:space="preserve"> 22-</w:t>
      </w:r>
      <w:r w:rsidR="00B517F1">
        <w:t>346</w:t>
      </w:r>
    </w:p>
    <w:p w:rsidR="008C27DC" w:rsidRPr="00B04621" w:rsidP="008C27DC" w14:paraId="51B27705" w14:textId="77777777">
      <w:pPr>
        <w:rPr>
          <w:i/>
        </w:rPr>
      </w:pPr>
      <w:r w:rsidRPr="00B04621">
        <w:rPr>
          <w:i/>
        </w:rPr>
        <w:tab/>
      </w:r>
      <w:r w:rsidRPr="00B04621">
        <w:rPr>
          <w:i/>
        </w:rPr>
        <w:tab/>
      </w:r>
      <w:r w:rsidRPr="00B04621">
        <w:rPr>
          <w:i/>
        </w:rPr>
        <w:tab/>
      </w:r>
      <w:r>
        <w:rPr>
          <w:i/>
        </w:rPr>
        <w:tab/>
      </w:r>
      <w:r>
        <w:rPr>
          <w:i/>
        </w:rPr>
        <w:tab/>
      </w:r>
      <w:r>
        <w:rPr>
          <w:i/>
        </w:rPr>
        <w:tab/>
      </w:r>
      <w:r>
        <w:rPr>
          <w:i/>
        </w:rPr>
        <w:tab/>
      </w:r>
      <w:r>
        <w:rPr>
          <w:i/>
        </w:rPr>
        <w:tab/>
      </w:r>
      <w:r>
        <w:rPr>
          <w:i/>
        </w:rPr>
        <w:tab/>
      </w:r>
      <w:r w:rsidRPr="00B04621">
        <w:rPr>
          <w:i/>
        </w:rPr>
        <w:t>In Reply Refer to:</w:t>
      </w:r>
    </w:p>
    <w:p w:rsidR="008C27DC" w:rsidRPr="00B04621" w:rsidP="008C27DC" w14:paraId="468CDAA6" w14:textId="77777777">
      <w:r w:rsidRPr="00B04621">
        <w:tab/>
      </w:r>
      <w:r>
        <w:tab/>
      </w:r>
      <w:r>
        <w:tab/>
      </w:r>
      <w:r>
        <w:tab/>
      </w:r>
      <w:r>
        <w:tab/>
      </w:r>
      <w:r>
        <w:tab/>
      </w:r>
      <w:r>
        <w:tab/>
      </w:r>
      <w:r>
        <w:tab/>
      </w:r>
      <w:r>
        <w:tab/>
      </w:r>
      <w:r w:rsidRPr="00B04621">
        <w:t>1800B3-</w:t>
      </w:r>
      <w:r>
        <w:t>ATS</w:t>
      </w:r>
    </w:p>
    <w:p w:rsidR="008C27DC" w:rsidP="008C27DC" w14:paraId="24ACF85C" w14:textId="4463FF98">
      <w:r w:rsidRPr="00B04621">
        <w:tab/>
      </w:r>
      <w:r>
        <w:tab/>
      </w:r>
      <w:r>
        <w:tab/>
      </w:r>
      <w:r>
        <w:tab/>
      </w:r>
      <w:r>
        <w:tab/>
      </w:r>
      <w:r>
        <w:tab/>
      </w:r>
      <w:r>
        <w:tab/>
      </w:r>
      <w:r>
        <w:tab/>
      </w:r>
      <w:r>
        <w:tab/>
      </w:r>
      <w:r w:rsidRPr="00B04621">
        <w:t>Released</w:t>
      </w:r>
      <w:r>
        <w:t xml:space="preserve"> </w:t>
      </w:r>
      <w:r w:rsidR="00B517F1">
        <w:t>April 1, 2022</w:t>
      </w:r>
    </w:p>
    <w:p w:rsidR="00340FD6" w:rsidP="008C27DC" w14:paraId="3F8B0D31" w14:textId="1AC0A409">
      <w:r>
        <w:tab/>
      </w:r>
      <w:r>
        <w:tab/>
      </w:r>
      <w:r>
        <w:tab/>
      </w:r>
    </w:p>
    <w:p w:rsidR="00340FD6" w:rsidP="003056C6" w14:paraId="625CDDED" w14:textId="097B0407">
      <w:pPr>
        <w:rPr>
          <w:sz w:val="22"/>
          <w:szCs w:val="22"/>
        </w:rPr>
      </w:pPr>
      <w:r>
        <w:rPr>
          <w:sz w:val="22"/>
          <w:szCs w:val="22"/>
        </w:rPr>
        <w:t xml:space="preserve">Mr. </w:t>
      </w:r>
      <w:r w:rsidR="009876AC">
        <w:rPr>
          <w:sz w:val="22"/>
          <w:szCs w:val="22"/>
        </w:rPr>
        <w:t>Tom Michael</w:t>
      </w:r>
    </w:p>
    <w:p w:rsidR="00BE62EA" w:rsidP="003056C6" w14:paraId="0D3CC988" w14:textId="1D4EB8E8">
      <w:pPr>
        <w:rPr>
          <w:sz w:val="22"/>
          <w:szCs w:val="22"/>
        </w:rPr>
      </w:pPr>
      <w:r>
        <w:rPr>
          <w:sz w:val="22"/>
          <w:szCs w:val="22"/>
        </w:rPr>
        <w:t>Idaho State Board of Education</w:t>
      </w:r>
    </w:p>
    <w:p w:rsidR="009876AC" w:rsidP="003056C6" w14:paraId="4F5623D5" w14:textId="70184F74">
      <w:pPr>
        <w:rPr>
          <w:sz w:val="22"/>
          <w:szCs w:val="22"/>
        </w:rPr>
      </w:pPr>
      <w:r>
        <w:rPr>
          <w:sz w:val="22"/>
          <w:szCs w:val="22"/>
        </w:rPr>
        <w:t>Boise State University</w:t>
      </w:r>
    </w:p>
    <w:p w:rsidR="00BE62EA" w:rsidP="003056C6" w14:paraId="6FAD17AA" w14:textId="1502E9DB">
      <w:pPr>
        <w:rPr>
          <w:sz w:val="22"/>
          <w:szCs w:val="22"/>
        </w:rPr>
      </w:pPr>
      <w:r>
        <w:rPr>
          <w:sz w:val="22"/>
          <w:szCs w:val="22"/>
        </w:rPr>
        <w:t>1910 University Drive</w:t>
      </w:r>
    </w:p>
    <w:p w:rsidR="00BE62EA" w:rsidP="003056C6" w14:paraId="2BD233A0" w14:textId="76252D01">
      <w:pPr>
        <w:rPr>
          <w:sz w:val="22"/>
          <w:szCs w:val="22"/>
        </w:rPr>
      </w:pPr>
      <w:r>
        <w:rPr>
          <w:sz w:val="22"/>
          <w:szCs w:val="22"/>
        </w:rPr>
        <w:t>Boise, ID 83725</w:t>
      </w:r>
    </w:p>
    <w:p w:rsidR="00A62ED5" w:rsidP="00340FD6" w14:paraId="35A151D0" w14:textId="78CCF091">
      <w:pPr>
        <w:rPr>
          <w:sz w:val="22"/>
          <w:szCs w:val="22"/>
        </w:rPr>
      </w:pPr>
      <w:r>
        <w:rPr>
          <w:sz w:val="22"/>
          <w:szCs w:val="22"/>
        </w:rPr>
        <w:t xml:space="preserve">(sent by electronic mail to: </w:t>
      </w:r>
      <w:r w:rsidR="00BE62EA">
        <w:rPr>
          <w:sz w:val="22"/>
          <w:szCs w:val="22"/>
        </w:rPr>
        <w:t>tommichael@boisestate.edu</w:t>
      </w:r>
      <w:r>
        <w:rPr>
          <w:sz w:val="22"/>
          <w:szCs w:val="22"/>
        </w:rPr>
        <w:t>)</w:t>
      </w:r>
    </w:p>
    <w:p w:rsidR="00340FD6" w:rsidP="00340FD6" w14:paraId="71CB99EF" w14:textId="77777777">
      <w:pPr>
        <w:rPr>
          <w:sz w:val="22"/>
          <w:szCs w:val="22"/>
        </w:rPr>
      </w:pPr>
    </w:p>
    <w:p w:rsidR="00340FD6" w:rsidP="00340FD6" w14:paraId="2ADD6B6C" w14:textId="0E7119F0">
      <w:pPr>
        <w:rPr>
          <w:sz w:val="22"/>
          <w:szCs w:val="22"/>
        </w:rPr>
      </w:pPr>
      <w:r>
        <w:rPr>
          <w:sz w:val="22"/>
          <w:szCs w:val="22"/>
        </w:rPr>
        <w:t>Mr. Steven L. White</w:t>
      </w:r>
    </w:p>
    <w:p w:rsidR="00340FD6" w:rsidP="00340FD6" w14:paraId="000A4E30" w14:textId="56BFE046">
      <w:pPr>
        <w:rPr>
          <w:sz w:val="22"/>
          <w:szCs w:val="22"/>
        </w:rPr>
      </w:pPr>
      <w:r>
        <w:rPr>
          <w:sz w:val="22"/>
          <w:szCs w:val="22"/>
        </w:rPr>
        <w:t>Triangle Access Broadcasting, Inc.</w:t>
      </w:r>
    </w:p>
    <w:p w:rsidR="00C90A83" w:rsidP="00340FD6" w14:paraId="1A0BD458" w14:textId="7F6AC5A5">
      <w:pPr>
        <w:rPr>
          <w:sz w:val="22"/>
          <w:szCs w:val="22"/>
        </w:rPr>
      </w:pPr>
      <w:r>
        <w:rPr>
          <w:sz w:val="22"/>
          <w:szCs w:val="22"/>
        </w:rPr>
        <w:t xml:space="preserve">7813 </w:t>
      </w:r>
      <w:r>
        <w:rPr>
          <w:sz w:val="22"/>
          <w:szCs w:val="22"/>
        </w:rPr>
        <w:t>Highlandview</w:t>
      </w:r>
      <w:r>
        <w:rPr>
          <w:sz w:val="22"/>
          <w:szCs w:val="22"/>
        </w:rPr>
        <w:t xml:space="preserve"> Circle</w:t>
      </w:r>
    </w:p>
    <w:p w:rsidR="00C90A83" w:rsidP="00340FD6" w14:paraId="3E2D448D" w14:textId="1691BFBF">
      <w:pPr>
        <w:rPr>
          <w:sz w:val="22"/>
          <w:szCs w:val="22"/>
        </w:rPr>
      </w:pPr>
      <w:r>
        <w:rPr>
          <w:sz w:val="22"/>
          <w:szCs w:val="22"/>
        </w:rPr>
        <w:t>Raleigh, NC 27613-4109</w:t>
      </w:r>
    </w:p>
    <w:p w:rsidR="00340FD6" w:rsidP="00340FD6" w14:paraId="2666361F" w14:textId="3AAB6D9B">
      <w:pPr>
        <w:rPr>
          <w:sz w:val="22"/>
          <w:szCs w:val="22"/>
        </w:rPr>
      </w:pPr>
      <w:r>
        <w:rPr>
          <w:sz w:val="22"/>
          <w:szCs w:val="22"/>
        </w:rPr>
        <w:t xml:space="preserve">(sent by electronic mail to: </w:t>
      </w:r>
      <w:r w:rsidR="00A62ED5">
        <w:rPr>
          <w:sz w:val="22"/>
          <w:szCs w:val="22"/>
        </w:rPr>
        <w:t>steven@triacces.org</w:t>
      </w:r>
      <w:r>
        <w:rPr>
          <w:sz w:val="22"/>
          <w:szCs w:val="22"/>
        </w:rPr>
        <w:t>)</w:t>
      </w:r>
    </w:p>
    <w:p w:rsidR="00340FD6" w:rsidRPr="000A4B36" w:rsidP="00340FD6" w14:paraId="3A36FCF5" w14:textId="77777777">
      <w:pPr>
        <w:ind w:left="4320" w:firstLine="720"/>
        <w:rPr>
          <w:sz w:val="22"/>
          <w:szCs w:val="22"/>
        </w:rPr>
      </w:pPr>
      <w:bookmarkStart w:id="0" w:name="_Hlk11270368"/>
    </w:p>
    <w:p w:rsidR="00340FD6" w:rsidRPr="000A4B36" w:rsidP="00340FD6" w14:paraId="6A93253C" w14:textId="0A7E1434">
      <w:pPr>
        <w:ind w:left="5760" w:hanging="720"/>
        <w:rPr>
          <w:sz w:val="22"/>
          <w:szCs w:val="22"/>
        </w:rPr>
      </w:pPr>
      <w:r w:rsidRPr="000A4B36">
        <w:rPr>
          <w:sz w:val="22"/>
          <w:szCs w:val="22"/>
        </w:rPr>
        <w:t>In re:</w:t>
      </w:r>
      <w:r w:rsidRPr="000A4B36">
        <w:rPr>
          <w:sz w:val="22"/>
          <w:szCs w:val="22"/>
        </w:rPr>
        <w:tab/>
      </w:r>
      <w:r w:rsidR="00047C83">
        <w:rPr>
          <w:b/>
          <w:bCs/>
          <w:sz w:val="22"/>
          <w:szCs w:val="22"/>
        </w:rPr>
        <w:t>Idaho State Board of Education</w:t>
      </w:r>
    </w:p>
    <w:p w:rsidR="007A13DE" w:rsidRPr="000A4B36" w:rsidP="007A13DE" w14:paraId="0F37C33D" w14:textId="469049E3">
      <w:pPr>
        <w:ind w:left="5040" w:firstLine="720"/>
        <w:rPr>
          <w:sz w:val="22"/>
          <w:szCs w:val="22"/>
        </w:rPr>
      </w:pPr>
      <w:r>
        <w:rPr>
          <w:sz w:val="22"/>
          <w:szCs w:val="22"/>
        </w:rPr>
        <w:t xml:space="preserve">New NCE, </w:t>
      </w:r>
      <w:r w:rsidR="00C468E0">
        <w:rPr>
          <w:sz w:val="22"/>
          <w:szCs w:val="22"/>
        </w:rPr>
        <w:t>Stanley</w:t>
      </w:r>
      <w:r w:rsidR="00897F19">
        <w:rPr>
          <w:sz w:val="22"/>
          <w:szCs w:val="22"/>
        </w:rPr>
        <w:t>, Idaho</w:t>
      </w:r>
    </w:p>
    <w:p w:rsidR="007A13DE" w:rsidRPr="000A4B36" w:rsidP="007A13DE" w14:paraId="6949BD8B" w14:textId="208D7236">
      <w:pPr>
        <w:rPr>
          <w:sz w:val="22"/>
          <w:szCs w:val="22"/>
        </w:rPr>
      </w:pPr>
      <w:r w:rsidRPr="000A4B36">
        <w:rPr>
          <w:sz w:val="22"/>
          <w:szCs w:val="22"/>
        </w:rPr>
        <w:tab/>
      </w:r>
      <w:r w:rsidRPr="000A4B36">
        <w:rPr>
          <w:sz w:val="22"/>
          <w:szCs w:val="22"/>
        </w:rPr>
        <w:tab/>
      </w:r>
      <w:r w:rsidRPr="000A4B36">
        <w:rPr>
          <w:sz w:val="22"/>
          <w:szCs w:val="22"/>
        </w:rPr>
        <w:tab/>
      </w:r>
      <w:r w:rsidRPr="000A4B36">
        <w:rPr>
          <w:sz w:val="22"/>
          <w:szCs w:val="22"/>
        </w:rPr>
        <w:tab/>
      </w:r>
      <w:r w:rsidRPr="000A4B36">
        <w:rPr>
          <w:sz w:val="22"/>
          <w:szCs w:val="22"/>
        </w:rPr>
        <w:tab/>
      </w:r>
      <w:r w:rsidRPr="000A4B36">
        <w:rPr>
          <w:sz w:val="22"/>
          <w:szCs w:val="22"/>
        </w:rPr>
        <w:tab/>
      </w:r>
      <w:r w:rsidRPr="000A4B36">
        <w:rPr>
          <w:sz w:val="22"/>
          <w:szCs w:val="22"/>
        </w:rPr>
        <w:tab/>
      </w:r>
      <w:r w:rsidRPr="000A4B36">
        <w:rPr>
          <w:sz w:val="22"/>
          <w:szCs w:val="22"/>
        </w:rPr>
        <w:tab/>
        <w:t xml:space="preserve">Facility ID No. </w:t>
      </w:r>
      <w:r>
        <w:rPr>
          <w:sz w:val="22"/>
          <w:szCs w:val="22"/>
        </w:rPr>
        <w:t>76</w:t>
      </w:r>
      <w:r w:rsidR="00047C83">
        <w:rPr>
          <w:sz w:val="22"/>
          <w:szCs w:val="22"/>
        </w:rPr>
        <w:t>21</w:t>
      </w:r>
      <w:r w:rsidR="002441A8">
        <w:rPr>
          <w:sz w:val="22"/>
          <w:szCs w:val="22"/>
        </w:rPr>
        <w:t>97</w:t>
      </w:r>
    </w:p>
    <w:p w:rsidR="007A13DE" w:rsidP="007A13DE" w14:paraId="4CF97B26" w14:textId="10EC91A7">
      <w:pPr>
        <w:rPr>
          <w:sz w:val="22"/>
          <w:szCs w:val="22"/>
        </w:rPr>
      </w:pPr>
      <w:r w:rsidRPr="000A4B36">
        <w:rPr>
          <w:sz w:val="22"/>
          <w:szCs w:val="22"/>
        </w:rPr>
        <w:tab/>
      </w:r>
      <w:r w:rsidRPr="000A4B36">
        <w:rPr>
          <w:sz w:val="22"/>
          <w:szCs w:val="22"/>
        </w:rPr>
        <w:tab/>
      </w:r>
      <w:r w:rsidRPr="000A4B36">
        <w:rPr>
          <w:sz w:val="22"/>
          <w:szCs w:val="22"/>
        </w:rPr>
        <w:tab/>
      </w:r>
      <w:r w:rsidRPr="000A4B36">
        <w:rPr>
          <w:sz w:val="22"/>
          <w:szCs w:val="22"/>
        </w:rPr>
        <w:tab/>
      </w:r>
      <w:r w:rsidRPr="000A4B36">
        <w:rPr>
          <w:sz w:val="22"/>
          <w:szCs w:val="22"/>
        </w:rPr>
        <w:tab/>
      </w:r>
      <w:r w:rsidRPr="000A4B36">
        <w:rPr>
          <w:sz w:val="22"/>
          <w:szCs w:val="22"/>
        </w:rPr>
        <w:tab/>
      </w:r>
      <w:r w:rsidRPr="000A4B36">
        <w:rPr>
          <w:sz w:val="22"/>
          <w:szCs w:val="22"/>
        </w:rPr>
        <w:tab/>
      </w:r>
      <w:r w:rsidRPr="000A4B36">
        <w:rPr>
          <w:sz w:val="22"/>
          <w:szCs w:val="22"/>
        </w:rPr>
        <w:tab/>
        <w:t xml:space="preserve">File No. </w:t>
      </w:r>
      <w:r>
        <w:rPr>
          <w:sz w:val="22"/>
          <w:szCs w:val="22"/>
        </w:rPr>
        <w:t>000016</w:t>
      </w:r>
      <w:r w:rsidR="00047C83">
        <w:rPr>
          <w:sz w:val="22"/>
          <w:szCs w:val="22"/>
        </w:rPr>
        <w:t>6</w:t>
      </w:r>
      <w:r w:rsidR="00C468E0">
        <w:rPr>
          <w:sz w:val="22"/>
          <w:szCs w:val="22"/>
        </w:rPr>
        <w:t>875</w:t>
      </w:r>
    </w:p>
    <w:p w:rsidR="007A13DE" w:rsidP="00340FD6" w14:paraId="67C86E2E" w14:textId="77777777">
      <w:pPr>
        <w:ind w:left="5040" w:firstLine="720"/>
        <w:rPr>
          <w:sz w:val="22"/>
          <w:szCs w:val="22"/>
        </w:rPr>
      </w:pPr>
    </w:p>
    <w:p w:rsidR="00340FD6" w:rsidRPr="000A4B36" w:rsidP="00340FD6" w14:paraId="1B97FE39" w14:textId="3E01487E">
      <w:pPr>
        <w:ind w:left="5040" w:firstLine="720"/>
        <w:rPr>
          <w:sz w:val="22"/>
          <w:szCs w:val="22"/>
        </w:rPr>
      </w:pPr>
      <w:r>
        <w:rPr>
          <w:sz w:val="22"/>
          <w:szCs w:val="22"/>
        </w:rPr>
        <w:t xml:space="preserve">New NCE, </w:t>
      </w:r>
      <w:r w:rsidR="00C468E0">
        <w:rPr>
          <w:sz w:val="22"/>
          <w:szCs w:val="22"/>
        </w:rPr>
        <w:t>Stanley</w:t>
      </w:r>
      <w:r w:rsidR="00047C83">
        <w:rPr>
          <w:sz w:val="22"/>
          <w:szCs w:val="22"/>
        </w:rPr>
        <w:t>, Idaho</w:t>
      </w:r>
    </w:p>
    <w:p w:rsidR="00340FD6" w:rsidRPr="000A4B36" w:rsidP="00340FD6" w14:paraId="3100A288" w14:textId="00B68DCF">
      <w:pPr>
        <w:rPr>
          <w:sz w:val="22"/>
          <w:szCs w:val="22"/>
        </w:rPr>
      </w:pPr>
      <w:r w:rsidRPr="000A4B36">
        <w:rPr>
          <w:sz w:val="22"/>
          <w:szCs w:val="22"/>
        </w:rPr>
        <w:tab/>
      </w:r>
      <w:r w:rsidRPr="000A4B36">
        <w:rPr>
          <w:sz w:val="22"/>
          <w:szCs w:val="22"/>
        </w:rPr>
        <w:tab/>
      </w:r>
      <w:r w:rsidRPr="000A4B36">
        <w:rPr>
          <w:sz w:val="22"/>
          <w:szCs w:val="22"/>
        </w:rPr>
        <w:tab/>
      </w:r>
      <w:r w:rsidRPr="000A4B36">
        <w:rPr>
          <w:sz w:val="22"/>
          <w:szCs w:val="22"/>
        </w:rPr>
        <w:tab/>
      </w:r>
      <w:r w:rsidRPr="000A4B36">
        <w:rPr>
          <w:sz w:val="22"/>
          <w:szCs w:val="22"/>
        </w:rPr>
        <w:tab/>
      </w:r>
      <w:r w:rsidRPr="000A4B36">
        <w:rPr>
          <w:sz w:val="22"/>
          <w:szCs w:val="22"/>
        </w:rPr>
        <w:tab/>
      </w:r>
      <w:r w:rsidRPr="000A4B36">
        <w:rPr>
          <w:sz w:val="22"/>
          <w:szCs w:val="22"/>
        </w:rPr>
        <w:tab/>
      </w:r>
      <w:r w:rsidRPr="000A4B36">
        <w:rPr>
          <w:sz w:val="22"/>
          <w:szCs w:val="22"/>
        </w:rPr>
        <w:tab/>
        <w:t xml:space="preserve">Facility ID No. </w:t>
      </w:r>
      <w:r w:rsidR="00047C83">
        <w:rPr>
          <w:sz w:val="22"/>
          <w:szCs w:val="22"/>
        </w:rPr>
        <w:t>762</w:t>
      </w:r>
      <w:r w:rsidR="002441A8">
        <w:rPr>
          <w:sz w:val="22"/>
          <w:szCs w:val="22"/>
        </w:rPr>
        <w:t>198</w:t>
      </w:r>
    </w:p>
    <w:p w:rsidR="00340FD6" w:rsidP="00340FD6" w14:paraId="0067FC60" w14:textId="63F183AC">
      <w:pPr>
        <w:rPr>
          <w:sz w:val="22"/>
          <w:szCs w:val="22"/>
        </w:rPr>
      </w:pPr>
      <w:r w:rsidRPr="000A4B36">
        <w:rPr>
          <w:sz w:val="22"/>
          <w:szCs w:val="22"/>
        </w:rPr>
        <w:tab/>
      </w:r>
      <w:r w:rsidRPr="000A4B36">
        <w:rPr>
          <w:sz w:val="22"/>
          <w:szCs w:val="22"/>
        </w:rPr>
        <w:tab/>
      </w:r>
      <w:r w:rsidRPr="000A4B36">
        <w:rPr>
          <w:sz w:val="22"/>
          <w:szCs w:val="22"/>
        </w:rPr>
        <w:tab/>
      </w:r>
      <w:r w:rsidRPr="000A4B36">
        <w:rPr>
          <w:sz w:val="22"/>
          <w:szCs w:val="22"/>
        </w:rPr>
        <w:tab/>
      </w:r>
      <w:r w:rsidRPr="000A4B36">
        <w:rPr>
          <w:sz w:val="22"/>
          <w:szCs w:val="22"/>
        </w:rPr>
        <w:tab/>
      </w:r>
      <w:r w:rsidRPr="000A4B36">
        <w:rPr>
          <w:sz w:val="22"/>
          <w:szCs w:val="22"/>
        </w:rPr>
        <w:tab/>
      </w:r>
      <w:r w:rsidRPr="000A4B36">
        <w:rPr>
          <w:sz w:val="22"/>
          <w:szCs w:val="22"/>
        </w:rPr>
        <w:tab/>
      </w:r>
      <w:r w:rsidRPr="000A4B36">
        <w:rPr>
          <w:sz w:val="22"/>
          <w:szCs w:val="22"/>
        </w:rPr>
        <w:tab/>
        <w:t xml:space="preserve">File No. </w:t>
      </w:r>
      <w:r w:rsidR="007A13DE">
        <w:rPr>
          <w:sz w:val="22"/>
          <w:szCs w:val="22"/>
        </w:rPr>
        <w:t>000016</w:t>
      </w:r>
      <w:r w:rsidR="00047C83">
        <w:rPr>
          <w:sz w:val="22"/>
          <w:szCs w:val="22"/>
        </w:rPr>
        <w:t>6</w:t>
      </w:r>
      <w:r w:rsidR="00C468E0">
        <w:rPr>
          <w:sz w:val="22"/>
          <w:szCs w:val="22"/>
        </w:rPr>
        <w:t>882</w:t>
      </w:r>
    </w:p>
    <w:p w:rsidR="00340FD6" w:rsidRPr="000A4B36" w:rsidP="00340FD6" w14:paraId="30498E7F" w14:textId="77777777">
      <w:pPr>
        <w:rPr>
          <w:sz w:val="22"/>
          <w:szCs w:val="22"/>
        </w:rPr>
      </w:pPr>
    </w:p>
    <w:p w:rsidR="00340FD6" w:rsidRPr="000A4B36" w:rsidP="00340FD6" w14:paraId="10EC6AA5" w14:textId="346476A0">
      <w:pPr>
        <w:rPr>
          <w:b/>
          <w:sz w:val="22"/>
          <w:szCs w:val="22"/>
        </w:rPr>
      </w:pPr>
      <w:r w:rsidRPr="000A4B36">
        <w:rPr>
          <w:sz w:val="22"/>
          <w:szCs w:val="22"/>
        </w:rPr>
        <w:tab/>
      </w:r>
      <w:r w:rsidRPr="000A4B36">
        <w:rPr>
          <w:sz w:val="22"/>
          <w:szCs w:val="22"/>
        </w:rPr>
        <w:tab/>
      </w:r>
      <w:r w:rsidRPr="000A4B36">
        <w:rPr>
          <w:sz w:val="22"/>
          <w:szCs w:val="22"/>
        </w:rPr>
        <w:tab/>
      </w:r>
      <w:r w:rsidRPr="000A4B36">
        <w:rPr>
          <w:sz w:val="22"/>
          <w:szCs w:val="22"/>
        </w:rPr>
        <w:tab/>
      </w:r>
      <w:r w:rsidRPr="000A4B36">
        <w:rPr>
          <w:sz w:val="22"/>
          <w:szCs w:val="22"/>
        </w:rPr>
        <w:tab/>
      </w:r>
      <w:r w:rsidRPr="000A4B36">
        <w:rPr>
          <w:sz w:val="22"/>
          <w:szCs w:val="22"/>
        </w:rPr>
        <w:tab/>
      </w:r>
      <w:r w:rsidRPr="000A4B36">
        <w:rPr>
          <w:sz w:val="22"/>
          <w:szCs w:val="22"/>
        </w:rPr>
        <w:tab/>
      </w:r>
      <w:r w:rsidRPr="000A4B36">
        <w:rPr>
          <w:sz w:val="22"/>
          <w:szCs w:val="22"/>
        </w:rPr>
        <w:tab/>
      </w:r>
      <w:r w:rsidR="00103C3E">
        <w:rPr>
          <w:b/>
          <w:sz w:val="22"/>
          <w:szCs w:val="22"/>
        </w:rPr>
        <w:t>Informal Objection</w:t>
      </w:r>
    </w:p>
    <w:bookmarkEnd w:id="0"/>
    <w:p w:rsidR="00340FD6" w:rsidP="00340FD6" w14:paraId="58C3E8E6" w14:textId="77777777">
      <w:pPr>
        <w:rPr>
          <w:sz w:val="22"/>
          <w:szCs w:val="22"/>
        </w:rPr>
      </w:pPr>
    </w:p>
    <w:p w:rsidR="00340FD6" w:rsidRPr="00A62ED5" w:rsidP="00340FD6" w14:paraId="6ECA98CB" w14:textId="6C107ED2">
      <w:pPr>
        <w:rPr>
          <w:sz w:val="22"/>
          <w:szCs w:val="22"/>
        </w:rPr>
      </w:pPr>
      <w:r w:rsidRPr="00A62ED5">
        <w:rPr>
          <w:sz w:val="22"/>
          <w:szCs w:val="22"/>
        </w:rPr>
        <w:t xml:space="preserve">Dear </w:t>
      </w:r>
      <w:r w:rsidR="000F06CE">
        <w:rPr>
          <w:sz w:val="22"/>
          <w:szCs w:val="22"/>
        </w:rPr>
        <w:t>Mr. M</w:t>
      </w:r>
      <w:r w:rsidR="00C175F1">
        <w:rPr>
          <w:sz w:val="22"/>
          <w:szCs w:val="22"/>
        </w:rPr>
        <w:t>ichael</w:t>
      </w:r>
      <w:r w:rsidRPr="00A62ED5" w:rsidR="00103C3E">
        <w:rPr>
          <w:sz w:val="22"/>
          <w:szCs w:val="22"/>
        </w:rPr>
        <w:t xml:space="preserve"> and Mr. White</w:t>
      </w:r>
      <w:r w:rsidRPr="00A62ED5">
        <w:rPr>
          <w:sz w:val="22"/>
          <w:szCs w:val="22"/>
        </w:rPr>
        <w:t>:</w:t>
      </w:r>
    </w:p>
    <w:p w:rsidR="00340FD6" w:rsidRPr="00A62ED5" w14:paraId="2ACE0749" w14:textId="636B4629">
      <w:pPr>
        <w:rPr>
          <w:sz w:val="22"/>
          <w:szCs w:val="22"/>
        </w:rPr>
      </w:pPr>
    </w:p>
    <w:p w:rsidR="00A62ED5" w:rsidP="00903DC2" w14:paraId="1C1BE78A" w14:textId="40C12FDD">
      <w:pPr>
        <w:pStyle w:val="ParaNum"/>
        <w:widowControl/>
        <w:numPr>
          <w:ilvl w:val="0"/>
          <w:numId w:val="0"/>
        </w:numPr>
        <w:ind w:firstLine="720"/>
      </w:pPr>
      <w:r w:rsidRPr="00A62ED5">
        <w:t xml:space="preserve">We have before us </w:t>
      </w:r>
      <w:r w:rsidRPr="00A62ED5" w:rsidR="004A6189">
        <w:t xml:space="preserve">two applications filed by </w:t>
      </w:r>
      <w:r w:rsidR="00897F19">
        <w:t>Idaho State Board of Education</w:t>
      </w:r>
      <w:r w:rsidRPr="00A62ED5" w:rsidR="004A6189">
        <w:t xml:space="preserve"> (</w:t>
      </w:r>
      <w:r w:rsidR="00897F19">
        <w:t>ISBE</w:t>
      </w:r>
      <w:r w:rsidRPr="00A62ED5" w:rsidR="004A6189">
        <w:t>)</w:t>
      </w:r>
      <w:r w:rsidRPr="00A62ED5" w:rsidR="00825180">
        <w:t>,</w:t>
      </w:r>
      <w:r w:rsidRPr="00A62ED5" w:rsidR="004A6189">
        <w:t xml:space="preserve"> </w:t>
      </w:r>
      <w:r w:rsidRPr="00A62ED5" w:rsidR="00C90A83">
        <w:t>for construction permits for</w:t>
      </w:r>
      <w:r w:rsidRPr="00A62ED5" w:rsidR="004A6189">
        <w:t xml:space="preserve"> new </w:t>
      </w:r>
      <w:r w:rsidRPr="00A62ED5" w:rsidR="00C90A83">
        <w:t>noncommercial education (NCE) FM</w:t>
      </w:r>
      <w:r w:rsidRPr="00A62ED5" w:rsidR="004A6189">
        <w:t xml:space="preserve"> stations </w:t>
      </w:r>
      <w:r w:rsidR="000F06CE">
        <w:t>at</w:t>
      </w:r>
      <w:r w:rsidRPr="00A62ED5" w:rsidR="004A6189">
        <w:t xml:space="preserve"> </w:t>
      </w:r>
      <w:r w:rsidR="008C0288">
        <w:t>Stanley</w:t>
      </w:r>
      <w:r w:rsidR="00897F19">
        <w:t>, Idaho</w:t>
      </w:r>
      <w:r w:rsidRPr="00A62ED5" w:rsidR="006528D9">
        <w:t xml:space="preserve"> (collectively, Applications)</w:t>
      </w:r>
      <w:r w:rsidRPr="00A62ED5" w:rsidR="004A6189">
        <w:t>.</w:t>
      </w:r>
      <w:r>
        <w:rPr>
          <w:rStyle w:val="FootnoteReference"/>
          <w:sz w:val="22"/>
          <w:szCs w:val="22"/>
        </w:rPr>
        <w:footnoteReference w:id="2"/>
      </w:r>
      <w:r w:rsidRPr="00A62ED5" w:rsidR="004A6189">
        <w:t xml:space="preserve">  We also have before us the Informal Objection to the</w:t>
      </w:r>
      <w:r w:rsidR="00F72A7A">
        <w:t xml:space="preserve"> </w:t>
      </w:r>
      <w:r w:rsidRPr="00A62ED5" w:rsidR="006528D9">
        <w:t>Second</w:t>
      </w:r>
      <w:r w:rsidR="00502939">
        <w:t xml:space="preserve"> Stanley</w:t>
      </w:r>
      <w:r w:rsidRPr="00A62ED5" w:rsidR="006528D9">
        <w:t xml:space="preserve"> Application </w:t>
      </w:r>
      <w:r w:rsidRPr="00A62ED5" w:rsidR="004A6189">
        <w:t xml:space="preserve">filed by </w:t>
      </w:r>
      <w:r w:rsidRPr="00A62ED5" w:rsidR="00C90A83">
        <w:t>Triangle</w:t>
      </w:r>
      <w:r w:rsidRPr="00A62ED5" w:rsidR="004A6189">
        <w:t xml:space="preserve"> </w:t>
      </w:r>
      <w:r w:rsidRPr="00A62ED5" w:rsidR="006528D9">
        <w:t>Access Broadcasting, Inc. (Triangle).</w:t>
      </w:r>
      <w:r>
        <w:rPr>
          <w:rStyle w:val="FootnoteReference"/>
          <w:sz w:val="22"/>
          <w:szCs w:val="22"/>
        </w:rPr>
        <w:footnoteReference w:id="3"/>
      </w:r>
      <w:r w:rsidRPr="00A62ED5" w:rsidR="006528D9">
        <w:t xml:space="preserve">  For the reasons set forth below, we deny the Objection and grant both Applications.</w:t>
      </w:r>
    </w:p>
    <w:p w:rsidR="00A62ED5" w:rsidRPr="00A62ED5" w:rsidP="00682D7D" w14:paraId="60C3725A" w14:textId="6E7707D5">
      <w:pPr>
        <w:pStyle w:val="ParaNum"/>
        <w:widowControl/>
        <w:numPr>
          <w:ilvl w:val="0"/>
          <w:numId w:val="0"/>
        </w:numPr>
        <w:ind w:firstLine="720"/>
      </w:pPr>
      <w:r w:rsidRPr="00A62ED5">
        <w:rPr>
          <w:i/>
          <w:iCs/>
        </w:rPr>
        <w:t>Background</w:t>
      </w:r>
      <w:r w:rsidRPr="00A62ED5">
        <w:t>.</w:t>
      </w:r>
      <w:r w:rsidRPr="00A62ED5" w:rsidR="00340FD6">
        <w:t xml:space="preserve">  </w:t>
      </w:r>
      <w:r w:rsidR="00897F19">
        <w:t>ISBE</w:t>
      </w:r>
      <w:r w:rsidRPr="00A62ED5" w:rsidR="004A6189">
        <w:t xml:space="preserve"> filed </w:t>
      </w:r>
      <w:r w:rsidRPr="00A62ED5" w:rsidR="006528D9">
        <w:t>the Applications during the 2021 NCE Filing Window</w:t>
      </w:r>
      <w:r w:rsidR="00AE0AC6">
        <w:t xml:space="preserve">, </w:t>
      </w:r>
      <w:r w:rsidR="00F80C6C">
        <w:t xml:space="preserve">and </w:t>
      </w:r>
      <w:r w:rsidR="00AE0AC6">
        <w:t xml:space="preserve">both identified </w:t>
      </w:r>
      <w:r w:rsidR="00E858DD">
        <w:t>Stanley</w:t>
      </w:r>
      <w:r w:rsidR="00897F19">
        <w:t>, Idaho</w:t>
      </w:r>
      <w:r w:rsidR="000F06CE">
        <w:t>,</w:t>
      </w:r>
      <w:r w:rsidR="00AE0AC6">
        <w:t xml:space="preserve"> as the community of license.</w:t>
      </w:r>
      <w:r w:rsidRPr="00A62ED5" w:rsidR="006528D9">
        <w:t xml:space="preserve">  </w:t>
      </w:r>
      <w:r w:rsidRPr="00A62ED5" w:rsidR="004A6189">
        <w:t xml:space="preserve">On December </w:t>
      </w:r>
      <w:r w:rsidR="00F60327">
        <w:t>6</w:t>
      </w:r>
      <w:r w:rsidRPr="00A62ED5" w:rsidR="004A6189">
        <w:t xml:space="preserve">, 2021, Triangle filed </w:t>
      </w:r>
      <w:r w:rsidRPr="00A62ED5" w:rsidR="006528D9">
        <w:t xml:space="preserve">the Objection seeking dismissal of the </w:t>
      </w:r>
      <w:r w:rsidR="00AE0AC6">
        <w:t>Second</w:t>
      </w:r>
      <w:r w:rsidRPr="00A62ED5" w:rsidR="006528D9">
        <w:t xml:space="preserve"> </w:t>
      </w:r>
      <w:r w:rsidR="00F60327">
        <w:t>Stanley</w:t>
      </w:r>
      <w:r w:rsidR="00897F19">
        <w:t xml:space="preserve"> </w:t>
      </w:r>
      <w:r w:rsidRPr="00A62ED5" w:rsidR="006528D9">
        <w:t>Application</w:t>
      </w:r>
      <w:r w:rsidRPr="00A62ED5" w:rsidR="004A6189">
        <w:t xml:space="preserve">.  Triangle argues that the latter-filed application should be dismissed on the basis of </w:t>
      </w:r>
      <w:r w:rsidRPr="00A62ED5" w:rsidR="00C31230">
        <w:t>section 73.35</w:t>
      </w:r>
      <w:r w:rsidR="00AF3A72">
        <w:t>2</w:t>
      </w:r>
      <w:r w:rsidRPr="00A62ED5" w:rsidR="00C31230">
        <w:t xml:space="preserve">0 of the Commission’s </w:t>
      </w:r>
      <w:r w:rsidR="009F4035">
        <w:t>r</w:t>
      </w:r>
      <w:r w:rsidRPr="00A62ED5" w:rsidR="00C31230">
        <w:t xml:space="preserve">ules (Rules) </w:t>
      </w:r>
      <w:r w:rsidRPr="00A62ED5" w:rsidR="004A6189">
        <w:t xml:space="preserve">because </w:t>
      </w:r>
      <w:r w:rsidRPr="00A62ED5" w:rsidR="006528D9">
        <w:t xml:space="preserve">both the First </w:t>
      </w:r>
      <w:r w:rsidR="00F60327">
        <w:t>Stanley</w:t>
      </w:r>
      <w:r w:rsidR="00CF5E53">
        <w:t xml:space="preserve"> </w:t>
      </w:r>
      <w:r w:rsidRPr="00A62ED5" w:rsidR="006528D9">
        <w:t xml:space="preserve">Application and the </w:t>
      </w:r>
      <w:r w:rsidR="00897F19">
        <w:t xml:space="preserve">Second </w:t>
      </w:r>
      <w:r w:rsidR="00F60327">
        <w:t>Stanley</w:t>
      </w:r>
      <w:r w:rsidR="00897F19">
        <w:t xml:space="preserve"> </w:t>
      </w:r>
      <w:r w:rsidRPr="00A62ED5" w:rsidR="006528D9">
        <w:t xml:space="preserve">Application </w:t>
      </w:r>
      <w:r w:rsidRPr="00A62ED5" w:rsidR="004A6189">
        <w:t>will serve the same community.</w:t>
      </w:r>
      <w:r>
        <w:rPr>
          <w:rStyle w:val="FootnoteReference"/>
          <w:sz w:val="22"/>
          <w:szCs w:val="22"/>
        </w:rPr>
        <w:footnoteReference w:id="4"/>
      </w:r>
      <w:r w:rsidRPr="00A62ED5" w:rsidR="004A6189">
        <w:t xml:space="preserve">  </w:t>
      </w:r>
      <w:r w:rsidRPr="00A62ED5" w:rsidR="006528D9">
        <w:t xml:space="preserve">Triangle </w:t>
      </w:r>
      <w:r>
        <w:t xml:space="preserve">also </w:t>
      </w:r>
      <w:r w:rsidRPr="00A62ED5" w:rsidR="00C31230">
        <w:t>argues</w:t>
      </w:r>
      <w:r w:rsidRPr="00A62ED5" w:rsidR="006528D9">
        <w:t xml:space="preserve"> that “[m]</w:t>
      </w:r>
      <w:r w:rsidRPr="00A62ED5" w:rsidR="006528D9">
        <w:t>ultiple</w:t>
      </w:r>
      <w:r w:rsidRPr="00A62ED5" w:rsidR="006528D9">
        <w:t xml:space="preserve"> applications create advantage</w:t>
      </w:r>
      <w:r w:rsidRPr="00A62ED5" w:rsidR="00B80D06">
        <w:t>s</w:t>
      </w:r>
      <w:r w:rsidRPr="00A62ED5" w:rsidR="006528D9">
        <w:t xml:space="preserve"> for applicants who have had proposal</w:t>
      </w:r>
      <w:r w:rsidRPr="00A62ED5" w:rsidR="00B80D06">
        <w:t>s</w:t>
      </w:r>
      <w:r w:rsidRPr="00A62ED5" w:rsidR="006528D9">
        <w:t xml:space="preserve"> determined to be mutually exclusive with other applications who are blocked from submitting similar alternate proposals” and “interfere with the Commission’s goals of </w:t>
      </w:r>
      <w:r w:rsidRPr="00A62ED5" w:rsidR="00C31230">
        <w:t>competition</w:t>
      </w:r>
      <w:r w:rsidRPr="00A62ED5" w:rsidR="006528D9">
        <w:t xml:space="preserve"> and diversity</w:t>
      </w:r>
      <w:r>
        <w:t>.</w:t>
      </w:r>
      <w:r w:rsidRPr="00A62ED5" w:rsidR="006528D9">
        <w:t>”</w:t>
      </w:r>
      <w:r>
        <w:rPr>
          <w:rStyle w:val="FootnoteReference"/>
          <w:sz w:val="22"/>
          <w:szCs w:val="22"/>
        </w:rPr>
        <w:footnoteReference w:id="5"/>
      </w:r>
      <w:r w:rsidRPr="00A62ED5" w:rsidR="006528D9">
        <w:t xml:space="preserve">  </w:t>
      </w:r>
      <w:r w:rsidR="008B27EB">
        <w:t>ISBE</w:t>
      </w:r>
      <w:r w:rsidRPr="00A62ED5" w:rsidR="004A6189">
        <w:t xml:space="preserve"> did not file an opposition to Triangle’s objection.</w:t>
      </w:r>
      <w:r w:rsidR="000F1312">
        <w:t xml:space="preserve">  </w:t>
      </w:r>
    </w:p>
    <w:p w:rsidR="003C7866" w:rsidRPr="00A62ED5" w:rsidP="00A62ED5" w14:paraId="57049F4B" w14:textId="7BEA2612">
      <w:pPr>
        <w:pStyle w:val="ParaNum"/>
        <w:numPr>
          <w:ilvl w:val="0"/>
          <w:numId w:val="0"/>
        </w:numPr>
        <w:ind w:firstLine="720"/>
      </w:pPr>
      <w:r w:rsidRPr="00A62ED5">
        <w:rPr>
          <w:i/>
          <w:iCs/>
        </w:rPr>
        <w:t>Discussion</w:t>
      </w:r>
      <w:r w:rsidRPr="00A62ED5">
        <w:t>.</w:t>
      </w:r>
      <w:r w:rsidRPr="00A62ED5">
        <w:rPr>
          <w:i/>
          <w:iCs/>
        </w:rPr>
        <w:t xml:space="preserve">  </w:t>
      </w:r>
      <w:r w:rsidRPr="00A62ED5">
        <w:t xml:space="preserve">Pursuant to </w:t>
      </w:r>
      <w:r w:rsidRPr="00A62ED5" w:rsidR="00C31230">
        <w:t>s</w:t>
      </w:r>
      <w:r w:rsidRPr="00A62ED5">
        <w:t>ection 309(d) of the Communications Act of 1934, as amended (Act),</w:t>
      </w:r>
      <w:r>
        <w:rPr>
          <w:rStyle w:val="FootnoteReference"/>
          <w:sz w:val="22"/>
          <w:szCs w:val="22"/>
        </w:rPr>
        <w:footnoteReference w:id="6"/>
      </w:r>
      <w:r w:rsidRPr="00A62ED5">
        <w:t xml:space="preserve"> </w:t>
      </w:r>
      <w:bookmarkStart w:id="1" w:name="SR;619"/>
      <w:bookmarkEnd w:id="1"/>
      <w:r w:rsidRPr="00A62ED5">
        <w:rPr>
          <w:rStyle w:val="searchterm"/>
          <w:szCs w:val="22"/>
        </w:rPr>
        <w:t>petitions to deny and informal objections</w:t>
      </w:r>
      <w:r w:rsidRPr="00A62ED5">
        <w:t xml:space="preserve"> must provide</w:t>
      </w:r>
      <w:r w:rsidRPr="005B2B55">
        <w:t xml:space="preserve"> properly supported allegations of fact that, if true, would establish a substantial and material question of fact that grant of the application would be </w:t>
      </w:r>
      <w:bookmarkStart w:id="2" w:name="SR;651"/>
      <w:bookmarkEnd w:id="2"/>
      <w:r w:rsidRPr="005B2B55">
        <w:rPr>
          <w:rStyle w:val="searchterm"/>
          <w:i/>
          <w:szCs w:val="22"/>
        </w:rPr>
        <w:t>prima</w:t>
      </w:r>
      <w:r w:rsidRPr="005B2B55">
        <w:rPr>
          <w:i/>
        </w:rPr>
        <w:t xml:space="preserve"> </w:t>
      </w:r>
      <w:bookmarkStart w:id="3" w:name="SR;652"/>
      <w:bookmarkEnd w:id="3"/>
      <w:r w:rsidRPr="005B2B55">
        <w:rPr>
          <w:rStyle w:val="searchterm"/>
          <w:i/>
          <w:szCs w:val="22"/>
        </w:rPr>
        <w:t>facie</w:t>
      </w:r>
      <w:r w:rsidRPr="005B2B55">
        <w:t xml:space="preserve"> inconsistent with the public interest.</w:t>
      </w:r>
      <w:r>
        <w:rPr>
          <w:rStyle w:val="FootnoteReference"/>
          <w:szCs w:val="22"/>
        </w:rPr>
        <w:footnoteReference w:id="7"/>
      </w:r>
      <w:r w:rsidRPr="005B2B55">
        <w:t xml:space="preserve">  </w:t>
      </w:r>
    </w:p>
    <w:p w:rsidR="00ED4C0E" w:rsidP="00A62ED5" w14:paraId="51D5E4DB" w14:textId="29333144">
      <w:pPr>
        <w:pStyle w:val="ParaNum"/>
        <w:numPr>
          <w:ilvl w:val="0"/>
          <w:numId w:val="0"/>
        </w:numPr>
        <w:ind w:firstLine="720"/>
      </w:pPr>
      <w:r>
        <w:t xml:space="preserve">The Commission has held that the Multiple Application Rule is not applicable to </w:t>
      </w:r>
      <w:r w:rsidR="00A62ED5">
        <w:t xml:space="preserve">applications for new </w:t>
      </w:r>
      <w:r>
        <w:t>NCE stations.</w:t>
      </w:r>
      <w:r>
        <w:rPr>
          <w:rStyle w:val="FootnoteReference"/>
          <w:szCs w:val="22"/>
        </w:rPr>
        <w:footnoteReference w:id="8"/>
      </w:r>
      <w:r>
        <w:t xml:space="preserve">  In </w:t>
      </w:r>
      <w:r>
        <w:rPr>
          <w:i/>
          <w:iCs/>
        </w:rPr>
        <w:t>Open Media</w:t>
      </w:r>
      <w:r>
        <w:t>, the Commission unambiguously stated</w:t>
      </w:r>
      <w:r w:rsidR="00C31230">
        <w:t xml:space="preserve"> that</w:t>
      </w:r>
      <w:r>
        <w:t xml:space="preserve"> “</w:t>
      </w:r>
      <w:r w:rsidR="00C31230">
        <w:t xml:space="preserve">[section] </w:t>
      </w:r>
      <w:r>
        <w:t>73.3520 is premised on there being a limit to the number of stations which may be owned by any</w:t>
      </w:r>
      <w:r w:rsidR="000B405E">
        <w:t xml:space="preserve"> </w:t>
      </w:r>
      <w:r>
        <w:t>one licensee in the same community. However, since the multiple ownership rules do not apply to NCE–FM operations, neither</w:t>
      </w:r>
      <w:r w:rsidR="000B405E">
        <w:t xml:space="preserve"> [applicant]</w:t>
      </w:r>
      <w:r>
        <w:t xml:space="preserve"> is precluded from owning and operating more than one NCE–FM facility in the market. Thus, it follows that</w:t>
      </w:r>
      <w:r w:rsidR="000B405E">
        <w:t xml:space="preserve"> </w:t>
      </w:r>
      <w:r>
        <w:t>each</w:t>
      </w:r>
      <w:r w:rsidR="000B405E">
        <w:t xml:space="preserve"> [applicant]</w:t>
      </w:r>
      <w:r>
        <w:t xml:space="preserve"> may have more than one application pending at the same time for a given market.</w:t>
      </w:r>
      <w:r w:rsidR="000B405E">
        <w:t>”</w:t>
      </w:r>
      <w:r>
        <w:rPr>
          <w:rStyle w:val="FootnoteReference"/>
        </w:rPr>
        <w:footnoteReference w:id="9"/>
      </w:r>
      <w:r w:rsidR="000B405E">
        <w:t xml:space="preserve"> </w:t>
      </w:r>
      <w:r w:rsidR="003930CF">
        <w:t xml:space="preserve"> Accordingly</w:t>
      </w:r>
      <w:r w:rsidR="000B405E">
        <w:t xml:space="preserve">, </w:t>
      </w:r>
      <w:r w:rsidR="008B27EB">
        <w:t>ISBE’s</w:t>
      </w:r>
      <w:r w:rsidR="000B405E">
        <w:t xml:space="preserve"> multiple applications for </w:t>
      </w:r>
      <w:r w:rsidR="001A0901">
        <w:t>Stanley</w:t>
      </w:r>
      <w:r w:rsidR="000B405E">
        <w:t xml:space="preserve"> do not violate the Multiple Application Rule.</w:t>
      </w:r>
    </w:p>
    <w:p w:rsidR="000B405E" w:rsidRPr="00E31DCC" w:rsidP="00A62ED5" w14:paraId="7433C935" w14:textId="5838A930">
      <w:pPr>
        <w:pStyle w:val="ParaNum"/>
        <w:numPr>
          <w:ilvl w:val="0"/>
          <w:numId w:val="0"/>
        </w:numPr>
        <w:ind w:firstLine="720"/>
      </w:pPr>
      <w:r>
        <w:t xml:space="preserve">We also reject Triangle’s argument that enforcement of the Multiple Application Rule would </w:t>
      </w:r>
      <w:r w:rsidR="00C31230">
        <w:t xml:space="preserve">be beneficial to mutually exclusive applicants and </w:t>
      </w:r>
      <w:r>
        <w:t>further the Commissions goals of competition and diversity.</w:t>
      </w:r>
      <w:r w:rsidR="00E40460">
        <w:t xml:space="preserve"> </w:t>
      </w:r>
      <w:r w:rsidR="00C31230">
        <w:t>In this situation, both Applications are singletons and not prejudicial to other applicants.  Additionally, t</w:t>
      </w:r>
      <w:r w:rsidR="00E40460">
        <w:t>he Multiple Application Rule</w:t>
      </w:r>
      <w:r w:rsidRPr="000B405E" w:rsidR="00E40460">
        <w:t xml:space="preserve"> reflects the Commission's intent to expedite its processing procedures </w:t>
      </w:r>
      <w:r w:rsidR="005C780E">
        <w:t>“</w:t>
      </w:r>
      <w:r w:rsidRPr="000B405E" w:rsidR="00E40460">
        <w:t>by avoiding the disruption of having two inconsistent applications</w:t>
      </w:r>
      <w:r w:rsidR="00E40460">
        <w:t xml:space="preserve"> </w:t>
      </w:r>
      <w:r w:rsidRPr="000B405E" w:rsidR="00E40460">
        <w:t xml:space="preserve">contemporaneously being </w:t>
      </w:r>
      <w:r w:rsidRPr="000B405E" w:rsidR="00E40460">
        <w:t>studied by the staff' when only one can be granted.</w:t>
      </w:r>
      <w:r w:rsidR="00E40460">
        <w:t>’”</w:t>
      </w:r>
      <w:r>
        <w:rPr>
          <w:rStyle w:val="FootnoteReference"/>
        </w:rPr>
        <w:footnoteReference w:id="10"/>
      </w:r>
      <w:r w:rsidR="00E40460">
        <w:t xml:space="preserve">  The Commission has never held, and Triangle cites to no authority, that the goal of this rule was to promote competition and diversity</w:t>
      </w:r>
      <w:r w:rsidR="003930CF">
        <w:t>.  T</w:t>
      </w:r>
      <w:r w:rsidR="00224447">
        <w:t>he Commission did not address the Multiple Application Rule in the rulemaking procedures adopting the current NCE comparative point system.</w:t>
      </w:r>
      <w:r>
        <w:rPr>
          <w:rStyle w:val="FootnoteReference"/>
        </w:rPr>
        <w:footnoteReference w:id="11"/>
      </w:r>
      <w:r w:rsidR="00224447">
        <w:t xml:space="preserve">  </w:t>
      </w:r>
      <w:r w:rsidR="00E40460">
        <w:t xml:space="preserve">Moreover, the Commission has implemented other policies to achieve these </w:t>
      </w:r>
      <w:r w:rsidR="00C31230">
        <w:t xml:space="preserve">important </w:t>
      </w:r>
      <w:r w:rsidR="00E40460">
        <w:t xml:space="preserve">goals, such as the adoption of a </w:t>
      </w:r>
      <w:r w:rsidR="00C31230">
        <w:t xml:space="preserve">ten </w:t>
      </w:r>
      <w:r w:rsidR="00E40460">
        <w:t xml:space="preserve">application cap for the </w:t>
      </w:r>
      <w:r w:rsidR="00E31DCC">
        <w:t xml:space="preserve">2007 and </w:t>
      </w:r>
      <w:r w:rsidR="00E40460">
        <w:t xml:space="preserve">2021 NCE </w:t>
      </w:r>
      <w:r w:rsidR="00E31DCC">
        <w:t>filing w</w:t>
      </w:r>
      <w:r w:rsidR="00E40460">
        <w:t>indow</w:t>
      </w:r>
      <w:r w:rsidR="00E31DCC">
        <w:t>s</w:t>
      </w:r>
      <w:r w:rsidR="00E40460">
        <w:t>.</w:t>
      </w:r>
      <w:r>
        <w:rPr>
          <w:rStyle w:val="FootnoteReference"/>
        </w:rPr>
        <w:footnoteReference w:id="12"/>
      </w:r>
      <w:r w:rsidR="00E31DCC">
        <w:t xml:space="preserve">  </w:t>
      </w:r>
      <w:r w:rsidR="00825180">
        <w:t xml:space="preserve">Accordingly, we deny the Objection and grant the </w:t>
      </w:r>
      <w:r w:rsidR="00224447">
        <w:t>Applications</w:t>
      </w:r>
      <w:r w:rsidR="00825180">
        <w:t>.</w:t>
      </w:r>
    </w:p>
    <w:p w:rsidR="00825180" w:rsidP="00825180" w14:paraId="57AA6E1E" w14:textId="4336E52D">
      <w:pPr>
        <w:tabs>
          <w:tab w:val="left" w:pos="0"/>
        </w:tabs>
        <w:suppressAutoHyphens/>
        <w:outlineLvl w:val="0"/>
        <w:rPr>
          <w:sz w:val="22"/>
          <w:szCs w:val="22"/>
        </w:rPr>
      </w:pPr>
      <w:r w:rsidRPr="00732A29">
        <w:rPr>
          <w:b/>
          <w:sz w:val="22"/>
          <w:szCs w:val="22"/>
        </w:rPr>
        <w:tab/>
        <w:t xml:space="preserve">Conclusion/Action.  </w:t>
      </w:r>
      <w:r w:rsidRPr="00732A29">
        <w:rPr>
          <w:sz w:val="22"/>
          <w:szCs w:val="22"/>
        </w:rPr>
        <w:t>Accordingly</w:t>
      </w:r>
      <w:r>
        <w:rPr>
          <w:sz w:val="22"/>
          <w:szCs w:val="22"/>
        </w:rPr>
        <w:t>, IT IS ORDERED that</w:t>
      </w:r>
      <w:r w:rsidRPr="00732A29">
        <w:rPr>
          <w:sz w:val="22"/>
          <w:szCs w:val="22"/>
        </w:rPr>
        <w:t xml:space="preserve"> the Informal Objection filed on December </w:t>
      </w:r>
      <w:r w:rsidR="001A0901">
        <w:rPr>
          <w:sz w:val="22"/>
          <w:szCs w:val="22"/>
        </w:rPr>
        <w:t>6</w:t>
      </w:r>
      <w:r w:rsidRPr="00732A29">
        <w:rPr>
          <w:sz w:val="22"/>
          <w:szCs w:val="22"/>
        </w:rPr>
        <w:t>, 20</w:t>
      </w:r>
      <w:r>
        <w:rPr>
          <w:sz w:val="22"/>
          <w:szCs w:val="22"/>
        </w:rPr>
        <w:t>21</w:t>
      </w:r>
      <w:r w:rsidRPr="00732A29">
        <w:rPr>
          <w:sz w:val="22"/>
          <w:szCs w:val="22"/>
        </w:rPr>
        <w:t xml:space="preserve">, by </w:t>
      </w:r>
      <w:r>
        <w:rPr>
          <w:sz w:val="22"/>
          <w:szCs w:val="22"/>
        </w:rPr>
        <w:t>Triangle Access Broadcasting, Inc.,</w:t>
      </w:r>
      <w:r w:rsidRPr="00732A29">
        <w:rPr>
          <w:sz w:val="22"/>
          <w:szCs w:val="22"/>
        </w:rPr>
        <w:t xml:space="preserve"> IS </w:t>
      </w:r>
      <w:r w:rsidR="00903DC2">
        <w:rPr>
          <w:sz w:val="22"/>
          <w:szCs w:val="22"/>
        </w:rPr>
        <w:t xml:space="preserve">DISMISSED to the extent indicated above an IS OTHERWISE </w:t>
      </w:r>
      <w:r w:rsidRPr="00732A29">
        <w:rPr>
          <w:sz w:val="22"/>
          <w:szCs w:val="22"/>
        </w:rPr>
        <w:t>DENIED</w:t>
      </w:r>
      <w:r>
        <w:rPr>
          <w:sz w:val="22"/>
          <w:szCs w:val="22"/>
        </w:rPr>
        <w:t>.</w:t>
      </w:r>
    </w:p>
    <w:p w:rsidR="00825180" w:rsidP="00825180" w14:paraId="404F66A4" w14:textId="77777777">
      <w:pPr>
        <w:tabs>
          <w:tab w:val="left" w:pos="0"/>
        </w:tabs>
        <w:suppressAutoHyphens/>
        <w:outlineLvl w:val="0"/>
        <w:rPr>
          <w:sz w:val="22"/>
          <w:szCs w:val="22"/>
        </w:rPr>
      </w:pPr>
    </w:p>
    <w:p w:rsidR="00177975" w:rsidP="00177975" w14:paraId="7FEEFC80" w14:textId="75889F57">
      <w:pPr>
        <w:ind w:firstLine="720"/>
        <w:rPr>
          <w:sz w:val="22"/>
          <w:szCs w:val="22"/>
        </w:rPr>
      </w:pPr>
      <w:r w:rsidRPr="00732A29">
        <w:rPr>
          <w:sz w:val="22"/>
          <w:szCs w:val="22"/>
        </w:rPr>
        <w:t>IT IS FURTHER ORDERED that the application</w:t>
      </w:r>
      <w:r>
        <w:rPr>
          <w:sz w:val="22"/>
          <w:szCs w:val="22"/>
        </w:rPr>
        <w:t>s</w:t>
      </w:r>
      <w:r w:rsidRPr="00732A29">
        <w:rPr>
          <w:sz w:val="22"/>
          <w:szCs w:val="22"/>
        </w:rPr>
        <w:t xml:space="preserve"> </w:t>
      </w:r>
      <w:r>
        <w:rPr>
          <w:sz w:val="22"/>
          <w:szCs w:val="22"/>
        </w:rPr>
        <w:t>of Idaho State Board of Education</w:t>
      </w:r>
      <w:r w:rsidRPr="00DF4E1B">
        <w:rPr>
          <w:sz w:val="22"/>
          <w:szCs w:val="22"/>
        </w:rPr>
        <w:t xml:space="preserve"> </w:t>
      </w:r>
      <w:r>
        <w:rPr>
          <w:sz w:val="22"/>
          <w:szCs w:val="22"/>
        </w:rPr>
        <w:t>for</w:t>
      </w:r>
      <w:r w:rsidRPr="00DF4E1B">
        <w:rPr>
          <w:sz w:val="22"/>
          <w:szCs w:val="22"/>
        </w:rPr>
        <w:t xml:space="preserve"> construction perm</w:t>
      </w:r>
      <w:r>
        <w:rPr>
          <w:sz w:val="22"/>
          <w:szCs w:val="22"/>
        </w:rPr>
        <w:t xml:space="preserve">its for new noncommercial educational FM stations at </w:t>
      </w:r>
      <w:r w:rsidR="00C468E0">
        <w:rPr>
          <w:sz w:val="22"/>
          <w:szCs w:val="22"/>
        </w:rPr>
        <w:t>Stanley</w:t>
      </w:r>
      <w:r>
        <w:rPr>
          <w:sz w:val="22"/>
          <w:szCs w:val="22"/>
        </w:rPr>
        <w:t>, Idaho (File No</w:t>
      </w:r>
      <w:r w:rsidR="000674C2">
        <w:rPr>
          <w:sz w:val="22"/>
          <w:szCs w:val="22"/>
        </w:rPr>
        <w:t>s</w:t>
      </w:r>
      <w:r>
        <w:rPr>
          <w:sz w:val="22"/>
          <w:szCs w:val="22"/>
        </w:rPr>
        <w:t>. 0000166</w:t>
      </w:r>
      <w:r w:rsidR="001A0901">
        <w:rPr>
          <w:sz w:val="22"/>
          <w:szCs w:val="22"/>
        </w:rPr>
        <w:t>875</w:t>
      </w:r>
      <w:r w:rsidR="000674C2">
        <w:rPr>
          <w:sz w:val="22"/>
          <w:szCs w:val="22"/>
        </w:rPr>
        <w:t xml:space="preserve"> and</w:t>
      </w:r>
      <w:r>
        <w:rPr>
          <w:sz w:val="22"/>
          <w:szCs w:val="22"/>
        </w:rPr>
        <w:t xml:space="preserve"> 0000166</w:t>
      </w:r>
      <w:r w:rsidR="001A0901">
        <w:rPr>
          <w:sz w:val="22"/>
          <w:szCs w:val="22"/>
        </w:rPr>
        <w:t>882</w:t>
      </w:r>
      <w:r>
        <w:rPr>
          <w:sz w:val="22"/>
          <w:szCs w:val="22"/>
        </w:rPr>
        <w:t>), ARE</w:t>
      </w:r>
      <w:r w:rsidRPr="00732A29">
        <w:rPr>
          <w:sz w:val="22"/>
          <w:szCs w:val="22"/>
        </w:rPr>
        <w:t xml:space="preserve"> GRANTED.</w:t>
      </w:r>
    </w:p>
    <w:p w:rsidR="00825180" w:rsidP="00825180" w14:paraId="74E94C15" w14:textId="3518BB50">
      <w:pPr>
        <w:ind w:firstLine="720"/>
        <w:rPr>
          <w:sz w:val="22"/>
          <w:szCs w:val="22"/>
        </w:rPr>
      </w:pPr>
    </w:p>
    <w:p w:rsidR="00825180" w:rsidRPr="006248EE" w:rsidP="00825180" w14:paraId="1A5C01A1" w14:textId="796D36F9">
      <w:pPr>
        <w:keepNext/>
        <w:keepLines/>
        <w:tabs>
          <w:tab w:val="left" w:pos="-1440"/>
          <w:tab w:val="left" w:pos="-720"/>
          <w:tab w:val="left" w:pos="5040"/>
          <w:tab w:val="left" w:pos="5760"/>
          <w:tab w:val="right" w:pos="9360"/>
        </w:tabs>
        <w:suppressAutoHyphens/>
        <w:rPr>
          <w:sz w:val="22"/>
          <w:szCs w:val="22"/>
        </w:rPr>
      </w:pPr>
      <w:bookmarkStart w:id="4" w:name="_Hlk77597583"/>
      <w:r>
        <w:rPr>
          <w:sz w:val="22"/>
          <w:szCs w:val="22"/>
        </w:rPr>
        <w:tab/>
      </w:r>
      <w:r w:rsidRPr="006248EE">
        <w:rPr>
          <w:sz w:val="22"/>
          <w:szCs w:val="22"/>
        </w:rPr>
        <w:t>Sincerely,</w:t>
      </w:r>
    </w:p>
    <w:p w:rsidR="00825180" w:rsidRPr="006248EE" w:rsidP="00825180" w14:paraId="56B72B1E" w14:textId="77777777">
      <w:pPr>
        <w:keepNext/>
        <w:keepLines/>
        <w:tabs>
          <w:tab w:val="left" w:pos="-1440"/>
          <w:tab w:val="left" w:pos="-720"/>
          <w:tab w:val="left" w:pos="5040"/>
          <w:tab w:val="left" w:pos="5760"/>
          <w:tab w:val="right" w:pos="9360"/>
        </w:tabs>
        <w:suppressAutoHyphens/>
        <w:rPr>
          <w:sz w:val="22"/>
          <w:szCs w:val="22"/>
        </w:rPr>
      </w:pPr>
    </w:p>
    <w:p w:rsidR="00825180" w:rsidP="00825180" w14:paraId="4BFE0F7D" w14:textId="77777777">
      <w:pPr>
        <w:keepNext/>
        <w:keepLines/>
        <w:tabs>
          <w:tab w:val="left" w:pos="-1440"/>
          <w:tab w:val="left" w:pos="-720"/>
          <w:tab w:val="left" w:pos="5040"/>
          <w:tab w:val="left" w:pos="5760"/>
          <w:tab w:val="right" w:pos="9360"/>
        </w:tabs>
        <w:suppressAutoHyphens/>
        <w:rPr>
          <w:sz w:val="22"/>
          <w:szCs w:val="22"/>
        </w:rPr>
      </w:pPr>
    </w:p>
    <w:p w:rsidR="00825180" w:rsidRPr="006248EE" w:rsidP="00825180" w14:paraId="6CA51655" w14:textId="77777777">
      <w:pPr>
        <w:keepNext/>
        <w:keepLines/>
        <w:tabs>
          <w:tab w:val="left" w:pos="-1440"/>
          <w:tab w:val="left" w:pos="-720"/>
          <w:tab w:val="left" w:pos="5040"/>
          <w:tab w:val="left" w:pos="5760"/>
          <w:tab w:val="right" w:pos="9360"/>
        </w:tabs>
        <w:suppressAutoHyphens/>
        <w:rPr>
          <w:sz w:val="22"/>
          <w:szCs w:val="22"/>
        </w:rPr>
      </w:pPr>
    </w:p>
    <w:p w:rsidR="00825180" w:rsidRPr="006248EE" w:rsidP="00825180" w14:paraId="1456B89D" w14:textId="77777777">
      <w:pPr>
        <w:keepNext/>
        <w:keepLines/>
        <w:tabs>
          <w:tab w:val="left" w:pos="-1440"/>
          <w:tab w:val="left" w:pos="-720"/>
          <w:tab w:val="left" w:pos="5040"/>
          <w:tab w:val="left" w:pos="5760"/>
          <w:tab w:val="right" w:pos="9360"/>
        </w:tabs>
        <w:suppressAutoHyphens/>
        <w:rPr>
          <w:sz w:val="22"/>
          <w:szCs w:val="22"/>
        </w:rPr>
      </w:pPr>
      <w:r w:rsidRPr="006248EE">
        <w:rPr>
          <w:sz w:val="22"/>
          <w:szCs w:val="22"/>
        </w:rPr>
        <w:tab/>
        <w:t xml:space="preserve">Albert Shuldiner  </w:t>
      </w:r>
    </w:p>
    <w:p w:rsidR="00825180" w:rsidRPr="006248EE" w:rsidP="00825180" w14:paraId="5DF50AB8" w14:textId="77777777">
      <w:pPr>
        <w:keepNext/>
        <w:keepLines/>
        <w:tabs>
          <w:tab w:val="left" w:pos="-1440"/>
          <w:tab w:val="left" w:pos="-720"/>
          <w:tab w:val="left" w:pos="5040"/>
          <w:tab w:val="left" w:pos="5760"/>
          <w:tab w:val="right" w:pos="9360"/>
        </w:tabs>
        <w:suppressAutoHyphens/>
        <w:rPr>
          <w:sz w:val="22"/>
          <w:szCs w:val="22"/>
        </w:rPr>
      </w:pPr>
      <w:r w:rsidRPr="006248EE">
        <w:rPr>
          <w:sz w:val="22"/>
          <w:szCs w:val="22"/>
        </w:rPr>
        <w:tab/>
        <w:t>Chief, Audio Division</w:t>
      </w:r>
    </w:p>
    <w:p w:rsidR="00825180" w:rsidRPr="006248EE" w:rsidP="00825180" w14:paraId="1CA90AB7" w14:textId="77777777">
      <w:pPr>
        <w:keepNext/>
        <w:keepLines/>
        <w:tabs>
          <w:tab w:val="left" w:pos="-1440"/>
          <w:tab w:val="left" w:pos="-720"/>
          <w:tab w:val="left" w:pos="5040"/>
          <w:tab w:val="left" w:pos="5760"/>
          <w:tab w:val="right" w:pos="9360"/>
        </w:tabs>
        <w:suppressAutoHyphens/>
        <w:spacing w:after="240"/>
        <w:rPr>
          <w:sz w:val="22"/>
          <w:szCs w:val="22"/>
        </w:rPr>
      </w:pPr>
      <w:r w:rsidRPr="006248EE">
        <w:rPr>
          <w:sz w:val="22"/>
          <w:szCs w:val="22"/>
        </w:rPr>
        <w:tab/>
        <w:t>Media Bureau</w:t>
      </w:r>
    </w:p>
    <w:bookmarkEnd w:id="4"/>
    <w:p w:rsidR="00825180" w:rsidRPr="00732A29" w:rsidP="00825180" w14:paraId="10D6C54E" w14:textId="77777777">
      <w:pPr>
        <w:ind w:firstLine="720"/>
        <w:rPr>
          <w:sz w:val="22"/>
          <w:szCs w:val="22"/>
        </w:rPr>
      </w:pPr>
    </w:p>
    <w:p w:rsidR="00BE62EA" w:rsidRPr="00001EA9" w:rsidP="00BE62EA" w14:paraId="0E9E533F" w14:textId="77777777">
      <w:pPr>
        <w:widowControl w:val="0"/>
        <w:tabs>
          <w:tab w:val="left" w:pos="4320"/>
          <w:tab w:val="left" w:pos="4680"/>
          <w:tab w:val="left" w:pos="5400"/>
        </w:tabs>
        <w:rPr>
          <w:sz w:val="22"/>
          <w:szCs w:val="22"/>
        </w:rPr>
      </w:pPr>
      <w:r w:rsidRPr="00001EA9">
        <w:rPr>
          <w:sz w:val="22"/>
          <w:szCs w:val="22"/>
        </w:rPr>
        <w:t>cc (via electronic mail):</w:t>
      </w:r>
    </w:p>
    <w:p w:rsidR="00BE62EA" w:rsidRPr="00001EA9" w:rsidP="00BE62EA" w14:paraId="6AEC613D" w14:textId="77777777">
      <w:pPr>
        <w:widowControl w:val="0"/>
        <w:tabs>
          <w:tab w:val="left" w:pos="4320"/>
          <w:tab w:val="left" w:pos="4680"/>
          <w:tab w:val="left" w:pos="5400"/>
        </w:tabs>
        <w:rPr>
          <w:sz w:val="22"/>
          <w:szCs w:val="22"/>
        </w:rPr>
      </w:pPr>
    </w:p>
    <w:p w:rsidR="00BE62EA" w:rsidRPr="00AF3EF5" w:rsidP="00BE62EA" w14:paraId="095B5AB3" w14:textId="0E68E2FF">
      <w:pPr>
        <w:widowControl w:val="0"/>
        <w:tabs>
          <w:tab w:val="left" w:pos="4320"/>
          <w:tab w:val="left" w:pos="4680"/>
          <w:tab w:val="left" w:pos="5400"/>
        </w:tabs>
        <w:rPr>
          <w:sz w:val="22"/>
          <w:szCs w:val="22"/>
        </w:rPr>
      </w:pPr>
      <w:r>
        <w:rPr>
          <w:sz w:val="22"/>
          <w:szCs w:val="22"/>
        </w:rPr>
        <w:t xml:space="preserve">Ernest T. Sanchez, Esq. </w:t>
      </w:r>
      <w:r w:rsidRPr="00AF3EF5">
        <w:rPr>
          <w:sz w:val="22"/>
          <w:szCs w:val="22"/>
        </w:rPr>
        <w:t>(</w:t>
      </w:r>
      <w:r>
        <w:rPr>
          <w:sz w:val="22"/>
          <w:szCs w:val="22"/>
        </w:rPr>
        <w:t>ernestsanchez2348@gmail.com</w:t>
      </w:r>
      <w:r w:rsidRPr="00AF3EF5">
        <w:rPr>
          <w:sz w:val="22"/>
          <w:szCs w:val="22"/>
        </w:rPr>
        <w:t>)</w:t>
      </w:r>
    </w:p>
    <w:p w:rsidR="00BE62EA" w:rsidRPr="00AF3EF5" w:rsidP="00BE62EA" w14:paraId="10B32A1F" w14:textId="72B66B2E">
      <w:pPr>
        <w:widowControl w:val="0"/>
        <w:tabs>
          <w:tab w:val="left" w:pos="4320"/>
          <w:tab w:val="left" w:pos="4680"/>
          <w:tab w:val="left" w:pos="5400"/>
        </w:tabs>
        <w:rPr>
          <w:sz w:val="22"/>
          <w:szCs w:val="22"/>
        </w:rPr>
      </w:pPr>
      <w:r w:rsidRPr="00AF3EF5">
        <w:rPr>
          <w:sz w:val="22"/>
          <w:szCs w:val="22"/>
        </w:rPr>
        <w:t>(Contact R</w:t>
      </w:r>
      <w:r>
        <w:rPr>
          <w:sz w:val="22"/>
          <w:szCs w:val="22"/>
        </w:rPr>
        <w:t xml:space="preserve">epresentative for </w:t>
      </w:r>
      <w:r w:rsidR="009B6C6D">
        <w:rPr>
          <w:sz w:val="22"/>
          <w:szCs w:val="22"/>
        </w:rPr>
        <w:t>Idaho State Board of Education</w:t>
      </w:r>
      <w:r>
        <w:rPr>
          <w:sz w:val="22"/>
          <w:szCs w:val="22"/>
        </w:rPr>
        <w:t>)</w:t>
      </w:r>
    </w:p>
    <w:p w:rsidR="00ED4C0E" w:rsidRPr="00204CE3" w14:paraId="0291EF67" w14:textId="77777777">
      <w:pPr>
        <w:rPr>
          <w:sz w:val="22"/>
          <w:szCs w:val="22"/>
        </w:rPr>
      </w:pPr>
    </w:p>
    <w:sectPr>
      <w:headerReference w:type="even" r:id="rId5"/>
      <w:headerReference w:type="default" r:id="rId6"/>
      <w:footerReference w:type="even" r:id="rId7"/>
      <w:footerReference w:type="default" r:id="rId8"/>
      <w:headerReference w:type="first" r:id="rId9"/>
      <w:footerReference w:type="first" r:id="rId10"/>
      <w:pgSz w:w="12240" w:h="15840" w:code="1"/>
      <w:pgMar w:top="1987" w:right="1440" w:bottom="1440" w:left="1440"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333F1" w14:paraId="08ABAB4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333F1" w14:paraId="06ACF2F9"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333F1" w14:paraId="7722E1D9"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8C1257" w14:paraId="4A798831" w14:textId="77777777">
      <w:r>
        <w:separator/>
      </w:r>
    </w:p>
  </w:footnote>
  <w:footnote w:type="continuationSeparator" w:id="1">
    <w:p w:rsidR="008C1257" w14:paraId="1CCE4C28" w14:textId="77777777">
      <w:r>
        <w:continuationSeparator/>
      </w:r>
    </w:p>
  </w:footnote>
  <w:footnote w:id="2">
    <w:p w:rsidR="006528D9" w:rsidP="006528D9" w14:paraId="476E284C" w14:textId="5133F668">
      <w:pPr>
        <w:pStyle w:val="FootnoteText"/>
      </w:pPr>
      <w:r>
        <w:rPr>
          <w:rStyle w:val="FootnoteReference"/>
        </w:rPr>
        <w:footnoteRef/>
      </w:r>
      <w:r>
        <w:t xml:space="preserve"> File Nos. </w:t>
      </w:r>
      <w:r w:rsidR="00D55654">
        <w:t>0000</w:t>
      </w:r>
      <w:r>
        <w:t>16</w:t>
      </w:r>
      <w:r w:rsidR="00897F19">
        <w:t>6</w:t>
      </w:r>
      <w:r w:rsidR="00502939">
        <w:t>875</w:t>
      </w:r>
      <w:r>
        <w:t xml:space="preserve"> (First </w:t>
      </w:r>
      <w:r w:rsidR="00C468E0">
        <w:t>Stanley</w:t>
      </w:r>
      <w:r w:rsidR="00897F19">
        <w:t xml:space="preserve"> </w:t>
      </w:r>
      <w:r>
        <w:t xml:space="preserve">Application) and </w:t>
      </w:r>
      <w:r w:rsidR="00897F19">
        <w:t>0000</w:t>
      </w:r>
      <w:r>
        <w:t>16</w:t>
      </w:r>
      <w:r w:rsidR="00897F19">
        <w:t>6</w:t>
      </w:r>
      <w:r w:rsidR="00502939">
        <w:t>882</w:t>
      </w:r>
      <w:r w:rsidR="000674C2">
        <w:t xml:space="preserve"> </w:t>
      </w:r>
      <w:r>
        <w:t>(</w:t>
      </w:r>
      <w:r w:rsidR="00897F19">
        <w:t xml:space="preserve">Second </w:t>
      </w:r>
      <w:r w:rsidR="00C468E0">
        <w:t>Stanley</w:t>
      </w:r>
      <w:r>
        <w:t xml:space="preserve"> Application).</w:t>
      </w:r>
    </w:p>
  </w:footnote>
  <w:footnote w:id="3">
    <w:p w:rsidR="006528D9" w:rsidRPr="00E87CAF" w:rsidP="006528D9" w14:paraId="45213550" w14:textId="221DAC17">
      <w:pPr>
        <w:pStyle w:val="FootnoteText"/>
      </w:pPr>
      <w:r>
        <w:rPr>
          <w:rStyle w:val="FootnoteReference"/>
        </w:rPr>
        <w:footnoteRef/>
      </w:r>
      <w:r>
        <w:t xml:space="preserve"> </w:t>
      </w:r>
      <w:r>
        <w:t xml:space="preserve">Pleading No. </w:t>
      </w:r>
      <w:r w:rsidR="00D55654">
        <w:t>0000</w:t>
      </w:r>
      <w:r w:rsidR="00F94158">
        <w:t>176819</w:t>
      </w:r>
      <w:r w:rsidR="007B6697">
        <w:t xml:space="preserve"> </w:t>
      </w:r>
      <w:r>
        <w:t xml:space="preserve">(filed Dec. </w:t>
      </w:r>
      <w:r w:rsidR="00F94158">
        <w:t>6</w:t>
      </w:r>
      <w:r>
        <w:t xml:space="preserve">, 2021) (Objection).  Triangle also electronically filed the Objection against the </w:t>
      </w:r>
      <w:r w:rsidR="004B1633">
        <w:t xml:space="preserve">First </w:t>
      </w:r>
      <w:r w:rsidR="004424A2">
        <w:t xml:space="preserve">Stanley </w:t>
      </w:r>
      <w:r>
        <w:t xml:space="preserve">Application, even though it does not seek dismissal of </w:t>
      </w:r>
      <w:r w:rsidR="00A62ED5">
        <w:t>that application</w:t>
      </w:r>
      <w:r>
        <w:t xml:space="preserve">.  Pleading No. </w:t>
      </w:r>
      <w:r w:rsidR="00D55654">
        <w:t>0000</w:t>
      </w:r>
      <w:r w:rsidR="00F94158">
        <w:t>176818</w:t>
      </w:r>
      <w:r w:rsidR="000F06CE">
        <w:t xml:space="preserve"> </w:t>
      </w:r>
      <w:r>
        <w:t xml:space="preserve">(filed Dec. </w:t>
      </w:r>
      <w:r w:rsidR="004424A2">
        <w:t>6</w:t>
      </w:r>
      <w:r>
        <w:t>, 2021).</w:t>
      </w:r>
      <w:r w:rsidR="00E87CAF">
        <w:t xml:space="preserve">  The Objection also seeks the dismissal of two additional applications filed by ISBE, even though it was not electronically filed against those application in LMS, and the Objection does not reference them in its caption.  Objection at 2.  </w:t>
      </w:r>
      <w:r w:rsidR="00E87CAF">
        <w:rPr>
          <w:i/>
          <w:iCs/>
        </w:rPr>
        <w:t>See also</w:t>
      </w:r>
      <w:r w:rsidR="00E87CAF">
        <w:t xml:space="preserve"> File Nos</w:t>
      </w:r>
      <w:r w:rsidR="00F94158">
        <w:t>.</w:t>
      </w:r>
      <w:r w:rsidR="00E87CAF">
        <w:t xml:space="preserve"> 0000166769 (Cambridge Application) and </w:t>
      </w:r>
      <w:r w:rsidR="00E858DD">
        <w:t>0000</w:t>
      </w:r>
      <w:r w:rsidR="00E87CAF">
        <w:t xml:space="preserve">166762 (Salmon Application). </w:t>
      </w:r>
      <w:r w:rsidR="00D5126C">
        <w:t xml:space="preserve"> </w:t>
      </w:r>
      <w:r w:rsidR="00BA7CDE">
        <w:t>If a pleading is filed against multiple application</w:t>
      </w:r>
      <w:r w:rsidR="006D278E">
        <w:t>s</w:t>
      </w:r>
      <w:r w:rsidR="00BA7CDE">
        <w:t xml:space="preserve">, each application must be identified </w:t>
      </w:r>
      <w:r w:rsidR="00D5126C">
        <w:t>in LMS</w:t>
      </w:r>
      <w:r w:rsidR="00BA7CDE">
        <w:t xml:space="preserve">.  </w:t>
      </w:r>
      <w:r w:rsidR="00BA7CDE">
        <w:rPr>
          <w:i/>
          <w:iCs/>
        </w:rPr>
        <w:t>See How Do I File a Pleading or Appeal in LMS or CDBS?</w:t>
      </w:r>
      <w:r w:rsidR="00BA7CDE">
        <w:t xml:space="preserve">, </w:t>
      </w:r>
      <w:hyperlink r:id="rId1" w:history="1">
        <w:r w:rsidRPr="00E92C64" w:rsidR="00BA7CDE">
          <w:rPr>
            <w:rStyle w:val="Hyperlink"/>
          </w:rPr>
          <w:t>https://www.fcc.gov/sites/default/files/lms-how-to-file-pleadings-and-appeals.pdf</w:t>
        </w:r>
      </w:hyperlink>
      <w:r w:rsidR="00BA7CDE">
        <w:t xml:space="preserve"> </w:t>
      </w:r>
      <w:r w:rsidRPr="00D5126C" w:rsidR="00D5126C">
        <w:t>(“If filing the same pleading against multiple related applications, use the "Enter File Number" button to select additional file numbers”)</w:t>
      </w:r>
      <w:r w:rsidR="00BA7CDE">
        <w:t xml:space="preserve">; </w:t>
      </w:r>
      <w:r w:rsidR="00BA7CDE">
        <w:rPr>
          <w:i/>
          <w:iCs/>
        </w:rPr>
        <w:t xml:space="preserve">see also </w:t>
      </w:r>
      <w:r w:rsidR="00BA7CDE">
        <w:t>47 CFR</w:t>
      </w:r>
      <w:r w:rsidR="00903DC2">
        <w:t xml:space="preserve"> </w:t>
      </w:r>
      <w:r w:rsidRPr="00F26EAA" w:rsidR="00903DC2">
        <w:t>§</w:t>
      </w:r>
      <w:r w:rsidR="00BA7CDE">
        <w:t xml:space="preserve"> 0.401(a)</w:t>
      </w:r>
      <w:r w:rsidR="00903DC2">
        <w:t>(1)</w:t>
      </w:r>
      <w:r w:rsidR="00BA7CDE">
        <w:t>(iii)</w:t>
      </w:r>
      <w:r w:rsidR="00903DC2">
        <w:t xml:space="preserve"> (“</w:t>
      </w:r>
      <w:r w:rsidRPr="00903DC2" w:rsidR="00903DC2">
        <w:t>Electronic filings, where required, recommended, or permitted, must be transmitted as specified by the Commission or relevant Bureau or Office.</w:t>
      </w:r>
      <w:r w:rsidR="00903DC2">
        <w:t xml:space="preserve">”).  </w:t>
      </w:r>
      <w:r w:rsidR="00D5126C">
        <w:t xml:space="preserve">Accordingly, we dismiss the Objection to the </w:t>
      </w:r>
      <w:r w:rsidR="00BA7CDE">
        <w:t xml:space="preserve">extent it seeks dismissal of </w:t>
      </w:r>
      <w:r w:rsidR="00903DC2">
        <w:t xml:space="preserve">the Cambridge Application and the Salmon Application. </w:t>
      </w:r>
      <w:r w:rsidR="00BA7CDE">
        <w:t xml:space="preserve"> </w:t>
      </w:r>
      <w:r w:rsidR="00903DC2">
        <w:t>Alternatively</w:t>
      </w:r>
      <w:r w:rsidR="00682D7D">
        <w:t xml:space="preserve">, </w:t>
      </w:r>
      <w:r w:rsidR="00BF5836">
        <w:t xml:space="preserve">we would have denied the Objection with regards to </w:t>
      </w:r>
      <w:r w:rsidR="00BA7CDE">
        <w:t xml:space="preserve">the Cambridge Application and the Salmon Application </w:t>
      </w:r>
      <w:r w:rsidR="00E858DD">
        <w:t>for the same reason we are denying it against the Second Stanley Application</w:t>
      </w:r>
      <w:r w:rsidR="00682D7D">
        <w:t>.</w:t>
      </w:r>
    </w:p>
  </w:footnote>
  <w:footnote w:id="4">
    <w:p w:rsidR="004A6189" w:rsidRPr="00FD6212" w:rsidP="004A6189" w14:paraId="765C2659" w14:textId="522D5C36">
      <w:pPr>
        <w:pStyle w:val="FootnoteText"/>
      </w:pPr>
      <w:r>
        <w:rPr>
          <w:rStyle w:val="FootnoteReference"/>
        </w:rPr>
        <w:footnoteRef/>
      </w:r>
      <w:r>
        <w:t xml:space="preserve"> </w:t>
      </w:r>
      <w:r w:rsidRPr="001D76C3">
        <w:t xml:space="preserve">Objection </w:t>
      </w:r>
      <w:r>
        <w:t>at 1-2</w:t>
      </w:r>
      <w:r w:rsidR="006528D9">
        <w:t xml:space="preserve"> (citing 47 CFR </w:t>
      </w:r>
      <w:r w:rsidRPr="00F26EAA" w:rsidR="006528D9">
        <w:t>§</w:t>
      </w:r>
      <w:r w:rsidR="006528D9">
        <w:t xml:space="preserve"> 73.3520</w:t>
      </w:r>
      <w:r w:rsidR="00A62ED5">
        <w:t xml:space="preserve"> (“</w:t>
      </w:r>
      <w:r w:rsidRPr="00A62ED5" w:rsidR="00A62ED5">
        <w:t>Where there is one application for new or additional facilities pending, no other application for new or additional facilities for a station of the same class to serve the same community may be filed by the same applicant, or successor or assignee, or on behalf of, or for the benefit of the original parties in interest. Multiple applications may not be filed simultaneously.</w:t>
      </w:r>
      <w:r w:rsidR="00A62ED5">
        <w:t>”)</w:t>
      </w:r>
      <w:r w:rsidR="00C31230">
        <w:t xml:space="preserve"> (Multiple Application Rule)</w:t>
      </w:r>
      <w:r w:rsidR="006528D9">
        <w:t>)</w:t>
      </w:r>
      <w:r>
        <w:t>.</w:t>
      </w:r>
    </w:p>
  </w:footnote>
  <w:footnote w:id="5">
    <w:p w:rsidR="006528D9" w14:paraId="7D9BD2C6" w14:textId="5A6D810F">
      <w:pPr>
        <w:pStyle w:val="FootnoteText"/>
      </w:pPr>
      <w:r>
        <w:rPr>
          <w:rStyle w:val="FootnoteReference"/>
        </w:rPr>
        <w:footnoteRef/>
      </w:r>
      <w:r>
        <w:t xml:space="preserve"> </w:t>
      </w:r>
      <w:r w:rsidR="00C31230">
        <w:t>Objection</w:t>
      </w:r>
      <w:r>
        <w:t xml:space="preserve"> at </w:t>
      </w:r>
      <w:r w:rsidR="00C31230">
        <w:t>2.</w:t>
      </w:r>
    </w:p>
  </w:footnote>
  <w:footnote w:id="6">
    <w:p w:rsidR="003C7866" w:rsidRPr="00F26EAA" w:rsidP="003C7866" w14:paraId="69AC4A2C" w14:textId="77777777">
      <w:pPr>
        <w:pStyle w:val="FootnoteText"/>
      </w:pPr>
      <w:r w:rsidRPr="00F26EAA">
        <w:rPr>
          <w:rStyle w:val="FootnoteReference"/>
        </w:rPr>
        <w:footnoteRef/>
      </w:r>
      <w:r w:rsidRPr="00F26EAA">
        <w:t xml:space="preserve"> </w:t>
      </w:r>
      <w:r w:rsidRPr="00F26EAA">
        <w:t>47 U.S.C. § 309(d).</w:t>
      </w:r>
    </w:p>
  </w:footnote>
  <w:footnote w:id="7">
    <w:p w:rsidR="003C7866" w:rsidRPr="00F26EAA" w:rsidP="003C7866" w14:paraId="11A66D3A" w14:textId="77777777">
      <w:pPr>
        <w:pStyle w:val="FootnoteText"/>
      </w:pPr>
      <w:r w:rsidRPr="00F26EAA">
        <w:rPr>
          <w:rStyle w:val="FootnoteReference"/>
        </w:rPr>
        <w:footnoteRef/>
      </w:r>
      <w:r w:rsidRPr="00F26EAA">
        <w:t xml:space="preserve"> </w:t>
      </w:r>
      <w:r w:rsidRPr="00F26EAA">
        <w:rPr>
          <w:i/>
        </w:rPr>
        <w:t>See, e.g</w:t>
      </w:r>
      <w:r w:rsidRPr="00F26EAA">
        <w:t xml:space="preserve">., </w:t>
      </w:r>
      <w:r w:rsidRPr="00F26EAA">
        <w:rPr>
          <w:i/>
        </w:rPr>
        <w:t>WWOR-TV, Inc</w:t>
      </w:r>
      <w:r w:rsidRPr="00F26EAA">
        <w:t xml:space="preserve">., Memorandum Opinion and Order, 6 FCC </w:t>
      </w:r>
      <w:r w:rsidRPr="00F26EAA">
        <w:t>Rcd</w:t>
      </w:r>
      <w:r w:rsidRPr="00F26EAA">
        <w:t xml:space="preserve"> 193, 197 n.10 (1990), </w:t>
      </w:r>
      <w:r w:rsidRPr="00F26EAA">
        <w:rPr>
          <w:i/>
        </w:rPr>
        <w:t>aff'd sub nom. Garden State Broad. L.P. v. FCC</w:t>
      </w:r>
      <w:r w:rsidRPr="00F26EAA">
        <w:t xml:space="preserve">, 996 F. 2d 386 (D.C. Cir. 1993), </w:t>
      </w:r>
      <w:r w:rsidRPr="00F26EAA">
        <w:rPr>
          <w:i/>
        </w:rPr>
        <w:t>rehearing denied</w:t>
      </w:r>
      <w:r w:rsidRPr="00F26EAA">
        <w:t xml:space="preserve"> (Sep. 10, 1993); </w:t>
      </w:r>
      <w:r w:rsidRPr="00F26EAA">
        <w:rPr>
          <w:i/>
          <w:iCs/>
        </w:rPr>
        <w:t>Gencom</w:t>
      </w:r>
      <w:r w:rsidRPr="00F26EAA">
        <w:rPr>
          <w:i/>
          <w:iCs/>
        </w:rPr>
        <w:t>, Inc. v. FCC</w:t>
      </w:r>
      <w:r w:rsidRPr="00F26EAA">
        <w:t xml:space="preserve">, 832 F.2d 171, 181 (D.C. Cir. 1987); </w:t>
      </w:r>
      <w:r w:rsidRPr="00F26EAA">
        <w:rPr>
          <w:i/>
        </w:rPr>
        <w:t>Area Christian Television, Inc</w:t>
      </w:r>
      <w:r w:rsidRPr="00F26EAA">
        <w:t xml:space="preserve">., Memorandum Opinion and Order, 60 RR 2d 862, 864, para. 6 (1986) (petitions to deny and informal objections must contain adequate and specific factual allegations sufficient to warrant the relief requested). </w:t>
      </w:r>
    </w:p>
  </w:footnote>
  <w:footnote w:id="8">
    <w:p w:rsidR="003C7866" w:rsidRPr="003C7866" w14:paraId="2BA1B5CA" w14:textId="0A9A0880">
      <w:pPr>
        <w:pStyle w:val="FootnoteText"/>
      </w:pPr>
      <w:r>
        <w:rPr>
          <w:rStyle w:val="FootnoteReference"/>
        </w:rPr>
        <w:footnoteRef/>
      </w:r>
      <w:r>
        <w:t xml:space="preserve"> </w:t>
      </w:r>
      <w:r>
        <w:rPr>
          <w:i/>
          <w:iCs/>
        </w:rPr>
        <w:t>Open Media Corporation</w:t>
      </w:r>
      <w:r>
        <w:t xml:space="preserve">, Memorandum Opinion and Order, 8 FCC </w:t>
      </w:r>
      <w:r>
        <w:t>Rcd</w:t>
      </w:r>
      <w:r>
        <w:t xml:space="preserve"> 4070, 4073, para. 16 (1993).</w:t>
      </w:r>
    </w:p>
  </w:footnote>
  <w:footnote w:id="9">
    <w:p w:rsidR="000B405E" w:rsidRPr="000B405E" w14:paraId="421EEAA1" w14:textId="340E5548">
      <w:pPr>
        <w:pStyle w:val="FootnoteText"/>
      </w:pPr>
      <w:r>
        <w:rPr>
          <w:rStyle w:val="FootnoteReference"/>
        </w:rPr>
        <w:footnoteRef/>
      </w:r>
      <w:r>
        <w:t xml:space="preserve"> </w:t>
      </w:r>
      <w:r>
        <w:rPr>
          <w:i/>
          <w:iCs/>
        </w:rPr>
        <w:t>Id</w:t>
      </w:r>
      <w:r>
        <w:t>.</w:t>
      </w:r>
    </w:p>
  </w:footnote>
  <w:footnote w:id="10">
    <w:p w:rsidR="00E40460" w:rsidRPr="00E40460" w:rsidP="00E40460" w14:paraId="2E19C929" w14:textId="77777777">
      <w:pPr>
        <w:pStyle w:val="FootnoteText"/>
      </w:pPr>
      <w:r>
        <w:rPr>
          <w:rStyle w:val="FootnoteReference"/>
        </w:rPr>
        <w:footnoteRef/>
      </w:r>
      <w:r>
        <w:t xml:space="preserve"> </w:t>
      </w:r>
      <w:r>
        <w:rPr>
          <w:i/>
          <w:iCs/>
        </w:rPr>
        <w:t>WGBH Education Foundation</w:t>
      </w:r>
      <w:r>
        <w:t xml:space="preserve">, Letter Order, DA 22-138 at 5 (MB 2022) (citing </w:t>
      </w:r>
      <w:r w:rsidRPr="00E40460">
        <w:rPr>
          <w:i/>
          <w:iCs/>
        </w:rPr>
        <w:t>Radio Representatives, Inc.</w:t>
      </w:r>
      <w:r w:rsidRPr="00E40460">
        <w:t xml:space="preserve">, Hearing Designation Order, 5 FCC </w:t>
      </w:r>
      <w:r w:rsidRPr="00E40460">
        <w:t>Rcd</w:t>
      </w:r>
      <w:r w:rsidRPr="00E40460">
        <w:t xml:space="preserve"> 1894, 1896, para. 16 (1990)</w:t>
      </w:r>
      <w:r>
        <w:t>).</w:t>
      </w:r>
    </w:p>
  </w:footnote>
  <w:footnote w:id="11">
    <w:p w:rsidR="00224447" w:rsidRPr="00825180" w:rsidP="00224447" w14:paraId="7C0CE5DE" w14:textId="0D3F118F">
      <w:pPr>
        <w:pStyle w:val="FootnoteText"/>
      </w:pPr>
      <w:r>
        <w:rPr>
          <w:rStyle w:val="FootnoteReference"/>
        </w:rPr>
        <w:footnoteRef/>
      </w:r>
      <w:r>
        <w:t xml:space="preserve"> </w:t>
      </w:r>
      <w:r>
        <w:rPr>
          <w:i/>
          <w:iCs/>
        </w:rPr>
        <w:t xml:space="preserve">See </w:t>
      </w:r>
      <w:r w:rsidRPr="00CF6D0F">
        <w:rPr>
          <w:i/>
        </w:rPr>
        <w:t xml:space="preserve">Reexamination of the Comparative Standards for Noncommercial Educational Applicants, </w:t>
      </w:r>
      <w:r w:rsidRPr="00CF6D0F">
        <w:t xml:space="preserve">Notice of Proposed Rulemaking, 10 FCC </w:t>
      </w:r>
      <w:r w:rsidRPr="00CF6D0F">
        <w:t>Rcd</w:t>
      </w:r>
      <w:r w:rsidRPr="00CF6D0F">
        <w:t xml:space="preserve"> 2877 (1995)</w:t>
      </w:r>
      <w:r>
        <w:t xml:space="preserve">, </w:t>
      </w:r>
      <w:r w:rsidRPr="00CF6D0F">
        <w:t xml:space="preserve">Further Notice of Proposed Rulemaking, 13 FCC </w:t>
      </w:r>
      <w:r w:rsidRPr="00CF6D0F">
        <w:t>Rcd</w:t>
      </w:r>
      <w:r w:rsidRPr="00CF6D0F">
        <w:t xml:space="preserve"> 21167 (1998)</w:t>
      </w:r>
      <w:r>
        <w:t>,</w:t>
      </w:r>
      <w:r w:rsidRPr="00CF6D0F">
        <w:rPr>
          <w:i/>
        </w:rPr>
        <w:t xml:space="preserve"> </w:t>
      </w:r>
      <w:r w:rsidRPr="00CF6D0F">
        <w:t xml:space="preserve">Report and Order, 15 FCC </w:t>
      </w:r>
      <w:r w:rsidRPr="00CF6D0F">
        <w:t>Rcd</w:t>
      </w:r>
      <w:r w:rsidRPr="00CF6D0F">
        <w:t xml:space="preserve"> 7386 (2000), </w:t>
      </w:r>
      <w:r w:rsidRPr="00CF6D0F">
        <w:rPr>
          <w:i/>
        </w:rPr>
        <w:t>vacated in part on other grounds sub nom.</w:t>
      </w:r>
      <w:r w:rsidRPr="00CF6D0F">
        <w:t>,</w:t>
      </w:r>
      <w:r w:rsidRPr="00CF6D0F">
        <w:rPr>
          <w:i/>
        </w:rPr>
        <w:t xml:space="preserve"> National Public Radio v. FCC, </w:t>
      </w:r>
      <w:r w:rsidRPr="00CF6D0F">
        <w:t xml:space="preserve">254 F.3d 226 (D.C. Cir. 2001), </w:t>
      </w:r>
      <w:r w:rsidRPr="00CF6D0F">
        <w:rPr>
          <w:i/>
        </w:rPr>
        <w:t xml:space="preserve">clarified, </w:t>
      </w:r>
      <w:r w:rsidRPr="00CF6D0F">
        <w:t xml:space="preserve">Memorandum Opinion and Order, 16 FCC </w:t>
      </w:r>
      <w:r w:rsidRPr="00CF6D0F">
        <w:t>Rcd</w:t>
      </w:r>
      <w:r w:rsidRPr="00CF6D0F">
        <w:t xml:space="preserve"> 5074 (2001) (</w:t>
      </w:r>
      <w:r w:rsidRPr="00CF6D0F">
        <w:rPr>
          <w:i/>
        </w:rPr>
        <w:t>NCE MO&amp;O</w:t>
      </w:r>
      <w:r w:rsidRPr="00CF6D0F">
        <w:t xml:space="preserve">), </w:t>
      </w:r>
      <w:r w:rsidRPr="00CF6D0F">
        <w:rPr>
          <w:i/>
        </w:rPr>
        <w:t xml:space="preserve">Erratum, </w:t>
      </w:r>
      <w:r w:rsidRPr="00CF6D0F">
        <w:t xml:space="preserve">16 FCC </w:t>
      </w:r>
      <w:r w:rsidRPr="00CF6D0F">
        <w:t>Rcd</w:t>
      </w:r>
      <w:r w:rsidRPr="00CF6D0F">
        <w:t xml:space="preserve"> 10549, </w:t>
      </w:r>
      <w:r w:rsidRPr="00CF6D0F">
        <w:rPr>
          <w:i/>
        </w:rPr>
        <w:t xml:space="preserve">recon. denied, </w:t>
      </w:r>
      <w:r w:rsidRPr="00CF6D0F">
        <w:t xml:space="preserve">Memorandum Opinion and Second Order on Reconsideration, 17 FCC </w:t>
      </w:r>
      <w:r w:rsidRPr="00CF6D0F">
        <w:t>Rcd</w:t>
      </w:r>
      <w:r w:rsidRPr="00CF6D0F">
        <w:t xml:space="preserve"> 13132 (2002), </w:t>
      </w:r>
      <w:r w:rsidRPr="00CF6D0F">
        <w:rPr>
          <w:i/>
        </w:rPr>
        <w:t xml:space="preserve">aff’d sub nom., American Family </w:t>
      </w:r>
      <w:r w:rsidRPr="00CF6D0F">
        <w:rPr>
          <w:i/>
        </w:rPr>
        <w:t>Ass’n</w:t>
      </w:r>
      <w:r w:rsidRPr="00CF6D0F">
        <w:rPr>
          <w:i/>
        </w:rPr>
        <w:t xml:space="preserve"> v. FCC, </w:t>
      </w:r>
      <w:r w:rsidRPr="00CF6D0F">
        <w:t xml:space="preserve">365 F.3d 1156 (D.C. Cir. 2004), </w:t>
      </w:r>
      <w:r w:rsidRPr="00CF6D0F">
        <w:rPr>
          <w:i/>
        </w:rPr>
        <w:t>cert. denied,</w:t>
      </w:r>
      <w:r w:rsidRPr="00CF6D0F">
        <w:t xml:space="preserve"> 543 U.S. 1000 (2004)</w:t>
      </w:r>
      <w:r>
        <w:t xml:space="preserve">;  </w:t>
      </w:r>
      <w:r>
        <w:rPr>
          <w:i/>
        </w:rPr>
        <w:t>Reexamination of the Comparative Standards and Procedures for Licensing Noncommercial Educational Broadcast Stations and Low Power FM Stations</w:t>
      </w:r>
      <w:r>
        <w:t xml:space="preserve">, Notice of Proposed Rulemaking, 34 FCC </w:t>
      </w:r>
      <w:r>
        <w:t>Rcd</w:t>
      </w:r>
      <w:r>
        <w:t xml:space="preserve"> 851 (2019), Report and Order, 34 FCC </w:t>
      </w:r>
      <w:r>
        <w:t>Rcd</w:t>
      </w:r>
      <w:r>
        <w:t xml:space="preserve"> 12519 (2019). </w:t>
      </w:r>
    </w:p>
  </w:footnote>
  <w:footnote w:id="12">
    <w:p w:rsidR="00E40460" w14:paraId="7620B571" w14:textId="7B4A2887">
      <w:pPr>
        <w:pStyle w:val="FootnoteText"/>
      </w:pPr>
      <w:r>
        <w:rPr>
          <w:rStyle w:val="FootnoteReference"/>
        </w:rPr>
        <w:footnoteRef/>
      </w:r>
      <w:r>
        <w:t xml:space="preserve"> </w:t>
      </w:r>
      <w:r w:rsidR="00E31DCC">
        <w:rPr>
          <w:i/>
          <w:iCs/>
        </w:rPr>
        <w:t xml:space="preserve">FCC Adopts Limit for NCE FM New Application in October 12-October 19, 2007 </w:t>
      </w:r>
      <w:r w:rsidRPr="00E31DCC" w:rsidR="00E31DCC">
        <w:rPr>
          <w:i/>
          <w:iCs/>
        </w:rPr>
        <w:t>Window</w:t>
      </w:r>
      <w:r w:rsidR="00E31DCC">
        <w:t xml:space="preserve">, Public Notice, 22 FCC </w:t>
      </w:r>
      <w:r w:rsidR="00E31DCC">
        <w:t>Rcd</w:t>
      </w:r>
      <w:r w:rsidR="00E31DCC">
        <w:t xml:space="preserve"> 18699 (2007); </w:t>
      </w:r>
      <w:r w:rsidRPr="00E31DCC">
        <w:rPr>
          <w:i/>
          <w:iCs/>
        </w:rPr>
        <w:t>FCC</w:t>
      </w:r>
      <w:r>
        <w:rPr>
          <w:i/>
          <w:iCs/>
        </w:rPr>
        <w:t xml:space="preserve"> Adopts 10-Application Limit for NCE FM New Stations</w:t>
      </w:r>
      <w:r w:rsidR="00E31DCC">
        <w:rPr>
          <w:i/>
          <w:iCs/>
        </w:rPr>
        <w:t xml:space="preserve"> in Upcoming 2021 Filing Window</w:t>
      </w:r>
      <w:r w:rsidR="00E31DCC">
        <w:t>, MB Docket No. 2</w:t>
      </w:r>
      <w:r w:rsidR="000E79CF">
        <w:t>1</w:t>
      </w:r>
      <w:r w:rsidR="00E31DCC">
        <w:t>-343, Public Notice,</w:t>
      </w:r>
      <w:r>
        <w:rPr>
          <w:i/>
          <w:iCs/>
        </w:rPr>
        <w:t xml:space="preserve"> </w:t>
      </w:r>
      <w:r>
        <w:t xml:space="preserve">36 FCC </w:t>
      </w:r>
      <w:r>
        <w:t>Rcd</w:t>
      </w:r>
      <w:r>
        <w:t xml:space="preserve"> 7754</w:t>
      </w:r>
      <w:r w:rsidR="00E31DCC">
        <w:t xml:space="preserve"> (2021).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333F1" w14:paraId="4E6C3515"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333F1" w14:paraId="4EF38361"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B54DB" w14:paraId="61AF4D9A" w14:textId="5EE2A839">
    <w:pPr>
      <w:pStyle w:val="Header"/>
      <w:tabs>
        <w:tab w:val="clear" w:pos="4320"/>
        <w:tab w:val="clear" w:pos="8640"/>
      </w:tabs>
      <w:spacing w:before="360" w:line="228" w:lineRule="auto"/>
      <w:jc w:val="center"/>
    </w:pPr>
    <w:r>
      <w:rPr>
        <w:noProof/>
      </w:rPr>
      <w:drawing>
        <wp:anchor distT="0" distB="0" distL="114300" distR="114300" simplePos="0" relativeHeight="251658240" behindDoc="1" locked="0" layoutInCell="1" allowOverlap="1">
          <wp:simplePos x="0" y="0"/>
          <wp:positionH relativeFrom="column">
            <wp:posOffset>-403860</wp:posOffset>
          </wp:positionH>
          <wp:positionV relativeFrom="paragraph">
            <wp:posOffset>0</wp:posOffset>
          </wp:positionV>
          <wp:extent cx="752475" cy="752475"/>
          <wp:effectExtent l="0" t="0" r="0" b="0"/>
          <wp:wrapTight wrapText="bothSides">
            <wp:wrapPolygon>
              <wp:start x="6562" y="0"/>
              <wp:lineTo x="0" y="3281"/>
              <wp:lineTo x="0" y="14765"/>
              <wp:lineTo x="1094" y="18046"/>
              <wp:lineTo x="6015" y="21327"/>
              <wp:lineTo x="6562" y="21327"/>
              <wp:lineTo x="14765" y="21327"/>
              <wp:lineTo x="15311" y="21327"/>
              <wp:lineTo x="20233" y="18046"/>
              <wp:lineTo x="21327" y="14765"/>
              <wp:lineTo x="21327" y="3281"/>
              <wp:lineTo x="14765" y="0"/>
              <wp:lineTo x="6562"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752475" cy="752475"/>
                  </a:xfrm>
                  <a:prstGeom prst="rect">
                    <a:avLst/>
                  </a:prstGeom>
                  <a:noFill/>
                </pic:spPr>
              </pic:pic>
            </a:graphicData>
          </a:graphic>
          <wp14:sizeRelH relativeFrom="page">
            <wp14:pctWidth>0</wp14:pctWidth>
          </wp14:sizeRelH>
          <wp14:sizeRelV relativeFrom="page">
            <wp14:pctHeight>0</wp14:pctHeight>
          </wp14:sizeRelV>
        </wp:anchor>
      </w:drawing>
    </w:r>
    <w:r>
      <w:rPr>
        <w:rFonts w:ascii="CG Times (W1)" w:hAnsi="CG Times (W1)"/>
        <w:sz w:val="28"/>
      </w:rPr>
      <w:t>Federal Communications Commission</w:t>
    </w:r>
  </w:p>
  <w:p w:rsidR="002B54DB" w:rsidP="001333F1" w14:paraId="1D40E7D6" w14:textId="77777777">
    <w:pPr>
      <w:tabs>
        <w:tab w:val="center" w:pos="4680"/>
        <w:tab w:val="left" w:pos="8400"/>
      </w:tabs>
    </w:pPr>
    <w:r>
      <w:rPr>
        <w:rFonts w:ascii="CG Times (W1)" w:hAnsi="CG Times (W1)"/>
        <w:sz w:val="28"/>
      </w:rPr>
      <w:tab/>
    </w:r>
    <w:r>
      <w:rPr>
        <w:rFonts w:ascii="CG Times (W1)" w:hAnsi="CG Times (W1)"/>
        <w:sz w:val="28"/>
      </w:rPr>
      <w:t>Washington, D.C. 20554</w:t>
    </w:r>
    <w:r>
      <w:rPr>
        <w:rFonts w:ascii="CG Times (W1)" w:hAnsi="CG Times (W1)"/>
        <w:sz w:val="28"/>
      </w:rPr>
      <w:tab/>
    </w:r>
  </w:p>
  <w:p w:rsidR="002B54DB" w14:paraId="5E0ABCE1" w14:textId="77777777">
    <w:pPr>
      <w:pStyle w:val="Header"/>
      <w:tabs>
        <w:tab w:val="clear" w:pos="4320"/>
      </w:tabs>
      <w:jc w:val="center"/>
      <w:rPr>
        <w:sz w:val="22"/>
      </w:rPr>
    </w:pPr>
  </w:p>
  <w:p w:rsidR="002B54DB" w14:paraId="5CFCF028" w14:textId="77777777">
    <w:pPr>
      <w:pStyle w:val="Header"/>
      <w:tabs>
        <w:tab w:val="clear" w:pos="4320"/>
      </w:tabs>
      <w:jc w:val="center"/>
      <w:rPr>
        <w:sz w:val="22"/>
      </w:rPr>
    </w:pPr>
  </w:p>
  <w:p w:rsidR="002B54DB" w14:paraId="6E96285D" w14:textId="02C31465">
    <w:pPr>
      <w:pStyle w:val="Header"/>
      <w:tabs>
        <w:tab w:val="clear" w:pos="4320"/>
      </w:tabs>
      <w:jc w:val="center"/>
      <w:rPr>
        <w:sz w:val="24"/>
      </w:rPr>
    </w:pPr>
    <w:r>
      <w:rPr>
        <w:sz w:val="24"/>
      </w:rPr>
      <w:fldChar w:fldCharType="begin"/>
    </w:r>
    <w:r>
      <w:rPr>
        <w:sz w:val="24"/>
      </w:rPr>
      <w:instrText xml:space="preserve"> TIME \@ "MMMM d, yyyy" </w:instrText>
    </w:r>
    <w:r>
      <w:rPr>
        <w:sz w:val="24"/>
      </w:rPr>
      <w:fldChar w:fldCharType="separate"/>
    </w:r>
    <w:r w:rsidR="00B517F1">
      <w:rPr>
        <w:noProof/>
        <w:sz w:val="24"/>
      </w:rPr>
      <w:t>April 1, 2022</w:t>
    </w:r>
    <w:r>
      <w:rPr>
        <w:sz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linkStyles/>
  <w:defaultTabStop w:val="720"/>
  <w:displayHorizontalDrawingGridEvery w:val="0"/>
  <w:displayVerticalDrawingGridEvery w:val="0"/>
  <w:doNotUseMarginsForDrawingGridOrigin/>
  <w:noPunctuationKerning/>
  <w:characterSpacingControl w:val="doNotCompress"/>
  <w:footnotePr>
    <w:footnote w:id="0"/>
    <w:footnote w:id="1"/>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CE3"/>
    <w:rsid w:val="00001EA9"/>
    <w:rsid w:val="00003A52"/>
    <w:rsid w:val="00035EA3"/>
    <w:rsid w:val="00047C83"/>
    <w:rsid w:val="00060035"/>
    <w:rsid w:val="000674C2"/>
    <w:rsid w:val="000A4B36"/>
    <w:rsid w:val="000B405E"/>
    <w:rsid w:val="000E600C"/>
    <w:rsid w:val="000E79CF"/>
    <w:rsid w:val="000F06CE"/>
    <w:rsid w:val="000F1312"/>
    <w:rsid w:val="00103C3E"/>
    <w:rsid w:val="001333F1"/>
    <w:rsid w:val="00177975"/>
    <w:rsid w:val="001A0901"/>
    <w:rsid w:val="001D69DC"/>
    <w:rsid w:val="001D76C3"/>
    <w:rsid w:val="00204CE3"/>
    <w:rsid w:val="00224447"/>
    <w:rsid w:val="002441A8"/>
    <w:rsid w:val="002B54DB"/>
    <w:rsid w:val="003056C6"/>
    <w:rsid w:val="00340FD6"/>
    <w:rsid w:val="00356251"/>
    <w:rsid w:val="003930CF"/>
    <w:rsid w:val="003C7866"/>
    <w:rsid w:val="004424A2"/>
    <w:rsid w:val="004A6189"/>
    <w:rsid w:val="004B1633"/>
    <w:rsid w:val="004D3B53"/>
    <w:rsid w:val="00502939"/>
    <w:rsid w:val="005A22F3"/>
    <w:rsid w:val="005B2B55"/>
    <w:rsid w:val="005C780E"/>
    <w:rsid w:val="006248EE"/>
    <w:rsid w:val="006528D9"/>
    <w:rsid w:val="00682D7D"/>
    <w:rsid w:val="006D278E"/>
    <w:rsid w:val="00732A29"/>
    <w:rsid w:val="00785DCD"/>
    <w:rsid w:val="007A13DE"/>
    <w:rsid w:val="007B6697"/>
    <w:rsid w:val="008023B4"/>
    <w:rsid w:val="00825180"/>
    <w:rsid w:val="00897F19"/>
    <w:rsid w:val="008B27EB"/>
    <w:rsid w:val="008C0288"/>
    <w:rsid w:val="008C1257"/>
    <w:rsid w:val="008C27DC"/>
    <w:rsid w:val="008D3A84"/>
    <w:rsid w:val="008D5227"/>
    <w:rsid w:val="008E6A00"/>
    <w:rsid w:val="00903DC2"/>
    <w:rsid w:val="0096396C"/>
    <w:rsid w:val="009876AC"/>
    <w:rsid w:val="009B6C6D"/>
    <w:rsid w:val="009F4035"/>
    <w:rsid w:val="009F5D54"/>
    <w:rsid w:val="00A62ED5"/>
    <w:rsid w:val="00AE0121"/>
    <w:rsid w:val="00AE0AC6"/>
    <w:rsid w:val="00AE5F4E"/>
    <w:rsid w:val="00AF3A72"/>
    <w:rsid w:val="00AF3EF5"/>
    <w:rsid w:val="00B04621"/>
    <w:rsid w:val="00B21E1F"/>
    <w:rsid w:val="00B517F1"/>
    <w:rsid w:val="00B80D06"/>
    <w:rsid w:val="00BA7CDE"/>
    <w:rsid w:val="00BE62EA"/>
    <w:rsid w:val="00BF5836"/>
    <w:rsid w:val="00C175F1"/>
    <w:rsid w:val="00C31230"/>
    <w:rsid w:val="00C468E0"/>
    <w:rsid w:val="00C90A83"/>
    <w:rsid w:val="00CF5E53"/>
    <w:rsid w:val="00CF6D0F"/>
    <w:rsid w:val="00D5126C"/>
    <w:rsid w:val="00D55654"/>
    <w:rsid w:val="00DA74B0"/>
    <w:rsid w:val="00DE5D4E"/>
    <w:rsid w:val="00DF4E1B"/>
    <w:rsid w:val="00E21464"/>
    <w:rsid w:val="00E31DCC"/>
    <w:rsid w:val="00E40460"/>
    <w:rsid w:val="00E858DD"/>
    <w:rsid w:val="00E87CAF"/>
    <w:rsid w:val="00E92C64"/>
    <w:rsid w:val="00EB1EA0"/>
    <w:rsid w:val="00ED4C0E"/>
    <w:rsid w:val="00F26EAA"/>
    <w:rsid w:val="00F47080"/>
    <w:rsid w:val="00F60327"/>
    <w:rsid w:val="00F72A7A"/>
    <w:rsid w:val="00F80C6C"/>
    <w:rsid w:val="00F94158"/>
    <w:rsid w:val="00FD621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1ADFDF46"/>
  <w15:chartTrackingRefBased/>
  <w15:docId w15:val="{4C5E6930-3604-4FFF-8E55-94B34E734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B517F1"/>
  </w:style>
  <w:style w:type="character" w:default="1" w:styleId="DefaultParagraphFont">
    <w:name w:val="Default Paragraph Font"/>
    <w:semiHidden/>
    <w:rsid w:val="00B517F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517F1"/>
  </w:style>
  <w:style w:type="paragraph" w:styleId="Header">
    <w:name w:val="header"/>
    <w:basedOn w:val="Normal"/>
    <w:semiHidden/>
    <w:rsid w:val="00B517F1"/>
    <w:pPr>
      <w:tabs>
        <w:tab w:val="center" w:pos="4320"/>
        <w:tab w:val="right" w:pos="8640"/>
      </w:tabs>
    </w:pPr>
  </w:style>
  <w:style w:type="paragraph" w:styleId="Footer">
    <w:name w:val="footer"/>
    <w:basedOn w:val="Normal"/>
    <w:semiHidden/>
    <w:rsid w:val="00B517F1"/>
    <w:pPr>
      <w:tabs>
        <w:tab w:val="center" w:pos="4320"/>
        <w:tab w:val="right" w:pos="8640"/>
      </w:tabs>
    </w:pPr>
  </w:style>
  <w:style w:type="paragraph" w:customStyle="1" w:styleId="ParaNum">
    <w:name w:val="ParaNum"/>
    <w:basedOn w:val="Normal"/>
    <w:rsid w:val="00340FD6"/>
    <w:pPr>
      <w:widowControl w:val="0"/>
      <w:numPr>
        <w:numId w:val="1"/>
      </w:numPr>
      <w:tabs>
        <w:tab w:val="clear" w:pos="1080"/>
        <w:tab w:val="num" w:pos="1440"/>
      </w:tabs>
      <w:spacing w:after="120"/>
    </w:pPr>
    <w:rPr>
      <w:snapToGrid w:val="0"/>
      <w:kern w:val="28"/>
      <w:sz w:val="22"/>
    </w:rPr>
  </w:style>
  <w:style w:type="paragraph" w:styleId="FootnoteText">
    <w:name w:val="footnote text"/>
    <w:aliases w:val="Footnote Text Char Char Char,Footnote Text Char Char Char Char Char Char,Footnote Text Char1,Footnote Text Char1 Char,Footnote Text Char1 Char1 Char Char Char,Footnote Text Char2,Footnote Text Char2 Char Char Char,f"/>
    <w:link w:val="FootnoteTextChar"/>
    <w:rsid w:val="00340FD6"/>
    <w:pPr>
      <w:spacing w:after="120"/>
    </w:pPr>
  </w:style>
  <w:style w:type="character" w:customStyle="1" w:styleId="FootnoteTextChar">
    <w:name w:val="Footnote Text Char"/>
    <w:aliases w:val="Footnote Text Char Char Char Char Char Char Char1,Footnote Text Char Char Char Char1,Footnote Text Char1 Char Char1,Footnote Text Char1 Char1,Footnote Text Char1 Char1 Char Char Char Char1,Footnote Text Char2 Char Char Char Char1"/>
    <w:basedOn w:val="DefaultParagraphFont"/>
    <w:link w:val="FootnoteText"/>
    <w:rsid w:val="00340FD6"/>
  </w:style>
  <w:style w:type="character" w:styleId="FootnoteReference">
    <w:name w:val="footnote reference"/>
    <w:aliases w:val="(NECG) Footnote Reference,Appel note de bas de p,FR,Footnote Reference/,Style 12,Style 124,Style 13,Style 17,Style 3,Style 4,Style 6,fr,o"/>
    <w:rsid w:val="00340FD6"/>
    <w:rPr>
      <w:rFonts w:ascii="Times New Roman" w:hAnsi="Times New Roman"/>
      <w:dstrike w:val="0"/>
      <w:color w:val="auto"/>
      <w:sz w:val="20"/>
      <w:vertAlign w:val="superscript"/>
    </w:rPr>
  </w:style>
  <w:style w:type="character" w:customStyle="1" w:styleId="FootnoteTextChar3">
    <w:name w:val="Footnote Text Char3"/>
    <w:aliases w:val="Footnote Text Char Char,Footnote Text Char Char Char Char,Footnote Text Char Char Char Char Char Char Char,Footnote Text Char1 Char Char,Footnote Text Char1 Char1 Char Char Char Char,Footnote Text Char2 Char Char Char Char,f Char"/>
    <w:rsid w:val="003C7866"/>
    <w:rPr>
      <w:snapToGrid w:val="0"/>
      <w:lang w:val="en-US" w:eastAsia="en-US" w:bidi="ar-SA"/>
    </w:rPr>
  </w:style>
  <w:style w:type="character" w:customStyle="1" w:styleId="searchterm">
    <w:name w:val="searchterm"/>
    <w:rsid w:val="003C7866"/>
  </w:style>
  <w:style w:type="character" w:styleId="CommentReference">
    <w:name w:val="annotation reference"/>
    <w:basedOn w:val="DefaultParagraphFont"/>
    <w:uiPriority w:val="99"/>
    <w:semiHidden/>
    <w:unhideWhenUsed/>
    <w:rsid w:val="00B80D06"/>
    <w:rPr>
      <w:sz w:val="16"/>
      <w:szCs w:val="16"/>
    </w:rPr>
  </w:style>
  <w:style w:type="paragraph" w:styleId="CommentText">
    <w:name w:val="annotation text"/>
    <w:basedOn w:val="Normal"/>
    <w:link w:val="CommentTextChar"/>
    <w:uiPriority w:val="99"/>
    <w:semiHidden/>
    <w:unhideWhenUsed/>
    <w:rsid w:val="00B80D06"/>
  </w:style>
  <w:style w:type="character" w:customStyle="1" w:styleId="CommentTextChar">
    <w:name w:val="Comment Text Char"/>
    <w:basedOn w:val="DefaultParagraphFont"/>
    <w:link w:val="CommentText"/>
    <w:uiPriority w:val="99"/>
    <w:semiHidden/>
    <w:rsid w:val="00B80D06"/>
  </w:style>
  <w:style w:type="paragraph" w:styleId="CommentSubject">
    <w:name w:val="annotation subject"/>
    <w:basedOn w:val="CommentText"/>
    <w:next w:val="CommentText"/>
    <w:link w:val="CommentSubjectChar"/>
    <w:uiPriority w:val="99"/>
    <w:semiHidden/>
    <w:unhideWhenUsed/>
    <w:rsid w:val="00B80D06"/>
    <w:rPr>
      <w:b/>
      <w:bCs/>
    </w:rPr>
  </w:style>
  <w:style w:type="character" w:customStyle="1" w:styleId="CommentSubjectChar">
    <w:name w:val="Comment Subject Char"/>
    <w:basedOn w:val="CommentTextChar"/>
    <w:link w:val="CommentSubject"/>
    <w:uiPriority w:val="99"/>
    <w:semiHidden/>
    <w:rsid w:val="00B80D06"/>
    <w:rPr>
      <w:b/>
      <w:bCs/>
    </w:rPr>
  </w:style>
  <w:style w:type="paragraph" w:styleId="Revision">
    <w:name w:val="Revision"/>
    <w:hidden/>
    <w:uiPriority w:val="99"/>
    <w:semiHidden/>
    <w:rsid w:val="009F4035"/>
  </w:style>
  <w:style w:type="character" w:styleId="Hyperlink">
    <w:name w:val="Hyperlink"/>
    <w:basedOn w:val="DefaultParagraphFont"/>
    <w:uiPriority w:val="99"/>
    <w:unhideWhenUsed/>
    <w:rsid w:val="00D5126C"/>
    <w:rPr>
      <w:color w:val="0563C1" w:themeColor="hyperlink"/>
      <w:u w:val="single"/>
    </w:rPr>
  </w:style>
  <w:style w:type="character" w:customStyle="1" w:styleId="UnresolvedMention">
    <w:name w:val="Unresolved Mention"/>
    <w:basedOn w:val="DefaultParagraphFont"/>
    <w:uiPriority w:val="99"/>
    <w:semiHidden/>
    <w:unhideWhenUsed/>
    <w:rsid w:val="00D5126C"/>
    <w:rPr>
      <w:color w:val="605E5C"/>
      <w:shd w:val="clear" w:color="auto" w:fill="E1DFDD"/>
    </w:rPr>
  </w:style>
  <w:style w:type="character" w:styleId="FollowedHyperlink">
    <w:name w:val="FollowedHyperlink"/>
    <w:basedOn w:val="DefaultParagraphFont"/>
    <w:uiPriority w:val="99"/>
    <w:semiHidden/>
    <w:unhideWhenUsed/>
    <w:rsid w:val="00BA7CD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footnotes.xml.rels><?xml version="1.0" encoding="utf-8" standalone="yes"?><Relationships xmlns="http://schemas.openxmlformats.org/package/2006/relationships"><Relationship Id="rId1" Type="http://schemas.openxmlformats.org/officeDocument/2006/relationships/hyperlink" Target="https://www.fcc.gov/sites/default/files/lms-how-to-file-pleadings-and-appeals.pdf" TargetMode="External" /></Relationships>
</file>

<file path=word/_rels/header3.xml.rels><?xml version="1.0" encoding="utf-8" standalone="yes"?><Relationships xmlns="http://schemas.openxmlformats.org/package/2006/relationships"><Relationship Id="rId1"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Letter.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Letter</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