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41C4" w:rsidP="002C41C4" w14:paraId="36426D00" w14:textId="77777777">
      <w:pPr>
        <w:jc w:val="center"/>
        <w:rPr>
          <w:b/>
        </w:rPr>
      </w:pPr>
      <w:r>
        <w:rPr>
          <w:rFonts w:ascii="Times New Roman Bold" w:hAnsi="Times New Roman Bold"/>
          <w:b/>
          <w:kern w:val="0"/>
          <w:szCs w:val="22"/>
        </w:rPr>
        <w:t>Before</w:t>
      </w:r>
      <w:r>
        <w:rPr>
          <w:b/>
        </w:rPr>
        <w:t xml:space="preserve"> the</w:t>
      </w:r>
    </w:p>
    <w:p w:rsidR="002C41C4" w:rsidP="002C41C4" w14:paraId="2D5C705E" w14:textId="77777777">
      <w:pPr>
        <w:pStyle w:val="StyleBoldCentered"/>
      </w:pPr>
      <w:r>
        <w:t>F</w:t>
      </w:r>
      <w:r>
        <w:rPr>
          <w:caps w:val="0"/>
        </w:rPr>
        <w:t>ederal Communications Commission</w:t>
      </w:r>
    </w:p>
    <w:p w:rsidR="002C41C4" w:rsidP="005C521E" w14:paraId="4E4F980B" w14:textId="77777777">
      <w:pPr>
        <w:pStyle w:val="StyleBoldCentered"/>
      </w:pPr>
      <w:r>
        <w:rPr>
          <w:caps w:val="0"/>
        </w:rPr>
        <w:t>Washington, D.C. 20554</w:t>
      </w:r>
    </w:p>
    <w:p w:rsidR="002C41C4" w:rsidP="002C41C4" w14:paraId="5E88CC4A" w14:textId="77777777"/>
    <w:tbl>
      <w:tblPr>
        <w:tblW w:w="0" w:type="auto"/>
        <w:tblLayout w:type="fixed"/>
        <w:tblLook w:val="0000"/>
      </w:tblPr>
      <w:tblGrid>
        <w:gridCol w:w="4698"/>
        <w:gridCol w:w="630"/>
        <w:gridCol w:w="4248"/>
      </w:tblGrid>
      <w:tr w14:paraId="5B799DF1" w14:textId="77777777" w:rsidTr="00C5034F">
        <w:tblPrEx>
          <w:tblW w:w="0" w:type="auto"/>
          <w:tblLayout w:type="fixed"/>
          <w:tblLook w:val="0000"/>
        </w:tblPrEx>
        <w:tc>
          <w:tcPr>
            <w:tcW w:w="4698" w:type="dxa"/>
          </w:tcPr>
          <w:p w:rsidR="002C41C4" w:rsidP="00C5034F" w14:paraId="41121B1C" w14:textId="77777777">
            <w:pPr>
              <w:tabs>
                <w:tab w:val="center" w:pos="4680"/>
              </w:tabs>
              <w:suppressAutoHyphens/>
              <w:rPr>
                <w:spacing w:val="-2"/>
              </w:rPr>
            </w:pPr>
            <w:r>
              <w:rPr>
                <w:spacing w:val="-2"/>
              </w:rPr>
              <w:t>In the Matter of</w:t>
            </w:r>
          </w:p>
          <w:p w:rsidR="002C41C4" w:rsidP="00C5034F" w14:paraId="6EA6CE0C" w14:textId="77777777">
            <w:pPr>
              <w:tabs>
                <w:tab w:val="center" w:pos="4680"/>
              </w:tabs>
              <w:suppressAutoHyphens/>
              <w:rPr>
                <w:spacing w:val="-2"/>
              </w:rPr>
            </w:pPr>
          </w:p>
          <w:p w:rsidR="007803A5" w:rsidP="00C5034F" w14:paraId="1ACD1972" w14:textId="5D911C4A">
            <w:pPr>
              <w:tabs>
                <w:tab w:val="center" w:pos="4680"/>
              </w:tabs>
              <w:suppressAutoHyphens/>
              <w:rPr>
                <w:spacing w:val="-2"/>
              </w:rPr>
            </w:pPr>
            <w:r>
              <w:rPr>
                <w:spacing w:val="-2"/>
              </w:rPr>
              <w:t>Amendment of Section 73.622(</w:t>
            </w:r>
            <w:r w:rsidR="004B71F3">
              <w:rPr>
                <w:spacing w:val="-2"/>
              </w:rPr>
              <w:t>j</w:t>
            </w:r>
            <w:r>
              <w:rPr>
                <w:spacing w:val="-2"/>
              </w:rPr>
              <w:t>),</w:t>
            </w:r>
            <w:r w:rsidRPr="001D0263">
              <w:rPr>
                <w:spacing w:val="-2"/>
              </w:rPr>
              <w:t xml:space="preserve"> </w:t>
            </w:r>
            <w:r>
              <w:rPr>
                <w:spacing w:val="-2"/>
              </w:rPr>
              <w:t>Table of Allotments,</w:t>
            </w:r>
            <w:r>
              <w:t xml:space="preserve"> </w:t>
            </w:r>
            <w:r>
              <w:rPr>
                <w:spacing w:val="-2"/>
              </w:rPr>
              <w:t xml:space="preserve">Television Broadcast </w:t>
            </w:r>
          </w:p>
          <w:p w:rsidR="002C41C4" w:rsidP="00C5034F" w14:paraId="103B8A23" w14:textId="05A423F6">
            <w:pPr>
              <w:tabs>
                <w:tab w:val="center" w:pos="4680"/>
              </w:tabs>
              <w:suppressAutoHyphens/>
              <w:rPr>
                <w:spacing w:val="-2"/>
              </w:rPr>
            </w:pPr>
            <w:r>
              <w:rPr>
                <w:spacing w:val="-2"/>
              </w:rPr>
              <w:t>Stations (</w:t>
            </w:r>
            <w:r w:rsidR="00E832B6">
              <w:rPr>
                <w:spacing w:val="-2"/>
              </w:rPr>
              <w:t>Memphis</w:t>
            </w:r>
            <w:r w:rsidR="004A3F4E">
              <w:rPr>
                <w:spacing w:val="-2"/>
              </w:rPr>
              <w:t xml:space="preserve">, </w:t>
            </w:r>
            <w:r w:rsidR="00E832B6">
              <w:rPr>
                <w:spacing w:val="-2"/>
              </w:rPr>
              <w:t>Tennessee</w:t>
            </w:r>
            <w:r>
              <w:rPr>
                <w:spacing w:val="-2"/>
              </w:rPr>
              <w:t>)</w:t>
            </w:r>
          </w:p>
          <w:p w:rsidR="002C41C4" w:rsidP="00C5034F" w14:paraId="572F2A38" w14:textId="77777777">
            <w:pPr>
              <w:tabs>
                <w:tab w:val="center" w:pos="4680"/>
              </w:tabs>
              <w:suppressAutoHyphens/>
              <w:rPr>
                <w:spacing w:val="-2"/>
              </w:rPr>
            </w:pPr>
          </w:p>
        </w:tc>
        <w:tc>
          <w:tcPr>
            <w:tcW w:w="630" w:type="dxa"/>
          </w:tcPr>
          <w:p w:rsidR="002C41C4" w:rsidP="00C5034F" w14:paraId="47738773" w14:textId="77777777">
            <w:pPr>
              <w:tabs>
                <w:tab w:val="center" w:pos="4680"/>
              </w:tabs>
              <w:suppressAutoHyphens/>
              <w:rPr>
                <w:b/>
                <w:spacing w:val="-2"/>
              </w:rPr>
            </w:pPr>
            <w:r>
              <w:rPr>
                <w:b/>
                <w:spacing w:val="-2"/>
              </w:rPr>
              <w:t>)</w:t>
            </w:r>
          </w:p>
          <w:p w:rsidR="002C41C4" w:rsidP="00C5034F" w14:paraId="36203034" w14:textId="77777777">
            <w:pPr>
              <w:tabs>
                <w:tab w:val="center" w:pos="4680"/>
              </w:tabs>
              <w:suppressAutoHyphens/>
              <w:rPr>
                <w:b/>
                <w:spacing w:val="-2"/>
              </w:rPr>
            </w:pPr>
            <w:r>
              <w:rPr>
                <w:b/>
                <w:spacing w:val="-2"/>
              </w:rPr>
              <w:t>)</w:t>
            </w:r>
          </w:p>
          <w:p w:rsidR="002C41C4" w:rsidP="00C5034F" w14:paraId="0BE6042D" w14:textId="77777777">
            <w:pPr>
              <w:tabs>
                <w:tab w:val="center" w:pos="4680"/>
              </w:tabs>
              <w:suppressAutoHyphens/>
              <w:rPr>
                <w:b/>
                <w:spacing w:val="-2"/>
              </w:rPr>
            </w:pPr>
            <w:r>
              <w:rPr>
                <w:b/>
                <w:spacing w:val="-2"/>
              </w:rPr>
              <w:t>)</w:t>
            </w:r>
          </w:p>
          <w:p w:rsidR="002C41C4" w:rsidP="00C5034F" w14:paraId="123AD831" w14:textId="77777777">
            <w:pPr>
              <w:tabs>
                <w:tab w:val="center" w:pos="4680"/>
              </w:tabs>
              <w:suppressAutoHyphens/>
              <w:rPr>
                <w:b/>
                <w:spacing w:val="-2"/>
              </w:rPr>
            </w:pPr>
            <w:r>
              <w:rPr>
                <w:b/>
                <w:spacing w:val="-2"/>
              </w:rPr>
              <w:t>)</w:t>
            </w:r>
          </w:p>
          <w:p w:rsidR="002C41C4" w:rsidP="00C5034F" w14:paraId="768478DC" w14:textId="77777777">
            <w:pPr>
              <w:tabs>
                <w:tab w:val="center" w:pos="4680"/>
              </w:tabs>
              <w:suppressAutoHyphens/>
              <w:rPr>
                <w:b/>
                <w:spacing w:val="-2"/>
              </w:rPr>
            </w:pPr>
            <w:r>
              <w:rPr>
                <w:b/>
                <w:spacing w:val="-2"/>
              </w:rPr>
              <w:t>)</w:t>
            </w:r>
          </w:p>
        </w:tc>
        <w:tc>
          <w:tcPr>
            <w:tcW w:w="4248" w:type="dxa"/>
          </w:tcPr>
          <w:p w:rsidR="002C41C4" w:rsidP="00C5034F" w14:paraId="531D7E71" w14:textId="77777777">
            <w:pPr>
              <w:tabs>
                <w:tab w:val="center" w:pos="4680"/>
              </w:tabs>
              <w:suppressAutoHyphens/>
              <w:rPr>
                <w:spacing w:val="-2"/>
              </w:rPr>
            </w:pPr>
          </w:p>
          <w:p w:rsidR="002C41C4" w:rsidP="00C5034F" w14:paraId="2D888BE5" w14:textId="77777777">
            <w:pPr>
              <w:pStyle w:val="TOAHeading"/>
              <w:tabs>
                <w:tab w:val="center" w:pos="4680"/>
                <w:tab w:val="clear" w:pos="9360"/>
              </w:tabs>
              <w:rPr>
                <w:spacing w:val="-2"/>
              </w:rPr>
            </w:pPr>
          </w:p>
          <w:p w:rsidR="002C41C4" w:rsidP="00C5034F" w14:paraId="6A6B97AC" w14:textId="672429DD">
            <w:pPr>
              <w:pStyle w:val="TOAHeading"/>
              <w:tabs>
                <w:tab w:val="center" w:pos="4680"/>
              </w:tabs>
              <w:rPr>
                <w:spacing w:val="-2"/>
              </w:rPr>
            </w:pPr>
            <w:r>
              <w:rPr>
                <w:spacing w:val="-2"/>
              </w:rPr>
              <w:t>MB Docket No. 2</w:t>
            </w:r>
            <w:r w:rsidR="004B71F3">
              <w:rPr>
                <w:spacing w:val="-2"/>
              </w:rPr>
              <w:t>2</w:t>
            </w:r>
            <w:r>
              <w:rPr>
                <w:spacing w:val="-2"/>
              </w:rPr>
              <w:t>-</w:t>
            </w:r>
            <w:r w:rsidR="00DA3B20">
              <w:rPr>
                <w:spacing w:val="-2"/>
              </w:rPr>
              <w:t>146</w:t>
            </w:r>
          </w:p>
          <w:p w:rsidR="002C41C4" w:rsidP="00C5034F" w14:paraId="3CA68643" w14:textId="60FEDBAF">
            <w:pPr>
              <w:tabs>
                <w:tab w:val="center" w:pos="4680"/>
              </w:tabs>
              <w:suppressAutoHyphens/>
              <w:rPr>
                <w:spacing w:val="-2"/>
              </w:rPr>
            </w:pPr>
            <w:r>
              <w:rPr>
                <w:spacing w:val="-2"/>
              </w:rPr>
              <w:t>RM-11</w:t>
            </w:r>
            <w:r w:rsidR="00DA3B20">
              <w:rPr>
                <w:spacing w:val="-2"/>
              </w:rPr>
              <w:t>925</w:t>
            </w:r>
          </w:p>
        </w:tc>
      </w:tr>
    </w:tbl>
    <w:p w:rsidR="002C41C4" w:rsidP="002C41C4" w14:paraId="63AD0C14" w14:textId="77777777">
      <w:pPr>
        <w:pStyle w:val="StyleBoldCentered"/>
      </w:pPr>
      <w:r>
        <w:t>Notice of proposed rulemaking</w:t>
      </w:r>
    </w:p>
    <w:p w:rsidR="002C41C4" w:rsidP="002C41C4" w14:paraId="00B539D4" w14:textId="77777777">
      <w:pPr>
        <w:tabs>
          <w:tab w:val="left" w:pos="-720"/>
        </w:tabs>
        <w:suppressAutoHyphens/>
        <w:spacing w:line="227" w:lineRule="auto"/>
        <w:rPr>
          <w:spacing w:val="-2"/>
        </w:rPr>
      </w:pPr>
    </w:p>
    <w:p w:rsidR="002C41C4" w:rsidP="002C41C4" w14:paraId="43783655" w14:textId="3BA33D7B">
      <w:pPr>
        <w:tabs>
          <w:tab w:val="left" w:pos="720"/>
          <w:tab w:val="right" w:pos="9360"/>
        </w:tabs>
        <w:suppressAutoHyphens/>
        <w:spacing w:line="227" w:lineRule="auto"/>
        <w:rPr>
          <w:b/>
          <w:spacing w:val="-2"/>
        </w:rPr>
      </w:pPr>
      <w:r>
        <w:rPr>
          <w:b/>
          <w:spacing w:val="-2"/>
        </w:rPr>
        <w:t xml:space="preserve">Adopted:  </w:t>
      </w:r>
      <w:r w:rsidR="00DA3B20">
        <w:rPr>
          <w:b/>
          <w:spacing w:val="-2"/>
        </w:rPr>
        <w:t>April 5</w:t>
      </w:r>
      <w:r>
        <w:rPr>
          <w:b/>
          <w:spacing w:val="-2"/>
        </w:rPr>
        <w:t>, 202</w:t>
      </w:r>
      <w:r w:rsidR="004B71F3">
        <w:rPr>
          <w:b/>
          <w:spacing w:val="-2"/>
        </w:rPr>
        <w:t>2</w:t>
      </w:r>
      <w:r>
        <w:rPr>
          <w:b/>
          <w:spacing w:val="-2"/>
        </w:rPr>
        <w:tab/>
        <w:t xml:space="preserve">Released: </w:t>
      </w:r>
      <w:r w:rsidR="000826D1">
        <w:rPr>
          <w:b/>
          <w:spacing w:val="-2"/>
        </w:rPr>
        <w:t xml:space="preserve"> </w:t>
      </w:r>
      <w:r w:rsidR="00DA3B20">
        <w:rPr>
          <w:b/>
          <w:spacing w:val="-2"/>
        </w:rPr>
        <w:t>April 5</w:t>
      </w:r>
      <w:r w:rsidR="004B71F3">
        <w:rPr>
          <w:b/>
          <w:spacing w:val="-2"/>
        </w:rPr>
        <w:t>,</w:t>
      </w:r>
      <w:r>
        <w:rPr>
          <w:b/>
          <w:spacing w:val="-2"/>
        </w:rPr>
        <w:t xml:space="preserve"> 202</w:t>
      </w:r>
      <w:r w:rsidR="004B71F3">
        <w:rPr>
          <w:b/>
          <w:spacing w:val="-2"/>
        </w:rPr>
        <w:t>2</w:t>
      </w:r>
    </w:p>
    <w:p w:rsidR="002C41C4" w:rsidP="002C41C4" w14:paraId="75C93D2F" w14:textId="77777777">
      <w:pPr>
        <w:tabs>
          <w:tab w:val="left" w:pos="720"/>
          <w:tab w:val="right" w:pos="9360"/>
        </w:tabs>
        <w:suppressAutoHyphens/>
        <w:spacing w:line="227" w:lineRule="auto"/>
        <w:rPr>
          <w:b/>
          <w:spacing w:val="-2"/>
        </w:rPr>
      </w:pPr>
    </w:p>
    <w:p w:rsidR="002C41C4" w:rsidP="002C41C4" w14:paraId="443D255E"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78CF5333"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44B7B361" w14:textId="77777777"/>
    <w:p w:rsidR="002C41C4" w:rsidP="002C41C4" w14:paraId="566960C9" w14:textId="77777777">
      <w:pPr>
        <w:rPr>
          <w:spacing w:val="-2"/>
        </w:rPr>
      </w:pPr>
      <w:r>
        <w:t xml:space="preserve">By the </w:t>
      </w:r>
      <w:r>
        <w:rPr>
          <w:spacing w:val="-2"/>
        </w:rPr>
        <w:t>Chief, Video Division, Media Bureau:</w:t>
      </w:r>
    </w:p>
    <w:p w:rsidR="002C41C4" w:rsidP="002C41C4" w14:paraId="23B2E2FA" w14:textId="77777777">
      <w:pPr>
        <w:rPr>
          <w:spacing w:val="-2"/>
        </w:rPr>
      </w:pPr>
    </w:p>
    <w:p w:rsidR="002C41C4" w:rsidP="002C41C4" w14:paraId="20BA5023" w14:textId="77777777">
      <w:pPr>
        <w:pStyle w:val="Heading1"/>
        <w:keepNext w:val="0"/>
        <w:suppressAutoHyphens w:val="0"/>
      </w:pPr>
      <w:r>
        <w:t>Introduction</w:t>
      </w:r>
    </w:p>
    <w:p w:rsidR="002C41C4" w:rsidP="002C41C4" w14:paraId="26A114D9" w14:textId="379D12D5">
      <w:pPr>
        <w:pStyle w:val="ParaNum"/>
        <w:tabs>
          <w:tab w:val="clear" w:pos="1440"/>
        </w:tabs>
      </w:pPr>
      <w:r>
        <w:t xml:space="preserve">The Video Division, Media Bureau (Bureau), has before it a petition for rulemaking filed  by </w:t>
      </w:r>
      <w:r w:rsidR="00081CC3">
        <w:t>Gray Television Licensee</w:t>
      </w:r>
      <w:r w:rsidR="004A3F4E">
        <w:t>,</w:t>
      </w:r>
      <w:r>
        <w:t xml:space="preserve"> LLC (Petitioner), the licensee of </w:t>
      </w:r>
      <w:r w:rsidR="00E832B6">
        <w:t>WMC</w:t>
      </w:r>
      <w:r w:rsidR="006D3A52">
        <w:t>-TV</w:t>
      </w:r>
      <w:r>
        <w:t>, channel</w:t>
      </w:r>
      <w:r w:rsidR="000826D1">
        <w:t xml:space="preserve"> </w:t>
      </w:r>
      <w:r w:rsidR="00C05C39">
        <w:t>5</w:t>
      </w:r>
      <w:r>
        <w:t xml:space="preserve">, </w:t>
      </w:r>
      <w:r w:rsidR="00E832B6">
        <w:t>Memphis</w:t>
      </w:r>
      <w:r w:rsidR="004A3F4E">
        <w:t xml:space="preserve">, </w:t>
      </w:r>
      <w:r w:rsidR="00E832B6">
        <w:t>Tennessee</w:t>
      </w:r>
      <w:r w:rsidR="00DE2477">
        <w:t xml:space="preserve"> (WMC-TV or Station)</w:t>
      </w:r>
      <w:r>
        <w:t>.</w:t>
      </w:r>
      <w:r>
        <w:rPr>
          <w:rStyle w:val="FootnoteReference"/>
        </w:rPr>
        <w:footnoteReference w:id="3"/>
      </w:r>
      <w:r>
        <w:t xml:space="preserve">  The Petitioner requests the substitution of channel </w:t>
      </w:r>
      <w:r w:rsidR="00F14238">
        <w:t>30</w:t>
      </w:r>
      <w:r>
        <w:t xml:space="preserve"> for channel </w:t>
      </w:r>
      <w:r w:rsidR="00C05C39">
        <w:t>5</w:t>
      </w:r>
      <w:r>
        <w:t xml:space="preserve"> at </w:t>
      </w:r>
      <w:r w:rsidR="00E832B6">
        <w:t>Memphis</w:t>
      </w:r>
      <w:r>
        <w:t xml:space="preserve"> in the Table of Allotments.</w:t>
      </w:r>
      <w:r>
        <w:rPr>
          <w:rStyle w:val="FootnoteReference"/>
        </w:rPr>
        <w:footnoteReference w:id="4"/>
      </w:r>
      <w:r>
        <w:t xml:space="preserve"> </w:t>
      </w:r>
    </w:p>
    <w:p w:rsidR="002C41C4" w:rsidP="005C521E" w14:paraId="0CA9A346" w14:textId="77777777">
      <w:pPr>
        <w:pStyle w:val="Heading1"/>
        <w:keepNext w:val="0"/>
        <w:suppressAutoHyphens w:val="0"/>
      </w:pPr>
      <w:r>
        <w:t>Background</w:t>
      </w:r>
    </w:p>
    <w:p w:rsidR="002C41C4" w:rsidRPr="006C717D" w:rsidP="00AB1DF8" w14:paraId="62E9711F" w14:textId="1937C7CC">
      <w:pPr>
        <w:pStyle w:val="ParaNum"/>
        <w:rPr>
          <w:snapToGrid/>
          <w:szCs w:val="22"/>
        </w:rPr>
      </w:pPr>
      <w:r w:rsidRPr="006C717D">
        <w:rPr>
          <w:szCs w:val="22"/>
        </w:rPr>
        <w:t xml:space="preserve">In support, the Petitioner states that </w:t>
      </w:r>
      <w:r w:rsidRPr="006C717D" w:rsidR="000418F2">
        <w:rPr>
          <w:szCs w:val="22"/>
        </w:rPr>
        <w:t>the</w:t>
      </w:r>
      <w:r w:rsidRPr="006C717D">
        <w:rPr>
          <w:szCs w:val="22"/>
        </w:rPr>
        <w:t xml:space="preserve"> </w:t>
      </w:r>
      <w:r w:rsidRPr="006C717D" w:rsidR="00B96618">
        <w:rPr>
          <w:szCs w:val="22"/>
        </w:rPr>
        <w:t xml:space="preserve">proposed </w:t>
      </w:r>
      <w:r w:rsidRPr="006C717D">
        <w:rPr>
          <w:szCs w:val="22"/>
        </w:rPr>
        <w:t xml:space="preserve">channel substitution serves the public interest because it will resolve significant over-the-air reception problems in </w:t>
      </w:r>
      <w:r w:rsidRPr="006C717D" w:rsidR="00E832B6">
        <w:rPr>
          <w:szCs w:val="22"/>
        </w:rPr>
        <w:t>WMC</w:t>
      </w:r>
      <w:r w:rsidRPr="006C717D" w:rsidR="006D3A52">
        <w:rPr>
          <w:szCs w:val="22"/>
        </w:rPr>
        <w:t>-TV</w:t>
      </w:r>
      <w:r w:rsidRPr="006C717D">
        <w:rPr>
          <w:szCs w:val="22"/>
        </w:rPr>
        <w:t>’s existing service area.</w:t>
      </w:r>
      <w:r>
        <w:rPr>
          <w:rStyle w:val="FootnoteReference"/>
          <w:sz w:val="22"/>
          <w:szCs w:val="22"/>
        </w:rPr>
        <w:footnoteReference w:id="5"/>
      </w:r>
      <w:r w:rsidRPr="006C717D">
        <w:rPr>
          <w:szCs w:val="22"/>
        </w:rPr>
        <w:t xml:space="preserve"> </w:t>
      </w:r>
      <w:r w:rsidRPr="006C717D" w:rsidR="009C79F2">
        <w:rPr>
          <w:szCs w:val="22"/>
        </w:rPr>
        <w:t xml:space="preserve"> The Petitioner further states that </w:t>
      </w:r>
      <w:r w:rsidRPr="006C717D" w:rsidR="009C79F2">
        <w:rPr>
          <w:snapToGrid/>
          <w:kern w:val="0"/>
          <w:szCs w:val="22"/>
        </w:rPr>
        <w:t xml:space="preserve">the Commission has recognized the deleterious effects manmade noise has on the reception of </w:t>
      </w:r>
      <w:r w:rsidRPr="006C717D" w:rsidR="000418F2">
        <w:rPr>
          <w:snapToGrid/>
          <w:kern w:val="0"/>
          <w:szCs w:val="22"/>
        </w:rPr>
        <w:t xml:space="preserve">digital </w:t>
      </w:r>
      <w:r w:rsidRPr="006C717D" w:rsidR="009C79F2">
        <w:rPr>
          <w:snapToGrid/>
          <w:kern w:val="0"/>
          <w:szCs w:val="22"/>
        </w:rPr>
        <w:t xml:space="preserve">VHF signals, and that the propagation characteristics of </w:t>
      </w:r>
      <w:r w:rsidRPr="006C717D" w:rsidR="000418F2">
        <w:rPr>
          <w:snapToGrid/>
          <w:kern w:val="0"/>
          <w:szCs w:val="22"/>
        </w:rPr>
        <w:t>these</w:t>
      </w:r>
      <w:r w:rsidRPr="006C717D" w:rsidR="009C79F2">
        <w:rPr>
          <w:snapToGrid/>
          <w:kern w:val="0"/>
          <w:szCs w:val="22"/>
        </w:rPr>
        <w:t xml:space="preserve"> channels allow undesired signals and noise to be receivable at relatively farther distances</w:t>
      </w:r>
      <w:r w:rsidRPr="006C717D" w:rsidR="00BD3E19">
        <w:rPr>
          <w:snapToGrid/>
          <w:kern w:val="0"/>
          <w:szCs w:val="22"/>
        </w:rPr>
        <w:t xml:space="preserve"> compared to UHF channels</w:t>
      </w:r>
      <w:r w:rsidRPr="006C717D" w:rsidR="00D3551A">
        <w:rPr>
          <w:snapToGrid/>
          <w:kern w:val="0"/>
          <w:szCs w:val="22"/>
        </w:rPr>
        <w:t>,</w:t>
      </w:r>
      <w:r w:rsidRPr="006C717D" w:rsidR="009C79F2">
        <w:rPr>
          <w:snapToGrid/>
          <w:kern w:val="0"/>
          <w:szCs w:val="22"/>
        </w:rPr>
        <w:t xml:space="preserve"> and nearby electrical device</w:t>
      </w:r>
      <w:r w:rsidRPr="006C717D" w:rsidR="000418F2">
        <w:rPr>
          <w:snapToGrid/>
          <w:kern w:val="0"/>
          <w:szCs w:val="22"/>
        </w:rPr>
        <w:t>s</w:t>
      </w:r>
      <w:r w:rsidRPr="006C717D" w:rsidR="009C79F2">
        <w:rPr>
          <w:snapToGrid/>
          <w:kern w:val="0"/>
          <w:szCs w:val="22"/>
        </w:rPr>
        <w:t xml:space="preserve"> can cause interference.</w:t>
      </w:r>
      <w:r>
        <w:rPr>
          <w:rStyle w:val="FootnoteReference"/>
          <w:snapToGrid/>
          <w:kern w:val="0"/>
          <w:sz w:val="22"/>
          <w:szCs w:val="22"/>
        </w:rPr>
        <w:footnoteReference w:id="6"/>
      </w:r>
      <w:r w:rsidRPr="006C717D" w:rsidR="00127E32">
        <w:rPr>
          <w:snapToGrid/>
          <w:szCs w:val="22"/>
        </w:rPr>
        <w:t xml:space="preserve">  According to the Petitioner, </w:t>
      </w:r>
      <w:r w:rsidRPr="006C717D" w:rsidR="00DE2477">
        <w:rPr>
          <w:szCs w:val="22"/>
        </w:rPr>
        <w:t xml:space="preserve">an analysis using the Commission’s </w:t>
      </w:r>
      <w:r w:rsidRPr="006C717D" w:rsidR="00DE2477">
        <w:rPr>
          <w:i/>
          <w:iCs/>
          <w:szCs w:val="22"/>
        </w:rPr>
        <w:t>TVStudy</w:t>
      </w:r>
      <w:r w:rsidRPr="006C717D" w:rsidR="00DE2477">
        <w:rPr>
          <w:szCs w:val="22"/>
        </w:rPr>
        <w:t xml:space="preserve"> software tool indicates that </w:t>
      </w:r>
      <w:r w:rsidRPr="006C717D" w:rsidR="00DE2477">
        <w:rPr>
          <w:snapToGrid/>
          <w:szCs w:val="22"/>
        </w:rPr>
        <w:t xml:space="preserve">WMC-TV’s move from channel 5 to channel 30 is predicted to create an area where 4,072 persons are predicted to lose service.  </w:t>
      </w:r>
      <w:r w:rsidRPr="006C717D" w:rsidR="00DE2477">
        <w:rPr>
          <w:szCs w:val="22"/>
        </w:rPr>
        <w:t xml:space="preserve">The loss </w:t>
      </w:r>
      <w:r w:rsidRPr="006C717D" w:rsidR="00DE2477">
        <w:rPr>
          <w:szCs w:val="22"/>
        </w:rPr>
        <w:t xml:space="preserve">area, however, is </w:t>
      </w:r>
      <w:r w:rsidR="001D0263">
        <w:rPr>
          <w:szCs w:val="22"/>
        </w:rPr>
        <w:t>largely</w:t>
      </w:r>
      <w:r w:rsidRPr="006C717D" w:rsidR="001D0263">
        <w:rPr>
          <w:szCs w:val="22"/>
        </w:rPr>
        <w:t xml:space="preserve"> </w:t>
      </w:r>
      <w:r w:rsidRPr="006C717D" w:rsidR="00DE2477">
        <w:rPr>
          <w:szCs w:val="22"/>
        </w:rPr>
        <w:t>overlapped by the noise limited contours of other NBC affiliated stations</w:t>
      </w:r>
      <w:r>
        <w:rPr>
          <w:rStyle w:val="FootnoteReference"/>
          <w:sz w:val="22"/>
          <w:szCs w:val="22"/>
        </w:rPr>
        <w:footnoteReference w:id="7"/>
      </w:r>
      <w:r w:rsidRPr="006C717D" w:rsidR="000A7C1B">
        <w:rPr>
          <w:szCs w:val="22"/>
        </w:rPr>
        <w:t xml:space="preserve"> and most viewers will continue to receive service from </w:t>
      </w:r>
      <w:r w:rsidRPr="006C717D" w:rsidR="00896A8C">
        <w:rPr>
          <w:snapToGrid/>
          <w:szCs w:val="22"/>
        </w:rPr>
        <w:t>five or more stations</w:t>
      </w:r>
      <w:r w:rsidRPr="006C717D" w:rsidR="000A7C1B">
        <w:rPr>
          <w:snapToGrid/>
          <w:szCs w:val="22"/>
        </w:rPr>
        <w:t>.</w:t>
      </w:r>
      <w:r>
        <w:rPr>
          <w:rStyle w:val="FootnoteReference"/>
          <w:snapToGrid/>
          <w:sz w:val="22"/>
          <w:szCs w:val="22"/>
        </w:rPr>
        <w:footnoteReference w:id="8"/>
      </w:r>
      <w:r w:rsidRPr="006C717D" w:rsidR="00896A8C">
        <w:rPr>
          <w:snapToGrid/>
          <w:szCs w:val="22"/>
        </w:rPr>
        <w:t xml:space="preserve"> </w:t>
      </w:r>
      <w:r w:rsidR="004323C2">
        <w:rPr>
          <w:snapToGrid/>
          <w:szCs w:val="22"/>
        </w:rPr>
        <w:t xml:space="preserve"> </w:t>
      </w:r>
      <w:r w:rsidRPr="006C717D" w:rsidR="000A7C1B">
        <w:rPr>
          <w:szCs w:val="22"/>
        </w:rPr>
        <w:t xml:space="preserve">As a result, Petitioner asserts that </w:t>
      </w:r>
      <w:r w:rsidRPr="006C717D" w:rsidR="006B0EC2">
        <w:rPr>
          <w:szCs w:val="22"/>
        </w:rPr>
        <w:t xml:space="preserve">only </w:t>
      </w:r>
      <w:r w:rsidRPr="006C717D" w:rsidR="00A23BBD">
        <w:rPr>
          <w:szCs w:val="22"/>
        </w:rPr>
        <w:t>6</w:t>
      </w:r>
      <w:r w:rsidRPr="006C717D" w:rsidR="00AF7345">
        <w:rPr>
          <w:szCs w:val="22"/>
        </w:rPr>
        <w:t>4</w:t>
      </w:r>
      <w:r w:rsidRPr="006C717D" w:rsidR="006B0EC2">
        <w:rPr>
          <w:szCs w:val="22"/>
        </w:rPr>
        <w:t xml:space="preserve"> person</w:t>
      </w:r>
      <w:r w:rsidRPr="006C717D" w:rsidR="003A7BF4">
        <w:rPr>
          <w:szCs w:val="22"/>
        </w:rPr>
        <w:t>s</w:t>
      </w:r>
      <w:r w:rsidRPr="006C717D" w:rsidR="006B0EC2">
        <w:rPr>
          <w:szCs w:val="22"/>
        </w:rPr>
        <w:t xml:space="preserve"> would </w:t>
      </w:r>
      <w:r w:rsidR="001D0263">
        <w:rPr>
          <w:szCs w:val="22"/>
        </w:rPr>
        <w:t xml:space="preserve">either (1) </w:t>
      </w:r>
      <w:r w:rsidRPr="006C717D" w:rsidR="003A7BF4">
        <w:rPr>
          <w:szCs w:val="22"/>
        </w:rPr>
        <w:t>no</w:t>
      </w:r>
      <w:r w:rsidRPr="006C717D" w:rsidR="006B0EC2">
        <w:rPr>
          <w:szCs w:val="22"/>
        </w:rPr>
        <w:t xml:space="preserve"> longer receive </w:t>
      </w:r>
      <w:r w:rsidRPr="006C717D" w:rsidR="00DD399C">
        <w:rPr>
          <w:szCs w:val="22"/>
        </w:rPr>
        <w:t xml:space="preserve">NBC </w:t>
      </w:r>
      <w:r w:rsidRPr="006C717D" w:rsidR="006B0EC2">
        <w:rPr>
          <w:szCs w:val="22"/>
        </w:rPr>
        <w:t xml:space="preserve">network </w:t>
      </w:r>
      <w:r w:rsidRPr="006C717D" w:rsidR="003A7BF4">
        <w:rPr>
          <w:szCs w:val="22"/>
        </w:rPr>
        <w:t>programming</w:t>
      </w:r>
      <w:r w:rsidRPr="006C717D" w:rsidR="006B0EC2">
        <w:rPr>
          <w:szCs w:val="22"/>
        </w:rPr>
        <w:t xml:space="preserve"> or </w:t>
      </w:r>
      <w:r w:rsidR="001D0263">
        <w:rPr>
          <w:szCs w:val="22"/>
        </w:rPr>
        <w:t>(2) no lon</w:t>
      </w:r>
      <w:r w:rsidR="00A0262D">
        <w:rPr>
          <w:szCs w:val="22"/>
        </w:rPr>
        <w:t>g</w:t>
      </w:r>
      <w:r w:rsidR="001D0263">
        <w:rPr>
          <w:szCs w:val="22"/>
        </w:rPr>
        <w:t xml:space="preserve">er receive </w:t>
      </w:r>
      <w:r w:rsidRPr="006C717D" w:rsidR="00DD245B">
        <w:rPr>
          <w:szCs w:val="22"/>
        </w:rPr>
        <w:t xml:space="preserve">service from </w:t>
      </w:r>
      <w:r w:rsidRPr="006C717D" w:rsidR="006B0EC2">
        <w:rPr>
          <w:szCs w:val="22"/>
        </w:rPr>
        <w:t>five or more full power television services.</w:t>
      </w:r>
      <w:r>
        <w:rPr>
          <w:rStyle w:val="FootnoteReference"/>
          <w:sz w:val="22"/>
          <w:szCs w:val="22"/>
        </w:rPr>
        <w:footnoteReference w:id="9"/>
      </w:r>
      <w:r w:rsidRPr="006C717D" w:rsidR="006B0EC2">
        <w:rPr>
          <w:szCs w:val="22"/>
        </w:rPr>
        <w:t xml:space="preserve"> </w:t>
      </w:r>
      <w:r w:rsidRPr="006C717D" w:rsidR="00C81CAC">
        <w:rPr>
          <w:szCs w:val="22"/>
        </w:rPr>
        <w:t xml:space="preserve">  </w:t>
      </w:r>
      <w:r w:rsidRPr="006C717D" w:rsidR="00C81CAC">
        <w:rPr>
          <w:snapToGrid/>
          <w:szCs w:val="22"/>
        </w:rPr>
        <w:t>In practice, Gray expects that few if any persons who are currently able to receive WMC</w:t>
      </w:r>
      <w:r w:rsidRPr="006C717D" w:rsidR="003A4FF1">
        <w:rPr>
          <w:snapToGrid/>
          <w:szCs w:val="22"/>
        </w:rPr>
        <w:t>-TV</w:t>
      </w:r>
      <w:r w:rsidRPr="006C717D" w:rsidR="00C81CAC">
        <w:rPr>
          <w:snapToGrid/>
          <w:szCs w:val="22"/>
        </w:rPr>
        <w:t xml:space="preserve">’s </w:t>
      </w:r>
      <w:r w:rsidRPr="006C717D" w:rsidR="003A4FF1">
        <w:rPr>
          <w:snapToGrid/>
          <w:szCs w:val="22"/>
        </w:rPr>
        <w:t>over-the-air</w:t>
      </w:r>
      <w:r w:rsidRPr="006C717D" w:rsidR="00C81CAC">
        <w:rPr>
          <w:snapToGrid/>
          <w:szCs w:val="22"/>
        </w:rPr>
        <w:t xml:space="preserve"> signal on channel 5 would no longer be abl</w:t>
      </w:r>
      <w:r w:rsidRPr="006C717D" w:rsidR="00ED2D8C">
        <w:rPr>
          <w:snapToGrid/>
          <w:szCs w:val="22"/>
        </w:rPr>
        <w:t xml:space="preserve">e to </w:t>
      </w:r>
      <w:r w:rsidRPr="006C717D" w:rsidR="00C81CAC">
        <w:rPr>
          <w:snapToGrid/>
          <w:szCs w:val="22"/>
        </w:rPr>
        <w:t>receive WMC</w:t>
      </w:r>
      <w:r w:rsidRPr="006C717D" w:rsidR="00ED2D8C">
        <w:rPr>
          <w:snapToGrid/>
          <w:szCs w:val="22"/>
        </w:rPr>
        <w:t>-TV</w:t>
      </w:r>
      <w:r w:rsidRPr="006C717D" w:rsidR="00C81CAC">
        <w:rPr>
          <w:snapToGrid/>
          <w:szCs w:val="22"/>
        </w:rPr>
        <w:t>’s</w:t>
      </w:r>
      <w:r w:rsidRPr="00D15A12" w:rsidR="00C81CAC">
        <w:rPr>
          <w:snapToGrid/>
          <w:szCs w:val="22"/>
        </w:rPr>
        <w:t xml:space="preserve"> </w:t>
      </w:r>
      <w:r w:rsidRPr="006C717D" w:rsidR="00ED2D8C">
        <w:rPr>
          <w:snapToGrid/>
          <w:szCs w:val="22"/>
        </w:rPr>
        <w:t>over-the-air</w:t>
      </w:r>
      <w:r w:rsidRPr="006C717D" w:rsidR="00C81CAC">
        <w:rPr>
          <w:snapToGrid/>
          <w:szCs w:val="22"/>
        </w:rPr>
        <w:t xml:space="preserve"> signal as a result of the transition to channel 30</w:t>
      </w:r>
      <w:r w:rsidRPr="00D15A12" w:rsidR="00C81CAC">
        <w:rPr>
          <w:snapToGrid/>
          <w:szCs w:val="22"/>
        </w:rPr>
        <w:t>.</w:t>
      </w:r>
      <w:r>
        <w:rPr>
          <w:rStyle w:val="FootnoteReference"/>
          <w:snapToGrid/>
          <w:kern w:val="0"/>
          <w:sz w:val="22"/>
          <w:szCs w:val="22"/>
        </w:rPr>
        <w:footnoteReference w:id="10"/>
      </w:r>
    </w:p>
    <w:p w:rsidR="002C41C4" w:rsidRPr="00D15A12" w:rsidP="005C521E" w14:paraId="30A5910C" w14:textId="77777777">
      <w:pPr>
        <w:pStyle w:val="Heading1"/>
        <w:keepNext w:val="0"/>
        <w:suppressAutoHyphens w:val="0"/>
        <w:rPr>
          <w:rFonts w:ascii="Times New Roman" w:hAnsi="Times New Roman"/>
          <w:szCs w:val="22"/>
        </w:rPr>
      </w:pPr>
      <w:r w:rsidRPr="00D15A12">
        <w:rPr>
          <w:rFonts w:ascii="Times New Roman" w:hAnsi="Times New Roman"/>
          <w:szCs w:val="22"/>
        </w:rPr>
        <w:t>DISCUSSION</w:t>
      </w:r>
    </w:p>
    <w:p w:rsidR="002C41C4" w:rsidRPr="00870831" w:rsidP="009D1117" w14:paraId="5ABA4A95" w14:textId="2DC5BC41">
      <w:pPr>
        <w:pStyle w:val="ParaNum"/>
        <w:widowControl/>
        <w:rPr>
          <w:snapToGrid/>
          <w:kern w:val="0"/>
          <w:szCs w:val="22"/>
        </w:rPr>
      </w:pPr>
      <w:r w:rsidRPr="006C717D">
        <w:rPr>
          <w:szCs w:val="22"/>
        </w:rPr>
        <w:t xml:space="preserve">We believe that the Petitioner’s channel substitution proposal warrants consideration.  Channel </w:t>
      </w:r>
      <w:r w:rsidRPr="006C717D" w:rsidR="00723BAC">
        <w:rPr>
          <w:szCs w:val="22"/>
        </w:rPr>
        <w:t>3</w:t>
      </w:r>
      <w:r w:rsidRPr="006C717D" w:rsidR="00F14238">
        <w:rPr>
          <w:szCs w:val="22"/>
        </w:rPr>
        <w:t>0</w:t>
      </w:r>
      <w:r w:rsidRPr="006C717D">
        <w:rPr>
          <w:szCs w:val="22"/>
        </w:rPr>
        <w:t xml:space="preserve"> can be substituted for channel </w:t>
      </w:r>
      <w:r w:rsidRPr="006C717D" w:rsidR="00723BAC">
        <w:rPr>
          <w:szCs w:val="22"/>
        </w:rPr>
        <w:t>5</w:t>
      </w:r>
      <w:r w:rsidRPr="006C717D">
        <w:rPr>
          <w:szCs w:val="22"/>
        </w:rPr>
        <w:t xml:space="preserve"> at </w:t>
      </w:r>
      <w:r w:rsidRPr="006C717D" w:rsidR="00E832B6">
        <w:rPr>
          <w:szCs w:val="22"/>
        </w:rPr>
        <w:t>Memphis</w:t>
      </w:r>
      <w:r w:rsidRPr="006C717D" w:rsidR="004A3F4E">
        <w:rPr>
          <w:szCs w:val="22"/>
        </w:rPr>
        <w:t xml:space="preserve">, </w:t>
      </w:r>
      <w:r w:rsidRPr="006C717D" w:rsidR="00E832B6">
        <w:rPr>
          <w:szCs w:val="22"/>
        </w:rPr>
        <w:t>Tennessee</w:t>
      </w:r>
      <w:r w:rsidRPr="006C717D">
        <w:rPr>
          <w:szCs w:val="22"/>
        </w:rPr>
        <w:t>, as proposed, in compliance with the principal community coverage requirements of section 73.625(a) of the Commission’s rules,</w:t>
      </w:r>
      <w:r>
        <w:rPr>
          <w:szCs w:val="22"/>
          <w:vertAlign w:val="superscript"/>
        </w:rPr>
        <w:footnoteReference w:id="11"/>
      </w:r>
      <w:r w:rsidRPr="006C717D">
        <w:rPr>
          <w:szCs w:val="22"/>
        </w:rPr>
        <w:t xml:space="preserve"> at coordinates</w:t>
      </w:r>
      <w:r w:rsidRPr="006C717D" w:rsidR="00291606">
        <w:rPr>
          <w:szCs w:val="22"/>
        </w:rPr>
        <w:t xml:space="preserve"> 3</w:t>
      </w:r>
      <w:r w:rsidRPr="006C717D" w:rsidR="00F14238">
        <w:rPr>
          <w:szCs w:val="22"/>
        </w:rPr>
        <w:t>5</w:t>
      </w:r>
      <w:r w:rsidRPr="006C717D" w:rsidR="00AE4E35">
        <w:rPr>
          <w:snapToGrid/>
          <w:kern w:val="0"/>
          <w:szCs w:val="22"/>
        </w:rPr>
        <w:t>°</w:t>
      </w:r>
      <w:r w:rsidRPr="006C717D" w:rsidR="00291606">
        <w:rPr>
          <w:szCs w:val="22"/>
        </w:rPr>
        <w:t xml:space="preserve"> 1</w:t>
      </w:r>
      <w:r w:rsidRPr="006C717D" w:rsidR="00F14238">
        <w:rPr>
          <w:szCs w:val="22"/>
        </w:rPr>
        <w:t>0</w:t>
      </w:r>
      <w:r w:rsidRPr="006C717D" w:rsidR="00AE4E35">
        <w:rPr>
          <w:snapToGrid/>
          <w:kern w:val="0"/>
          <w:szCs w:val="22"/>
        </w:rPr>
        <w:t>'</w:t>
      </w:r>
      <w:r w:rsidRPr="006C717D" w:rsidR="00AE4E35">
        <w:rPr>
          <w:szCs w:val="22"/>
        </w:rPr>
        <w:t xml:space="preserve"> </w:t>
      </w:r>
      <w:r w:rsidRPr="006C717D" w:rsidR="00291606">
        <w:rPr>
          <w:szCs w:val="22"/>
        </w:rPr>
        <w:t xml:space="preserve"> 0</w:t>
      </w:r>
      <w:r w:rsidRPr="006C717D" w:rsidR="00F14238">
        <w:rPr>
          <w:szCs w:val="22"/>
        </w:rPr>
        <w:t>9</w:t>
      </w:r>
      <w:r w:rsidRPr="006C717D" w:rsidR="00AE4E35">
        <w:rPr>
          <w:snapToGrid/>
          <w:kern w:val="0"/>
          <w:szCs w:val="22"/>
        </w:rPr>
        <w:t>"</w:t>
      </w:r>
      <w:r w:rsidRPr="006C717D" w:rsidR="00291606">
        <w:rPr>
          <w:szCs w:val="22"/>
        </w:rPr>
        <w:t xml:space="preserve"> N and </w:t>
      </w:r>
      <w:r w:rsidRPr="006C717D" w:rsidR="00F14238">
        <w:rPr>
          <w:szCs w:val="22"/>
        </w:rPr>
        <w:t>89</w:t>
      </w:r>
      <w:r w:rsidRPr="006C717D" w:rsidR="00AE4E35">
        <w:rPr>
          <w:snapToGrid/>
          <w:kern w:val="0"/>
          <w:szCs w:val="22"/>
        </w:rPr>
        <w:t>°</w:t>
      </w:r>
      <w:r w:rsidRPr="006C717D" w:rsidR="00291606">
        <w:rPr>
          <w:szCs w:val="22"/>
        </w:rPr>
        <w:t xml:space="preserve"> </w:t>
      </w:r>
      <w:r w:rsidRPr="006C717D" w:rsidR="00F14238">
        <w:rPr>
          <w:szCs w:val="22"/>
        </w:rPr>
        <w:t>53</w:t>
      </w:r>
      <w:r w:rsidRPr="006C717D" w:rsidR="00AE4E35">
        <w:rPr>
          <w:snapToGrid/>
          <w:kern w:val="0"/>
          <w:szCs w:val="22"/>
        </w:rPr>
        <w:t>'</w:t>
      </w:r>
      <w:r w:rsidRPr="006C717D" w:rsidR="00AE4E35">
        <w:rPr>
          <w:szCs w:val="22"/>
        </w:rPr>
        <w:t xml:space="preserve"> </w:t>
      </w:r>
      <w:r w:rsidRPr="006C717D" w:rsidR="00291606">
        <w:rPr>
          <w:szCs w:val="22"/>
        </w:rPr>
        <w:t xml:space="preserve"> </w:t>
      </w:r>
      <w:r w:rsidRPr="006C717D" w:rsidR="00F14238">
        <w:rPr>
          <w:szCs w:val="22"/>
        </w:rPr>
        <w:t>10</w:t>
      </w:r>
      <w:r w:rsidRPr="006C717D" w:rsidR="00AE4E35">
        <w:rPr>
          <w:snapToGrid/>
          <w:kern w:val="0"/>
          <w:szCs w:val="22"/>
        </w:rPr>
        <w:t>"</w:t>
      </w:r>
      <w:r w:rsidRPr="006C717D" w:rsidR="00291606">
        <w:rPr>
          <w:szCs w:val="22"/>
        </w:rPr>
        <w:t xml:space="preserve"> W.</w:t>
      </w:r>
      <w:r w:rsidRPr="006C717D">
        <w:rPr>
          <w:szCs w:val="22"/>
        </w:rPr>
        <w:t xml:space="preserve">  In addition, we find that this channel change meets the technical requirements set forth in sections 73.616 and 73.623 of the rules.</w:t>
      </w:r>
      <w:r>
        <w:rPr>
          <w:szCs w:val="22"/>
          <w:vertAlign w:val="superscript"/>
        </w:rPr>
        <w:footnoteReference w:id="12"/>
      </w:r>
      <w:r w:rsidRPr="006C717D" w:rsidR="00D76468">
        <w:rPr>
          <w:szCs w:val="22"/>
        </w:rPr>
        <w:t xml:space="preserve"> </w:t>
      </w:r>
      <w:r w:rsidRPr="006C717D" w:rsidR="006F1855">
        <w:rPr>
          <w:szCs w:val="22"/>
        </w:rPr>
        <w:t xml:space="preserve">  </w:t>
      </w:r>
      <w:r w:rsidRPr="006C717D" w:rsidR="00280DC5">
        <w:rPr>
          <w:szCs w:val="22"/>
        </w:rPr>
        <w:t xml:space="preserve">While </w:t>
      </w:r>
      <w:r w:rsidRPr="006C717D" w:rsidR="00ED2D8C">
        <w:rPr>
          <w:szCs w:val="22"/>
        </w:rPr>
        <w:t>6</w:t>
      </w:r>
      <w:r w:rsidRPr="006C717D" w:rsidR="00AF7345">
        <w:rPr>
          <w:szCs w:val="22"/>
        </w:rPr>
        <w:t>4</w:t>
      </w:r>
      <w:r w:rsidRPr="006C717D" w:rsidR="00280DC5">
        <w:rPr>
          <w:szCs w:val="22"/>
        </w:rPr>
        <w:t xml:space="preserve"> persons would </w:t>
      </w:r>
      <w:r w:rsidR="001D0263">
        <w:rPr>
          <w:szCs w:val="22"/>
        </w:rPr>
        <w:t xml:space="preserve">either </w:t>
      </w:r>
      <w:r w:rsidRPr="006C717D" w:rsidR="00280DC5">
        <w:rPr>
          <w:szCs w:val="22"/>
        </w:rPr>
        <w:t>lose the</w:t>
      </w:r>
      <w:r w:rsidRPr="006C717D" w:rsidR="00DD245B">
        <w:rPr>
          <w:szCs w:val="22"/>
        </w:rPr>
        <w:t>ir</w:t>
      </w:r>
      <w:r w:rsidRPr="006C717D" w:rsidR="00280DC5">
        <w:rPr>
          <w:szCs w:val="22"/>
        </w:rPr>
        <w:t xml:space="preserve"> sole </w:t>
      </w:r>
      <w:r w:rsidRPr="006C717D" w:rsidR="00ED2D8C">
        <w:rPr>
          <w:szCs w:val="22"/>
        </w:rPr>
        <w:t>NBC</w:t>
      </w:r>
      <w:r w:rsidRPr="006C717D" w:rsidR="00280DC5">
        <w:rPr>
          <w:szCs w:val="22"/>
        </w:rPr>
        <w:t xml:space="preserve"> network service</w:t>
      </w:r>
      <w:r w:rsidRPr="006C717D" w:rsidR="006E6A03">
        <w:rPr>
          <w:szCs w:val="22"/>
        </w:rPr>
        <w:t xml:space="preserve"> </w:t>
      </w:r>
      <w:r w:rsidR="001D0263">
        <w:rPr>
          <w:szCs w:val="22"/>
        </w:rPr>
        <w:t>or lose</w:t>
      </w:r>
      <w:r w:rsidRPr="006C717D" w:rsidR="001D0263">
        <w:rPr>
          <w:szCs w:val="22"/>
        </w:rPr>
        <w:t xml:space="preserve"> </w:t>
      </w:r>
      <w:r w:rsidRPr="006C717D" w:rsidR="006E6A03">
        <w:rPr>
          <w:szCs w:val="22"/>
        </w:rPr>
        <w:t>access to five or more full power television stations</w:t>
      </w:r>
      <w:r w:rsidRPr="006C717D" w:rsidR="00280DC5">
        <w:rPr>
          <w:szCs w:val="22"/>
        </w:rPr>
        <w:t xml:space="preserve">, </w:t>
      </w:r>
      <w:r w:rsidRPr="006C717D" w:rsidR="00AB1DF8">
        <w:rPr>
          <w:szCs w:val="22"/>
        </w:rPr>
        <w:t xml:space="preserve">we find that the overall benefits of the proposed channel change outweigh any possible harm to the public interest, given the fact that the loss of NBC service is ultimately </w:t>
      </w:r>
      <w:r w:rsidRPr="00D15A12" w:rsidR="00AB1DF8">
        <w:rPr>
          <w:i/>
          <w:iCs/>
          <w:szCs w:val="22"/>
        </w:rPr>
        <w:t>de minimis</w:t>
      </w:r>
      <w:r w:rsidRPr="006C717D" w:rsidR="00AB1DF8">
        <w:rPr>
          <w:szCs w:val="22"/>
        </w:rPr>
        <w:t xml:space="preserve"> when taking into account the ability of those viewers to access NBC programming from other over-the-air television</w:t>
      </w:r>
      <w:r w:rsidR="001D0263">
        <w:rPr>
          <w:szCs w:val="22"/>
        </w:rPr>
        <w:t xml:space="preserve"> stations</w:t>
      </w:r>
      <w:r w:rsidRPr="006C717D" w:rsidR="00AB1DF8">
        <w:rPr>
          <w:szCs w:val="22"/>
        </w:rPr>
        <w:t>.</w:t>
      </w:r>
      <w:r>
        <w:rPr>
          <w:rStyle w:val="FootnoteReference"/>
          <w:sz w:val="22"/>
          <w:szCs w:val="22"/>
        </w:rPr>
        <w:footnoteReference w:id="13"/>
      </w:r>
      <w:r w:rsidRPr="006C717D" w:rsidR="0069686A">
        <w:rPr>
          <w:szCs w:val="22"/>
        </w:rPr>
        <w:t xml:space="preserve">  </w:t>
      </w:r>
      <w:r w:rsidRPr="00870831" w:rsidR="00AB1DF8">
        <w:rPr>
          <w:szCs w:val="22"/>
        </w:rPr>
        <w:t>We also note that most viewers in the loss area would continue to have access to at least five or more full power television services, including major network programming.</w:t>
      </w:r>
      <w:r>
        <w:rPr>
          <w:rStyle w:val="FootnoteReference"/>
          <w:sz w:val="22"/>
          <w:szCs w:val="22"/>
        </w:rPr>
        <w:footnoteReference w:id="14"/>
      </w:r>
      <w:r w:rsidRPr="00870831" w:rsidR="006C717D">
        <w:rPr>
          <w:szCs w:val="22"/>
        </w:rPr>
        <w:t xml:space="preserve">  </w:t>
      </w:r>
      <w:r w:rsidRPr="00870831" w:rsidR="00D15A12">
        <w:rPr>
          <w:szCs w:val="22"/>
        </w:rPr>
        <w:t>Furthermore</w:t>
      </w:r>
      <w:r w:rsidRPr="00870831" w:rsidR="0069686A">
        <w:rPr>
          <w:szCs w:val="22"/>
        </w:rPr>
        <w:t xml:space="preserve">, </w:t>
      </w:r>
      <w:r w:rsidRPr="00870831" w:rsidR="0069686A">
        <w:rPr>
          <w:snapToGrid/>
          <w:kern w:val="0"/>
          <w:szCs w:val="22"/>
        </w:rPr>
        <w:t xml:space="preserve">an additional </w:t>
      </w:r>
      <w:r w:rsidR="00870831">
        <w:rPr>
          <w:snapToGrid/>
          <w:kern w:val="0"/>
          <w:szCs w:val="22"/>
        </w:rPr>
        <w:t xml:space="preserve">television </w:t>
      </w:r>
      <w:r w:rsidRPr="00870831" w:rsidR="0069686A">
        <w:rPr>
          <w:snapToGrid/>
          <w:kern w:val="0"/>
          <w:szCs w:val="22"/>
        </w:rPr>
        <w:t>service</w:t>
      </w:r>
      <w:r w:rsidR="00870831">
        <w:rPr>
          <w:snapToGrid/>
          <w:kern w:val="0"/>
          <w:szCs w:val="22"/>
        </w:rPr>
        <w:t xml:space="preserve"> containing major network programming</w:t>
      </w:r>
      <w:r w:rsidRPr="00870831" w:rsidR="0069686A">
        <w:rPr>
          <w:snapToGrid/>
          <w:kern w:val="0"/>
          <w:szCs w:val="22"/>
        </w:rPr>
        <w:t xml:space="preserve"> is provided to a population of</w:t>
      </w:r>
      <w:r w:rsidRPr="00870831" w:rsidR="00AE6FC0">
        <w:rPr>
          <w:snapToGrid/>
          <w:kern w:val="0"/>
          <w:szCs w:val="22"/>
        </w:rPr>
        <w:t xml:space="preserve"> </w:t>
      </w:r>
      <w:r w:rsidRPr="00870831" w:rsidR="0069686A">
        <w:rPr>
          <w:snapToGrid/>
          <w:kern w:val="0"/>
          <w:szCs w:val="22"/>
        </w:rPr>
        <w:t xml:space="preserve">84,190 persons, of which 74,118 persons presently have less than five other </w:t>
      </w:r>
      <w:r w:rsidR="00870831">
        <w:rPr>
          <w:snapToGrid/>
          <w:kern w:val="0"/>
          <w:szCs w:val="22"/>
        </w:rPr>
        <w:t xml:space="preserve">television </w:t>
      </w:r>
      <w:r w:rsidRPr="00870831" w:rsidR="0069686A">
        <w:rPr>
          <w:snapToGrid/>
          <w:kern w:val="0"/>
          <w:szCs w:val="22"/>
        </w:rPr>
        <w:t>services.</w:t>
      </w:r>
      <w:r w:rsidRPr="00870831" w:rsidR="00AE6FC0">
        <w:rPr>
          <w:snapToGrid/>
          <w:kern w:val="0"/>
          <w:szCs w:val="22"/>
        </w:rPr>
        <w:t xml:space="preserve"> </w:t>
      </w:r>
      <w:r w:rsidRPr="00870831" w:rsidR="0069686A">
        <w:rPr>
          <w:snapToGrid/>
          <w:kern w:val="0"/>
          <w:szCs w:val="22"/>
        </w:rPr>
        <w:t xml:space="preserve"> Of those</w:t>
      </w:r>
      <w:r w:rsidRPr="00870831" w:rsidR="00AE6FC0">
        <w:rPr>
          <w:snapToGrid/>
          <w:kern w:val="0"/>
          <w:szCs w:val="22"/>
        </w:rPr>
        <w:t xml:space="preserve"> </w:t>
      </w:r>
      <w:r w:rsidRPr="00870831" w:rsidR="0069686A">
        <w:rPr>
          <w:snapToGrid/>
          <w:kern w:val="0"/>
          <w:szCs w:val="22"/>
        </w:rPr>
        <w:t xml:space="preserve">74,118 persons with less </w:t>
      </w:r>
      <w:r w:rsidRPr="00870831" w:rsidR="0069686A">
        <w:rPr>
          <w:snapToGrid/>
          <w:kern w:val="0"/>
          <w:szCs w:val="22"/>
        </w:rPr>
        <w:t xml:space="preserve">than five other </w:t>
      </w:r>
      <w:r w:rsidR="00870831">
        <w:rPr>
          <w:snapToGrid/>
          <w:kern w:val="0"/>
          <w:szCs w:val="22"/>
        </w:rPr>
        <w:t xml:space="preserve">television </w:t>
      </w:r>
      <w:r w:rsidRPr="00870831" w:rsidR="0069686A">
        <w:rPr>
          <w:snapToGrid/>
          <w:kern w:val="0"/>
          <w:szCs w:val="22"/>
        </w:rPr>
        <w:t>services, 65,704 persons</w:t>
      </w:r>
      <w:r w:rsidR="00870831">
        <w:rPr>
          <w:snapToGrid/>
          <w:kern w:val="0"/>
          <w:szCs w:val="22"/>
        </w:rPr>
        <w:t xml:space="preserve"> would receive</w:t>
      </w:r>
      <w:r w:rsidRPr="00870831" w:rsidR="00F27C53">
        <w:rPr>
          <w:snapToGrid/>
          <w:kern w:val="0"/>
          <w:szCs w:val="22"/>
        </w:rPr>
        <w:t xml:space="preserve"> </w:t>
      </w:r>
      <w:r w:rsidRPr="00870831" w:rsidR="00870831">
        <w:rPr>
          <w:snapToGrid/>
          <w:kern w:val="0"/>
          <w:szCs w:val="22"/>
        </w:rPr>
        <w:t xml:space="preserve">over-the-air NBC service </w:t>
      </w:r>
      <w:r w:rsidRPr="00870831" w:rsidR="00F27C53">
        <w:rPr>
          <w:snapToGrid/>
          <w:kern w:val="0"/>
          <w:szCs w:val="22"/>
        </w:rPr>
        <w:t>for the first time</w:t>
      </w:r>
      <w:r w:rsidRPr="00870831" w:rsidR="0069686A">
        <w:rPr>
          <w:snapToGrid/>
          <w:kern w:val="0"/>
          <w:szCs w:val="22"/>
        </w:rPr>
        <w:t>.</w:t>
      </w:r>
      <w:r>
        <w:rPr>
          <w:rStyle w:val="FootnoteReference"/>
          <w:snapToGrid/>
          <w:kern w:val="0"/>
          <w:sz w:val="22"/>
          <w:szCs w:val="22"/>
        </w:rPr>
        <w:footnoteReference w:id="15"/>
      </w:r>
    </w:p>
    <w:p w:rsidR="002C41C4" w:rsidRPr="006C717D" w:rsidP="005C521E" w14:paraId="37CC0C13" w14:textId="458BDA85">
      <w:pPr>
        <w:pStyle w:val="ParaNum"/>
        <w:rPr>
          <w:szCs w:val="22"/>
        </w:rPr>
      </w:pPr>
      <w:r w:rsidRPr="006C717D">
        <w:rPr>
          <w:szCs w:val="22"/>
        </w:rPr>
        <w:t xml:space="preserve">We propose to substitute channel </w:t>
      </w:r>
      <w:r w:rsidRPr="006C717D" w:rsidR="004F1FE0">
        <w:rPr>
          <w:szCs w:val="22"/>
        </w:rPr>
        <w:t>3</w:t>
      </w:r>
      <w:r w:rsidRPr="006C717D" w:rsidR="00F14238">
        <w:rPr>
          <w:szCs w:val="22"/>
        </w:rPr>
        <w:t>0</w:t>
      </w:r>
      <w:r w:rsidRPr="006C717D">
        <w:rPr>
          <w:szCs w:val="22"/>
        </w:rPr>
        <w:t xml:space="preserve"> for channel </w:t>
      </w:r>
      <w:r w:rsidRPr="006C717D" w:rsidR="00C05C39">
        <w:rPr>
          <w:szCs w:val="22"/>
        </w:rPr>
        <w:t>5</w:t>
      </w:r>
      <w:r w:rsidRPr="006C717D">
        <w:rPr>
          <w:szCs w:val="22"/>
        </w:rPr>
        <w:t xml:space="preserve"> for </w:t>
      </w:r>
      <w:r w:rsidRPr="006C717D" w:rsidR="00E832B6">
        <w:rPr>
          <w:szCs w:val="22"/>
        </w:rPr>
        <w:t>WMC</w:t>
      </w:r>
      <w:r w:rsidRPr="006C717D" w:rsidR="002C3F2A">
        <w:rPr>
          <w:szCs w:val="22"/>
        </w:rPr>
        <w:t>-TV</w:t>
      </w:r>
      <w:r w:rsidRPr="006C717D">
        <w:rPr>
          <w:szCs w:val="22"/>
        </w:rPr>
        <w:t xml:space="preserve"> with the following specifications:</w:t>
      </w:r>
    </w:p>
    <w:p w:rsidR="002C41C4" w:rsidRPr="006C717D" w:rsidP="005C521E" w14:paraId="29F7F57E" w14:textId="7778B95D">
      <w:pPr>
        <w:pStyle w:val="ParaNum"/>
        <w:numPr>
          <w:ilvl w:val="0"/>
          <w:numId w:val="0"/>
        </w:numPr>
        <w:ind w:firstLine="720"/>
        <w:rPr>
          <w:szCs w:val="22"/>
        </w:rPr>
      </w:pPr>
      <w:r w:rsidRPr="006C717D">
        <w:rPr>
          <w:szCs w:val="22"/>
          <w:u w:val="single"/>
        </w:rPr>
        <w:t>City and State</w:t>
      </w:r>
      <w:r w:rsidRPr="006C717D">
        <w:rPr>
          <w:szCs w:val="22"/>
        </w:rPr>
        <w:tab/>
      </w:r>
      <w:r w:rsidRPr="006C717D">
        <w:rPr>
          <w:szCs w:val="22"/>
        </w:rPr>
        <w:tab/>
      </w:r>
      <w:r w:rsidRPr="006C717D">
        <w:rPr>
          <w:szCs w:val="22"/>
        </w:rPr>
        <w:tab/>
      </w:r>
      <w:r w:rsidRPr="006C717D">
        <w:rPr>
          <w:szCs w:val="22"/>
          <w:u w:val="single"/>
        </w:rPr>
        <w:t xml:space="preserve"> Channel</w:t>
      </w:r>
      <w:r w:rsidRPr="006C717D">
        <w:rPr>
          <w:szCs w:val="22"/>
        </w:rPr>
        <w:tab/>
      </w:r>
      <w:r w:rsidRPr="006C717D">
        <w:rPr>
          <w:szCs w:val="22"/>
          <w:u w:val="single"/>
        </w:rPr>
        <w:t xml:space="preserve"> Power (kW)</w:t>
      </w:r>
      <w:r w:rsidRPr="006C717D">
        <w:rPr>
          <w:szCs w:val="22"/>
        </w:rPr>
        <w:tab/>
      </w:r>
      <w:r w:rsidRPr="006C717D">
        <w:rPr>
          <w:szCs w:val="22"/>
          <w:u w:val="single"/>
        </w:rPr>
        <w:t>Antenna HAAT (m)</w:t>
      </w:r>
    </w:p>
    <w:p w:rsidR="002C41C4" w:rsidRPr="006C717D" w:rsidP="005C521E" w14:paraId="2891AC48" w14:textId="0162F881">
      <w:pPr>
        <w:pStyle w:val="ParaNum"/>
        <w:numPr>
          <w:ilvl w:val="0"/>
          <w:numId w:val="0"/>
        </w:numPr>
        <w:ind w:firstLine="720"/>
        <w:rPr>
          <w:szCs w:val="22"/>
        </w:rPr>
      </w:pPr>
      <w:r w:rsidRPr="006C717D">
        <w:rPr>
          <w:szCs w:val="22"/>
        </w:rPr>
        <w:t>Memphis</w:t>
      </w:r>
      <w:r w:rsidRPr="006C717D" w:rsidR="00120CAA">
        <w:rPr>
          <w:szCs w:val="22"/>
        </w:rPr>
        <w:t xml:space="preserve">, </w:t>
      </w:r>
      <w:r w:rsidRPr="006C717D">
        <w:rPr>
          <w:szCs w:val="22"/>
        </w:rPr>
        <w:t>Tennessee</w:t>
      </w:r>
      <w:r w:rsidRPr="006C717D" w:rsidR="002C2AF9">
        <w:rPr>
          <w:szCs w:val="22"/>
        </w:rPr>
        <w:tab/>
      </w:r>
      <w:r w:rsidRPr="006C717D" w:rsidR="002C2AF9">
        <w:rPr>
          <w:szCs w:val="22"/>
        </w:rPr>
        <w:tab/>
      </w:r>
      <w:r w:rsidRPr="006C717D" w:rsidR="000229FE">
        <w:rPr>
          <w:szCs w:val="22"/>
        </w:rPr>
        <w:t xml:space="preserve">      </w:t>
      </w:r>
      <w:r w:rsidRPr="006C717D" w:rsidR="004F1FE0">
        <w:rPr>
          <w:szCs w:val="22"/>
        </w:rPr>
        <w:t>3</w:t>
      </w:r>
      <w:r w:rsidRPr="006C717D" w:rsidR="002C3F2A">
        <w:rPr>
          <w:szCs w:val="22"/>
        </w:rPr>
        <w:t>0</w:t>
      </w:r>
      <w:r w:rsidRPr="006C717D" w:rsidR="002C2AF9">
        <w:rPr>
          <w:szCs w:val="22"/>
        </w:rPr>
        <w:tab/>
      </w:r>
      <w:r w:rsidRPr="006C717D" w:rsidR="000229FE">
        <w:rPr>
          <w:szCs w:val="22"/>
        </w:rPr>
        <w:t xml:space="preserve">        </w:t>
      </w:r>
      <w:r w:rsidRPr="006C717D" w:rsidR="002C3F2A">
        <w:rPr>
          <w:szCs w:val="22"/>
        </w:rPr>
        <w:tab/>
        <w:t xml:space="preserve">      515</w:t>
      </w:r>
      <w:r w:rsidRPr="006C717D" w:rsidR="002C2AF9">
        <w:rPr>
          <w:szCs w:val="22"/>
        </w:rPr>
        <w:tab/>
      </w:r>
      <w:r w:rsidRPr="006C717D" w:rsidR="002C2AF9">
        <w:rPr>
          <w:szCs w:val="22"/>
        </w:rPr>
        <w:tab/>
      </w:r>
      <w:r w:rsidRPr="006C717D" w:rsidR="002C2AF9">
        <w:rPr>
          <w:szCs w:val="22"/>
        </w:rPr>
        <w:tab/>
      </w:r>
      <w:r w:rsidRPr="006C717D" w:rsidR="002C3F2A">
        <w:rPr>
          <w:szCs w:val="22"/>
        </w:rPr>
        <w:t>30</w:t>
      </w:r>
      <w:r w:rsidRPr="006C717D" w:rsidR="008F4B74">
        <w:rPr>
          <w:szCs w:val="22"/>
        </w:rPr>
        <w:t>7.7</w:t>
      </w:r>
    </w:p>
    <w:p w:rsidR="002C41C4" w:rsidRPr="006C717D" w:rsidP="005C521E" w14:paraId="778B00E6" w14:textId="6757F4EC">
      <w:pPr>
        <w:pStyle w:val="ParaNum"/>
        <w:rPr>
          <w:szCs w:val="22"/>
        </w:rPr>
      </w:pPr>
      <w:r w:rsidRPr="006C717D">
        <w:rPr>
          <w:szCs w:val="22"/>
        </w:rPr>
        <w:t>Accordingly, we seek comment on the proposed amendment of the Table of Allotments, section 73.622(</w:t>
      </w:r>
      <w:r w:rsidRPr="006C717D" w:rsidR="00C05C39">
        <w:rPr>
          <w:szCs w:val="22"/>
        </w:rPr>
        <w:t>j</w:t>
      </w:r>
      <w:r w:rsidRPr="006C717D">
        <w:rPr>
          <w:szCs w:val="22"/>
        </w:rPr>
        <w:t>) of the rules,</w:t>
      </w:r>
      <w:r>
        <w:rPr>
          <w:rStyle w:val="FootnoteReference"/>
          <w:spacing w:val="-3"/>
          <w:sz w:val="22"/>
          <w:szCs w:val="22"/>
        </w:rPr>
        <w:footnoteReference w:id="16"/>
      </w:r>
      <w:r w:rsidRPr="006C717D">
        <w:rPr>
          <w:szCs w:val="22"/>
        </w:rPr>
        <w:t xml:space="preserve"> for the community listed below, to read as follows:</w:t>
      </w:r>
    </w:p>
    <w:p w:rsidR="002C41C4" w:rsidRPr="006C717D" w:rsidP="005C521E" w14:paraId="2AAE60FB" w14:textId="77777777">
      <w:pPr>
        <w:pStyle w:val="AppNum"/>
        <w:numPr>
          <w:ilvl w:val="0"/>
          <w:numId w:val="0"/>
        </w:numPr>
        <w:spacing w:after="120"/>
        <w:ind w:left="4320"/>
        <w:rPr>
          <w:rFonts w:ascii="Times New Roman" w:hAnsi="Times New Roman"/>
          <w:spacing w:val="-3"/>
          <w:sz w:val="22"/>
          <w:szCs w:val="22"/>
          <w:u w:val="single"/>
        </w:rPr>
      </w:pPr>
      <w:bookmarkStart w:id="1" w:name="_Hlk62218186"/>
      <w:r w:rsidRPr="006C717D">
        <w:rPr>
          <w:rFonts w:ascii="Times New Roman" w:hAnsi="Times New Roman"/>
          <w:spacing w:val="-3"/>
          <w:sz w:val="22"/>
          <w:szCs w:val="22"/>
          <w:u w:val="single"/>
        </w:rPr>
        <w:t>Channel No.</w:t>
      </w:r>
    </w:p>
    <w:p w:rsidR="002C41C4" w:rsidRPr="006C717D" w:rsidP="005C521E" w14:paraId="7ECB4689" w14:textId="55D214C9">
      <w:pPr>
        <w:pStyle w:val="AppNum"/>
        <w:numPr>
          <w:ilvl w:val="0"/>
          <w:numId w:val="0"/>
        </w:numPr>
        <w:spacing w:after="240"/>
        <w:ind w:firstLine="720"/>
        <w:rPr>
          <w:rFonts w:ascii="Times New Roman" w:hAnsi="Times New Roman"/>
          <w:spacing w:val="-3"/>
          <w:sz w:val="22"/>
          <w:szCs w:val="22"/>
        </w:rPr>
      </w:pPr>
      <w:r w:rsidRPr="006C717D">
        <w:rPr>
          <w:rFonts w:ascii="Times New Roman" w:hAnsi="Times New Roman"/>
          <w:spacing w:val="-3"/>
          <w:sz w:val="22"/>
          <w:szCs w:val="22"/>
          <w:u w:val="single"/>
        </w:rPr>
        <w:t>City and State</w:t>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Pr>
          <w:rFonts w:ascii="Times New Roman" w:hAnsi="Times New Roman"/>
          <w:spacing w:val="-3"/>
          <w:sz w:val="22"/>
          <w:szCs w:val="22"/>
          <w:u w:val="single"/>
        </w:rPr>
        <w:t>Present</w:t>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sidR="004F1FE0">
        <w:rPr>
          <w:rFonts w:ascii="Times New Roman" w:hAnsi="Times New Roman"/>
          <w:spacing w:val="-3"/>
          <w:sz w:val="22"/>
          <w:szCs w:val="22"/>
        </w:rPr>
        <w:tab/>
      </w:r>
      <w:r w:rsidRPr="006C717D" w:rsidR="008E0993">
        <w:rPr>
          <w:rFonts w:ascii="Times New Roman" w:hAnsi="Times New Roman"/>
          <w:spacing w:val="-3"/>
          <w:sz w:val="22"/>
          <w:szCs w:val="22"/>
        </w:rPr>
        <w:tab/>
      </w:r>
      <w:r w:rsidRPr="006C717D">
        <w:rPr>
          <w:rFonts w:ascii="Times New Roman" w:hAnsi="Times New Roman"/>
          <w:spacing w:val="-3"/>
          <w:sz w:val="22"/>
          <w:szCs w:val="22"/>
          <w:u w:val="single"/>
        </w:rPr>
        <w:t>Proposed</w:t>
      </w:r>
      <w:r w:rsidRPr="006C717D">
        <w:rPr>
          <w:rFonts w:ascii="Times New Roman" w:hAnsi="Times New Roman"/>
          <w:spacing w:val="-3"/>
          <w:sz w:val="22"/>
          <w:szCs w:val="22"/>
        </w:rPr>
        <w:tab/>
      </w:r>
    </w:p>
    <w:p w:rsidR="002C41C4" w:rsidRPr="006C717D" w:rsidP="005C521E" w14:paraId="575DEF4D" w14:textId="629EA497">
      <w:pPr>
        <w:pStyle w:val="AppNum"/>
        <w:numPr>
          <w:ilvl w:val="0"/>
          <w:numId w:val="0"/>
        </w:numPr>
        <w:spacing w:after="120"/>
        <w:ind w:firstLine="720"/>
        <w:rPr>
          <w:rFonts w:ascii="Times New Roman" w:hAnsi="Times New Roman"/>
          <w:spacing w:val="-3"/>
          <w:sz w:val="22"/>
          <w:szCs w:val="22"/>
        </w:rPr>
      </w:pPr>
      <w:r w:rsidRPr="006C717D">
        <w:rPr>
          <w:rFonts w:ascii="Times New Roman" w:hAnsi="Times New Roman"/>
          <w:spacing w:val="-3"/>
          <w:sz w:val="22"/>
          <w:szCs w:val="22"/>
        </w:rPr>
        <w:t>Memphis</w:t>
      </w:r>
      <w:r w:rsidRPr="006C717D" w:rsidR="00120CAA">
        <w:rPr>
          <w:rFonts w:ascii="Times New Roman" w:hAnsi="Times New Roman"/>
          <w:spacing w:val="-3"/>
          <w:sz w:val="22"/>
          <w:szCs w:val="22"/>
        </w:rPr>
        <w:t xml:space="preserve">, </w:t>
      </w:r>
      <w:r w:rsidRPr="006C717D">
        <w:rPr>
          <w:rFonts w:ascii="Times New Roman" w:hAnsi="Times New Roman"/>
          <w:spacing w:val="-3"/>
          <w:sz w:val="22"/>
          <w:szCs w:val="22"/>
        </w:rPr>
        <w:t>Tennessee</w:t>
      </w:r>
      <w:r w:rsidRPr="006C717D" w:rsidR="002C2AF9">
        <w:rPr>
          <w:rFonts w:ascii="Times New Roman" w:hAnsi="Times New Roman"/>
          <w:spacing w:val="-3"/>
          <w:sz w:val="22"/>
          <w:szCs w:val="22"/>
        </w:rPr>
        <w:tab/>
      </w:r>
      <w:r w:rsidRPr="006C717D" w:rsidR="002C2AF9">
        <w:rPr>
          <w:rFonts w:ascii="Times New Roman" w:hAnsi="Times New Roman"/>
          <w:spacing w:val="-3"/>
          <w:sz w:val="22"/>
          <w:szCs w:val="22"/>
        </w:rPr>
        <w:tab/>
      </w:r>
      <w:r w:rsidRPr="006C717D" w:rsidR="008E0993">
        <w:rPr>
          <w:rFonts w:ascii="Times New Roman" w:hAnsi="Times New Roman"/>
          <w:sz w:val="22"/>
          <w:szCs w:val="22"/>
        </w:rPr>
        <w:t>5, 13, 23, 25, 28, *29, 31, 33</w:t>
      </w:r>
      <w:r w:rsidRPr="006C717D" w:rsidR="002C2AF9">
        <w:rPr>
          <w:rFonts w:ascii="Times New Roman" w:hAnsi="Times New Roman"/>
          <w:spacing w:val="-3"/>
          <w:sz w:val="22"/>
          <w:szCs w:val="22"/>
        </w:rPr>
        <w:tab/>
      </w:r>
      <w:r w:rsidRPr="006C717D" w:rsidR="008E0993">
        <w:rPr>
          <w:rFonts w:ascii="Times New Roman" w:hAnsi="Times New Roman"/>
          <w:sz w:val="22"/>
          <w:szCs w:val="22"/>
        </w:rPr>
        <w:t>13, 23, 25, 28, *29, 3</w:t>
      </w:r>
      <w:r w:rsidRPr="006C717D" w:rsidR="00845909">
        <w:rPr>
          <w:rFonts w:ascii="Times New Roman" w:hAnsi="Times New Roman"/>
          <w:sz w:val="22"/>
          <w:szCs w:val="22"/>
        </w:rPr>
        <w:t>0</w:t>
      </w:r>
      <w:r w:rsidRPr="006C717D" w:rsidR="008E0993">
        <w:rPr>
          <w:rFonts w:ascii="Times New Roman" w:hAnsi="Times New Roman"/>
          <w:sz w:val="22"/>
          <w:szCs w:val="22"/>
        </w:rPr>
        <w:t>, 3</w:t>
      </w:r>
      <w:r w:rsidRPr="006C717D" w:rsidR="00845909">
        <w:rPr>
          <w:rFonts w:ascii="Times New Roman" w:hAnsi="Times New Roman"/>
          <w:sz w:val="22"/>
          <w:szCs w:val="22"/>
        </w:rPr>
        <w:t>1</w:t>
      </w:r>
      <w:r w:rsidRPr="006C717D" w:rsidR="008E0993">
        <w:rPr>
          <w:rFonts w:ascii="Times New Roman" w:hAnsi="Times New Roman"/>
          <w:sz w:val="22"/>
          <w:szCs w:val="22"/>
        </w:rPr>
        <w:t>, 33</w:t>
      </w:r>
      <w:r w:rsidRPr="006C717D" w:rsidR="000229FE">
        <w:rPr>
          <w:rFonts w:ascii="Times New Roman" w:hAnsi="Times New Roman"/>
          <w:spacing w:val="-3"/>
          <w:sz w:val="22"/>
          <w:szCs w:val="22"/>
        </w:rPr>
        <w:t xml:space="preserve"> </w:t>
      </w:r>
      <w:r w:rsidRPr="006C717D" w:rsidR="00696F39">
        <w:rPr>
          <w:rFonts w:ascii="Times New Roman" w:hAnsi="Times New Roman"/>
          <w:spacing w:val="-3"/>
          <w:sz w:val="22"/>
          <w:szCs w:val="22"/>
        </w:rPr>
        <w:tab/>
      </w:r>
      <w:r w:rsidRPr="006C717D" w:rsidR="00005B26">
        <w:rPr>
          <w:rFonts w:ascii="Times New Roman" w:hAnsi="Times New Roman"/>
          <w:spacing w:val="-3"/>
          <w:sz w:val="22"/>
          <w:szCs w:val="22"/>
        </w:rPr>
        <w:tab/>
      </w:r>
      <w:r w:rsidRPr="006C717D" w:rsidR="00005B26">
        <w:rPr>
          <w:rFonts w:ascii="Times New Roman" w:hAnsi="Times New Roman"/>
          <w:spacing w:val="-3"/>
          <w:sz w:val="22"/>
          <w:szCs w:val="22"/>
        </w:rPr>
        <w:tab/>
      </w:r>
      <w:r w:rsidRPr="006C717D" w:rsidR="004F1FE0">
        <w:rPr>
          <w:rFonts w:ascii="Times New Roman" w:hAnsi="Times New Roman"/>
          <w:spacing w:val="-3"/>
          <w:sz w:val="22"/>
          <w:szCs w:val="22"/>
        </w:rPr>
        <w:t xml:space="preserve">    </w:t>
      </w:r>
      <w:r w:rsidRPr="006C717D" w:rsidR="000229FE">
        <w:rPr>
          <w:rFonts w:ascii="Times New Roman" w:hAnsi="Times New Roman"/>
          <w:spacing w:val="-3"/>
          <w:sz w:val="22"/>
          <w:szCs w:val="22"/>
        </w:rPr>
        <w:t xml:space="preserve">  </w:t>
      </w:r>
      <w:r w:rsidRPr="006C717D" w:rsidR="0026261B">
        <w:rPr>
          <w:rFonts w:ascii="Times New Roman" w:hAnsi="Times New Roman"/>
          <w:spacing w:val="-3"/>
          <w:sz w:val="22"/>
          <w:szCs w:val="22"/>
        </w:rPr>
        <w:t xml:space="preserve">         </w:t>
      </w:r>
      <w:r w:rsidRPr="006C717D" w:rsidR="000F4D49">
        <w:rPr>
          <w:rFonts w:ascii="Times New Roman" w:hAnsi="Times New Roman"/>
          <w:spacing w:val="-3"/>
          <w:sz w:val="22"/>
          <w:szCs w:val="22"/>
        </w:rPr>
        <w:t xml:space="preserve">  </w:t>
      </w:r>
    </w:p>
    <w:bookmarkEnd w:id="1"/>
    <w:p w:rsidR="002C41C4" w:rsidRPr="00D15A12" w:rsidP="005C521E" w14:paraId="49B24ECA" w14:textId="77777777">
      <w:pPr>
        <w:pStyle w:val="Heading1"/>
        <w:rPr>
          <w:rFonts w:ascii="Times New Roman" w:hAnsi="Times New Roman"/>
          <w:szCs w:val="22"/>
        </w:rPr>
      </w:pPr>
      <w:r w:rsidRPr="00D15A12">
        <w:rPr>
          <w:rFonts w:ascii="Times New Roman" w:hAnsi="Times New Roman"/>
          <w:szCs w:val="22"/>
        </w:rPr>
        <w:t>Procedural matters</w:t>
      </w:r>
    </w:p>
    <w:p w:rsidR="002C41C4" w:rsidRPr="006C717D" w:rsidP="005C521E" w14:paraId="588571D9" w14:textId="77777777">
      <w:pPr>
        <w:pStyle w:val="ParaNum"/>
        <w:rPr>
          <w:szCs w:val="22"/>
        </w:rPr>
      </w:pPr>
      <w:r w:rsidRPr="006C717D">
        <w:rPr>
          <w:i/>
          <w:iCs/>
          <w:szCs w:val="22"/>
        </w:rPr>
        <w:t>Showings Required</w:t>
      </w:r>
      <w:r w:rsidRPr="006C717D">
        <w:rPr>
          <w:szCs w:val="22"/>
        </w:rPr>
        <w:t>.  Comments are invited on the proposal discussed in this Notice of Proposed Rulemaking (</w:t>
      </w:r>
      <w:r w:rsidRPr="006C717D">
        <w:rPr>
          <w:i/>
          <w:iCs/>
          <w:szCs w:val="22"/>
        </w:rPr>
        <w:t>NPRM</w:t>
      </w:r>
      <w:r w:rsidRPr="006C717D">
        <w:rPr>
          <w:szCs w:val="22"/>
        </w:rP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sz w:val="22"/>
          <w:szCs w:val="22"/>
        </w:rPr>
        <w:footnoteReference w:id="17"/>
      </w:r>
      <w:r w:rsidRPr="006C717D">
        <w:rPr>
          <w:szCs w:val="22"/>
        </w:rPr>
        <w:t xml:space="preserve">  Failure to file may lead to denial of the request.  Any requests by a proponent for withdrawal or dismissal of an allotment request must be filed with the Commission in accordance with section 1.420(j) of the rules.</w:t>
      </w:r>
      <w:r>
        <w:rPr>
          <w:rStyle w:val="FootnoteReference"/>
          <w:sz w:val="22"/>
          <w:szCs w:val="22"/>
        </w:rPr>
        <w:footnoteReference w:id="18"/>
      </w:r>
    </w:p>
    <w:p w:rsidR="002C41C4" w:rsidRPr="006C717D" w:rsidP="005C521E" w14:paraId="126D8334" w14:textId="77777777">
      <w:pPr>
        <w:pStyle w:val="ParaNum"/>
        <w:rPr>
          <w:szCs w:val="22"/>
        </w:rPr>
      </w:pPr>
      <w:r w:rsidRPr="006C717D">
        <w:rPr>
          <w:i/>
          <w:iCs/>
          <w:szCs w:val="22"/>
        </w:rPr>
        <w:t>Cut-off Protection</w:t>
      </w:r>
      <w:r w:rsidRPr="006C717D">
        <w:rPr>
          <w:szCs w:val="22"/>
        </w:rPr>
        <w:t>.  The following procedures will govern the consideration of the filings in this proceeding:</w:t>
      </w:r>
    </w:p>
    <w:p w:rsidR="002C41C4" w:rsidP="005C521E" w14:paraId="0E4F0E8D" w14:textId="77777777">
      <w:pPr>
        <w:numPr>
          <w:ilvl w:val="0"/>
          <w:numId w:val="7"/>
        </w:numPr>
        <w:spacing w:after="120"/>
      </w:pPr>
      <w:r w:rsidRPr="006C717D">
        <w:rPr>
          <w:szCs w:val="22"/>
        </w:rPr>
        <w:t>Counterproposals advanced in this proceeding itself will be considered, if a</w:t>
      </w:r>
      <w:r>
        <w:t>dvanced in initial comments, so that parties may comment on them in reply comments.  They will not be considered if advanced in reply comments.</w:t>
      </w:r>
      <w:r>
        <w:rPr>
          <w:rStyle w:val="FootnoteReference"/>
        </w:rPr>
        <w:footnoteReference w:id="19"/>
      </w:r>
      <w:r>
        <w:t xml:space="preserve">  </w:t>
      </w:r>
    </w:p>
    <w:p w:rsidR="002C41C4" w:rsidP="005C521E" w14:paraId="09EDF498"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20"/>
      </w:r>
    </w:p>
    <w:p w:rsidR="002C41C4" w:rsidP="005C521E" w14:paraId="08CD15A2"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21"/>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22"/>
      </w:r>
    </w:p>
    <w:p w:rsidR="002C41C4" w:rsidP="005C521E" w14:paraId="3EC393FC"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701103DC"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57CDFC8A"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145E3073"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7C7557FB"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3"/>
      </w:r>
    </w:p>
    <w:p w:rsidR="002C41C4" w:rsidP="005C521E" w14:paraId="3CBD3ED5"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C521E" w14:paraId="43203497" w14:textId="77777777">
      <w:pPr>
        <w:pStyle w:val="ParaNum"/>
      </w:pPr>
      <w:r>
        <w:rPr>
          <w:i/>
          <w:iCs/>
        </w:rPr>
        <w:t>Service.</w:t>
      </w:r>
      <w:r>
        <w:t xml:space="preserve">  Pursuant </w:t>
      </w:r>
      <w:r w:rsidR="00336D5F">
        <w:t xml:space="preserve">to </w:t>
      </w:r>
      <w:r>
        <w:t>section 1.420 of the rules,</w:t>
      </w:r>
      <w:r>
        <w:rPr>
          <w:rStyle w:val="FootnoteReference"/>
        </w:rPr>
        <w:footnoteReference w:id="24"/>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5"/>
      </w:r>
      <w:r>
        <w:t xml:space="preserve">  Additionally, a copy of such comments should be served on counsel for </w:t>
      </w:r>
      <w:r w:rsidR="006D6AC4">
        <w:t>the P</w:t>
      </w:r>
      <w:r>
        <w:t>etitioner, as follows:</w:t>
      </w:r>
    </w:p>
    <w:p w:rsidR="002C41C4" w:rsidP="005C521E" w14:paraId="458E5C12" w14:textId="77777777">
      <w:pPr>
        <w:pStyle w:val="ParaNum"/>
        <w:numPr>
          <w:ilvl w:val="0"/>
          <w:numId w:val="0"/>
        </w:numPr>
        <w:spacing w:after="0"/>
        <w:ind w:left="720"/>
      </w:pPr>
      <w:r>
        <w:t>Joan Stewart</w:t>
      </w:r>
      <w:r w:rsidR="002C2AF9">
        <w:t xml:space="preserve">, Esq. </w:t>
      </w:r>
    </w:p>
    <w:p w:rsidR="002C41C4" w:rsidP="005C521E" w14:paraId="016F08DE" w14:textId="77777777">
      <w:pPr>
        <w:pStyle w:val="ParaNum"/>
        <w:numPr>
          <w:ilvl w:val="0"/>
          <w:numId w:val="0"/>
        </w:numPr>
        <w:spacing w:after="0"/>
        <w:ind w:left="720"/>
      </w:pPr>
      <w:r>
        <w:t>Wiley Rein</w:t>
      </w:r>
      <w:r w:rsidR="00944C0D">
        <w:t xml:space="preserve"> </w:t>
      </w:r>
      <w:r w:rsidR="00120CAA">
        <w:t>LLP</w:t>
      </w:r>
    </w:p>
    <w:p w:rsidR="002C41C4" w:rsidP="005C521E" w14:paraId="1BB3D676" w14:textId="356E89A1">
      <w:pPr>
        <w:pStyle w:val="ParaNum"/>
        <w:numPr>
          <w:ilvl w:val="0"/>
          <w:numId w:val="0"/>
        </w:numPr>
        <w:spacing w:after="0"/>
        <w:ind w:left="720"/>
      </w:pPr>
      <w:r>
        <w:t>2050 M Street</w:t>
      </w:r>
      <w:r w:rsidR="00015880">
        <w:t>, NW</w:t>
      </w:r>
    </w:p>
    <w:p w:rsidR="000229FE" w:rsidP="005C521E" w14:paraId="5D372DFB" w14:textId="6CA2AB52">
      <w:pPr>
        <w:pStyle w:val="ParaNum"/>
        <w:numPr>
          <w:ilvl w:val="0"/>
          <w:numId w:val="0"/>
        </w:numPr>
        <w:spacing w:after="0"/>
        <w:ind w:firstLine="720"/>
      </w:pPr>
      <w:r>
        <w:t>Washington, D.C.  200</w:t>
      </w:r>
      <w:r w:rsidR="004B71F3">
        <w:t>3</w:t>
      </w:r>
      <w:r>
        <w:t>6</w:t>
      </w:r>
    </w:p>
    <w:p w:rsidR="000229FE" w:rsidP="005C521E" w14:paraId="28EBD59B" w14:textId="77777777">
      <w:pPr>
        <w:pStyle w:val="ParaNum"/>
        <w:numPr>
          <w:ilvl w:val="0"/>
          <w:numId w:val="0"/>
        </w:numPr>
        <w:spacing w:after="0"/>
        <w:ind w:firstLine="720"/>
      </w:pPr>
    </w:p>
    <w:p w:rsidR="002C41C4" w:rsidP="005C521E" w14:paraId="7A6E6E2D"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6"/>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7"/>
      </w:r>
      <w:r>
        <w:t xml:space="preserve">  An </w:t>
      </w:r>
      <w:r>
        <w:rPr>
          <w:i/>
          <w:iCs/>
        </w:rPr>
        <w:t xml:space="preserve">ex </w:t>
      </w:r>
      <w:r>
        <w:rPr>
          <w:i/>
          <w:iCs/>
        </w:rPr>
        <w:t>parte</w:t>
      </w:r>
      <w:r>
        <w:t xml:space="preserve"> presentation is not prohibited if specifically requested by the Commission or staff for the clarification or adduction of evidence or </w:t>
      </w:r>
      <w:r>
        <w:t>resolution of issues in the proceeding.</w:t>
      </w:r>
      <w:r>
        <w:rPr>
          <w:rStyle w:val="FootnoteReference"/>
        </w:rPr>
        <w:t xml:space="preserve"> </w:t>
      </w:r>
      <w:r>
        <w:rPr>
          <w:rStyle w:val="FootnoteReference"/>
        </w:rPr>
        <w:footnoteReference w:id="28"/>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9"/>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2C41C4" w:rsidP="005C521E" w14:paraId="7985B080"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18D11DF5"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30"/>
      </w:r>
      <w:r>
        <w:t xml:space="preserve"> do not apply to a rulemaking proceeding to amend the DTV Table of Allotments, section 73.622(</w:t>
      </w:r>
      <w:r>
        <w:t>i</w:t>
      </w:r>
      <w:r>
        <w:t>) of the rules.</w:t>
      </w:r>
      <w:r>
        <w:rPr>
          <w:rStyle w:val="FootnoteReference"/>
        </w:rPr>
        <w:footnoteReference w:id="31"/>
      </w:r>
      <w:r>
        <w:t xml:space="preserve">  This document does not contain proposed information collection requirements subject to the Paperwork Reduction Act of 1995.</w:t>
      </w:r>
      <w:r>
        <w:rPr>
          <w:rStyle w:val="FootnoteReference"/>
        </w:rPr>
        <w:footnoteReference w:id="32"/>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33"/>
      </w:r>
    </w:p>
    <w:p w:rsidR="002C41C4" w:rsidP="005C521E" w14:paraId="2976F26F"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533F492A"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3DE6BCFB" w14:textId="77777777">
      <w:pPr>
        <w:pStyle w:val="Heading1"/>
        <w:keepLines/>
        <w:suppressAutoHyphens w:val="0"/>
      </w:pPr>
      <w:r>
        <w:t>Ordering clauses</w:t>
      </w:r>
    </w:p>
    <w:p w:rsidR="002C41C4" w:rsidP="005C521E" w14:paraId="57ECB22A" w14:textId="453318A5">
      <w:pPr>
        <w:pStyle w:val="ParaNum"/>
        <w:keepNext/>
        <w:keepLines/>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Table of Allotments, section 73.622(</w:t>
      </w:r>
      <w:r w:rsidR="005B303E">
        <w:t>j</w:t>
      </w:r>
      <w:r>
        <w:t>) of the rules, 47 CFR § 73.622(</w:t>
      </w:r>
      <w:r w:rsidR="005B303E">
        <w:t>j</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2E7BCBF4" w14:textId="5675D148">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BE25D4">
        <w:rPr>
          <w:szCs w:val="22"/>
        </w:rPr>
        <w:t>2</w:t>
      </w:r>
      <w:r w:rsidR="00D65EE5">
        <w:rPr>
          <w:szCs w:val="22"/>
        </w:rPr>
        <w:t>2</w:t>
      </w:r>
      <w:r w:rsidR="00BE25D4">
        <w:rPr>
          <w:szCs w:val="22"/>
        </w:rPr>
        <w:t>-</w:t>
      </w:r>
      <w:r w:rsidR="00DA3B20">
        <w:rPr>
          <w:szCs w:val="22"/>
        </w:rPr>
        <w:t>146</w:t>
      </w:r>
      <w:r>
        <w:rPr>
          <w:szCs w:val="22"/>
        </w:rPr>
        <w:t xml:space="preserve"> and </w:t>
      </w:r>
      <w:r w:rsidRPr="00B625C0">
        <w:rPr>
          <w:szCs w:val="22"/>
        </w:rPr>
        <w:t>RM-</w:t>
      </w:r>
      <w:r w:rsidR="00BE25D4">
        <w:rPr>
          <w:szCs w:val="22"/>
        </w:rPr>
        <w:t>11</w:t>
      </w:r>
      <w:r w:rsidR="00DA3B20">
        <w:rPr>
          <w:szCs w:val="22"/>
        </w:rPr>
        <w:t>925</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8C1887" w:rsidP="005C521E" w14:paraId="072939AE" w14:textId="3B5EE652">
      <w:pPr>
        <w:pStyle w:val="ParaNum"/>
        <w:rPr>
          <w:szCs w:val="22"/>
        </w:rPr>
      </w:pPr>
      <w:r>
        <w:rPr>
          <w:b/>
          <w:szCs w:val="22"/>
        </w:rPr>
        <w:t xml:space="preserve">IT IS FURTHER ORDERED </w:t>
      </w:r>
      <w:r w:rsidRPr="009971DD">
        <w:rPr>
          <w:bCs/>
          <w:szCs w:val="22"/>
        </w:rPr>
        <w:t>that, the Petition for Rulemaking</w:t>
      </w:r>
      <w:r w:rsidR="001C3312">
        <w:rPr>
          <w:bCs/>
          <w:szCs w:val="22"/>
        </w:rPr>
        <w:t xml:space="preserve"> </w:t>
      </w:r>
      <w:r w:rsidR="00A63D43">
        <w:rPr>
          <w:bCs/>
          <w:szCs w:val="22"/>
        </w:rPr>
        <w:t>and Request for Confidential Treatment and associated information</w:t>
      </w:r>
      <w:r w:rsidR="001C3312">
        <w:rPr>
          <w:bCs/>
          <w:szCs w:val="22"/>
        </w:rPr>
        <w:t xml:space="preserve"> request for confidential treatment</w:t>
      </w:r>
      <w:r w:rsidRPr="009971DD">
        <w:rPr>
          <w:bCs/>
          <w:szCs w:val="22"/>
        </w:rPr>
        <w:t xml:space="preserve"> filed by Gray Television Broadcasting LLC on November 27, 2020 </w:t>
      </w:r>
      <w:r w:rsidRPr="00D15A12" w:rsidR="00A63D43">
        <w:rPr>
          <w:b/>
          <w:szCs w:val="22"/>
        </w:rPr>
        <w:t>ARE</w:t>
      </w:r>
      <w:r w:rsidRPr="00D15A12">
        <w:rPr>
          <w:b/>
          <w:szCs w:val="22"/>
        </w:rPr>
        <w:t xml:space="preserve"> DISMISSED</w:t>
      </w:r>
      <w:r w:rsidRPr="009971DD">
        <w:rPr>
          <w:bCs/>
          <w:szCs w:val="22"/>
        </w:rPr>
        <w:t>.</w:t>
      </w:r>
    </w:p>
    <w:p w:rsidR="002C41C4" w:rsidP="005C521E" w14:paraId="5E4C092F" w14:textId="77777777">
      <w:r>
        <w:tab/>
      </w:r>
      <w:r>
        <w:tab/>
      </w:r>
      <w:r>
        <w:tab/>
      </w:r>
      <w:r>
        <w:tab/>
      </w:r>
      <w:r>
        <w:tab/>
      </w:r>
      <w:r>
        <w:tab/>
        <w:t>FEDERAL COMMUNICATIONS COMMISSION</w:t>
      </w:r>
    </w:p>
    <w:p w:rsidR="002C41C4" w:rsidP="005C521E" w14:paraId="26093D19" w14:textId="77777777"/>
    <w:p w:rsidR="002C41C4" w:rsidP="005C521E" w14:paraId="4B79A692" w14:textId="77777777"/>
    <w:p w:rsidR="002C41C4" w:rsidP="005C521E" w14:paraId="14F81B9D" w14:textId="77777777"/>
    <w:p w:rsidR="002C41C4" w:rsidP="005C521E" w14:paraId="0D481115" w14:textId="77777777"/>
    <w:p w:rsidR="002C41C4" w:rsidP="005C521E" w14:paraId="20C40B34" w14:textId="77777777">
      <w:r>
        <w:tab/>
      </w:r>
      <w:r>
        <w:tab/>
      </w:r>
      <w:r>
        <w:tab/>
      </w:r>
      <w:r>
        <w:tab/>
      </w:r>
      <w:r>
        <w:tab/>
      </w:r>
      <w:r>
        <w:tab/>
        <w:t>Barbara A. Kreisman</w:t>
      </w:r>
    </w:p>
    <w:p w:rsidR="002C41C4" w:rsidP="005C521E" w14:paraId="1BEE82B0" w14:textId="77777777">
      <w:r>
        <w:tab/>
      </w:r>
      <w:r>
        <w:tab/>
      </w:r>
      <w:r>
        <w:tab/>
      </w:r>
      <w:r>
        <w:tab/>
      </w:r>
      <w:r>
        <w:tab/>
      </w:r>
      <w:r>
        <w:tab/>
        <w:t>Chief, Video Division</w:t>
      </w:r>
    </w:p>
    <w:p w:rsidR="00412FC5" w:rsidRPr="002C41C4" w:rsidP="005C521E" w14:paraId="281867A4" w14:textId="77777777">
      <w:r>
        <w:tab/>
      </w:r>
      <w:r>
        <w:tab/>
      </w:r>
      <w:r>
        <w:tab/>
      </w:r>
      <w:r>
        <w:tab/>
      </w:r>
      <w:r>
        <w:tab/>
      </w:r>
      <w:r>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76DB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CB22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2FB31A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3CB5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69E6" w14:paraId="69F22C22" w14:textId="77777777">
      <w:r>
        <w:separator/>
      </w:r>
    </w:p>
  </w:footnote>
  <w:footnote w:type="continuationSeparator" w:id="1">
    <w:p w:rsidR="00AD69E6" w:rsidP="00C721AC" w14:paraId="6C4D2F9F" w14:textId="77777777">
      <w:pPr>
        <w:spacing w:before="120"/>
        <w:rPr>
          <w:sz w:val="20"/>
        </w:rPr>
      </w:pPr>
      <w:r>
        <w:rPr>
          <w:sz w:val="20"/>
        </w:rPr>
        <w:t xml:space="preserve">(Continued from previous page)  </w:t>
      </w:r>
      <w:r>
        <w:rPr>
          <w:sz w:val="20"/>
        </w:rPr>
        <w:separator/>
      </w:r>
    </w:p>
  </w:footnote>
  <w:footnote w:type="continuationNotice" w:id="2">
    <w:p w:rsidR="00AD69E6" w:rsidP="00C721AC" w14:paraId="7FD615A7" w14:textId="77777777">
      <w:pPr>
        <w:jc w:val="right"/>
        <w:rPr>
          <w:sz w:val="20"/>
        </w:rPr>
      </w:pPr>
      <w:r>
        <w:rPr>
          <w:sz w:val="20"/>
        </w:rPr>
        <w:t>(continued….)</w:t>
      </w:r>
    </w:p>
  </w:footnote>
  <w:footnote w:id="3">
    <w:p w:rsidR="00982D42" w:rsidRPr="00FE601A" w:rsidP="00FE601A" w14:paraId="47F7ED4E" w14:textId="49690077">
      <w:pPr>
        <w:rPr>
          <w:snapToGrid/>
          <w:kern w:val="0"/>
          <w:szCs w:val="22"/>
        </w:rPr>
      </w:pPr>
      <w:r>
        <w:rPr>
          <w:rStyle w:val="FootnoteReference"/>
        </w:rPr>
        <w:footnoteRef/>
      </w:r>
      <w:r>
        <w:t xml:space="preserve"> </w:t>
      </w:r>
      <w:r w:rsidRPr="00FE601A">
        <w:rPr>
          <w:sz w:val="20"/>
        </w:rPr>
        <w:t xml:space="preserve">Petition of </w:t>
      </w:r>
      <w:r w:rsidRPr="00FE601A" w:rsidR="00081CC3">
        <w:rPr>
          <w:sz w:val="20"/>
        </w:rPr>
        <w:t>Gray Television Licensee</w:t>
      </w:r>
      <w:r w:rsidRPr="00FE601A">
        <w:rPr>
          <w:sz w:val="20"/>
        </w:rPr>
        <w:t>, LLC for Rulemaking (filed</w:t>
      </w:r>
      <w:r w:rsidRPr="00FE601A" w:rsidR="003975D4">
        <w:rPr>
          <w:sz w:val="20"/>
        </w:rPr>
        <w:t xml:space="preserve"> </w:t>
      </w:r>
      <w:r w:rsidRPr="00FE601A" w:rsidR="00E256F0">
        <w:rPr>
          <w:sz w:val="20"/>
        </w:rPr>
        <w:t>Nov. 27</w:t>
      </w:r>
      <w:r w:rsidRPr="00FE601A">
        <w:rPr>
          <w:sz w:val="20"/>
        </w:rPr>
        <w:t>, 202</w:t>
      </w:r>
      <w:r w:rsidRPr="00FE601A" w:rsidR="00E256F0">
        <w:rPr>
          <w:sz w:val="20"/>
        </w:rPr>
        <w:t>0</w:t>
      </w:r>
      <w:r w:rsidRPr="00FE601A">
        <w:rPr>
          <w:sz w:val="20"/>
        </w:rPr>
        <w:t>, LMS File No. 0000</w:t>
      </w:r>
      <w:r w:rsidRPr="00FE601A" w:rsidR="006D3A52">
        <w:rPr>
          <w:sz w:val="20"/>
        </w:rPr>
        <w:t>12752</w:t>
      </w:r>
      <w:r w:rsidRPr="00FE601A" w:rsidR="00E256F0">
        <w:rPr>
          <w:sz w:val="20"/>
        </w:rPr>
        <w:t>2</w:t>
      </w:r>
      <w:r w:rsidRPr="00FE601A" w:rsidR="00B27CC9">
        <w:rPr>
          <w:sz w:val="20"/>
        </w:rPr>
        <w:t>)</w:t>
      </w:r>
      <w:r w:rsidRPr="00FE601A" w:rsidR="00E256F0">
        <w:rPr>
          <w:sz w:val="20"/>
        </w:rPr>
        <w:t>(the November 2020 Petition)</w:t>
      </w:r>
      <w:r w:rsidRPr="00FE601A">
        <w:rPr>
          <w:sz w:val="20"/>
        </w:rPr>
        <w:t xml:space="preserve">.  </w:t>
      </w:r>
      <w:r w:rsidRPr="00FE601A" w:rsidR="004375E9">
        <w:rPr>
          <w:sz w:val="20"/>
        </w:rPr>
        <w:t>Gray requested confidential treatment for certain information contained in the November 2020 Petition pursuant to sections 0.459 and 0.457 of the Commission’s rules</w:t>
      </w:r>
      <w:r w:rsidR="004C0CEA">
        <w:rPr>
          <w:sz w:val="20"/>
        </w:rPr>
        <w:t xml:space="preserve"> (rules)</w:t>
      </w:r>
      <w:r w:rsidRPr="00FE601A" w:rsidR="004375E9">
        <w:rPr>
          <w:sz w:val="20"/>
        </w:rPr>
        <w:t>, 47 CF</w:t>
      </w:r>
      <w:r w:rsidRPr="00FE601A" w:rsidR="00FE601A">
        <w:rPr>
          <w:sz w:val="20"/>
        </w:rPr>
        <w:t>R</w:t>
      </w:r>
      <w:r w:rsidRPr="00FE601A" w:rsidR="004375E9">
        <w:rPr>
          <w:sz w:val="20"/>
        </w:rPr>
        <w:t xml:space="preserve"> §§ 0.457, 0.459</w:t>
      </w:r>
      <w:r w:rsidR="003A7C38">
        <w:rPr>
          <w:sz w:val="20"/>
        </w:rPr>
        <w:t>,</w:t>
      </w:r>
      <w:r w:rsidRPr="00FE601A" w:rsidR="004375E9">
        <w:rPr>
          <w:sz w:val="20"/>
        </w:rPr>
        <w:t xml:space="preserve"> </w:t>
      </w:r>
      <w:r w:rsidRPr="00FE601A" w:rsidR="00260174">
        <w:rPr>
          <w:sz w:val="20"/>
        </w:rPr>
        <w:t xml:space="preserve">and the Freedom of Information Act, </w:t>
      </w:r>
      <w:r w:rsidRPr="00FE601A" w:rsidR="004375E9">
        <w:rPr>
          <w:sz w:val="20"/>
        </w:rPr>
        <w:t>5 U.S.C. § 552</w:t>
      </w:r>
      <w:r w:rsidRPr="00FE601A" w:rsidR="00260174">
        <w:rPr>
          <w:sz w:val="20"/>
        </w:rPr>
        <w:t>.</w:t>
      </w:r>
      <w:r w:rsidRPr="00FE601A" w:rsidR="004375E9">
        <w:rPr>
          <w:sz w:val="20"/>
        </w:rPr>
        <w:t> </w:t>
      </w:r>
      <w:r w:rsidR="006724BB">
        <w:rPr>
          <w:sz w:val="20"/>
        </w:rPr>
        <w:t xml:space="preserve"> </w:t>
      </w:r>
      <w:r w:rsidRPr="00FE601A" w:rsidR="00FE601A">
        <w:rPr>
          <w:sz w:val="20"/>
        </w:rPr>
        <w:t>Gray</w:t>
      </w:r>
      <w:r w:rsidRPr="00FE601A" w:rsidR="00C05C39">
        <w:rPr>
          <w:sz w:val="20"/>
        </w:rPr>
        <w:t xml:space="preserve"> amended on </w:t>
      </w:r>
      <w:r w:rsidRPr="00FE601A" w:rsidR="00E256F0">
        <w:rPr>
          <w:sz w:val="20"/>
        </w:rPr>
        <w:t>February</w:t>
      </w:r>
      <w:r w:rsidRPr="00FE601A" w:rsidR="00C05C39">
        <w:rPr>
          <w:sz w:val="20"/>
        </w:rPr>
        <w:t xml:space="preserve"> </w:t>
      </w:r>
      <w:r w:rsidRPr="00FE601A" w:rsidR="006D3A52">
        <w:rPr>
          <w:sz w:val="20"/>
        </w:rPr>
        <w:t>10</w:t>
      </w:r>
      <w:r w:rsidRPr="00FE601A" w:rsidR="00C05C39">
        <w:rPr>
          <w:sz w:val="20"/>
        </w:rPr>
        <w:t>, 2022 to</w:t>
      </w:r>
      <w:r w:rsidRPr="00FE601A" w:rsidR="002F7169">
        <w:rPr>
          <w:sz w:val="20"/>
        </w:rPr>
        <w:t xml:space="preserve"> </w:t>
      </w:r>
      <w:r w:rsidRPr="00FE601A" w:rsidR="00E256F0">
        <w:rPr>
          <w:sz w:val="20"/>
        </w:rPr>
        <w:t xml:space="preserve">provide a supplemental engineering </w:t>
      </w:r>
      <w:r w:rsidRPr="00FE601A" w:rsidR="002030FD">
        <w:rPr>
          <w:sz w:val="20"/>
        </w:rPr>
        <w:t>s</w:t>
      </w:r>
      <w:r w:rsidRPr="00FE601A" w:rsidR="00E256F0">
        <w:rPr>
          <w:sz w:val="20"/>
        </w:rPr>
        <w:t>ta</w:t>
      </w:r>
      <w:r w:rsidRPr="00FE601A" w:rsidR="002030FD">
        <w:rPr>
          <w:sz w:val="20"/>
        </w:rPr>
        <w:t>tement</w:t>
      </w:r>
      <w:r w:rsidRPr="00FE601A" w:rsidR="00E256F0">
        <w:rPr>
          <w:sz w:val="20"/>
        </w:rPr>
        <w:t xml:space="preserve"> with a further analysis of the population served by the proposed channel 30 facility</w:t>
      </w:r>
      <w:r w:rsidR="006724BB">
        <w:rPr>
          <w:sz w:val="20"/>
        </w:rPr>
        <w:t xml:space="preserve"> and low power television stations</w:t>
      </w:r>
      <w:r w:rsidR="004C0CEA">
        <w:rPr>
          <w:sz w:val="20"/>
        </w:rPr>
        <w:t xml:space="preserve"> (LPTV)</w:t>
      </w:r>
      <w:r w:rsidR="006724BB">
        <w:rPr>
          <w:sz w:val="20"/>
        </w:rPr>
        <w:t xml:space="preserve"> acquired by Gray</w:t>
      </w:r>
      <w:r w:rsidRPr="00FE601A" w:rsidR="00E256F0">
        <w:rPr>
          <w:sz w:val="20"/>
        </w:rPr>
        <w:t>.</w:t>
      </w:r>
      <w:r w:rsidR="003A7C38">
        <w:rPr>
          <w:sz w:val="20"/>
        </w:rPr>
        <w:t xml:space="preserve">  </w:t>
      </w:r>
      <w:r w:rsidRPr="00FE601A" w:rsidR="00E256F0">
        <w:rPr>
          <w:sz w:val="20"/>
        </w:rPr>
        <w:t>(</w:t>
      </w:r>
      <w:r w:rsidRPr="00FE601A" w:rsidR="00291606">
        <w:rPr>
          <w:sz w:val="20"/>
        </w:rPr>
        <w:t xml:space="preserve">Amended </w:t>
      </w:r>
      <w:r w:rsidR="0083640E">
        <w:rPr>
          <w:sz w:val="20"/>
        </w:rPr>
        <w:t xml:space="preserve">Petition and </w:t>
      </w:r>
      <w:r w:rsidR="00127E32">
        <w:rPr>
          <w:sz w:val="20"/>
        </w:rPr>
        <w:t xml:space="preserve">Supplemental </w:t>
      </w:r>
      <w:r w:rsidRPr="00FE601A" w:rsidR="009C5DB5">
        <w:rPr>
          <w:sz w:val="20"/>
        </w:rPr>
        <w:t>Engineering Statement).</w:t>
      </w:r>
      <w:r w:rsidRPr="00FE601A" w:rsidR="00E256F0">
        <w:rPr>
          <w:sz w:val="20"/>
        </w:rPr>
        <w:t xml:space="preserve">  </w:t>
      </w:r>
      <w:r w:rsidR="0083640E">
        <w:rPr>
          <w:sz w:val="20"/>
        </w:rPr>
        <w:t>Because th</w:t>
      </w:r>
      <w:r w:rsidRPr="00FE601A" w:rsidR="00F365C6">
        <w:rPr>
          <w:sz w:val="20"/>
        </w:rPr>
        <w:t>e Amended Petition</w:t>
      </w:r>
      <w:r w:rsidR="0083640E">
        <w:rPr>
          <w:sz w:val="20"/>
        </w:rPr>
        <w:t xml:space="preserve"> and </w:t>
      </w:r>
      <w:r w:rsidR="00127E32">
        <w:rPr>
          <w:sz w:val="20"/>
        </w:rPr>
        <w:t xml:space="preserve">Supplemental </w:t>
      </w:r>
      <w:r w:rsidR="0083640E">
        <w:rPr>
          <w:sz w:val="20"/>
        </w:rPr>
        <w:t>Engineering Statement</w:t>
      </w:r>
      <w:r w:rsidRPr="00FE601A" w:rsidR="00F365C6">
        <w:rPr>
          <w:sz w:val="20"/>
        </w:rPr>
        <w:t xml:space="preserve"> does not include</w:t>
      </w:r>
      <w:r w:rsidR="00B5445E">
        <w:rPr>
          <w:sz w:val="20"/>
        </w:rPr>
        <w:t xml:space="preserve"> the confidential information or the legal and economic arguments on which it was based, we are dismissing</w:t>
      </w:r>
      <w:r w:rsidRPr="00FE601A" w:rsidR="00E256F0">
        <w:rPr>
          <w:sz w:val="20"/>
        </w:rPr>
        <w:t xml:space="preserve"> the Nov</w:t>
      </w:r>
      <w:r w:rsidRPr="0083640E" w:rsidR="00FE601A">
        <w:rPr>
          <w:sz w:val="20"/>
        </w:rPr>
        <w:t>ember 2020 Petition</w:t>
      </w:r>
      <w:r w:rsidRPr="00FE601A" w:rsidR="00E256F0">
        <w:rPr>
          <w:sz w:val="20"/>
        </w:rPr>
        <w:t>.</w:t>
      </w:r>
      <w:r w:rsidRPr="00FE601A" w:rsidR="00A74CF4">
        <w:rPr>
          <w:sz w:val="20"/>
        </w:rPr>
        <w:t xml:space="preserve"> </w:t>
      </w:r>
    </w:p>
    <w:p w:rsidR="001B273C" w:rsidRPr="00FE601A" w:rsidP="00291606" w14:paraId="2201D057" w14:textId="77777777">
      <w:pPr>
        <w:widowControl/>
        <w:autoSpaceDE w:val="0"/>
        <w:autoSpaceDN w:val="0"/>
        <w:adjustRightInd w:val="0"/>
        <w:rPr>
          <w:szCs w:val="22"/>
        </w:rPr>
      </w:pPr>
    </w:p>
  </w:footnote>
  <w:footnote w:id="4">
    <w:p w:rsidR="002C41C4" w:rsidP="005C521E" w14:paraId="5A4FC282" w14:textId="6C31408B">
      <w:pPr>
        <w:spacing w:after="120"/>
        <w:rPr>
          <w:sz w:val="20"/>
        </w:rPr>
      </w:pPr>
      <w:r>
        <w:rPr>
          <w:rStyle w:val="FootnoteReference"/>
        </w:rPr>
        <w:footnoteRef/>
      </w:r>
      <w:r w:rsidR="009C5DB5">
        <w:rPr>
          <w:sz w:val="20"/>
        </w:rPr>
        <w:t xml:space="preserve"> </w:t>
      </w:r>
      <w:r w:rsidR="00C05C39">
        <w:rPr>
          <w:sz w:val="20"/>
        </w:rPr>
        <w:t>47 CFR § 73.622(j)</w:t>
      </w:r>
      <w:r>
        <w:rPr>
          <w:sz w:val="20"/>
        </w:rPr>
        <w:t>.</w:t>
      </w:r>
    </w:p>
  </w:footnote>
  <w:footnote w:id="5">
    <w:p w:rsidR="001B273C" w14:paraId="04B253E9" w14:textId="32459B7D">
      <w:pPr>
        <w:pStyle w:val="FootnoteText"/>
      </w:pPr>
      <w:r>
        <w:rPr>
          <w:rStyle w:val="FootnoteReference"/>
        </w:rPr>
        <w:footnoteRef/>
      </w:r>
      <w:r>
        <w:t xml:space="preserve"> </w:t>
      </w:r>
      <w:r w:rsidR="003F7607">
        <w:t xml:space="preserve">Amended Petition at </w:t>
      </w:r>
      <w:r w:rsidR="00127E32">
        <w:t>3</w:t>
      </w:r>
      <w:r w:rsidR="003F7607">
        <w:t>.</w:t>
      </w:r>
    </w:p>
  </w:footnote>
  <w:footnote w:id="6">
    <w:p w:rsidR="003F7607" w14:paraId="661F2511" w14:textId="09FC3AF8">
      <w:pPr>
        <w:pStyle w:val="FootnoteText"/>
      </w:pPr>
      <w:r>
        <w:rPr>
          <w:rStyle w:val="FootnoteReference"/>
        </w:rPr>
        <w:footnoteRef/>
      </w:r>
      <w:r>
        <w:t xml:space="preserve"> </w:t>
      </w:r>
      <w:r w:rsidRPr="003F7607">
        <w:rPr>
          <w:i/>
          <w:iCs/>
        </w:rPr>
        <w:t>Id</w:t>
      </w:r>
      <w:r>
        <w:t xml:space="preserve">. at </w:t>
      </w:r>
      <w:r w:rsidR="006A464B">
        <w:t>3</w:t>
      </w:r>
      <w:r>
        <w:t xml:space="preserve">, citing </w:t>
      </w:r>
      <w:r>
        <w:rPr>
          <w:i/>
          <w:iCs/>
        </w:rPr>
        <w:t>Innovation in the Broadcast Television Bands: Allocations, Channel Sharing and Improvements to VHF</w:t>
      </w:r>
      <w:r>
        <w:t xml:space="preserve">, ET Docket No. 10-235, Notice of Proposed Rulemaking, 25 FCC </w:t>
      </w:r>
      <w:r>
        <w:t>Rcd</w:t>
      </w:r>
      <w:r>
        <w:t xml:space="preserve"> 16498, 16511, para. 42 (2010).</w:t>
      </w:r>
    </w:p>
  </w:footnote>
  <w:footnote w:id="7">
    <w:p w:rsidR="000A7C1B" w14:paraId="6FD0EC2E" w14:textId="4AD5ED5C">
      <w:pPr>
        <w:pStyle w:val="FootnoteText"/>
      </w:pPr>
      <w:r>
        <w:rPr>
          <w:rStyle w:val="FootnoteReference"/>
        </w:rPr>
        <w:footnoteRef/>
      </w:r>
      <w:r>
        <w:t xml:space="preserve"> These stations are WTVA, channel 11, Tupelo, Mississippi, licensed to Mississippi TV License Company LLC; KAIT, channel 27, Jonesboro, Arkansas, licensed to the Petitioner; and  WNBJ-LD, channel 16, Jackson, Tennessee, licensed to CTT Licensee LLC.  Supplemental Engineering Exhibit, Figures 2, 3.  The Petitioner also recently acquired LPTV stations WANF-LD, channel 32 (LMS File No. 0000184303); WDDY-LD, channel 15 (LMS File No. 0000184301); and W20DW-D, channel 20 (LMS File No. 0000168111) and filed minor modification applications to engineer the stations to better serve the loss areas</w:t>
      </w:r>
      <w:r w:rsidR="00870831">
        <w:t xml:space="preserve"> created by its proposal</w:t>
      </w:r>
      <w:r>
        <w:t xml:space="preserve">.  </w:t>
      </w:r>
      <w:r w:rsidRPr="00AE6FC0">
        <w:rPr>
          <w:i/>
          <w:iCs/>
        </w:rPr>
        <w:t>See</w:t>
      </w:r>
      <w:r>
        <w:t xml:space="preserve"> Supplemental Engineering Statement at 1-2.  While these low power television stations, including WNBJ-LD, are secondary, and </w:t>
      </w:r>
      <w:r w:rsidRPr="00570F7A">
        <w:t xml:space="preserve">can be displaced </w:t>
      </w:r>
      <w:r>
        <w:t>by minor modifications proposed by currently licensed full power television stations or new television station allotments,</w:t>
      </w:r>
      <w:r w:rsidRPr="00570F7A">
        <w:t xml:space="preserve"> we believe</w:t>
      </w:r>
      <w:r>
        <w:t xml:space="preserve"> that </w:t>
      </w:r>
      <w:r w:rsidRPr="00570F7A">
        <w:t>it is unlikely that these stations would be displaced, and if they were</w:t>
      </w:r>
      <w:r>
        <w:t>,</w:t>
      </w:r>
      <w:r w:rsidRPr="00570F7A">
        <w:t xml:space="preserve"> </w:t>
      </w:r>
      <w:r>
        <w:t>the licensees would be able to find displacement channels for them.</w:t>
      </w:r>
    </w:p>
  </w:footnote>
  <w:footnote w:id="8">
    <w:p w:rsidR="00896A8C" w14:paraId="526DC812" w14:textId="77319DD7">
      <w:pPr>
        <w:pStyle w:val="FootnoteText"/>
      </w:pPr>
      <w:r>
        <w:rPr>
          <w:rStyle w:val="FootnoteReference"/>
        </w:rPr>
        <w:footnoteRef/>
      </w:r>
      <w:r>
        <w:t xml:space="preserve"> Supplemental Engineering Statement at 3.</w:t>
      </w:r>
      <w:r w:rsidR="000A7C1B">
        <w:t xml:space="preserve">  </w:t>
      </w:r>
    </w:p>
  </w:footnote>
  <w:footnote w:id="9">
    <w:p w:rsidR="006B0EC2" w:rsidRPr="00AB1DF8" w:rsidP="00D15A12" w14:paraId="4BA3996A" w14:textId="731C7C07">
      <w:pPr>
        <w:pStyle w:val="FootnoteText"/>
        <w:widowControl w:val="0"/>
      </w:pPr>
      <w:r w:rsidRPr="00AB1DF8">
        <w:rPr>
          <w:rStyle w:val="FootnoteReference"/>
        </w:rPr>
        <w:footnoteRef/>
      </w:r>
      <w:r w:rsidRPr="00AB1DF8">
        <w:t xml:space="preserve"> Amended Petition at </w:t>
      </w:r>
      <w:r w:rsidRPr="00AB1DF8" w:rsidR="003A7BF4">
        <w:t>5</w:t>
      </w:r>
      <w:r w:rsidRPr="00AB1DF8">
        <w:t xml:space="preserve">; </w:t>
      </w:r>
      <w:r w:rsidRPr="00AB1DF8" w:rsidR="00CC23A8">
        <w:t>Supplemental</w:t>
      </w:r>
      <w:r w:rsidRPr="00AB1DF8">
        <w:t xml:space="preserve"> Engineering Statement at</w:t>
      </w:r>
      <w:r w:rsidRPr="00AB1DF8" w:rsidR="003A7BF4">
        <w:t xml:space="preserve"> 4-5, Figure 3.</w:t>
      </w:r>
      <w:r w:rsidRPr="00AB1DF8" w:rsidR="00DE2477">
        <w:t xml:space="preserve">  </w:t>
      </w:r>
      <w:r w:rsidR="00AB1DF8">
        <w:t xml:space="preserve">The Commission has previously stated that it is “generally most concerned where there is a loss of an area’s only network or NCE TV service, or where the loss results in an area becoming less that well-served, i.e., served by fewer than five full-power stations.” </w:t>
      </w:r>
      <w:r w:rsidRPr="001D25F4" w:rsidR="00AB1DF8">
        <w:rPr>
          <w:i/>
          <w:iCs/>
        </w:rPr>
        <w:t>Third Periodic Review of the Commission’s Rules and Policies Affecting the Conversion to Digital Television</w:t>
      </w:r>
      <w:r w:rsidRPr="001D25F4" w:rsidR="00AB1DF8">
        <w:t xml:space="preserve">, </w:t>
      </w:r>
      <w:r w:rsidR="00AB1DF8">
        <w:t xml:space="preserve">MB </w:t>
      </w:r>
      <w:r w:rsidRPr="001D25F4" w:rsidR="00AB1DF8">
        <w:t xml:space="preserve">Docket No. </w:t>
      </w:r>
      <w:r w:rsidR="00AB1DF8">
        <w:t>07-91</w:t>
      </w:r>
      <w:r w:rsidRPr="001D25F4" w:rsidR="00AB1DF8">
        <w:t xml:space="preserve">, Notice of Proposed Rulemaking, 22 FCC </w:t>
      </w:r>
      <w:r w:rsidRPr="001D25F4" w:rsidR="00AB1DF8">
        <w:t>Rcd</w:t>
      </w:r>
      <w:r w:rsidRPr="001D25F4" w:rsidR="00AB1DF8">
        <w:t xml:space="preserve"> 9478, 9493, para. 38</w:t>
      </w:r>
      <w:r w:rsidR="00AB1DF8">
        <w:t xml:space="preserve"> </w:t>
      </w:r>
      <w:r w:rsidRPr="001D25F4" w:rsidR="00AB1DF8">
        <w:t>(2007</w:t>
      </w:r>
      <w:r w:rsidR="00AB1DF8">
        <w:t xml:space="preserve">).  </w:t>
      </w:r>
    </w:p>
  </w:footnote>
  <w:footnote w:id="10">
    <w:p w:rsidR="00C81CAC" w14:paraId="5003FBFA" w14:textId="15D3C9C1">
      <w:pPr>
        <w:pStyle w:val="FootnoteText"/>
      </w:pPr>
      <w:r>
        <w:rPr>
          <w:rStyle w:val="FootnoteReference"/>
        </w:rPr>
        <w:footnoteRef/>
      </w:r>
      <w:r>
        <w:t xml:space="preserve"> </w:t>
      </w:r>
      <w:r w:rsidRPr="00AB1DF8" w:rsidR="006C717D">
        <w:t>Amended Petition at 5</w:t>
      </w:r>
      <w:r w:rsidR="00AD69E6">
        <w:t>.</w:t>
      </w:r>
    </w:p>
  </w:footnote>
  <w:footnote w:id="11">
    <w:p w:rsidR="002C41C4" w:rsidP="005C521E" w14:paraId="31E88872" w14:textId="5C460295">
      <w:pPr>
        <w:pStyle w:val="FootnoteText"/>
        <w:widowControl w:val="0"/>
      </w:pPr>
      <w:r>
        <w:rPr>
          <w:rStyle w:val="FootnoteReference"/>
        </w:rPr>
        <w:footnoteRef/>
      </w:r>
      <w:r>
        <w:t xml:space="preserve"> 47 CFR § 73.625(a).</w:t>
      </w:r>
      <w:bookmarkStart w:id="0" w:name="SR;334"/>
      <w:bookmarkEnd w:id="0"/>
    </w:p>
  </w:footnote>
  <w:footnote w:id="12">
    <w:p w:rsidR="002C41C4" w:rsidP="005C521E" w14:paraId="40C746C5" w14:textId="77777777">
      <w:pPr>
        <w:pStyle w:val="FootnoteText"/>
        <w:widowControl w:val="0"/>
      </w:pPr>
      <w:r>
        <w:rPr>
          <w:rStyle w:val="FootnoteReference"/>
        </w:rPr>
        <w:footnoteRef/>
      </w:r>
      <w:r>
        <w:t xml:space="preserve"> 47 CFR §§ 73.616, 73.623.</w:t>
      </w:r>
    </w:p>
  </w:footnote>
  <w:footnote w:id="13">
    <w:p w:rsidR="008177CF" w:rsidRPr="00514AEA" w14:paraId="37F2C6BD" w14:textId="7FE02845">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s).</w:t>
      </w:r>
      <w:r w:rsidR="00514AEA">
        <w:rPr>
          <w:i/>
          <w:iCs/>
        </w:rPr>
        <w:t xml:space="preserve">  </w:t>
      </w:r>
      <w:r w:rsidR="002F79E2">
        <w:t xml:space="preserve">Moreover, the Commission has previously stated that it is “generally most concerned where there is a loss of an area’s only network or NCE TV service, or where the loss results in an area becoming less that well-served, i.e., served by fewer than five full-power stations.” </w:t>
      </w:r>
      <w:r w:rsidRPr="001D25F4" w:rsidR="002F79E2">
        <w:rPr>
          <w:i/>
          <w:iCs/>
        </w:rPr>
        <w:t>Third Periodic Review of the Commission’s Rules and Policies Affecting the Conversion to Digital Television</w:t>
      </w:r>
      <w:r w:rsidRPr="001D25F4" w:rsidR="002F79E2">
        <w:t xml:space="preserve">, </w:t>
      </w:r>
      <w:r w:rsidR="002F79E2">
        <w:t xml:space="preserve">MB </w:t>
      </w:r>
      <w:r w:rsidRPr="001D25F4" w:rsidR="002F79E2">
        <w:t xml:space="preserve">Docket No. </w:t>
      </w:r>
      <w:r w:rsidR="002F79E2">
        <w:t>07-91</w:t>
      </w:r>
      <w:r w:rsidRPr="001D25F4" w:rsidR="002F79E2">
        <w:t xml:space="preserve">, Notice of Proposed Rulemaking, 22 FCC </w:t>
      </w:r>
      <w:r w:rsidRPr="001D25F4" w:rsidR="002F79E2">
        <w:t>Rcd</w:t>
      </w:r>
      <w:r w:rsidRPr="001D25F4" w:rsidR="002F79E2">
        <w:t xml:space="preserve"> 9478, 9493, para. 38</w:t>
      </w:r>
      <w:r w:rsidR="002F79E2">
        <w:t xml:space="preserve"> </w:t>
      </w:r>
      <w:r w:rsidRPr="001D25F4" w:rsidR="002F79E2">
        <w:t>(2007</w:t>
      </w:r>
      <w:r w:rsidR="002F79E2">
        <w:t xml:space="preserve">).  </w:t>
      </w:r>
    </w:p>
  </w:footnote>
  <w:footnote w:id="14">
    <w:p w:rsidR="00AB1DF8" w:rsidP="001D0263" w14:paraId="0F43E23C" w14:textId="1AB64566">
      <w:r>
        <w:rPr>
          <w:rStyle w:val="FootnoteReference"/>
        </w:rPr>
        <w:footnoteRef/>
      </w:r>
      <w:r>
        <w:t xml:space="preserve"> </w:t>
      </w:r>
      <w:r w:rsidRPr="001D0263" w:rsidR="00A90A60">
        <w:rPr>
          <w:sz w:val="20"/>
        </w:rPr>
        <w:t>T</w:t>
      </w:r>
      <w:r w:rsidRPr="001D0263" w:rsidR="00A90A60">
        <w:rPr>
          <w:color w:val="000000"/>
          <w:sz w:val="20"/>
        </w:rPr>
        <w:t xml:space="preserve">he </w:t>
      </w:r>
      <w:r w:rsidRPr="00A90A60" w:rsidR="00A90A60">
        <w:rPr>
          <w:color w:val="000000"/>
          <w:sz w:val="20"/>
        </w:rPr>
        <w:t>Supplemental</w:t>
      </w:r>
      <w:r w:rsidRPr="001D0263" w:rsidR="00A90A60">
        <w:rPr>
          <w:color w:val="000000"/>
          <w:sz w:val="20"/>
        </w:rPr>
        <w:t xml:space="preserve"> Engineering Statement shows that the loss area is </w:t>
      </w:r>
      <w:r w:rsidRPr="00A90A60" w:rsidR="00A90A60">
        <w:rPr>
          <w:color w:val="000000"/>
          <w:sz w:val="20"/>
        </w:rPr>
        <w:t xml:space="preserve">also </w:t>
      </w:r>
      <w:r w:rsidRPr="001D0263" w:rsidR="00A90A60">
        <w:rPr>
          <w:color w:val="000000"/>
          <w:sz w:val="20"/>
        </w:rPr>
        <w:t xml:space="preserve">partially overlapped </w:t>
      </w:r>
      <w:r w:rsidRPr="00A90A60" w:rsidR="00A90A60">
        <w:rPr>
          <w:color w:val="000000"/>
          <w:sz w:val="20"/>
        </w:rPr>
        <w:t xml:space="preserve">by </w:t>
      </w:r>
      <w:r w:rsidRPr="001D0263" w:rsidR="00A90A60">
        <w:rPr>
          <w:color w:val="000000"/>
          <w:sz w:val="20"/>
        </w:rPr>
        <w:t>the noise</w:t>
      </w:r>
      <w:r w:rsidRPr="00A90A60" w:rsidR="00A90A60">
        <w:rPr>
          <w:color w:val="000000"/>
          <w:sz w:val="20"/>
        </w:rPr>
        <w:t>-</w:t>
      </w:r>
      <w:r w:rsidRPr="001D0263" w:rsidR="00A90A60">
        <w:rPr>
          <w:color w:val="000000"/>
          <w:sz w:val="20"/>
        </w:rPr>
        <w:t xml:space="preserve">limited contours of </w:t>
      </w:r>
      <w:r w:rsidRPr="00A90A60" w:rsidR="00A90A60">
        <w:rPr>
          <w:color w:val="000000"/>
          <w:sz w:val="20"/>
        </w:rPr>
        <w:t>television stations WLJT-DT (PBS) Lexington, T</w:t>
      </w:r>
      <w:r w:rsidR="00A90A60">
        <w:rPr>
          <w:color w:val="000000"/>
          <w:sz w:val="20"/>
        </w:rPr>
        <w:t>ennessee</w:t>
      </w:r>
      <w:r w:rsidRPr="00A90A60" w:rsidR="00A90A60">
        <w:rPr>
          <w:color w:val="000000"/>
          <w:sz w:val="20"/>
        </w:rPr>
        <w:t>; WBBJ</w:t>
      </w:r>
      <w:r w:rsidRPr="001D0263" w:rsidR="00A90A60">
        <w:rPr>
          <w:color w:val="000000"/>
          <w:sz w:val="20"/>
        </w:rPr>
        <w:t>-TV (ABC/</w:t>
      </w:r>
      <w:r w:rsidRPr="00A90A60" w:rsidR="00A90A60">
        <w:rPr>
          <w:color w:val="000000"/>
          <w:sz w:val="20"/>
        </w:rPr>
        <w:t>CBS)</w:t>
      </w:r>
      <w:r w:rsidRPr="001D0263" w:rsidR="00A90A60">
        <w:rPr>
          <w:color w:val="000000"/>
          <w:sz w:val="20"/>
        </w:rPr>
        <w:t xml:space="preserve"> and </w:t>
      </w:r>
      <w:r w:rsidRPr="00A90A60" w:rsidR="00A90A60">
        <w:rPr>
          <w:color w:val="000000"/>
          <w:sz w:val="20"/>
        </w:rPr>
        <w:t>WJKT (FOX) Jackson, T</w:t>
      </w:r>
      <w:r w:rsidR="00A90A60">
        <w:rPr>
          <w:color w:val="000000"/>
          <w:sz w:val="20"/>
        </w:rPr>
        <w:t>ennessee</w:t>
      </w:r>
      <w:r w:rsidRPr="00A90A60" w:rsidR="00A90A60">
        <w:rPr>
          <w:color w:val="000000"/>
          <w:sz w:val="20"/>
        </w:rPr>
        <w:t>; WMAE-TV (PBS) Booneville, M</w:t>
      </w:r>
      <w:r w:rsidR="00A90A60">
        <w:rPr>
          <w:color w:val="000000"/>
          <w:sz w:val="20"/>
        </w:rPr>
        <w:t>ississippi</w:t>
      </w:r>
      <w:r w:rsidRPr="00A90A60" w:rsidR="00A90A60">
        <w:rPr>
          <w:color w:val="000000"/>
          <w:sz w:val="20"/>
        </w:rPr>
        <w:t>; WMAV-TV (PBS) Oxford, M</w:t>
      </w:r>
      <w:r w:rsidR="00A90A60">
        <w:rPr>
          <w:color w:val="000000"/>
          <w:sz w:val="20"/>
        </w:rPr>
        <w:t>ississippi</w:t>
      </w:r>
      <w:r w:rsidRPr="00A90A60" w:rsidR="00A90A60">
        <w:rPr>
          <w:color w:val="000000"/>
          <w:sz w:val="20"/>
        </w:rPr>
        <w:t>; WMAO</w:t>
      </w:r>
      <w:r w:rsidRPr="001D0263" w:rsidR="00A90A60">
        <w:rPr>
          <w:color w:val="000000"/>
          <w:sz w:val="20"/>
        </w:rPr>
        <w:t xml:space="preserve">-TV (PBS) and </w:t>
      </w:r>
      <w:r w:rsidRPr="00A90A60" w:rsidR="00A90A60">
        <w:rPr>
          <w:color w:val="000000"/>
          <w:sz w:val="20"/>
        </w:rPr>
        <w:t>WABG-TV (ABC/FOX) Greenwood, M</w:t>
      </w:r>
      <w:r w:rsidR="00A90A60">
        <w:rPr>
          <w:color w:val="000000"/>
          <w:sz w:val="20"/>
        </w:rPr>
        <w:t>ississippi</w:t>
      </w:r>
      <w:r w:rsidRPr="001D0263" w:rsidR="00A90A60">
        <w:rPr>
          <w:color w:val="000000"/>
          <w:sz w:val="20"/>
        </w:rPr>
        <w:t xml:space="preserve">; and </w:t>
      </w:r>
      <w:r w:rsidRPr="00A90A60" w:rsidR="00A90A60">
        <w:rPr>
          <w:color w:val="000000"/>
          <w:sz w:val="20"/>
        </w:rPr>
        <w:t>KETS (PBS) and KTHV (CBS) Little Rock</w:t>
      </w:r>
      <w:r w:rsidRPr="00311F39" w:rsidR="00A90A60">
        <w:rPr>
          <w:color w:val="000000"/>
          <w:sz w:val="20"/>
        </w:rPr>
        <w:t>, Arkansas</w:t>
      </w:r>
      <w:r w:rsidR="00A90A60">
        <w:rPr>
          <w:color w:val="000000"/>
          <w:sz w:val="20"/>
        </w:rPr>
        <w:t>.</w:t>
      </w:r>
      <w:r w:rsidRPr="00311F39" w:rsidR="00311F39">
        <w:t xml:space="preserve"> </w:t>
      </w:r>
      <w:r w:rsidRPr="001D0263" w:rsidR="00311F39">
        <w:rPr>
          <w:sz w:val="20"/>
        </w:rPr>
        <w:t>Thus, viewers in the loss area would continue to have access to other major network programming</w:t>
      </w:r>
      <w:r w:rsidRPr="001D0263">
        <w:rPr>
          <w:sz w:val="20"/>
        </w:rPr>
        <w:t xml:space="preserve">. </w:t>
      </w:r>
    </w:p>
  </w:footnote>
  <w:footnote w:id="15">
    <w:p w:rsidR="004F3AD3" w14:paraId="4D5D58C6" w14:textId="1F4F0866">
      <w:pPr>
        <w:pStyle w:val="FootnoteText"/>
      </w:pPr>
      <w:r>
        <w:rPr>
          <w:rStyle w:val="FootnoteReference"/>
        </w:rPr>
        <w:footnoteRef/>
      </w:r>
      <w:r>
        <w:t xml:space="preserve"> </w:t>
      </w:r>
      <w:r w:rsidR="00CC23A8">
        <w:t>Supplemental Engineering Statement at 5.</w:t>
      </w:r>
    </w:p>
  </w:footnote>
  <w:footnote w:id="16">
    <w:p w:rsidR="002C41C4" w:rsidP="005C521E" w14:paraId="77BF0BF6" w14:textId="77777777">
      <w:pPr>
        <w:pStyle w:val="FootnoteText"/>
        <w:widowControl w:val="0"/>
      </w:pPr>
      <w:r>
        <w:rPr>
          <w:rStyle w:val="FootnoteReference"/>
        </w:rPr>
        <w:footnoteRef/>
      </w:r>
      <w:r>
        <w:t xml:space="preserve"> 47 CFR § 73.622(</w:t>
      </w:r>
      <w:r>
        <w:t>i</w:t>
      </w:r>
      <w:r>
        <w:t>).</w:t>
      </w:r>
    </w:p>
  </w:footnote>
  <w:footnote w:id="17">
    <w:p w:rsidR="002C41C4" w:rsidP="005C521E" w14:paraId="773ACB42"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8">
    <w:p w:rsidR="002C41C4" w:rsidP="005C521E" w14:paraId="25949C96" w14:textId="77777777">
      <w:pPr>
        <w:pStyle w:val="FootnoteText"/>
        <w:widowControl w:val="0"/>
      </w:pPr>
      <w:r>
        <w:rPr>
          <w:rStyle w:val="FootnoteReference"/>
        </w:rPr>
        <w:footnoteRef/>
      </w:r>
      <w:r>
        <w:t xml:space="preserve"> 47 CFR § 1.420(j).</w:t>
      </w:r>
    </w:p>
  </w:footnote>
  <w:footnote w:id="19">
    <w:p w:rsidR="002C41C4" w:rsidP="005C521E" w14:paraId="5147F8D6" w14:textId="77777777">
      <w:pPr>
        <w:pStyle w:val="FootnoteText"/>
        <w:widowControl w:val="0"/>
      </w:pPr>
      <w:r>
        <w:rPr>
          <w:rStyle w:val="FootnoteReference"/>
        </w:rPr>
        <w:footnoteRef/>
      </w:r>
      <w:r>
        <w:t xml:space="preserve"> 47 CFR §</w:t>
      </w:r>
      <w:r w:rsidR="006D6AC4">
        <w:t xml:space="preserve"> </w:t>
      </w:r>
      <w:r>
        <w:t>1.420(d).</w:t>
      </w:r>
    </w:p>
  </w:footnote>
  <w:footnote w:id="20">
    <w:p w:rsidR="002C41C4" w:rsidP="005C521E" w14:paraId="51221B7C" w14:textId="77777777">
      <w:pPr>
        <w:pStyle w:val="FootnoteText"/>
        <w:widowControl w:val="0"/>
      </w:pPr>
      <w:r>
        <w:rPr>
          <w:rStyle w:val="FootnoteReference"/>
        </w:rPr>
        <w:footnoteRef/>
      </w:r>
      <w:r>
        <w:t xml:space="preserve"> 47 CFR § 1.420(g)(2).</w:t>
      </w:r>
    </w:p>
  </w:footnote>
  <w:footnote w:id="21">
    <w:p w:rsidR="002C41C4" w:rsidP="005C521E" w14:paraId="2485338C" w14:textId="77777777">
      <w:pPr>
        <w:pStyle w:val="FootnoteText"/>
        <w:widowControl w:val="0"/>
      </w:pPr>
      <w:r>
        <w:rPr>
          <w:rStyle w:val="FootnoteReference"/>
        </w:rPr>
        <w:footnoteRef/>
      </w:r>
      <w:r>
        <w:t xml:space="preserve"> 47 CFR §§ 1.415, 1.419, and 1.420.</w:t>
      </w:r>
    </w:p>
  </w:footnote>
  <w:footnote w:id="22">
    <w:p w:rsidR="002C41C4" w:rsidP="005C521E" w14:paraId="251750FC"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23">
    <w:p w:rsidR="002C41C4" w:rsidP="005C521E" w14:paraId="0A8AA632"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4">
    <w:p w:rsidR="002C41C4" w:rsidP="005C521E" w14:paraId="04168D0E" w14:textId="77777777">
      <w:pPr>
        <w:pStyle w:val="FootnoteText"/>
        <w:widowControl w:val="0"/>
      </w:pPr>
      <w:r>
        <w:rPr>
          <w:rStyle w:val="FootnoteReference"/>
        </w:rPr>
        <w:footnoteRef/>
      </w:r>
      <w:r>
        <w:t xml:space="preserve"> 47 CFR § 1.420.</w:t>
      </w:r>
    </w:p>
  </w:footnote>
  <w:footnote w:id="25">
    <w:p w:rsidR="002C41C4" w:rsidP="005C521E" w14:paraId="702E1119"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6">
    <w:p w:rsidR="002C41C4" w:rsidP="005C521E" w14:paraId="3252E312" w14:textId="77777777">
      <w:pPr>
        <w:pStyle w:val="FootnoteText"/>
        <w:widowControl w:val="0"/>
        <w:rPr>
          <w:i/>
          <w:iCs/>
        </w:rPr>
      </w:pPr>
      <w:r>
        <w:rPr>
          <w:rStyle w:val="FootnoteReference"/>
        </w:rPr>
        <w:footnoteRef/>
      </w:r>
      <w:r>
        <w:t xml:space="preserve"> 47 CFR §§ 1.1200 </w:t>
      </w:r>
      <w:r>
        <w:rPr>
          <w:i/>
          <w:iCs/>
        </w:rPr>
        <w:t>et seq.</w:t>
      </w:r>
    </w:p>
  </w:footnote>
  <w:footnote w:id="27">
    <w:p w:rsidR="002C41C4" w:rsidP="005C521E" w14:paraId="30DDEE1A" w14:textId="77777777">
      <w:pPr>
        <w:pStyle w:val="FootnoteText"/>
        <w:widowControl w:val="0"/>
      </w:pPr>
      <w:r>
        <w:rPr>
          <w:rStyle w:val="FootnoteReference"/>
        </w:rPr>
        <w:footnoteRef/>
      </w:r>
      <w:r>
        <w:t xml:space="preserve"> 47 CFR § 1.1208.</w:t>
      </w:r>
    </w:p>
  </w:footnote>
  <w:footnote w:id="28">
    <w:p w:rsidR="002C41C4" w:rsidP="005C521E" w14:paraId="4D0416A3" w14:textId="77777777">
      <w:pPr>
        <w:pStyle w:val="FootnoteText"/>
        <w:widowControl w:val="0"/>
      </w:pPr>
      <w:r>
        <w:rPr>
          <w:rStyle w:val="FootnoteReference"/>
        </w:rPr>
        <w:footnoteRef/>
      </w:r>
      <w:r>
        <w:t xml:space="preserve"> 47 CFR § 1.1204(a)(10).</w:t>
      </w:r>
    </w:p>
  </w:footnote>
  <w:footnote w:id="29">
    <w:p w:rsidR="002C41C4" w:rsidP="005C521E" w14:paraId="30E55816"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30">
    <w:p w:rsidR="002C41C4" w:rsidP="005C521E" w14:paraId="69711AE8"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31">
    <w:p w:rsidR="002C41C4" w:rsidP="005C521E" w14:paraId="33222B18" w14:textId="77777777">
      <w:pPr>
        <w:pStyle w:val="FootnoteText"/>
        <w:widowControl w:val="0"/>
      </w:pPr>
      <w:r>
        <w:rPr>
          <w:rStyle w:val="FootnoteReference"/>
        </w:rPr>
        <w:footnoteRef/>
      </w:r>
      <w:r>
        <w:t xml:space="preserve"> 47 CFR § 73.622(</w:t>
      </w:r>
      <w:r>
        <w:t>i</w:t>
      </w:r>
      <w:r>
        <w:t>).</w:t>
      </w:r>
    </w:p>
  </w:footnote>
  <w:footnote w:id="32">
    <w:p w:rsidR="002C41C4" w:rsidP="005C521E" w14:paraId="40DC1860"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33">
    <w:p w:rsidR="002C41C4" w:rsidP="005C521E" w14:paraId="56A000DA"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ED2" w14:paraId="7E6B27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CD589C" w14:textId="13CA203C">
    <w:pPr>
      <w:pStyle w:val="Header"/>
      <w:rPr>
        <w:b w:val="0"/>
      </w:rPr>
    </w:pPr>
    <w:r>
      <w:tab/>
    </w:r>
    <w:r>
      <w:t>Federal Communications Commission</w:t>
    </w:r>
    <w:r>
      <w:tab/>
    </w:r>
    <w:r w:rsidR="008671E1">
      <w:t>DA 2</w:t>
    </w:r>
    <w:r w:rsidR="00AA2EBC">
      <w:t>2</w:t>
    </w:r>
    <w:r w:rsidR="008671E1">
      <w:t>-</w:t>
    </w:r>
    <w:r w:rsidR="00864ED2">
      <w:t>367</w:t>
    </w:r>
  </w:p>
  <w:p w:rsidR="00D25FB5" w14:paraId="48CD0D4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D82FD8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854F71" w14:textId="51C5DD1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671E1">
      <w:rPr>
        <w:spacing w:val="-2"/>
      </w:rPr>
      <w:t>DA 2</w:t>
    </w:r>
    <w:r w:rsidR="00AA2EBC">
      <w:rPr>
        <w:spacing w:val="-2"/>
      </w:rPr>
      <w:t>2</w:t>
    </w:r>
    <w:r w:rsidR="008671E1">
      <w:rPr>
        <w:spacing w:val="-2"/>
      </w:rPr>
      <w:t>-</w:t>
    </w:r>
    <w:r w:rsidR="00864ED2">
      <w:rPr>
        <w:spacing w:val="-2"/>
      </w:rPr>
      <w:t>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E49266C8"/>
    <w:lvl w:ilvl="0">
      <w:start w:val="1"/>
      <w:numFmt w:val="decimal"/>
      <w:pStyle w:val="ParaNum"/>
      <w:lvlText w:val="%1."/>
      <w:lvlJc w:val="left"/>
      <w:pPr>
        <w:tabs>
          <w:tab w:val="num" w:pos="990"/>
        </w:tabs>
        <w:ind w:left="-90" w:firstLine="720"/>
      </w:pPr>
      <w:rPr>
        <w:rFonts w:ascii="Times New Roman" w:hAnsi="Times New Roman" w:cs="Times New Roman" w:hint="default"/>
        <w:sz w:val="22"/>
        <w:szCs w:val="22"/>
      </w:r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03C42"/>
    <w:rsid w:val="00005B26"/>
    <w:rsid w:val="00010D18"/>
    <w:rsid w:val="00015880"/>
    <w:rsid w:val="000229FE"/>
    <w:rsid w:val="00034252"/>
    <w:rsid w:val="00036039"/>
    <w:rsid w:val="00037F90"/>
    <w:rsid w:val="000418F2"/>
    <w:rsid w:val="00047FF8"/>
    <w:rsid w:val="000573A4"/>
    <w:rsid w:val="00061686"/>
    <w:rsid w:val="00081A21"/>
    <w:rsid w:val="00081CC3"/>
    <w:rsid w:val="000826D1"/>
    <w:rsid w:val="0008564D"/>
    <w:rsid w:val="000875BF"/>
    <w:rsid w:val="00096D8C"/>
    <w:rsid w:val="000A7C1B"/>
    <w:rsid w:val="000C0B65"/>
    <w:rsid w:val="000C1186"/>
    <w:rsid w:val="000D70D9"/>
    <w:rsid w:val="000E03DB"/>
    <w:rsid w:val="000E05FE"/>
    <w:rsid w:val="000E13B7"/>
    <w:rsid w:val="000E3D42"/>
    <w:rsid w:val="000F4D49"/>
    <w:rsid w:val="0010278A"/>
    <w:rsid w:val="00103294"/>
    <w:rsid w:val="00105AB9"/>
    <w:rsid w:val="00120CAA"/>
    <w:rsid w:val="00122BD5"/>
    <w:rsid w:val="00127E32"/>
    <w:rsid w:val="00133F79"/>
    <w:rsid w:val="00156435"/>
    <w:rsid w:val="00194A66"/>
    <w:rsid w:val="001A72E8"/>
    <w:rsid w:val="001B273C"/>
    <w:rsid w:val="001B3094"/>
    <w:rsid w:val="001B4F5B"/>
    <w:rsid w:val="001B714C"/>
    <w:rsid w:val="001B73FE"/>
    <w:rsid w:val="001C3312"/>
    <w:rsid w:val="001D0263"/>
    <w:rsid w:val="001D25F4"/>
    <w:rsid w:val="001D6BCF"/>
    <w:rsid w:val="001E01CA"/>
    <w:rsid w:val="001E2F73"/>
    <w:rsid w:val="001F339C"/>
    <w:rsid w:val="002030FD"/>
    <w:rsid w:val="00224A6C"/>
    <w:rsid w:val="00230BE4"/>
    <w:rsid w:val="00234875"/>
    <w:rsid w:val="0024227B"/>
    <w:rsid w:val="00246BE0"/>
    <w:rsid w:val="00260174"/>
    <w:rsid w:val="0026261B"/>
    <w:rsid w:val="00275CF5"/>
    <w:rsid w:val="00276345"/>
    <w:rsid w:val="00280DC5"/>
    <w:rsid w:val="002815A5"/>
    <w:rsid w:val="0028301F"/>
    <w:rsid w:val="00285017"/>
    <w:rsid w:val="00291606"/>
    <w:rsid w:val="002A2D2E"/>
    <w:rsid w:val="002A52E0"/>
    <w:rsid w:val="002B1C28"/>
    <w:rsid w:val="002B7CF4"/>
    <w:rsid w:val="002C00E8"/>
    <w:rsid w:val="002C2AF9"/>
    <w:rsid w:val="002C2D56"/>
    <w:rsid w:val="002C3F2A"/>
    <w:rsid w:val="002C41C4"/>
    <w:rsid w:val="002E7B20"/>
    <w:rsid w:val="002F7169"/>
    <w:rsid w:val="002F79E2"/>
    <w:rsid w:val="00311F39"/>
    <w:rsid w:val="0031393D"/>
    <w:rsid w:val="00336D5F"/>
    <w:rsid w:val="00343749"/>
    <w:rsid w:val="003660ED"/>
    <w:rsid w:val="0038442D"/>
    <w:rsid w:val="0038788F"/>
    <w:rsid w:val="0039399B"/>
    <w:rsid w:val="003975D4"/>
    <w:rsid w:val="003A4881"/>
    <w:rsid w:val="003A4FF1"/>
    <w:rsid w:val="003A7BF4"/>
    <w:rsid w:val="003A7C38"/>
    <w:rsid w:val="003B0550"/>
    <w:rsid w:val="003B2442"/>
    <w:rsid w:val="003B694F"/>
    <w:rsid w:val="003D279B"/>
    <w:rsid w:val="003E3FB3"/>
    <w:rsid w:val="003F171C"/>
    <w:rsid w:val="003F7607"/>
    <w:rsid w:val="004002EC"/>
    <w:rsid w:val="00412FC5"/>
    <w:rsid w:val="00422276"/>
    <w:rsid w:val="004242F1"/>
    <w:rsid w:val="004323C2"/>
    <w:rsid w:val="00436FC9"/>
    <w:rsid w:val="004375E9"/>
    <w:rsid w:val="00445A00"/>
    <w:rsid w:val="00446DCF"/>
    <w:rsid w:val="00451B0F"/>
    <w:rsid w:val="00477CC1"/>
    <w:rsid w:val="004A2B13"/>
    <w:rsid w:val="004A3F4E"/>
    <w:rsid w:val="004B71F3"/>
    <w:rsid w:val="004C0CEA"/>
    <w:rsid w:val="004C2EE3"/>
    <w:rsid w:val="004E4A22"/>
    <w:rsid w:val="004E7382"/>
    <w:rsid w:val="004F1FE0"/>
    <w:rsid w:val="004F2025"/>
    <w:rsid w:val="004F3AD3"/>
    <w:rsid w:val="004F4061"/>
    <w:rsid w:val="005049EA"/>
    <w:rsid w:val="00511968"/>
    <w:rsid w:val="00514AEA"/>
    <w:rsid w:val="00535B91"/>
    <w:rsid w:val="00542BF1"/>
    <w:rsid w:val="0055049F"/>
    <w:rsid w:val="0055614C"/>
    <w:rsid w:val="00566D06"/>
    <w:rsid w:val="00570F7A"/>
    <w:rsid w:val="00586AF3"/>
    <w:rsid w:val="00596609"/>
    <w:rsid w:val="005B2EDD"/>
    <w:rsid w:val="005B303E"/>
    <w:rsid w:val="005B7C2F"/>
    <w:rsid w:val="005C1F7C"/>
    <w:rsid w:val="005C521E"/>
    <w:rsid w:val="005D06EF"/>
    <w:rsid w:val="005D4257"/>
    <w:rsid w:val="005D6603"/>
    <w:rsid w:val="005E14C2"/>
    <w:rsid w:val="005E47CE"/>
    <w:rsid w:val="005E79C0"/>
    <w:rsid w:val="0060329F"/>
    <w:rsid w:val="00606691"/>
    <w:rsid w:val="00607BA5"/>
    <w:rsid w:val="0061180A"/>
    <w:rsid w:val="00622F0E"/>
    <w:rsid w:val="00626EB6"/>
    <w:rsid w:val="00640703"/>
    <w:rsid w:val="00643EF0"/>
    <w:rsid w:val="00655D03"/>
    <w:rsid w:val="006724BB"/>
    <w:rsid w:val="00683388"/>
    <w:rsid w:val="00683F84"/>
    <w:rsid w:val="00695A34"/>
    <w:rsid w:val="0069686A"/>
    <w:rsid w:val="00696F39"/>
    <w:rsid w:val="006A464B"/>
    <w:rsid w:val="006A6A81"/>
    <w:rsid w:val="006B0EC2"/>
    <w:rsid w:val="006B29C2"/>
    <w:rsid w:val="006C717D"/>
    <w:rsid w:val="006D3A52"/>
    <w:rsid w:val="006D6689"/>
    <w:rsid w:val="006D6AC4"/>
    <w:rsid w:val="006D7755"/>
    <w:rsid w:val="006E6A03"/>
    <w:rsid w:val="006F1855"/>
    <w:rsid w:val="006F7393"/>
    <w:rsid w:val="00701036"/>
    <w:rsid w:val="0070224F"/>
    <w:rsid w:val="00703B02"/>
    <w:rsid w:val="00705769"/>
    <w:rsid w:val="007115F7"/>
    <w:rsid w:val="00723BAC"/>
    <w:rsid w:val="00750411"/>
    <w:rsid w:val="00757DEB"/>
    <w:rsid w:val="00764AC1"/>
    <w:rsid w:val="0077274B"/>
    <w:rsid w:val="007803A5"/>
    <w:rsid w:val="00785689"/>
    <w:rsid w:val="0079754B"/>
    <w:rsid w:val="007A1E6D"/>
    <w:rsid w:val="007B0C50"/>
    <w:rsid w:val="007B0EB2"/>
    <w:rsid w:val="007C2D57"/>
    <w:rsid w:val="007C7FCB"/>
    <w:rsid w:val="007E5397"/>
    <w:rsid w:val="00810B6F"/>
    <w:rsid w:val="008177CF"/>
    <w:rsid w:val="00822CE0"/>
    <w:rsid w:val="008337BA"/>
    <w:rsid w:val="008363DF"/>
    <w:rsid w:val="0083640E"/>
    <w:rsid w:val="00841AB1"/>
    <w:rsid w:val="00841EBE"/>
    <w:rsid w:val="00843966"/>
    <w:rsid w:val="00845909"/>
    <w:rsid w:val="00846177"/>
    <w:rsid w:val="0086469A"/>
    <w:rsid w:val="00864ED2"/>
    <w:rsid w:val="008671E1"/>
    <w:rsid w:val="00870831"/>
    <w:rsid w:val="00873405"/>
    <w:rsid w:val="00896A8C"/>
    <w:rsid w:val="008A0759"/>
    <w:rsid w:val="008C1887"/>
    <w:rsid w:val="008C3F4D"/>
    <w:rsid w:val="008C5FC5"/>
    <w:rsid w:val="008C68F1"/>
    <w:rsid w:val="008D55F5"/>
    <w:rsid w:val="008E0993"/>
    <w:rsid w:val="008F4B74"/>
    <w:rsid w:val="008F564D"/>
    <w:rsid w:val="00901E39"/>
    <w:rsid w:val="00911A1F"/>
    <w:rsid w:val="00913DA5"/>
    <w:rsid w:val="00921803"/>
    <w:rsid w:val="00926427"/>
    <w:rsid w:val="00926503"/>
    <w:rsid w:val="00944C0D"/>
    <w:rsid w:val="00961260"/>
    <w:rsid w:val="00961859"/>
    <w:rsid w:val="00970086"/>
    <w:rsid w:val="009726D8"/>
    <w:rsid w:val="00982D42"/>
    <w:rsid w:val="009925D1"/>
    <w:rsid w:val="009971DD"/>
    <w:rsid w:val="009B408A"/>
    <w:rsid w:val="009B73DF"/>
    <w:rsid w:val="009C4621"/>
    <w:rsid w:val="009C4FC1"/>
    <w:rsid w:val="009C5DB5"/>
    <w:rsid w:val="009C79F2"/>
    <w:rsid w:val="009D1117"/>
    <w:rsid w:val="009D5446"/>
    <w:rsid w:val="009D7308"/>
    <w:rsid w:val="009F76DB"/>
    <w:rsid w:val="00A0262D"/>
    <w:rsid w:val="00A037A4"/>
    <w:rsid w:val="00A15EFE"/>
    <w:rsid w:val="00A17D2A"/>
    <w:rsid w:val="00A23BBD"/>
    <w:rsid w:val="00A24308"/>
    <w:rsid w:val="00A259D6"/>
    <w:rsid w:val="00A31123"/>
    <w:rsid w:val="00A32C3B"/>
    <w:rsid w:val="00A45F4F"/>
    <w:rsid w:val="00A50800"/>
    <w:rsid w:val="00A50D70"/>
    <w:rsid w:val="00A534B7"/>
    <w:rsid w:val="00A54798"/>
    <w:rsid w:val="00A600A9"/>
    <w:rsid w:val="00A63D43"/>
    <w:rsid w:val="00A74CF4"/>
    <w:rsid w:val="00A75ACB"/>
    <w:rsid w:val="00A90A60"/>
    <w:rsid w:val="00A97B35"/>
    <w:rsid w:val="00AA2EBC"/>
    <w:rsid w:val="00AA55B7"/>
    <w:rsid w:val="00AA5B9E"/>
    <w:rsid w:val="00AB1DF8"/>
    <w:rsid w:val="00AB2407"/>
    <w:rsid w:val="00AB53DF"/>
    <w:rsid w:val="00AD024F"/>
    <w:rsid w:val="00AD64D2"/>
    <w:rsid w:val="00AD69E6"/>
    <w:rsid w:val="00AE4E35"/>
    <w:rsid w:val="00AE6FC0"/>
    <w:rsid w:val="00AF7345"/>
    <w:rsid w:val="00B07E5C"/>
    <w:rsid w:val="00B213F4"/>
    <w:rsid w:val="00B26A9A"/>
    <w:rsid w:val="00B27CC9"/>
    <w:rsid w:val="00B311F9"/>
    <w:rsid w:val="00B35E74"/>
    <w:rsid w:val="00B5445E"/>
    <w:rsid w:val="00B625C0"/>
    <w:rsid w:val="00B811F7"/>
    <w:rsid w:val="00B825F9"/>
    <w:rsid w:val="00B96618"/>
    <w:rsid w:val="00BA0650"/>
    <w:rsid w:val="00BA5DC6"/>
    <w:rsid w:val="00BA6196"/>
    <w:rsid w:val="00BB0F45"/>
    <w:rsid w:val="00BC4BE1"/>
    <w:rsid w:val="00BC6D8C"/>
    <w:rsid w:val="00BD3E19"/>
    <w:rsid w:val="00BE25D4"/>
    <w:rsid w:val="00BF1032"/>
    <w:rsid w:val="00BF1B4B"/>
    <w:rsid w:val="00BF234E"/>
    <w:rsid w:val="00C05C39"/>
    <w:rsid w:val="00C34006"/>
    <w:rsid w:val="00C36B4C"/>
    <w:rsid w:val="00C426B1"/>
    <w:rsid w:val="00C43C45"/>
    <w:rsid w:val="00C5034F"/>
    <w:rsid w:val="00C51F65"/>
    <w:rsid w:val="00C527C4"/>
    <w:rsid w:val="00C560F8"/>
    <w:rsid w:val="00C629C1"/>
    <w:rsid w:val="00C65232"/>
    <w:rsid w:val="00C66160"/>
    <w:rsid w:val="00C71199"/>
    <w:rsid w:val="00C721AC"/>
    <w:rsid w:val="00C75AFC"/>
    <w:rsid w:val="00C81CAC"/>
    <w:rsid w:val="00C87627"/>
    <w:rsid w:val="00C90D6A"/>
    <w:rsid w:val="00CA247E"/>
    <w:rsid w:val="00CA6D21"/>
    <w:rsid w:val="00CB1915"/>
    <w:rsid w:val="00CC23A8"/>
    <w:rsid w:val="00CC72B6"/>
    <w:rsid w:val="00CE3C23"/>
    <w:rsid w:val="00CE6688"/>
    <w:rsid w:val="00D0218D"/>
    <w:rsid w:val="00D05252"/>
    <w:rsid w:val="00D115D7"/>
    <w:rsid w:val="00D1527D"/>
    <w:rsid w:val="00D15A12"/>
    <w:rsid w:val="00D212CB"/>
    <w:rsid w:val="00D25FB5"/>
    <w:rsid w:val="00D3551A"/>
    <w:rsid w:val="00D44223"/>
    <w:rsid w:val="00D5425E"/>
    <w:rsid w:val="00D6194D"/>
    <w:rsid w:val="00D65EE5"/>
    <w:rsid w:val="00D732FC"/>
    <w:rsid w:val="00D76468"/>
    <w:rsid w:val="00D876CE"/>
    <w:rsid w:val="00DA2529"/>
    <w:rsid w:val="00DA3B20"/>
    <w:rsid w:val="00DA468E"/>
    <w:rsid w:val="00DB130A"/>
    <w:rsid w:val="00DB2EBB"/>
    <w:rsid w:val="00DC10A1"/>
    <w:rsid w:val="00DC655F"/>
    <w:rsid w:val="00DD0B59"/>
    <w:rsid w:val="00DD245B"/>
    <w:rsid w:val="00DD399C"/>
    <w:rsid w:val="00DD7EBD"/>
    <w:rsid w:val="00DE2477"/>
    <w:rsid w:val="00DE5368"/>
    <w:rsid w:val="00DF40E1"/>
    <w:rsid w:val="00DF62B6"/>
    <w:rsid w:val="00DF770E"/>
    <w:rsid w:val="00E01310"/>
    <w:rsid w:val="00E018F4"/>
    <w:rsid w:val="00E02754"/>
    <w:rsid w:val="00E07225"/>
    <w:rsid w:val="00E256F0"/>
    <w:rsid w:val="00E274A5"/>
    <w:rsid w:val="00E434C0"/>
    <w:rsid w:val="00E5409F"/>
    <w:rsid w:val="00E727BF"/>
    <w:rsid w:val="00E807B9"/>
    <w:rsid w:val="00E82FC0"/>
    <w:rsid w:val="00E832B6"/>
    <w:rsid w:val="00E90AC8"/>
    <w:rsid w:val="00EB77AA"/>
    <w:rsid w:val="00ED2D8C"/>
    <w:rsid w:val="00EE6488"/>
    <w:rsid w:val="00F021FA"/>
    <w:rsid w:val="00F14238"/>
    <w:rsid w:val="00F27C53"/>
    <w:rsid w:val="00F3289F"/>
    <w:rsid w:val="00F365C6"/>
    <w:rsid w:val="00F62E97"/>
    <w:rsid w:val="00F64209"/>
    <w:rsid w:val="00F7283B"/>
    <w:rsid w:val="00F73A13"/>
    <w:rsid w:val="00F77830"/>
    <w:rsid w:val="00F86F5B"/>
    <w:rsid w:val="00F93BF5"/>
    <w:rsid w:val="00FB3577"/>
    <w:rsid w:val="00FC32A4"/>
    <w:rsid w:val="00FE601A"/>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9BBC05"/>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99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 w:type="paragraph" w:styleId="Revision">
    <w:name w:val="Revision"/>
    <w:hidden/>
    <w:uiPriority w:val="99"/>
    <w:semiHidden/>
    <w:rsid w:val="00F86F5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