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EE708A9" w14:textId="0FE40B45">
      <w:pPr>
        <w:jc w:val="center"/>
        <w:rPr>
          <w:b/>
        </w:rPr>
      </w:pPr>
      <w:r w:rsidRPr="0070224F">
        <w:rPr>
          <w:rFonts w:ascii="Times New Roman Bold" w:hAnsi="Times New Roman Bold"/>
          <w:b/>
          <w:kern w:val="0"/>
          <w:szCs w:val="22"/>
        </w:rPr>
        <w:t>Before</w:t>
      </w:r>
      <w:r>
        <w:rPr>
          <w:b/>
        </w:rPr>
        <w:t xml:space="preserve"> the</w:t>
      </w:r>
    </w:p>
    <w:p w:rsidR="00921803" w:rsidP="00921803" w14:paraId="5043EFD8" w14:textId="77777777">
      <w:pPr>
        <w:pStyle w:val="StyleBoldCentered"/>
      </w:pPr>
      <w:r>
        <w:t>F</w:t>
      </w:r>
      <w:r>
        <w:rPr>
          <w:caps w:val="0"/>
        </w:rPr>
        <w:t>ederal Communications Commission</w:t>
      </w:r>
    </w:p>
    <w:p w:rsidR="004C2EE3" w:rsidP="00096D8C" w14:paraId="59551100" w14:textId="77777777">
      <w:pPr>
        <w:pStyle w:val="StyleBoldCentered"/>
      </w:pPr>
      <w:r>
        <w:rPr>
          <w:caps w:val="0"/>
        </w:rPr>
        <w:t>Washington, D.C. 20554</w:t>
      </w:r>
    </w:p>
    <w:p w:rsidR="004C2EE3" w:rsidP="0070224F" w14:paraId="2F7A1D8B" w14:textId="77777777"/>
    <w:p w:rsidR="004C2EE3" w:rsidP="0070224F" w14:paraId="7ACC3097" w14:textId="77777777"/>
    <w:tbl>
      <w:tblPr>
        <w:tblW w:w="0" w:type="auto"/>
        <w:tblLayout w:type="fixed"/>
        <w:tblLook w:val="0000"/>
      </w:tblPr>
      <w:tblGrid>
        <w:gridCol w:w="4698"/>
        <w:gridCol w:w="630"/>
        <w:gridCol w:w="4248"/>
      </w:tblGrid>
      <w:tr w14:paraId="7DC4BFC2" w14:textId="77777777">
        <w:tblPrEx>
          <w:tblW w:w="0" w:type="auto"/>
          <w:tblLayout w:type="fixed"/>
          <w:tblLook w:val="0000"/>
        </w:tblPrEx>
        <w:tc>
          <w:tcPr>
            <w:tcW w:w="4698" w:type="dxa"/>
          </w:tcPr>
          <w:p w:rsidR="004C2EE3" w14:paraId="0670FB8F" w14:textId="77777777">
            <w:pPr>
              <w:tabs>
                <w:tab w:val="center" w:pos="4680"/>
              </w:tabs>
              <w:suppressAutoHyphens/>
              <w:rPr>
                <w:spacing w:val="-2"/>
              </w:rPr>
            </w:pPr>
            <w:r>
              <w:rPr>
                <w:spacing w:val="-2"/>
              </w:rPr>
              <w:t>In the Matter of</w:t>
            </w:r>
          </w:p>
          <w:p w:rsidR="004C2EE3" w14:paraId="376F433D" w14:textId="77777777">
            <w:pPr>
              <w:tabs>
                <w:tab w:val="center" w:pos="4680"/>
              </w:tabs>
              <w:suppressAutoHyphens/>
              <w:rPr>
                <w:spacing w:val="-2"/>
              </w:rPr>
            </w:pPr>
          </w:p>
          <w:p w:rsidR="002B3D60" w:rsidP="002B3D60" w14:paraId="7ED1C155" w14:textId="2C1A5151">
            <w:pPr>
              <w:tabs>
                <w:tab w:val="center" w:pos="4680"/>
              </w:tabs>
              <w:suppressAutoHyphens/>
              <w:rPr>
                <w:spacing w:val="-2"/>
              </w:rPr>
            </w:pPr>
            <w:r>
              <w:rPr>
                <w:spacing w:val="-2"/>
              </w:rPr>
              <w:t xml:space="preserve">Transition from TTY to Real-Time Text Technology </w:t>
            </w:r>
          </w:p>
          <w:p w:rsidR="002B3D60" w:rsidP="002B3D60" w14:paraId="4FF2DDFA" w14:textId="77777777">
            <w:pPr>
              <w:tabs>
                <w:tab w:val="center" w:pos="4680"/>
              </w:tabs>
              <w:suppressAutoHyphens/>
              <w:rPr>
                <w:spacing w:val="-2"/>
              </w:rPr>
            </w:pPr>
          </w:p>
          <w:p w:rsidR="002B3D60" w:rsidP="002B3D60" w14:paraId="333AA2A7" w14:textId="77777777">
            <w:pPr>
              <w:tabs>
                <w:tab w:val="center" w:pos="4680"/>
              </w:tabs>
              <w:suppressAutoHyphens/>
              <w:rPr>
                <w:spacing w:val="-2"/>
              </w:rPr>
            </w:pPr>
            <w:r>
              <w:rPr>
                <w:spacing w:val="-2"/>
              </w:rPr>
              <w:t>Petition for Rulemaking to Update the Commission’s Rules for Access to Support the Transition from TTY to Real-Time Text Technology, and Petition for Waiver of the Rules Requiring the Support of TTY Technology</w:t>
            </w:r>
          </w:p>
          <w:p w:rsidR="002B3D60" w:rsidP="002B3D60" w14:paraId="6B7EAA8C" w14:textId="77777777">
            <w:pPr>
              <w:tabs>
                <w:tab w:val="center" w:pos="4680"/>
              </w:tabs>
              <w:suppressAutoHyphens/>
              <w:rPr>
                <w:spacing w:val="-2"/>
              </w:rPr>
            </w:pPr>
          </w:p>
          <w:p w:rsidR="004C2EE3" w:rsidRPr="007115F7" w:rsidP="002B3D60" w14:paraId="42734E08" w14:textId="237D720B">
            <w:pPr>
              <w:tabs>
                <w:tab w:val="center" w:pos="4680"/>
              </w:tabs>
              <w:suppressAutoHyphens/>
              <w:rPr>
                <w:spacing w:val="-2"/>
              </w:rPr>
            </w:pPr>
            <w:r>
              <w:rPr>
                <w:spacing w:val="-2"/>
              </w:rPr>
              <w:t>Inland Cellular</w:t>
            </w:r>
          </w:p>
        </w:tc>
        <w:tc>
          <w:tcPr>
            <w:tcW w:w="630" w:type="dxa"/>
          </w:tcPr>
          <w:p w:rsidR="004C2EE3" w14:paraId="5C855EB3" w14:textId="77777777">
            <w:pPr>
              <w:tabs>
                <w:tab w:val="center" w:pos="4680"/>
              </w:tabs>
              <w:suppressAutoHyphens/>
              <w:rPr>
                <w:b/>
                <w:spacing w:val="-2"/>
              </w:rPr>
            </w:pPr>
            <w:r>
              <w:rPr>
                <w:b/>
                <w:spacing w:val="-2"/>
              </w:rPr>
              <w:t>)</w:t>
            </w:r>
          </w:p>
          <w:p w:rsidR="004C2EE3" w14:paraId="038ED20C" w14:textId="77777777">
            <w:pPr>
              <w:tabs>
                <w:tab w:val="center" w:pos="4680"/>
              </w:tabs>
              <w:suppressAutoHyphens/>
              <w:rPr>
                <w:b/>
                <w:spacing w:val="-2"/>
              </w:rPr>
            </w:pPr>
            <w:r>
              <w:rPr>
                <w:b/>
                <w:spacing w:val="-2"/>
              </w:rPr>
              <w:t>)</w:t>
            </w:r>
          </w:p>
          <w:p w:rsidR="004C2EE3" w14:paraId="191CC1BF" w14:textId="77777777">
            <w:pPr>
              <w:tabs>
                <w:tab w:val="center" w:pos="4680"/>
              </w:tabs>
              <w:suppressAutoHyphens/>
              <w:rPr>
                <w:b/>
                <w:spacing w:val="-2"/>
              </w:rPr>
            </w:pPr>
            <w:r>
              <w:rPr>
                <w:b/>
                <w:spacing w:val="-2"/>
              </w:rPr>
              <w:t>)</w:t>
            </w:r>
          </w:p>
          <w:p w:rsidR="004C2EE3" w14:paraId="7F417661" w14:textId="77777777">
            <w:pPr>
              <w:tabs>
                <w:tab w:val="center" w:pos="4680"/>
              </w:tabs>
              <w:suppressAutoHyphens/>
              <w:rPr>
                <w:b/>
                <w:spacing w:val="-2"/>
              </w:rPr>
            </w:pPr>
            <w:r>
              <w:rPr>
                <w:b/>
                <w:spacing w:val="-2"/>
              </w:rPr>
              <w:t>)</w:t>
            </w:r>
          </w:p>
          <w:p w:rsidR="004C2EE3" w14:paraId="0D6757B6" w14:textId="77777777">
            <w:pPr>
              <w:tabs>
                <w:tab w:val="center" w:pos="4680"/>
              </w:tabs>
              <w:suppressAutoHyphens/>
              <w:rPr>
                <w:b/>
                <w:spacing w:val="-2"/>
              </w:rPr>
            </w:pPr>
            <w:r>
              <w:rPr>
                <w:b/>
                <w:spacing w:val="-2"/>
              </w:rPr>
              <w:t>)</w:t>
            </w:r>
          </w:p>
          <w:p w:rsidR="004C2EE3" w14:paraId="509C86F5" w14:textId="77777777">
            <w:pPr>
              <w:tabs>
                <w:tab w:val="center" w:pos="4680"/>
              </w:tabs>
              <w:suppressAutoHyphens/>
              <w:rPr>
                <w:b/>
                <w:spacing w:val="-2"/>
              </w:rPr>
            </w:pPr>
            <w:r>
              <w:rPr>
                <w:b/>
                <w:spacing w:val="-2"/>
              </w:rPr>
              <w:t>)</w:t>
            </w:r>
          </w:p>
          <w:p w:rsidR="004C2EE3" w14:paraId="1FF2346E" w14:textId="77777777">
            <w:pPr>
              <w:tabs>
                <w:tab w:val="center" w:pos="4680"/>
              </w:tabs>
              <w:suppressAutoHyphens/>
              <w:rPr>
                <w:b/>
                <w:spacing w:val="-2"/>
              </w:rPr>
            </w:pPr>
            <w:r>
              <w:rPr>
                <w:b/>
                <w:spacing w:val="-2"/>
              </w:rPr>
              <w:t>)</w:t>
            </w:r>
          </w:p>
          <w:p w:rsidR="004C2EE3" w14:paraId="29D2281E" w14:textId="77777777">
            <w:pPr>
              <w:tabs>
                <w:tab w:val="center" w:pos="4680"/>
              </w:tabs>
              <w:suppressAutoHyphens/>
              <w:rPr>
                <w:b/>
                <w:spacing w:val="-2"/>
              </w:rPr>
            </w:pPr>
            <w:r>
              <w:rPr>
                <w:b/>
                <w:spacing w:val="-2"/>
              </w:rPr>
              <w:t>)</w:t>
            </w:r>
          </w:p>
          <w:p w:rsidR="004C2EE3" w14:paraId="41F0259D" w14:textId="77777777">
            <w:pPr>
              <w:tabs>
                <w:tab w:val="center" w:pos="4680"/>
              </w:tabs>
              <w:suppressAutoHyphens/>
              <w:rPr>
                <w:b/>
                <w:spacing w:val="-2"/>
              </w:rPr>
            </w:pPr>
            <w:r>
              <w:rPr>
                <w:b/>
                <w:spacing w:val="-2"/>
              </w:rPr>
              <w:t>)</w:t>
            </w:r>
          </w:p>
          <w:p w:rsidR="002B3D60" w:rsidP="002B3D60" w14:paraId="3DA7FFB6" w14:textId="77777777">
            <w:pPr>
              <w:tabs>
                <w:tab w:val="center" w:pos="4680"/>
              </w:tabs>
              <w:suppressAutoHyphens/>
              <w:rPr>
                <w:b/>
                <w:spacing w:val="-2"/>
              </w:rPr>
            </w:pPr>
            <w:r>
              <w:rPr>
                <w:b/>
                <w:spacing w:val="-2"/>
              </w:rPr>
              <w:t>)</w:t>
            </w:r>
          </w:p>
          <w:p w:rsidR="002B3D60" w:rsidP="002B3D60" w14:paraId="7109C8B9" w14:textId="77777777">
            <w:pPr>
              <w:tabs>
                <w:tab w:val="center" w:pos="4680"/>
              </w:tabs>
              <w:suppressAutoHyphens/>
              <w:rPr>
                <w:b/>
                <w:spacing w:val="-2"/>
              </w:rPr>
            </w:pPr>
            <w:r>
              <w:rPr>
                <w:b/>
                <w:spacing w:val="-2"/>
              </w:rPr>
              <w:t>)</w:t>
            </w:r>
          </w:p>
          <w:p w:rsidR="002B3D60" w:rsidP="002B3D60" w14:paraId="1F6658B8" w14:textId="77777777">
            <w:pPr>
              <w:tabs>
                <w:tab w:val="center" w:pos="4680"/>
              </w:tabs>
              <w:suppressAutoHyphens/>
              <w:rPr>
                <w:b/>
                <w:spacing w:val="-2"/>
              </w:rPr>
            </w:pPr>
            <w:r>
              <w:rPr>
                <w:b/>
                <w:spacing w:val="-2"/>
              </w:rPr>
              <w:t>)</w:t>
            </w:r>
          </w:p>
          <w:p w:rsidR="002B3D60" w14:paraId="121084C9" w14:textId="559371DE">
            <w:pPr>
              <w:tabs>
                <w:tab w:val="center" w:pos="4680"/>
              </w:tabs>
              <w:suppressAutoHyphens/>
              <w:rPr>
                <w:b/>
                <w:spacing w:val="-2"/>
              </w:rPr>
            </w:pPr>
            <w:r>
              <w:rPr>
                <w:b/>
                <w:spacing w:val="-2"/>
              </w:rPr>
              <w:t>)</w:t>
            </w:r>
          </w:p>
          <w:p w:rsidR="002B3D60" w14:paraId="7E59DDA9" w14:textId="3994871F">
            <w:pPr>
              <w:tabs>
                <w:tab w:val="center" w:pos="4680"/>
              </w:tabs>
              <w:suppressAutoHyphens/>
              <w:rPr>
                <w:spacing w:val="-2"/>
              </w:rPr>
            </w:pPr>
          </w:p>
        </w:tc>
        <w:tc>
          <w:tcPr>
            <w:tcW w:w="4248" w:type="dxa"/>
          </w:tcPr>
          <w:p w:rsidR="004C2EE3" w14:paraId="5899A9A2" w14:textId="77777777">
            <w:pPr>
              <w:tabs>
                <w:tab w:val="center" w:pos="4680"/>
              </w:tabs>
              <w:suppressAutoHyphens/>
              <w:rPr>
                <w:spacing w:val="-2"/>
              </w:rPr>
            </w:pPr>
          </w:p>
          <w:p w:rsidR="004C2EE3" w14:paraId="1A0D94D4" w14:textId="77777777">
            <w:pPr>
              <w:pStyle w:val="TOAHeading"/>
              <w:tabs>
                <w:tab w:val="center" w:pos="4680"/>
                <w:tab w:val="clear" w:pos="9360"/>
              </w:tabs>
              <w:rPr>
                <w:spacing w:val="-2"/>
              </w:rPr>
            </w:pPr>
          </w:p>
          <w:p w:rsidR="002B3D60" w14:paraId="4010A74B" w14:textId="77777777">
            <w:pPr>
              <w:tabs>
                <w:tab w:val="center" w:pos="4680"/>
              </w:tabs>
              <w:suppressAutoHyphens/>
              <w:rPr>
                <w:spacing w:val="-2"/>
              </w:rPr>
            </w:pPr>
            <w:r>
              <w:rPr>
                <w:spacing w:val="-2"/>
              </w:rPr>
              <w:t xml:space="preserve">CG Docket No. 16-145 </w:t>
            </w:r>
          </w:p>
          <w:p w:rsidR="002B3D60" w14:paraId="34C43841" w14:textId="77777777">
            <w:pPr>
              <w:tabs>
                <w:tab w:val="center" w:pos="4680"/>
              </w:tabs>
              <w:suppressAutoHyphens/>
              <w:rPr>
                <w:spacing w:val="-2"/>
              </w:rPr>
            </w:pPr>
          </w:p>
          <w:p w:rsidR="002B3D60" w14:paraId="607B42EE" w14:textId="77777777">
            <w:pPr>
              <w:tabs>
                <w:tab w:val="center" w:pos="4680"/>
              </w:tabs>
              <w:suppressAutoHyphens/>
              <w:rPr>
                <w:spacing w:val="-2"/>
              </w:rPr>
            </w:pPr>
          </w:p>
          <w:p w:rsidR="004C2EE3" w14:paraId="16134EDA" w14:textId="577170CB">
            <w:pPr>
              <w:tabs>
                <w:tab w:val="center" w:pos="4680"/>
              </w:tabs>
              <w:suppressAutoHyphens/>
              <w:rPr>
                <w:spacing w:val="-2"/>
              </w:rPr>
            </w:pPr>
            <w:r>
              <w:rPr>
                <w:spacing w:val="-2"/>
              </w:rPr>
              <w:t>GN Docket No. 15-178</w:t>
            </w:r>
          </w:p>
        </w:tc>
      </w:tr>
    </w:tbl>
    <w:p w:rsidR="004C2EE3" w:rsidP="0070224F" w14:paraId="7FFD6903" w14:textId="77777777"/>
    <w:p w:rsidR="00841AB1" w:rsidP="00F021FA" w14:paraId="37B29BE4" w14:textId="65172BD5">
      <w:pPr>
        <w:pStyle w:val="StyleBoldCentered"/>
      </w:pPr>
      <w:r>
        <w:t>order</w:t>
      </w:r>
    </w:p>
    <w:p w:rsidR="004C2EE3" w14:paraId="5A1340C9" w14:textId="77777777">
      <w:pPr>
        <w:tabs>
          <w:tab w:val="left" w:pos="-720"/>
        </w:tabs>
        <w:suppressAutoHyphens/>
        <w:spacing w:line="227" w:lineRule="auto"/>
        <w:rPr>
          <w:spacing w:val="-2"/>
        </w:rPr>
      </w:pPr>
    </w:p>
    <w:p w:rsidR="004C2EE3" w:rsidP="00133F79" w14:paraId="2FA93962" w14:textId="61CFE2F8">
      <w:pPr>
        <w:tabs>
          <w:tab w:val="left" w:pos="720"/>
          <w:tab w:val="right" w:pos="9360"/>
        </w:tabs>
        <w:suppressAutoHyphens/>
        <w:spacing w:line="227" w:lineRule="auto"/>
        <w:rPr>
          <w:spacing w:val="-2"/>
        </w:rPr>
      </w:pPr>
      <w:r>
        <w:rPr>
          <w:b/>
          <w:spacing w:val="-2"/>
        </w:rPr>
        <w:t xml:space="preserve">Adopted:  </w:t>
      </w:r>
      <w:r w:rsidR="0007699A">
        <w:rPr>
          <w:b/>
          <w:spacing w:val="-2"/>
        </w:rPr>
        <w:t>January 12,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7699A">
        <w:rPr>
          <w:b/>
          <w:spacing w:val="-2"/>
        </w:rPr>
        <w:t xml:space="preserve">January 12, </w:t>
      </w:r>
      <w:r w:rsidR="00CC686E">
        <w:rPr>
          <w:b/>
          <w:spacing w:val="-2"/>
        </w:rPr>
        <w:t>2022</w:t>
      </w:r>
    </w:p>
    <w:p w:rsidR="00822CE0" w14:paraId="0A0B40B1" w14:textId="77777777"/>
    <w:p w:rsidR="002B3D60" w:rsidP="002B3D60" w14:paraId="48852723" w14:textId="77777777">
      <w:pPr>
        <w:rPr>
          <w:spacing w:val="-2"/>
        </w:rPr>
      </w:pPr>
      <w:r>
        <w:t xml:space="preserve">By the </w:t>
      </w:r>
      <w:r>
        <w:rPr>
          <w:spacing w:val="-2"/>
        </w:rPr>
        <w:t>Chief, Consumer and Governmental Affairs Bureau:</w:t>
      </w:r>
    </w:p>
    <w:p w:rsidR="002B3D60" w:rsidP="00924309" w14:paraId="793C3D81" w14:textId="5DCF8214">
      <w:pPr>
        <w:pStyle w:val="Heading1"/>
        <w:numPr>
          <w:ilvl w:val="0"/>
          <w:numId w:val="0"/>
        </w:numPr>
      </w:pPr>
    </w:p>
    <w:p w:rsidR="007C41DB" w:rsidP="002B3D60" w14:paraId="44C0A1D1" w14:textId="3D9760DD">
      <w:pPr>
        <w:pStyle w:val="ParaNum"/>
        <w:rPr>
          <w:szCs w:val="22"/>
        </w:rPr>
      </w:pPr>
      <w:r w:rsidRPr="007D7676">
        <w:rPr>
          <w:szCs w:val="22"/>
        </w:rPr>
        <w:t xml:space="preserve">By this Order, the Consumer and Governmental Affairs Bureau (Bureau) of the Federal Communications Commission (Commission) </w:t>
      </w:r>
      <w:r w:rsidR="005A7712">
        <w:rPr>
          <w:szCs w:val="22"/>
        </w:rPr>
        <w:t>g</w:t>
      </w:r>
      <w:r w:rsidR="00B05083">
        <w:rPr>
          <w:szCs w:val="22"/>
        </w:rPr>
        <w:t xml:space="preserve">rants </w:t>
      </w:r>
      <w:r w:rsidRPr="007D7676" w:rsidR="007D7676">
        <w:rPr>
          <w:szCs w:val="22"/>
        </w:rPr>
        <w:t>Inland Cellular</w:t>
      </w:r>
      <w:r w:rsidRPr="007D7676">
        <w:rPr>
          <w:szCs w:val="22"/>
        </w:rPr>
        <w:t xml:space="preserve"> (</w:t>
      </w:r>
      <w:r w:rsidRPr="007D7676" w:rsidR="007D7676">
        <w:rPr>
          <w:szCs w:val="22"/>
        </w:rPr>
        <w:t>Inland</w:t>
      </w:r>
      <w:r w:rsidRPr="007D7676">
        <w:rPr>
          <w:szCs w:val="22"/>
        </w:rPr>
        <w:t>)</w:t>
      </w:r>
      <w:r w:rsidR="003633DA">
        <w:rPr>
          <w:szCs w:val="22"/>
        </w:rPr>
        <w:t xml:space="preserve"> </w:t>
      </w:r>
      <w:r w:rsidR="002E00D1">
        <w:rPr>
          <w:szCs w:val="22"/>
        </w:rPr>
        <w:t xml:space="preserve">leave </w:t>
      </w:r>
      <w:r w:rsidR="002C062D">
        <w:rPr>
          <w:szCs w:val="22"/>
        </w:rPr>
        <w:t xml:space="preserve">to </w:t>
      </w:r>
      <w:r w:rsidR="009D383A">
        <w:rPr>
          <w:szCs w:val="22"/>
        </w:rPr>
        <w:t>withdraw a pending waiver request.</w:t>
      </w:r>
      <w:r>
        <w:rPr>
          <w:rStyle w:val="FootnoteReference"/>
          <w:szCs w:val="22"/>
        </w:rPr>
        <w:footnoteReference w:id="3"/>
      </w:r>
      <w:r w:rsidR="009D383A">
        <w:rPr>
          <w:szCs w:val="22"/>
        </w:rPr>
        <w:t xml:space="preserve">  </w:t>
      </w:r>
      <w:r w:rsidR="003633DA">
        <w:rPr>
          <w:szCs w:val="22"/>
        </w:rPr>
        <w:t xml:space="preserve"> </w:t>
      </w:r>
    </w:p>
    <w:p w:rsidR="007C41DB" w:rsidP="00C84939" w14:paraId="2D0CB7AD" w14:textId="736BD69F">
      <w:pPr>
        <w:pStyle w:val="ParaNum"/>
        <w:widowControl/>
      </w:pPr>
      <w:r>
        <w:t xml:space="preserve">In 2016, </w:t>
      </w:r>
      <w:bookmarkStart w:id="1" w:name="_Hlk88047750"/>
      <w:r w:rsidR="00C52519">
        <w:t xml:space="preserve">in response to a request by the Competitive Carriers Association (CCA) on behalf of certain CCA members, the Commission granted </w:t>
      </w:r>
      <w:bookmarkEnd w:id="1"/>
      <w:r w:rsidR="008B07B4">
        <w:t xml:space="preserve">such CCA members, including </w:t>
      </w:r>
      <w:r>
        <w:t>Inland</w:t>
      </w:r>
      <w:r w:rsidR="008B07B4">
        <w:t>,</w:t>
      </w:r>
      <w:r>
        <w:t xml:space="preserve"> temporary, </w:t>
      </w:r>
      <w:r w:rsidR="00C52519">
        <w:t>partial</w:t>
      </w:r>
      <w:r w:rsidRPr="003E6CD6">
        <w:t xml:space="preserve"> waivers of </w:t>
      </w:r>
      <w:r>
        <w:t xml:space="preserve">certain provisions of </w:t>
      </w:r>
      <w:r w:rsidRPr="003E6CD6">
        <w:t>the Commission’s rules</w:t>
      </w:r>
      <w:r w:rsidRPr="00D9693C" w:rsidR="00D9693C">
        <w:t xml:space="preserve"> </w:t>
      </w:r>
      <w:r w:rsidR="00D9693C">
        <w:t>that require support for text telephone (TTY) technology.</w:t>
      </w:r>
      <w:r>
        <w:rPr>
          <w:rStyle w:val="FootnoteReference"/>
        </w:rPr>
        <w:footnoteReference w:id="4"/>
      </w:r>
      <w:r w:rsidR="00D9693C">
        <w:t xml:space="preserve">  </w:t>
      </w:r>
      <w:r w:rsidR="00C52519">
        <w:t xml:space="preserve">These </w:t>
      </w:r>
      <w:r w:rsidR="008C237F">
        <w:t>requirements</w:t>
      </w:r>
      <w:r w:rsidR="00C52519">
        <w:t xml:space="preserve"> were conditionally waived</w:t>
      </w:r>
      <w:r w:rsidRPr="003E6CD6">
        <w:t xml:space="preserve"> </w:t>
      </w:r>
      <w:bookmarkStart w:id="3" w:name="_Hlk88063959"/>
      <w:r w:rsidR="008B07B4">
        <w:t xml:space="preserve">for Inland </w:t>
      </w:r>
      <w:r w:rsidR="00C52519">
        <w:t xml:space="preserve">through December 31, 2017, </w:t>
      </w:r>
      <w:bookmarkEnd w:id="3"/>
      <w:r w:rsidRPr="003E6CD6">
        <w:t xml:space="preserve">to the extent that </w:t>
      </w:r>
      <w:r w:rsidR="00C52519">
        <w:t>they</w:t>
      </w:r>
      <w:r w:rsidRPr="003E6CD6">
        <w:t xml:space="preserve"> require </w:t>
      </w:r>
      <w:r>
        <w:t>Inland</w:t>
      </w:r>
      <w:r w:rsidRPr="003E6CD6">
        <w:t xml:space="preserve"> to support TTY</w:t>
      </w:r>
      <w:r w:rsidR="008B07B4">
        <w:t xml:space="preserve"> </w:t>
      </w:r>
      <w:r w:rsidRPr="003E6CD6">
        <w:t xml:space="preserve">technology when providing </w:t>
      </w:r>
      <w:r>
        <w:t xml:space="preserve">voice communication </w:t>
      </w:r>
      <w:r w:rsidRPr="003E6CD6">
        <w:t>service on an Internet Protocol</w:t>
      </w:r>
      <w:r>
        <w:t xml:space="preserve"> (IP)</w:t>
      </w:r>
      <w:r w:rsidRPr="003E6CD6">
        <w:t xml:space="preserve"> </w:t>
      </w:r>
      <w:r w:rsidR="008B07B4">
        <w:t xml:space="preserve">based </w:t>
      </w:r>
      <w:r w:rsidRPr="003E6CD6">
        <w:t>network.</w:t>
      </w:r>
      <w:r>
        <w:rPr>
          <w:rStyle w:val="FootnoteReference"/>
        </w:rPr>
        <w:footnoteReference w:id="5"/>
      </w:r>
      <w:r>
        <w:t xml:space="preserve">  The Commission subsequently amended its rules to allow service providers to support</w:t>
      </w:r>
      <w:r w:rsidRPr="003E6CD6">
        <w:t xml:space="preserve"> real-time text (RTT) </w:t>
      </w:r>
      <w:r>
        <w:t xml:space="preserve">technology in lieu of </w:t>
      </w:r>
      <w:r>
        <w:t>supporting TTY, and extended to June 30, 2020, the expiration date of all TTY support waivers previously granted to non-Tier I CMRS providers, including Inland.</w:t>
      </w:r>
      <w:r>
        <w:rPr>
          <w:rStyle w:val="FootnoteReference"/>
        </w:rPr>
        <w:footnoteReference w:id="6"/>
      </w:r>
      <w:r>
        <w:t xml:space="preserve"> </w:t>
      </w:r>
      <w:r w:rsidRPr="00C27E39">
        <w:t xml:space="preserve"> </w:t>
      </w:r>
      <w:r>
        <w:t xml:space="preserve"> </w:t>
      </w:r>
    </w:p>
    <w:p w:rsidR="0026399A" w:rsidP="002B3D60" w14:paraId="79CCD645" w14:textId="2BE3FE93">
      <w:pPr>
        <w:pStyle w:val="ParaNum"/>
        <w:rPr>
          <w:szCs w:val="22"/>
        </w:rPr>
      </w:pPr>
      <w:r w:rsidRPr="0007640D">
        <w:rPr>
          <w:szCs w:val="22"/>
        </w:rPr>
        <w:t xml:space="preserve">On June 16, 2020, </w:t>
      </w:r>
      <w:bookmarkStart w:id="6" w:name="_Hlk88057704"/>
      <w:r w:rsidRPr="0007640D">
        <w:rPr>
          <w:szCs w:val="22"/>
        </w:rPr>
        <w:t xml:space="preserve">on behalf of </w:t>
      </w:r>
      <w:r>
        <w:rPr>
          <w:szCs w:val="22"/>
        </w:rPr>
        <w:t>certain CCA</w:t>
      </w:r>
      <w:r w:rsidRPr="0007640D">
        <w:rPr>
          <w:szCs w:val="22"/>
        </w:rPr>
        <w:t xml:space="preserve"> members, </w:t>
      </w:r>
      <w:r>
        <w:rPr>
          <w:szCs w:val="22"/>
        </w:rPr>
        <w:t xml:space="preserve">including Inland, CCA </w:t>
      </w:r>
      <w:r w:rsidRPr="0007640D">
        <w:rPr>
          <w:szCs w:val="22"/>
        </w:rPr>
        <w:t xml:space="preserve">requested </w:t>
      </w:r>
      <w:r>
        <w:rPr>
          <w:szCs w:val="22"/>
        </w:rPr>
        <w:t>a further extension</w:t>
      </w:r>
      <w:r w:rsidRPr="0007640D">
        <w:rPr>
          <w:szCs w:val="22"/>
        </w:rPr>
        <w:t xml:space="preserve"> of the June 30, 2020</w:t>
      </w:r>
      <w:r>
        <w:rPr>
          <w:szCs w:val="22"/>
        </w:rPr>
        <w:t>,</w:t>
      </w:r>
      <w:r w:rsidRPr="0007640D">
        <w:rPr>
          <w:szCs w:val="22"/>
        </w:rPr>
        <w:t xml:space="preserve"> expiration date </w:t>
      </w:r>
      <w:r>
        <w:rPr>
          <w:szCs w:val="22"/>
        </w:rPr>
        <w:t>of the TTY support waivers for non-Tier I service providers</w:t>
      </w:r>
      <w:r w:rsidRPr="0007640D">
        <w:rPr>
          <w:szCs w:val="22"/>
        </w:rPr>
        <w:t>.</w:t>
      </w:r>
      <w:r>
        <w:rPr>
          <w:rStyle w:val="FootnoteReference"/>
          <w:sz w:val="22"/>
          <w:szCs w:val="22"/>
        </w:rPr>
        <w:footnoteReference w:id="7"/>
      </w:r>
      <w:r w:rsidRPr="0007640D">
        <w:rPr>
          <w:szCs w:val="22"/>
        </w:rPr>
        <w:t xml:space="preserve">  </w:t>
      </w:r>
      <w:bookmarkEnd w:id="6"/>
      <w:r w:rsidR="00CC5808">
        <w:t xml:space="preserve">Subsequently, Inland </w:t>
      </w:r>
      <w:r w:rsidR="008C237F">
        <w:t xml:space="preserve">submitted </w:t>
      </w:r>
      <w:r w:rsidR="00CC5808">
        <w:t xml:space="preserve">additional information </w:t>
      </w:r>
      <w:r w:rsidR="008C237F">
        <w:t xml:space="preserve">to the Commission </w:t>
      </w:r>
      <w:r w:rsidR="00CC5808">
        <w:t>regarding this request.</w:t>
      </w:r>
      <w:r>
        <w:rPr>
          <w:rStyle w:val="FootnoteReference"/>
        </w:rPr>
        <w:footnoteReference w:id="8"/>
      </w:r>
      <w:r w:rsidR="00CC5808">
        <w:t xml:space="preserve">  </w:t>
      </w:r>
      <w:r w:rsidR="002C062D">
        <w:rPr>
          <w:szCs w:val="22"/>
        </w:rPr>
        <w:t xml:space="preserve">On September 1, 2021, Inland filed a letter stating that it withdraws its request for a </w:t>
      </w:r>
      <w:r w:rsidR="008C237F">
        <w:rPr>
          <w:szCs w:val="22"/>
        </w:rPr>
        <w:t>further</w:t>
      </w:r>
      <w:r w:rsidR="002C062D">
        <w:rPr>
          <w:szCs w:val="22"/>
        </w:rPr>
        <w:t xml:space="preserve"> extension.</w:t>
      </w:r>
      <w:r>
        <w:rPr>
          <w:rStyle w:val="FootnoteReference"/>
          <w:szCs w:val="22"/>
        </w:rPr>
        <w:footnoteReference w:id="9"/>
      </w:r>
      <w:r w:rsidRPr="002C062D" w:rsidR="002C062D">
        <w:t xml:space="preserve"> </w:t>
      </w:r>
      <w:r w:rsidR="002C062D">
        <w:t xml:space="preserve"> According to Inland’s letter, it “has not launched VoLTE service yet, and because we will roll out RTT service at the same time as our VoLTE service, a waiver of the RTT requirement is not necessary.”</w:t>
      </w:r>
      <w:r>
        <w:rPr>
          <w:rStyle w:val="FootnoteReference"/>
        </w:rPr>
        <w:footnoteReference w:id="10"/>
      </w:r>
    </w:p>
    <w:p w:rsidR="007C41DB" w:rsidRPr="00BD1AE2" w:rsidP="002B3D60" w14:paraId="11E84C8B" w14:textId="7B6B4BA9">
      <w:pPr>
        <w:pStyle w:val="ParaNum"/>
        <w:rPr>
          <w:szCs w:val="22"/>
        </w:rPr>
      </w:pPr>
      <w:r>
        <w:t>We grant Inland</w:t>
      </w:r>
      <w:r w:rsidR="002E00D1">
        <w:t xml:space="preserve"> leave to withdraw its request</w:t>
      </w:r>
      <w:r>
        <w:t xml:space="preserve">.  </w:t>
      </w:r>
      <w:bookmarkStart w:id="7" w:name="_Hlk88062598"/>
      <w:r w:rsidR="00755D95">
        <w:rPr>
          <w:szCs w:val="22"/>
        </w:rPr>
        <w:t xml:space="preserve">The </w:t>
      </w:r>
      <w:r w:rsidRPr="002C062D" w:rsidR="00755D95">
        <w:rPr>
          <w:szCs w:val="22"/>
        </w:rPr>
        <w:t>waiver</w:t>
      </w:r>
      <w:r w:rsidR="00755D95">
        <w:rPr>
          <w:szCs w:val="22"/>
        </w:rPr>
        <w:t xml:space="preserve">s previously granted are only applicable </w:t>
      </w:r>
      <w:r w:rsidR="008B07B4">
        <w:rPr>
          <w:szCs w:val="22"/>
        </w:rPr>
        <w:t xml:space="preserve">if Inland </w:t>
      </w:r>
      <w:r w:rsidR="00BD1AE2">
        <w:rPr>
          <w:szCs w:val="22"/>
        </w:rPr>
        <w:t>provides</w:t>
      </w:r>
      <w:r w:rsidR="00755D95">
        <w:rPr>
          <w:szCs w:val="22"/>
        </w:rPr>
        <w:t xml:space="preserve"> voice service on an IP network.</w:t>
      </w:r>
      <w:r>
        <w:rPr>
          <w:rStyle w:val="FootnoteReference"/>
          <w:szCs w:val="22"/>
        </w:rPr>
        <w:footnoteReference w:id="11"/>
      </w:r>
      <w:r w:rsidR="00755D95">
        <w:rPr>
          <w:szCs w:val="22"/>
        </w:rPr>
        <w:t xml:space="preserve">  </w:t>
      </w:r>
      <w:bookmarkEnd w:id="7"/>
      <w:r w:rsidR="00755D95">
        <w:rPr>
          <w:szCs w:val="22"/>
        </w:rPr>
        <w:t xml:space="preserve">Further, under the rule amendments adopted by the Commission in 2016, </w:t>
      </w:r>
      <w:r w:rsidR="008B07B4">
        <w:rPr>
          <w:szCs w:val="22"/>
        </w:rPr>
        <w:t xml:space="preserve">once Inland </w:t>
      </w:r>
      <w:r w:rsidR="00BD1AE2">
        <w:rPr>
          <w:i/>
          <w:iCs/>
          <w:szCs w:val="22"/>
        </w:rPr>
        <w:t xml:space="preserve">does </w:t>
      </w:r>
      <w:r w:rsidR="008C237F">
        <w:rPr>
          <w:szCs w:val="22"/>
        </w:rPr>
        <w:t xml:space="preserve">begin to </w:t>
      </w:r>
      <w:r w:rsidR="00BD1AE2">
        <w:rPr>
          <w:szCs w:val="22"/>
        </w:rPr>
        <w:t>provide</w:t>
      </w:r>
      <w:r w:rsidR="00755D95">
        <w:rPr>
          <w:szCs w:val="22"/>
        </w:rPr>
        <w:t xml:space="preserve"> VoLTE or </w:t>
      </w:r>
      <w:r w:rsidR="00BD1AE2">
        <w:rPr>
          <w:szCs w:val="22"/>
        </w:rPr>
        <w:t>an</w:t>
      </w:r>
      <w:r w:rsidR="00755D95">
        <w:rPr>
          <w:szCs w:val="22"/>
        </w:rPr>
        <w:t>other voice service on an IP network</w:t>
      </w:r>
      <w:r w:rsidR="008B07B4">
        <w:rPr>
          <w:szCs w:val="22"/>
        </w:rPr>
        <w:t>, it</w:t>
      </w:r>
      <w:r w:rsidR="00755D95">
        <w:rPr>
          <w:szCs w:val="22"/>
        </w:rPr>
        <w:t xml:space="preserve"> may elect to support RTT in lieu of supporting TTY technology.</w:t>
      </w:r>
      <w:r>
        <w:rPr>
          <w:rStyle w:val="FootnoteReference"/>
          <w:szCs w:val="22"/>
        </w:rPr>
        <w:footnoteReference w:id="12"/>
      </w:r>
      <w:r w:rsidR="00755D95">
        <w:rPr>
          <w:szCs w:val="22"/>
        </w:rPr>
        <w:t xml:space="preserve">  </w:t>
      </w:r>
      <w:bookmarkStart w:id="9" w:name="_Hlk88064773"/>
      <w:r w:rsidR="00755D95">
        <w:rPr>
          <w:szCs w:val="22"/>
        </w:rPr>
        <w:t xml:space="preserve">Therefore, extension of the waivers previously granted </w:t>
      </w:r>
      <w:r w:rsidR="008B07B4">
        <w:rPr>
          <w:szCs w:val="22"/>
        </w:rPr>
        <w:t xml:space="preserve">to Inland </w:t>
      </w:r>
      <w:r w:rsidR="00755D95">
        <w:rPr>
          <w:szCs w:val="22"/>
        </w:rPr>
        <w:t xml:space="preserve">is </w:t>
      </w:r>
      <w:r w:rsidRPr="002C062D" w:rsidR="00755D95">
        <w:rPr>
          <w:szCs w:val="22"/>
        </w:rPr>
        <w:t xml:space="preserve">only </w:t>
      </w:r>
      <w:r w:rsidR="00755D95">
        <w:rPr>
          <w:szCs w:val="22"/>
        </w:rPr>
        <w:t>necessary</w:t>
      </w:r>
      <w:r w:rsidRPr="002C062D" w:rsidR="00755D95">
        <w:rPr>
          <w:szCs w:val="22"/>
        </w:rPr>
        <w:t xml:space="preserve"> </w:t>
      </w:r>
      <w:r w:rsidR="00755D95">
        <w:rPr>
          <w:szCs w:val="22"/>
        </w:rPr>
        <w:t xml:space="preserve">to avoid non-compliance with our rules </w:t>
      </w:r>
      <w:r w:rsidRPr="002C062D" w:rsidR="00755D95">
        <w:rPr>
          <w:szCs w:val="22"/>
        </w:rPr>
        <w:t xml:space="preserve">if </w:t>
      </w:r>
      <w:r w:rsidR="008B07B4">
        <w:rPr>
          <w:szCs w:val="22"/>
        </w:rPr>
        <w:t>Inland</w:t>
      </w:r>
      <w:r w:rsidRPr="002C062D" w:rsidR="00755D95">
        <w:rPr>
          <w:szCs w:val="22"/>
        </w:rPr>
        <w:t xml:space="preserve"> </w:t>
      </w:r>
      <w:r w:rsidR="008B07B4">
        <w:rPr>
          <w:szCs w:val="22"/>
        </w:rPr>
        <w:t xml:space="preserve">is (or will be) </w:t>
      </w:r>
      <w:r w:rsidR="00755D95">
        <w:rPr>
          <w:szCs w:val="22"/>
        </w:rPr>
        <w:t xml:space="preserve">providing voice service on an IP network </w:t>
      </w:r>
      <w:r w:rsidRPr="008C237F" w:rsidR="008B07B4">
        <w:rPr>
          <w:i/>
          <w:iCs/>
          <w:szCs w:val="22"/>
        </w:rPr>
        <w:t>without</w:t>
      </w:r>
      <w:r w:rsidR="00755D95">
        <w:rPr>
          <w:szCs w:val="22"/>
        </w:rPr>
        <w:t xml:space="preserve"> support</w:t>
      </w:r>
      <w:r w:rsidR="008B07B4">
        <w:rPr>
          <w:szCs w:val="22"/>
        </w:rPr>
        <w:t>ing</w:t>
      </w:r>
      <w:r w:rsidR="00755D95">
        <w:rPr>
          <w:szCs w:val="22"/>
        </w:rPr>
        <w:t xml:space="preserve"> RTT</w:t>
      </w:r>
      <w:bookmarkEnd w:id="9"/>
      <w:r w:rsidR="00755D95">
        <w:rPr>
          <w:szCs w:val="22"/>
        </w:rPr>
        <w:t>.</w:t>
      </w:r>
      <w:r>
        <w:rPr>
          <w:rStyle w:val="FootnoteReference"/>
          <w:szCs w:val="22"/>
        </w:rPr>
        <w:footnoteReference w:id="13"/>
      </w:r>
      <w:r w:rsidR="00755D95">
        <w:rPr>
          <w:szCs w:val="22"/>
        </w:rPr>
        <w:t xml:space="preserve">  </w:t>
      </w:r>
      <w:r w:rsidR="00755D95">
        <w:t>According to Inland’s supplemental filings, its</w:t>
      </w:r>
      <w:r w:rsidR="00294254">
        <w:rPr>
          <w:szCs w:val="22"/>
        </w:rPr>
        <w:t xml:space="preserve"> initial plan to launch VoLTE service was delayed, and </w:t>
      </w:r>
      <w:r w:rsidR="00755D95">
        <w:rPr>
          <w:szCs w:val="22"/>
        </w:rPr>
        <w:t>it</w:t>
      </w:r>
      <w:r w:rsidR="00294254">
        <w:rPr>
          <w:szCs w:val="22"/>
        </w:rPr>
        <w:t xml:space="preserve"> does not intend to begin providing voice service over an IP network until it is ready to launch</w:t>
      </w:r>
      <w:r w:rsidR="00325821">
        <w:rPr>
          <w:szCs w:val="22"/>
        </w:rPr>
        <w:t xml:space="preserve"> its</w:t>
      </w:r>
      <w:r w:rsidR="00294254">
        <w:rPr>
          <w:szCs w:val="22"/>
        </w:rPr>
        <w:t xml:space="preserve"> RTT capability.</w:t>
      </w:r>
      <w:r>
        <w:rPr>
          <w:rStyle w:val="FootnoteReference"/>
          <w:szCs w:val="22"/>
        </w:rPr>
        <w:footnoteReference w:id="14"/>
      </w:r>
      <w:r w:rsidR="00294254">
        <w:rPr>
          <w:szCs w:val="22"/>
        </w:rPr>
        <w:t xml:space="preserve">  </w:t>
      </w:r>
      <w:r w:rsidR="00BD1AE2">
        <w:t>Therefore, the record does not indicate any need to further extend Inland’s waivers.</w:t>
      </w:r>
      <w:r>
        <w:rPr>
          <w:rStyle w:val="FootnoteReference"/>
        </w:rPr>
        <w:footnoteReference w:id="15"/>
      </w:r>
    </w:p>
    <w:p w:rsidR="00BD1AE2" w:rsidRPr="00B7261C" w:rsidP="00BD1AE2" w14:paraId="590D665F" w14:textId="752DAD3E">
      <w:pPr>
        <w:pStyle w:val="ParaNum"/>
      </w:pPr>
      <w:r>
        <w:t xml:space="preserve">Accordingly, IT IS ORDERED, pursuant to section 4(i) of the Communications Act of 1934, as amended, 47 U.S.C. § 154(i), and sections 0.141,0.361, and 1.3 of the Commission’s rules, 47 CFR §§ 0.141, 0.361, 1.3 that </w:t>
      </w:r>
      <w:r w:rsidR="002E00D1">
        <w:t>leave for</w:t>
      </w:r>
      <w:r>
        <w:t xml:space="preserve"> Inland</w:t>
      </w:r>
      <w:r w:rsidR="002E00D1">
        <w:t xml:space="preserve"> to withdraw its</w:t>
      </w:r>
      <w:r>
        <w:t xml:space="preserve"> waiver extension request IS GRANTED.</w:t>
      </w:r>
      <w:r w:rsidRPr="001F7A15">
        <w:t xml:space="preserve"> </w:t>
      </w:r>
    </w:p>
    <w:p w:rsidR="002B3D60" w:rsidRPr="001F7A15" w:rsidP="00C84939" w14:paraId="1DA5D68F" w14:textId="55D4932F">
      <w:pPr>
        <w:pStyle w:val="ParaNum"/>
        <w:keepNext/>
        <w:widowControl/>
      </w:pPr>
      <w:r>
        <w:t xml:space="preserve">IT IS FURTHER ORDERED that the </w:t>
      </w:r>
      <w:bookmarkStart w:id="10" w:name="_Hlk88065168"/>
      <w:r>
        <w:t>request for extension of Inland’s waiver</w:t>
      </w:r>
      <w:r w:rsidR="002E00D1">
        <w:t>s</w:t>
      </w:r>
      <w:r>
        <w:t xml:space="preserve">, </w:t>
      </w:r>
      <w:bookmarkEnd w:id="10"/>
      <w:r>
        <w:t>filed June 16, 2020,</w:t>
      </w:r>
      <w:r w:rsidRPr="00002FD4">
        <w:t xml:space="preserve"> IS </w:t>
      </w:r>
      <w:r>
        <w:t>DISMISSED.</w:t>
      </w:r>
      <w:r w:rsidRPr="001F7A15">
        <w:t xml:space="preserve"> </w:t>
      </w:r>
    </w:p>
    <w:p w:rsidR="002B3D60" w:rsidRPr="001F7A15" w:rsidP="00C84939" w14:paraId="7E24F6CD" w14:textId="77777777">
      <w:pPr>
        <w:keepNext/>
        <w:widowControl/>
        <w:ind w:left="4320"/>
      </w:pPr>
    </w:p>
    <w:p w:rsidR="002B3D60" w:rsidRPr="001F7A15" w:rsidP="00C84939" w14:paraId="6B1D01EB" w14:textId="77777777">
      <w:pPr>
        <w:keepNext/>
        <w:widowControl/>
        <w:ind w:left="4320"/>
      </w:pPr>
      <w:r w:rsidRPr="001F7A15">
        <w:t>FEDERAL COMMUNICATIONS COMMISSION</w:t>
      </w:r>
    </w:p>
    <w:p w:rsidR="002B3D60" w:rsidRPr="001F7A15" w:rsidP="00C84939" w14:paraId="52DF807E" w14:textId="77777777">
      <w:pPr>
        <w:keepNext/>
        <w:widowControl/>
        <w:ind w:left="4320"/>
      </w:pPr>
    </w:p>
    <w:p w:rsidR="002B3D60" w:rsidRPr="001F7A15" w:rsidP="00C84939" w14:paraId="63513FCE" w14:textId="77777777">
      <w:pPr>
        <w:keepNext/>
        <w:widowControl/>
        <w:ind w:left="4320"/>
      </w:pPr>
    </w:p>
    <w:p w:rsidR="002B3D60" w:rsidRPr="001F7A15" w:rsidP="00C84939" w14:paraId="3F09C077" w14:textId="77777777">
      <w:pPr>
        <w:keepNext/>
        <w:widowControl/>
        <w:ind w:left="4320"/>
      </w:pPr>
    </w:p>
    <w:p w:rsidR="002B3D60" w:rsidRPr="001F7A15" w:rsidP="00C84939" w14:paraId="74296E05" w14:textId="77777777">
      <w:pPr>
        <w:keepNext/>
        <w:widowControl/>
        <w:ind w:left="4320"/>
      </w:pPr>
    </w:p>
    <w:p w:rsidR="002B3D60" w:rsidRPr="001F7A15" w:rsidP="00C84939" w14:paraId="746E9905" w14:textId="77777777">
      <w:pPr>
        <w:keepNext/>
        <w:widowControl/>
        <w:ind w:left="4320"/>
      </w:pPr>
      <w:r>
        <w:t>Patrick Webre</w:t>
      </w:r>
    </w:p>
    <w:p w:rsidR="002B3D60" w:rsidRPr="001F7A15" w:rsidP="00C84939" w14:paraId="51F14189" w14:textId="77777777">
      <w:pPr>
        <w:keepNext/>
        <w:widowControl/>
        <w:ind w:left="4320"/>
      </w:pPr>
      <w:r w:rsidRPr="001F7A15">
        <w:t>Chief</w:t>
      </w:r>
      <w:r>
        <w:t>,</w:t>
      </w:r>
    </w:p>
    <w:p w:rsidR="002B3D60" w:rsidP="002B3D60" w14:paraId="2F6C1430" w14:textId="77777777">
      <w:pPr>
        <w:keepNext/>
        <w:widowControl/>
        <w:ind w:left="4320"/>
      </w:pPr>
      <w:r w:rsidRPr="001F7A15">
        <w:t>Consumer and Governmental Affairs Bureau</w:t>
      </w:r>
    </w:p>
    <w:p w:rsidR="00412FC5" w:rsidP="002B3D60" w14:paraId="774221F6" w14:textId="77777777">
      <w:pPr>
        <w:pStyle w:val="Heading1"/>
        <w:numPr>
          <w:ilvl w:val="0"/>
          <w:numId w:val="0"/>
        </w:num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79E" w:rsidP="0055614C" w14:paraId="7C4ED3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54279E" w14:paraId="77102E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79E" w:rsidP="00325821" w14:paraId="05641395" w14:textId="03995A3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79E" w14:paraId="2C80323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612A" w14:paraId="56324AA0" w14:textId="77777777">
      <w:r>
        <w:separator/>
      </w:r>
    </w:p>
  </w:footnote>
  <w:footnote w:type="continuationSeparator" w:id="1">
    <w:p w:rsidR="0081612A" w:rsidP="00C721AC" w14:paraId="772746AE" w14:textId="77777777">
      <w:pPr>
        <w:spacing w:before="120"/>
        <w:rPr>
          <w:sz w:val="20"/>
        </w:rPr>
      </w:pPr>
      <w:r>
        <w:rPr>
          <w:sz w:val="20"/>
        </w:rPr>
        <w:t xml:space="preserve">(Continued from previous page)  </w:t>
      </w:r>
      <w:r>
        <w:rPr>
          <w:sz w:val="20"/>
        </w:rPr>
        <w:separator/>
      </w:r>
    </w:p>
  </w:footnote>
  <w:footnote w:type="continuationNotice" w:id="2">
    <w:p w:rsidR="0081612A" w:rsidP="00C721AC" w14:paraId="07E75C66" w14:textId="77777777">
      <w:pPr>
        <w:jc w:val="right"/>
        <w:rPr>
          <w:sz w:val="20"/>
        </w:rPr>
      </w:pPr>
      <w:r>
        <w:rPr>
          <w:sz w:val="20"/>
        </w:rPr>
        <w:t>(continued….)</w:t>
      </w:r>
    </w:p>
  </w:footnote>
  <w:footnote w:id="3">
    <w:p w:rsidR="009D383A" w14:paraId="0305FE77" w14:textId="5DFCAB27">
      <w:pPr>
        <w:pStyle w:val="FootnoteText"/>
      </w:pPr>
      <w:r>
        <w:rPr>
          <w:rStyle w:val="FootnoteReference"/>
        </w:rPr>
        <w:footnoteRef/>
      </w:r>
      <w:r>
        <w:t xml:space="preserve"> </w:t>
      </w:r>
      <w:r w:rsidRPr="009D383A">
        <w:t xml:space="preserve">Letter from Mike Bly, Inland Cellular, to </w:t>
      </w:r>
      <w:r>
        <w:t>Marlene H. Dortch</w:t>
      </w:r>
      <w:r w:rsidRPr="009D383A">
        <w:t xml:space="preserve">, FCC, CG Docket No. 16-145 and GN Docket No. 15-178 (filed </w:t>
      </w:r>
      <w:r w:rsidR="007C41DB">
        <w:t>Sept. 1</w:t>
      </w:r>
      <w:r w:rsidRPr="009D383A">
        <w:t xml:space="preserve">, 2021) </w:t>
      </w:r>
      <w:r w:rsidR="007C41DB">
        <w:t>(Withdrawal Letter</w:t>
      </w:r>
      <w:r w:rsidRPr="009D383A">
        <w:t>)</w:t>
      </w:r>
      <w:r w:rsidR="007C41DB">
        <w:t xml:space="preserve">.  Inland, </w:t>
      </w:r>
      <w:r w:rsidRPr="003E6CD6" w:rsidR="007C41DB">
        <w:t xml:space="preserve">a Commercial Mobile Radio Service </w:t>
      </w:r>
      <w:r w:rsidR="007C41DB">
        <w:t xml:space="preserve">(CMRS) </w:t>
      </w:r>
      <w:r w:rsidRPr="003E6CD6" w:rsidR="007C41DB">
        <w:t>provider</w:t>
      </w:r>
      <w:r w:rsidR="007C41DB">
        <w:t>, offers</w:t>
      </w:r>
      <w:r w:rsidRPr="00A26994" w:rsidR="007C41DB">
        <w:t xml:space="preserve"> voice and data services </w:t>
      </w:r>
      <w:r w:rsidR="007C41DB">
        <w:t>to customers in Washington and Idaho</w:t>
      </w:r>
      <w:r w:rsidRPr="00A26994" w:rsidR="007C41DB">
        <w:t xml:space="preserve">.  </w:t>
      </w:r>
      <w:r w:rsidRPr="00A26994" w:rsidR="007C41DB">
        <w:rPr>
          <w:i/>
          <w:iCs/>
        </w:rPr>
        <w:t xml:space="preserve">See </w:t>
      </w:r>
      <w:r w:rsidR="007C41DB">
        <w:t>Letter from Mike Bly, Inland Cellular, to Suzy Rosen Singleton, FCC, CG Docket No. 16-145 and GN Docket No. 15-178, at 3-4 (filed Jan. 21, 2021) (</w:t>
      </w:r>
      <w:bookmarkStart w:id="0" w:name="_Hlk88060461"/>
      <w:r w:rsidR="007C41DB">
        <w:t xml:space="preserve">January 21 </w:t>
      </w:r>
      <w:bookmarkEnd w:id="0"/>
      <w:r w:rsidR="008B07B4">
        <w:t>Supplement</w:t>
      </w:r>
      <w:r w:rsidR="007C41DB">
        <w:t>).</w:t>
      </w:r>
    </w:p>
  </w:footnote>
  <w:footnote w:id="4">
    <w:p w:rsidR="00D9693C" w:rsidP="00D9693C" w14:paraId="60A911A5" w14:textId="5B221EE2">
      <w:pPr>
        <w:pStyle w:val="FootnoteText"/>
      </w:pPr>
      <w:r>
        <w:rPr>
          <w:rStyle w:val="FootnoteReference"/>
        </w:rPr>
        <w:footnoteRef/>
      </w:r>
      <w:r>
        <w:t xml:space="preserve"> </w:t>
      </w:r>
      <w:bookmarkStart w:id="2" w:name="_Hlk88057429"/>
      <w:r w:rsidRPr="00E0365E">
        <w:rPr>
          <w:i/>
          <w:iCs/>
        </w:rPr>
        <w:t>See</w:t>
      </w:r>
      <w:r>
        <w:t xml:space="preserve"> </w:t>
      </w:r>
      <w:r w:rsidRPr="00E0365E">
        <w:rPr>
          <w:i/>
          <w:iCs/>
        </w:rPr>
        <w:t>Petition for Waiver of Rules Requiring Support of TTY Technology</w:t>
      </w:r>
      <w:r w:rsidRPr="00E61782">
        <w:t>;</w:t>
      </w:r>
      <w:r w:rsidRPr="00E0365E">
        <w:rPr>
          <w:i/>
          <w:iCs/>
        </w:rPr>
        <w:t xml:space="preserve"> Competitive Carriers Association</w:t>
      </w:r>
      <w:r w:rsidRPr="00E0365E">
        <w:t>,</w:t>
      </w:r>
      <w:r w:rsidRPr="00E0365E">
        <w:rPr>
          <w:i/>
          <w:iCs/>
        </w:rPr>
        <w:t xml:space="preserve"> </w:t>
      </w:r>
      <w:r w:rsidRPr="00E0365E">
        <w:t>GN Docket No. 15-178, Order, 31 FCC Rcd 3778 (CGB PSHSB WTB WCB 2016)</w:t>
      </w:r>
      <w:r>
        <w:t xml:space="preserve"> </w:t>
      </w:r>
      <w:r w:rsidRPr="00860A85">
        <w:t>(</w:t>
      </w:r>
      <w:r w:rsidRPr="003E6CD6">
        <w:rPr>
          <w:i/>
          <w:iCs/>
        </w:rPr>
        <w:t>CCA Waiver Order</w:t>
      </w:r>
      <w:r w:rsidRPr="00860A85">
        <w:t>)</w:t>
      </w:r>
      <w:r>
        <w:t xml:space="preserve">. The rules subject to partial waiver were 47 CFR §§ 6.5(b), 7.5(b), 14.20(a), </w:t>
      </w:r>
      <w:r w:rsidRPr="00F058BC">
        <w:t>20.18</w:t>
      </w:r>
      <w:r w:rsidRPr="00011A79">
        <w:t>(</w:t>
      </w:r>
      <w:r>
        <w:t>c</w:t>
      </w:r>
      <w:r w:rsidRPr="00011A79">
        <w:t>)</w:t>
      </w:r>
      <w:r>
        <w:t xml:space="preserve"> (now </w:t>
      </w:r>
      <w:r w:rsidRPr="00F058BC">
        <w:t>9.10(c)</w:t>
      </w:r>
      <w:r>
        <w:t>)</w:t>
      </w:r>
      <w:r w:rsidRPr="00F058BC">
        <w:t xml:space="preserve">, </w:t>
      </w:r>
      <w:r>
        <w:t xml:space="preserve">and </w:t>
      </w:r>
      <w:r w:rsidRPr="00F058BC">
        <w:t>64.603</w:t>
      </w:r>
      <w:r>
        <w:t>.</w:t>
      </w:r>
      <w:bookmarkEnd w:id="2"/>
      <w:r w:rsidRPr="00D9693C">
        <w:t xml:space="preserve"> </w:t>
      </w:r>
      <w:r>
        <w:t xml:space="preserve"> </w:t>
      </w:r>
      <w:r w:rsidRPr="003E6CD6">
        <w:t xml:space="preserve">The waivers granted in </w:t>
      </w:r>
      <w:r>
        <w:t xml:space="preserve">the </w:t>
      </w:r>
      <w:r w:rsidRPr="00C27E39">
        <w:rPr>
          <w:i/>
          <w:iCs/>
        </w:rPr>
        <w:t>CCA Waiver Order</w:t>
      </w:r>
      <w:r w:rsidRPr="003E6CD6">
        <w:t xml:space="preserve"> applied to all CCA members that chose to opt in by July 19, 2016.  </w:t>
      </w:r>
      <w:r w:rsidRPr="003E6CD6">
        <w:rPr>
          <w:i/>
          <w:iCs/>
        </w:rPr>
        <w:t>Id.</w:t>
      </w:r>
      <w:r w:rsidRPr="003E6CD6">
        <w:t xml:space="preserve"> at 3785, para. 21.  CCA identified </w:t>
      </w:r>
      <w:r>
        <w:t>Inland</w:t>
      </w:r>
      <w:r w:rsidRPr="003E6CD6">
        <w:t xml:space="preserve"> as one of its members opting in.  </w:t>
      </w:r>
      <w:r w:rsidRPr="003E6CD6">
        <w:rPr>
          <w:i/>
          <w:iCs/>
        </w:rPr>
        <w:t>See</w:t>
      </w:r>
      <w:r w:rsidRPr="003E6CD6">
        <w:t xml:space="preserve"> CCA, Report, GN Docket No. 15-178, Attach. A, at </w:t>
      </w:r>
      <w:r w:rsidR="00C5500B">
        <w:t>1</w:t>
      </w:r>
      <w:r w:rsidR="00DB1EFF">
        <w:t>3</w:t>
      </w:r>
      <w:r w:rsidRPr="003E6CD6">
        <w:t xml:space="preserve"> (filed July 19, 2016).</w:t>
      </w:r>
    </w:p>
  </w:footnote>
  <w:footnote w:id="5">
    <w:p w:rsidR="007C41DB" w:rsidP="007C41DB" w14:paraId="5BEF3F23" w14:textId="0B1597E3">
      <w:pPr>
        <w:pStyle w:val="FootnoteText"/>
      </w:pPr>
      <w:r>
        <w:rPr>
          <w:rStyle w:val="FootnoteReference"/>
        </w:rPr>
        <w:footnoteRef/>
      </w:r>
      <w:r>
        <w:t xml:space="preserve"> </w:t>
      </w:r>
      <w:bookmarkStart w:id="4" w:name="_Hlk88065614"/>
      <w:r w:rsidRPr="001F7A92" w:rsidR="00755D95">
        <w:rPr>
          <w:i/>
          <w:iCs/>
        </w:rPr>
        <w:t>See</w:t>
      </w:r>
      <w:r w:rsidR="00755D95">
        <w:t xml:space="preserve"> </w:t>
      </w:r>
      <w:r w:rsidRPr="00FD2ECD" w:rsidR="00755D95">
        <w:rPr>
          <w:i/>
          <w:iCs/>
        </w:rPr>
        <w:t>CCA Waiver Order</w:t>
      </w:r>
      <w:r w:rsidR="00755D95">
        <w:t xml:space="preserve">, </w:t>
      </w:r>
      <w:r w:rsidRPr="00FD2ECD" w:rsidR="00755D95">
        <w:t xml:space="preserve">31 FCC Rcd </w:t>
      </w:r>
      <w:r w:rsidR="00755D95">
        <w:t>at 3778, 3785, paras. 1, 21.</w:t>
      </w:r>
      <w:bookmarkEnd w:id="4"/>
    </w:p>
  </w:footnote>
  <w:footnote w:id="6">
    <w:p w:rsidR="007C41DB" w:rsidP="007C41DB" w14:paraId="04561303" w14:textId="6328FB6E">
      <w:pPr>
        <w:pStyle w:val="FootnoteText"/>
      </w:pPr>
      <w:r>
        <w:rPr>
          <w:rStyle w:val="FootnoteReference"/>
        </w:rPr>
        <w:footnoteRef/>
      </w:r>
      <w:r>
        <w:t xml:space="preserve"> </w:t>
      </w:r>
      <w:r w:rsidRPr="00E0365E">
        <w:rPr>
          <w:i/>
          <w:iCs/>
        </w:rPr>
        <w:t>Transition from TTY to Real-Time Text Technology; Petition for Rulemaking to Update the Commission’s Rules for Access to Support the Transition from TTY to Real-Time Text Technology, and Petition for Waiver of Rules Requiring Support of TTY Technology</w:t>
      </w:r>
      <w:r w:rsidRPr="00E0365E">
        <w:t>,</w:t>
      </w:r>
      <w:r w:rsidRPr="00E0365E">
        <w:rPr>
          <w:i/>
          <w:iCs/>
        </w:rPr>
        <w:t xml:space="preserve"> </w:t>
      </w:r>
      <w:r w:rsidRPr="00E0365E">
        <w:rPr>
          <w:iCs/>
        </w:rPr>
        <w:t>CG Docket No. 16-145 and GN Docket No. 15-178,</w:t>
      </w:r>
      <w:r w:rsidRPr="00E0365E">
        <w:rPr>
          <w:i/>
          <w:iCs/>
        </w:rPr>
        <w:t xml:space="preserve"> </w:t>
      </w:r>
      <w:r w:rsidRPr="00E0365E">
        <w:rPr>
          <w:iCs/>
        </w:rPr>
        <w:t>Report and Order and</w:t>
      </w:r>
      <w:r w:rsidRPr="003E6CD6">
        <w:rPr>
          <w:iCs/>
        </w:rPr>
        <w:t xml:space="preserve"> </w:t>
      </w:r>
      <w:r w:rsidRPr="00E0365E">
        <w:rPr>
          <w:iCs/>
        </w:rPr>
        <w:t xml:space="preserve">Further Notice of Proposed Rulemaking, 31 FCC Rcd 13568, </w:t>
      </w:r>
      <w:r w:rsidRPr="000E7B67" w:rsidR="008C237F">
        <w:rPr>
          <w:iCs/>
        </w:rPr>
        <w:t xml:space="preserve">13572-74, </w:t>
      </w:r>
      <w:r w:rsidRPr="00E0365E" w:rsidR="008C237F">
        <w:rPr>
          <w:iCs/>
        </w:rPr>
        <w:t>13602, para</w:t>
      </w:r>
      <w:r w:rsidR="008C237F">
        <w:rPr>
          <w:iCs/>
        </w:rPr>
        <w:t>s</w:t>
      </w:r>
      <w:r w:rsidRPr="00E0365E" w:rsidR="008C237F">
        <w:rPr>
          <w:iCs/>
        </w:rPr>
        <w:t xml:space="preserve">. </w:t>
      </w:r>
      <w:r w:rsidR="008C237F">
        <w:rPr>
          <w:iCs/>
        </w:rPr>
        <w:t xml:space="preserve">7, </w:t>
      </w:r>
      <w:r w:rsidRPr="00E0365E">
        <w:rPr>
          <w:iCs/>
        </w:rPr>
        <w:t>66 (2016) (</w:t>
      </w:r>
      <w:bookmarkStart w:id="5" w:name="_Hlk87969479"/>
      <w:r w:rsidRPr="00E0365E">
        <w:rPr>
          <w:i/>
          <w:iCs/>
        </w:rPr>
        <w:t>TTY-RTT Transition Order</w:t>
      </w:r>
      <w:bookmarkEnd w:id="5"/>
      <w:r w:rsidRPr="00E0365E">
        <w:rPr>
          <w:iCs/>
        </w:rPr>
        <w:t>)</w:t>
      </w:r>
      <w:r>
        <w:rPr>
          <w:iCs/>
        </w:rPr>
        <w:t>.</w:t>
      </w:r>
    </w:p>
  </w:footnote>
  <w:footnote w:id="7">
    <w:p w:rsidR="007C41DB" w:rsidRPr="00381D2A" w:rsidP="007C41DB" w14:paraId="6CE630DD" w14:textId="088071FD">
      <w:pPr>
        <w:pStyle w:val="FootnoteText"/>
      </w:pPr>
      <w:r w:rsidRPr="00EC7111">
        <w:rPr>
          <w:rStyle w:val="FootnoteReference"/>
        </w:rPr>
        <w:footnoteRef/>
      </w:r>
      <w:r w:rsidRPr="00EC7111">
        <w:t xml:space="preserve"> </w:t>
      </w:r>
      <w:r w:rsidRPr="00E27CA5">
        <w:rPr>
          <w:i/>
          <w:iCs/>
        </w:rPr>
        <w:t>Petition of Certain Members of Competitive Carriers Association for Waiver or, in the alternative, Declaratory Ruling</w:t>
      </w:r>
      <w:r w:rsidRPr="00EC7111">
        <w:t xml:space="preserve">, CG Docket No. 16-145 and GN Docket No.15-178, at 1-2, 6-7 (filed June 16, 2020), </w:t>
      </w:r>
      <w:r w:rsidRPr="00EC7111">
        <w:rPr>
          <w:snapToGrid w:val="0"/>
          <w:color w:val="0000FF"/>
          <w:kern w:val="28"/>
          <w:u w:val="single"/>
        </w:rPr>
        <w:t>https://ecfsapi.fcc.gov/</w:t>
      </w:r>
      <w:r w:rsidRPr="00EC7111">
        <w:rPr>
          <w:snapToGrid w:val="0"/>
          <w:color w:val="0000FF"/>
          <w:kern w:val="28"/>
          <w:u w:val="single"/>
        </w:rPr>
        <w:br/>
        <w:t>file/1061682721453/REDACTED%20CCA%20RTT%20Petition.pdf</w:t>
      </w:r>
      <w:r w:rsidRPr="00EC7111">
        <w:t xml:space="preserve"> (</w:t>
      </w:r>
      <w:r>
        <w:t>CCA Waiver Extension Request</w:t>
      </w:r>
      <w:r w:rsidRPr="00EC7111">
        <w:t xml:space="preserve">) (redacted).  </w:t>
      </w:r>
      <w:r>
        <w:t xml:space="preserve">  </w:t>
      </w:r>
    </w:p>
  </w:footnote>
  <w:footnote w:id="8">
    <w:p w:rsidR="00294254" w14:paraId="39F27635" w14:textId="494476F9">
      <w:pPr>
        <w:pStyle w:val="FootnoteText"/>
      </w:pPr>
      <w:r>
        <w:rPr>
          <w:rStyle w:val="FootnoteReference"/>
        </w:rPr>
        <w:footnoteRef/>
      </w:r>
      <w:r>
        <w:t xml:space="preserve"> </w:t>
      </w:r>
      <w:r w:rsidRPr="00294254">
        <w:rPr>
          <w:i/>
          <w:iCs/>
        </w:rPr>
        <w:t>See</w:t>
      </w:r>
      <w:r>
        <w:t xml:space="preserve"> </w:t>
      </w:r>
      <w:r w:rsidRPr="00294254">
        <w:t xml:space="preserve">January 21 </w:t>
      </w:r>
      <w:r w:rsidR="00431F5D">
        <w:t>Supple</w:t>
      </w:r>
      <w:r w:rsidR="0034233D">
        <w:t>ment</w:t>
      </w:r>
      <w:r>
        <w:t>.</w:t>
      </w:r>
    </w:p>
  </w:footnote>
  <w:footnote w:id="9">
    <w:p w:rsidR="002C062D" w14:paraId="01B90497" w14:textId="0E44B4CD">
      <w:pPr>
        <w:pStyle w:val="FootnoteText"/>
      </w:pPr>
      <w:r>
        <w:rPr>
          <w:rStyle w:val="FootnoteReference"/>
        </w:rPr>
        <w:footnoteRef/>
      </w:r>
      <w:r>
        <w:t xml:space="preserve"> Withdrawal Letter.</w:t>
      </w:r>
    </w:p>
  </w:footnote>
  <w:footnote w:id="10">
    <w:p w:rsidR="002C062D" w14:paraId="633356DD" w14:textId="62950407">
      <w:pPr>
        <w:pStyle w:val="FootnoteText"/>
      </w:pPr>
      <w:r>
        <w:rPr>
          <w:rStyle w:val="FootnoteReference"/>
        </w:rPr>
        <w:footnoteRef/>
      </w:r>
      <w:r>
        <w:t xml:space="preserve"> </w:t>
      </w:r>
      <w:r w:rsidR="0034233D">
        <w:rPr>
          <w:i/>
          <w:iCs/>
        </w:rPr>
        <w:t>Id.</w:t>
      </w:r>
    </w:p>
  </w:footnote>
  <w:footnote w:id="11">
    <w:p w:rsidR="00755D95" w:rsidP="00755D95" w14:paraId="1CA56F52" w14:textId="77777777">
      <w:pPr>
        <w:pStyle w:val="FootnoteText"/>
      </w:pPr>
      <w:r>
        <w:rPr>
          <w:rStyle w:val="FootnoteReference"/>
        </w:rPr>
        <w:footnoteRef/>
      </w:r>
      <w:r>
        <w:t xml:space="preserve"> </w:t>
      </w:r>
      <w:r w:rsidRPr="001F7A92">
        <w:rPr>
          <w:i/>
          <w:iCs/>
        </w:rPr>
        <w:t>See</w:t>
      </w:r>
      <w:r>
        <w:t xml:space="preserve"> </w:t>
      </w:r>
      <w:r w:rsidRPr="00FD2ECD">
        <w:rPr>
          <w:i/>
          <w:iCs/>
        </w:rPr>
        <w:t>CCA Waiver Order</w:t>
      </w:r>
      <w:r>
        <w:t xml:space="preserve">, </w:t>
      </w:r>
      <w:r w:rsidRPr="00FD2ECD">
        <w:t xml:space="preserve">31 FCC Rcd </w:t>
      </w:r>
      <w:r>
        <w:t xml:space="preserve">at 3780-81, para. 7 (describing a request by AT&amp;T for temporary waiver of “the Commission’s requirements to support TTY technology for wireless devices and services on Voice over Internet Protocol (VoIP) networks”); </w:t>
      </w:r>
      <w:r w:rsidRPr="00521E77">
        <w:rPr>
          <w:i/>
          <w:iCs/>
        </w:rPr>
        <w:t>id</w:t>
      </w:r>
      <w:r>
        <w:t>. at 3781, para. 9 (describing CCA request for “a waiver identical to that recently granted to AT&amp;T”).</w:t>
      </w:r>
    </w:p>
  </w:footnote>
  <w:footnote w:id="12">
    <w:p w:rsidR="00755D95" w:rsidRPr="00521E77" w:rsidP="00755D95" w14:paraId="11AC5224" w14:textId="50295C87">
      <w:pPr>
        <w:pStyle w:val="FootnoteText"/>
      </w:pPr>
      <w:r>
        <w:rPr>
          <w:rStyle w:val="FootnoteReference"/>
        </w:rPr>
        <w:footnoteRef/>
      </w:r>
      <w:r>
        <w:t xml:space="preserve"> </w:t>
      </w:r>
      <w:bookmarkStart w:id="8" w:name="_Hlk88063518"/>
      <w:r w:rsidRPr="00521E77">
        <w:rPr>
          <w:i/>
          <w:iCs/>
        </w:rPr>
        <w:t>See</w:t>
      </w:r>
      <w:r>
        <w:t xml:space="preserve"> </w:t>
      </w:r>
      <w:bookmarkEnd w:id="8"/>
      <w:r w:rsidRPr="00521E77">
        <w:rPr>
          <w:i/>
          <w:iCs/>
        </w:rPr>
        <w:t>TTY-RTT Transition Order</w:t>
      </w:r>
      <w:r>
        <w:t xml:space="preserve">, </w:t>
      </w:r>
      <w:r w:rsidRPr="00521E77">
        <w:rPr>
          <w:iCs/>
        </w:rPr>
        <w:t xml:space="preserve">31 FCC Rcd </w:t>
      </w:r>
      <w:r>
        <w:rPr>
          <w:iCs/>
        </w:rPr>
        <w:t>at</w:t>
      </w:r>
      <w:r w:rsidRPr="00521E77">
        <w:rPr>
          <w:iCs/>
        </w:rPr>
        <w:t xml:space="preserve"> 13</w:t>
      </w:r>
      <w:r>
        <w:rPr>
          <w:iCs/>
        </w:rPr>
        <w:t>57</w:t>
      </w:r>
      <w:r w:rsidRPr="00521E77">
        <w:rPr>
          <w:iCs/>
        </w:rPr>
        <w:t>2</w:t>
      </w:r>
      <w:r>
        <w:rPr>
          <w:iCs/>
        </w:rPr>
        <w:t>-74</w:t>
      </w:r>
      <w:r w:rsidRPr="00521E77">
        <w:rPr>
          <w:iCs/>
        </w:rPr>
        <w:t xml:space="preserve">, para. </w:t>
      </w:r>
      <w:r w:rsidR="00924309">
        <w:rPr>
          <w:iCs/>
        </w:rPr>
        <w:t>6</w:t>
      </w:r>
      <w:r w:rsidRPr="00521E77">
        <w:rPr>
          <w:iCs/>
        </w:rPr>
        <w:t>.</w:t>
      </w:r>
    </w:p>
  </w:footnote>
  <w:footnote w:id="13">
    <w:p w:rsidR="00755D95" w:rsidP="00755D95" w14:paraId="1AD7EF25" w14:textId="5C8AE2F6">
      <w:pPr>
        <w:pStyle w:val="FootnoteText"/>
      </w:pPr>
      <w:r>
        <w:rPr>
          <w:rStyle w:val="FootnoteReference"/>
        </w:rPr>
        <w:footnoteRef/>
      </w:r>
      <w:r>
        <w:t xml:space="preserve"> </w:t>
      </w:r>
      <w:r w:rsidRPr="00521E77">
        <w:rPr>
          <w:i/>
          <w:iCs/>
        </w:rPr>
        <w:t>See</w:t>
      </w:r>
      <w:r w:rsidRPr="00521E77">
        <w:t xml:space="preserve"> </w:t>
      </w:r>
      <w:r w:rsidR="009F09ED">
        <w:rPr>
          <w:i/>
          <w:iCs/>
        </w:rPr>
        <w:t>id.</w:t>
      </w:r>
      <w:r w:rsidRPr="00E0365E">
        <w:rPr>
          <w:iCs/>
        </w:rPr>
        <w:t xml:space="preserve"> </w:t>
      </w:r>
      <w:r>
        <w:rPr>
          <w:iCs/>
        </w:rPr>
        <w:t xml:space="preserve">at </w:t>
      </w:r>
      <w:r w:rsidRPr="00E0365E">
        <w:rPr>
          <w:iCs/>
        </w:rPr>
        <w:t>13602, para. 66</w:t>
      </w:r>
      <w:r>
        <w:rPr>
          <w:iCs/>
        </w:rPr>
        <w:t>.</w:t>
      </w:r>
    </w:p>
  </w:footnote>
  <w:footnote w:id="14">
    <w:p w:rsidR="00755D95" w14:paraId="0D0FC3D4" w14:textId="5731D3FA">
      <w:pPr>
        <w:pStyle w:val="FootnoteText"/>
      </w:pPr>
      <w:r>
        <w:rPr>
          <w:rStyle w:val="FootnoteReference"/>
        </w:rPr>
        <w:footnoteRef/>
      </w:r>
      <w:r>
        <w:t xml:space="preserve"> </w:t>
      </w:r>
      <w:r w:rsidRPr="00294254">
        <w:t xml:space="preserve">January 21 </w:t>
      </w:r>
      <w:r w:rsidR="009F09ED">
        <w:t>Suppl</w:t>
      </w:r>
      <w:r w:rsidR="00CC683B">
        <w:t>ement</w:t>
      </w:r>
      <w:r w:rsidRPr="00755D95">
        <w:t xml:space="preserve"> at 3-4</w:t>
      </w:r>
      <w:r>
        <w:t>.</w:t>
      </w:r>
    </w:p>
  </w:footnote>
  <w:footnote w:id="15">
    <w:p w:rsidR="0055553E" w14:paraId="0599A694" w14:textId="3644AC78">
      <w:pPr>
        <w:pStyle w:val="FootnoteText"/>
      </w:pPr>
      <w:r>
        <w:rPr>
          <w:rStyle w:val="FootnoteReference"/>
        </w:rPr>
        <w:footnoteRef/>
      </w:r>
      <w:r>
        <w:t xml:space="preserve"> </w:t>
      </w:r>
      <w:r w:rsidRPr="0055553E">
        <w:t xml:space="preserve">In granting </w:t>
      </w:r>
      <w:r>
        <w:t xml:space="preserve">Inland leave </w:t>
      </w:r>
      <w:r w:rsidRPr="0055553E">
        <w:t>to withdraw</w:t>
      </w:r>
      <w:r>
        <w:t xml:space="preserve"> its request</w:t>
      </w:r>
      <w:r w:rsidRPr="0055553E">
        <w:t xml:space="preserve">, we make no finding as to whether </w:t>
      </w:r>
      <w:r>
        <w:t>Inland</w:t>
      </w:r>
      <w:r w:rsidRPr="0055553E">
        <w:t xml:space="preserve"> is in compliance with the previously waived rules</w:t>
      </w:r>
      <w:r>
        <w:t xml:space="preserve"> requiring support for TTY technology</w:t>
      </w:r>
      <w:r w:rsidRPr="0055553E">
        <w:t xml:space="preserve">.  </w:t>
      </w:r>
      <w:r>
        <w:t>Further, we</w:t>
      </w:r>
      <w:r w:rsidRPr="0055553E">
        <w:t xml:space="preserve"> note that a service provider </w:t>
      </w:r>
      <w:r>
        <w:t xml:space="preserve">intending </w:t>
      </w:r>
      <w:r w:rsidRPr="0055553E">
        <w:t>to comply with such rules by supporting RTT technology</w:t>
      </w:r>
      <w:r>
        <w:t xml:space="preserve"> in lieu of TTY technology,</w:t>
      </w:r>
      <w:r w:rsidRPr="0055553E">
        <w:t xml:space="preserve"> must ensure that</w:t>
      </w:r>
      <w:r>
        <w:t xml:space="preserve"> its implementation</w:t>
      </w:r>
      <w:r w:rsidRPr="0055553E">
        <w:t xml:space="preserve"> </w:t>
      </w:r>
      <w:r w:rsidR="002E00D1">
        <w:t xml:space="preserve">of </w:t>
      </w:r>
      <w:r w:rsidRPr="0055553E">
        <w:t xml:space="preserve">RTT conforms to all the requirements adopted by the Commission in </w:t>
      </w:r>
      <w:r w:rsidR="00325821">
        <w:t xml:space="preserve">the </w:t>
      </w:r>
      <w:r w:rsidRPr="0055553E">
        <w:rPr>
          <w:i/>
          <w:iCs/>
        </w:rPr>
        <w:t>TTY-RTT Transition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CF3" w14:paraId="74E628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79E" w:rsidP="00810B6F" w14:paraId="3C5CA659" w14:textId="09DAAA37">
    <w:pPr>
      <w:pStyle w:val="Header"/>
      <w:rPr>
        <w:b w:val="0"/>
      </w:rPr>
    </w:pPr>
    <w:r>
      <w:tab/>
      <w:t>Federal Communications Commission</w:t>
    </w:r>
    <w:r>
      <w:tab/>
    </w:r>
    <w:r w:rsidR="00847CF3">
      <w:t>DA</w:t>
    </w:r>
    <w:r w:rsidR="00E652BB">
      <w:t xml:space="preserve"> 22-36</w:t>
    </w:r>
  </w:p>
  <w:p w:rsidR="0054279E" w14:paraId="49668A4F" w14:textId="1E2DF60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Pr>
        <w:spacing w:val="-2"/>
      </w:rPr>
      <w:t>\</w:t>
    </w:r>
  </w:p>
  <w:p w:rsidR="0054279E" w14:paraId="7DD4DAB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79E" w:rsidP="00810B6F" w14:paraId="75B23445" w14:textId="4DBA56F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47CF3">
      <w:rPr>
        <w:spacing w:val="-2"/>
      </w:rPr>
      <w:t>DA</w:t>
    </w:r>
    <w:r w:rsidR="00E652BB">
      <w:rPr>
        <w:spacing w:val="-2"/>
      </w:rPr>
      <w:t xml:space="preserve"> 22-36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0012929"/>
    <w:multiLevelType w:val="hybridMultilevel"/>
    <w:tmpl w:val="3E0E11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29"/>
    <w:rsid w:val="00000E05"/>
    <w:rsid w:val="00002FD4"/>
    <w:rsid w:val="000056D7"/>
    <w:rsid w:val="00011A79"/>
    <w:rsid w:val="0002040B"/>
    <w:rsid w:val="00026494"/>
    <w:rsid w:val="000324AC"/>
    <w:rsid w:val="000347F0"/>
    <w:rsid w:val="00036039"/>
    <w:rsid w:val="00037F90"/>
    <w:rsid w:val="00040DBC"/>
    <w:rsid w:val="00041056"/>
    <w:rsid w:val="000466BB"/>
    <w:rsid w:val="00054800"/>
    <w:rsid w:val="0007640D"/>
    <w:rsid w:val="0007699A"/>
    <w:rsid w:val="000806D3"/>
    <w:rsid w:val="000875BF"/>
    <w:rsid w:val="00096D8C"/>
    <w:rsid w:val="000976EE"/>
    <w:rsid w:val="000A249E"/>
    <w:rsid w:val="000A2C10"/>
    <w:rsid w:val="000B09FE"/>
    <w:rsid w:val="000B3242"/>
    <w:rsid w:val="000B465E"/>
    <w:rsid w:val="000B719A"/>
    <w:rsid w:val="000C0B65"/>
    <w:rsid w:val="000C182C"/>
    <w:rsid w:val="000C5E52"/>
    <w:rsid w:val="000D08D0"/>
    <w:rsid w:val="000E05FE"/>
    <w:rsid w:val="000E09F1"/>
    <w:rsid w:val="000E1178"/>
    <w:rsid w:val="000E3D42"/>
    <w:rsid w:val="000E7B67"/>
    <w:rsid w:val="000F0E8C"/>
    <w:rsid w:val="000F73D9"/>
    <w:rsid w:val="00114779"/>
    <w:rsid w:val="001149EF"/>
    <w:rsid w:val="001153A3"/>
    <w:rsid w:val="00120EA5"/>
    <w:rsid w:val="00122BD5"/>
    <w:rsid w:val="0013177D"/>
    <w:rsid w:val="00131EAC"/>
    <w:rsid w:val="00133331"/>
    <w:rsid w:val="00133F79"/>
    <w:rsid w:val="00134A18"/>
    <w:rsid w:val="00137E69"/>
    <w:rsid w:val="00143D0C"/>
    <w:rsid w:val="001447AD"/>
    <w:rsid w:val="001463AC"/>
    <w:rsid w:val="001570B4"/>
    <w:rsid w:val="00163087"/>
    <w:rsid w:val="00165B0A"/>
    <w:rsid w:val="00165B98"/>
    <w:rsid w:val="00171FF0"/>
    <w:rsid w:val="001805FA"/>
    <w:rsid w:val="00180631"/>
    <w:rsid w:val="00182278"/>
    <w:rsid w:val="00185652"/>
    <w:rsid w:val="00192929"/>
    <w:rsid w:val="0019451A"/>
    <w:rsid w:val="00194A66"/>
    <w:rsid w:val="00195395"/>
    <w:rsid w:val="001A2AAB"/>
    <w:rsid w:val="001B4649"/>
    <w:rsid w:val="001C066A"/>
    <w:rsid w:val="001C7B41"/>
    <w:rsid w:val="001D2D1F"/>
    <w:rsid w:val="001D44D9"/>
    <w:rsid w:val="001D6BCF"/>
    <w:rsid w:val="001E01CA"/>
    <w:rsid w:val="001E04B0"/>
    <w:rsid w:val="001E6825"/>
    <w:rsid w:val="001F6080"/>
    <w:rsid w:val="001F7A15"/>
    <w:rsid w:val="001F7A92"/>
    <w:rsid w:val="0020107F"/>
    <w:rsid w:val="0020340C"/>
    <w:rsid w:val="00205B88"/>
    <w:rsid w:val="00207B0C"/>
    <w:rsid w:val="00210FED"/>
    <w:rsid w:val="002202D6"/>
    <w:rsid w:val="00223213"/>
    <w:rsid w:val="00224056"/>
    <w:rsid w:val="002343D3"/>
    <w:rsid w:val="00243B61"/>
    <w:rsid w:val="002465A1"/>
    <w:rsid w:val="0025354A"/>
    <w:rsid w:val="0025462B"/>
    <w:rsid w:val="00262929"/>
    <w:rsid w:val="00262B19"/>
    <w:rsid w:val="0026399A"/>
    <w:rsid w:val="00263F21"/>
    <w:rsid w:val="00265C1D"/>
    <w:rsid w:val="00270B30"/>
    <w:rsid w:val="0027132C"/>
    <w:rsid w:val="00275892"/>
    <w:rsid w:val="00275CF5"/>
    <w:rsid w:val="0028301F"/>
    <w:rsid w:val="00283E8D"/>
    <w:rsid w:val="00285017"/>
    <w:rsid w:val="002917EE"/>
    <w:rsid w:val="00291F9B"/>
    <w:rsid w:val="00294254"/>
    <w:rsid w:val="002974E6"/>
    <w:rsid w:val="002A131B"/>
    <w:rsid w:val="002A2D2E"/>
    <w:rsid w:val="002A5E04"/>
    <w:rsid w:val="002B01B0"/>
    <w:rsid w:val="002B1FF7"/>
    <w:rsid w:val="002B2667"/>
    <w:rsid w:val="002B3D60"/>
    <w:rsid w:val="002B4F68"/>
    <w:rsid w:val="002B5544"/>
    <w:rsid w:val="002B7FA4"/>
    <w:rsid w:val="002C00E8"/>
    <w:rsid w:val="002C062D"/>
    <w:rsid w:val="002C11A3"/>
    <w:rsid w:val="002C4C69"/>
    <w:rsid w:val="002D7BDA"/>
    <w:rsid w:val="002E00D1"/>
    <w:rsid w:val="002E4608"/>
    <w:rsid w:val="002E48E9"/>
    <w:rsid w:val="00305065"/>
    <w:rsid w:val="0030695B"/>
    <w:rsid w:val="0031268C"/>
    <w:rsid w:val="00312B7B"/>
    <w:rsid w:val="00315E73"/>
    <w:rsid w:val="00320E23"/>
    <w:rsid w:val="00324D63"/>
    <w:rsid w:val="00324F9E"/>
    <w:rsid w:val="00325821"/>
    <w:rsid w:val="00333227"/>
    <w:rsid w:val="0033539D"/>
    <w:rsid w:val="0034024B"/>
    <w:rsid w:val="0034233D"/>
    <w:rsid w:val="00343749"/>
    <w:rsid w:val="0034697F"/>
    <w:rsid w:val="00362959"/>
    <w:rsid w:val="003633DA"/>
    <w:rsid w:val="003649FB"/>
    <w:rsid w:val="003660ED"/>
    <w:rsid w:val="00376985"/>
    <w:rsid w:val="00381D2A"/>
    <w:rsid w:val="00384BB8"/>
    <w:rsid w:val="003960F9"/>
    <w:rsid w:val="003A27C1"/>
    <w:rsid w:val="003A2BF9"/>
    <w:rsid w:val="003A38FB"/>
    <w:rsid w:val="003A7AF4"/>
    <w:rsid w:val="003B0550"/>
    <w:rsid w:val="003B694F"/>
    <w:rsid w:val="003C3CE9"/>
    <w:rsid w:val="003D005B"/>
    <w:rsid w:val="003D02AC"/>
    <w:rsid w:val="003D3705"/>
    <w:rsid w:val="003D3AC9"/>
    <w:rsid w:val="003D4008"/>
    <w:rsid w:val="003D5DFB"/>
    <w:rsid w:val="003E6CD6"/>
    <w:rsid w:val="003E779E"/>
    <w:rsid w:val="003F0247"/>
    <w:rsid w:val="003F171C"/>
    <w:rsid w:val="003F1830"/>
    <w:rsid w:val="003F26E6"/>
    <w:rsid w:val="003F710E"/>
    <w:rsid w:val="00406C14"/>
    <w:rsid w:val="00406E95"/>
    <w:rsid w:val="0041203B"/>
    <w:rsid w:val="00412FC5"/>
    <w:rsid w:val="00420ED0"/>
    <w:rsid w:val="00422276"/>
    <w:rsid w:val="00423BAC"/>
    <w:rsid w:val="004242F1"/>
    <w:rsid w:val="00431F5D"/>
    <w:rsid w:val="00433366"/>
    <w:rsid w:val="00440123"/>
    <w:rsid w:val="00445A00"/>
    <w:rsid w:val="00451B0F"/>
    <w:rsid w:val="00452AE7"/>
    <w:rsid w:val="004547C9"/>
    <w:rsid w:val="00455A59"/>
    <w:rsid w:val="00456DA6"/>
    <w:rsid w:val="00457BB6"/>
    <w:rsid w:val="0046083F"/>
    <w:rsid w:val="00462DE0"/>
    <w:rsid w:val="00464060"/>
    <w:rsid w:val="0046786E"/>
    <w:rsid w:val="00485021"/>
    <w:rsid w:val="004958B7"/>
    <w:rsid w:val="00495AA3"/>
    <w:rsid w:val="004A0D88"/>
    <w:rsid w:val="004A0DB3"/>
    <w:rsid w:val="004A18E0"/>
    <w:rsid w:val="004A3253"/>
    <w:rsid w:val="004B26F3"/>
    <w:rsid w:val="004C0B8D"/>
    <w:rsid w:val="004C1640"/>
    <w:rsid w:val="004C2026"/>
    <w:rsid w:val="004C2EE3"/>
    <w:rsid w:val="004C43AA"/>
    <w:rsid w:val="004D2899"/>
    <w:rsid w:val="004D2ABB"/>
    <w:rsid w:val="004D35B1"/>
    <w:rsid w:val="004E351B"/>
    <w:rsid w:val="004E4A22"/>
    <w:rsid w:val="004E569F"/>
    <w:rsid w:val="004F0FF9"/>
    <w:rsid w:val="00500A9B"/>
    <w:rsid w:val="00502C0D"/>
    <w:rsid w:val="00507E5E"/>
    <w:rsid w:val="00510CA5"/>
    <w:rsid w:val="00511968"/>
    <w:rsid w:val="005139B0"/>
    <w:rsid w:val="00517E1E"/>
    <w:rsid w:val="00521E77"/>
    <w:rsid w:val="0052522C"/>
    <w:rsid w:val="00525DD2"/>
    <w:rsid w:val="00532894"/>
    <w:rsid w:val="00533F0A"/>
    <w:rsid w:val="005358DF"/>
    <w:rsid w:val="0054279E"/>
    <w:rsid w:val="005429DB"/>
    <w:rsid w:val="00542AD5"/>
    <w:rsid w:val="00545178"/>
    <w:rsid w:val="005477DB"/>
    <w:rsid w:val="0055553E"/>
    <w:rsid w:val="0055614C"/>
    <w:rsid w:val="00566D06"/>
    <w:rsid w:val="00595F47"/>
    <w:rsid w:val="005A14F8"/>
    <w:rsid w:val="005A242B"/>
    <w:rsid w:val="005A5F04"/>
    <w:rsid w:val="005A73AD"/>
    <w:rsid w:val="005A7712"/>
    <w:rsid w:val="005B4003"/>
    <w:rsid w:val="005B4019"/>
    <w:rsid w:val="005B47CB"/>
    <w:rsid w:val="005B7592"/>
    <w:rsid w:val="005C0710"/>
    <w:rsid w:val="005E14C2"/>
    <w:rsid w:val="005F0188"/>
    <w:rsid w:val="005F563C"/>
    <w:rsid w:val="005F6900"/>
    <w:rsid w:val="006017B5"/>
    <w:rsid w:val="00601E54"/>
    <w:rsid w:val="00603F22"/>
    <w:rsid w:val="00607BA5"/>
    <w:rsid w:val="00611709"/>
    <w:rsid w:val="0061180A"/>
    <w:rsid w:val="006166CD"/>
    <w:rsid w:val="00617711"/>
    <w:rsid w:val="0061785B"/>
    <w:rsid w:val="0062065C"/>
    <w:rsid w:val="006210A6"/>
    <w:rsid w:val="006214B5"/>
    <w:rsid w:val="00623CD4"/>
    <w:rsid w:val="00624634"/>
    <w:rsid w:val="00626EB6"/>
    <w:rsid w:val="00632E2A"/>
    <w:rsid w:val="0064231E"/>
    <w:rsid w:val="006477CE"/>
    <w:rsid w:val="0065116C"/>
    <w:rsid w:val="00651302"/>
    <w:rsid w:val="00651986"/>
    <w:rsid w:val="00653007"/>
    <w:rsid w:val="00655236"/>
    <w:rsid w:val="00655D03"/>
    <w:rsid w:val="00656A3E"/>
    <w:rsid w:val="00663CAE"/>
    <w:rsid w:val="00675CDD"/>
    <w:rsid w:val="00677C48"/>
    <w:rsid w:val="00681E36"/>
    <w:rsid w:val="00683388"/>
    <w:rsid w:val="006833E0"/>
    <w:rsid w:val="00683F84"/>
    <w:rsid w:val="006932A1"/>
    <w:rsid w:val="006935B5"/>
    <w:rsid w:val="006A6A81"/>
    <w:rsid w:val="006B390D"/>
    <w:rsid w:val="006C3819"/>
    <w:rsid w:val="006C387A"/>
    <w:rsid w:val="006C412D"/>
    <w:rsid w:val="006C761F"/>
    <w:rsid w:val="006D056E"/>
    <w:rsid w:val="006E3A48"/>
    <w:rsid w:val="006F07BB"/>
    <w:rsid w:val="006F2566"/>
    <w:rsid w:val="006F4180"/>
    <w:rsid w:val="006F7393"/>
    <w:rsid w:val="0070224F"/>
    <w:rsid w:val="00710C15"/>
    <w:rsid w:val="007115F7"/>
    <w:rsid w:val="00713F80"/>
    <w:rsid w:val="007149F7"/>
    <w:rsid w:val="007205D0"/>
    <w:rsid w:val="00720902"/>
    <w:rsid w:val="007227E8"/>
    <w:rsid w:val="00725C89"/>
    <w:rsid w:val="00741752"/>
    <w:rsid w:val="00755D95"/>
    <w:rsid w:val="00762319"/>
    <w:rsid w:val="00767599"/>
    <w:rsid w:val="00767D6A"/>
    <w:rsid w:val="007721F5"/>
    <w:rsid w:val="0077613C"/>
    <w:rsid w:val="00776400"/>
    <w:rsid w:val="0077706A"/>
    <w:rsid w:val="00785689"/>
    <w:rsid w:val="00790521"/>
    <w:rsid w:val="00792810"/>
    <w:rsid w:val="0079754B"/>
    <w:rsid w:val="007A1E6D"/>
    <w:rsid w:val="007A350C"/>
    <w:rsid w:val="007A5952"/>
    <w:rsid w:val="007B0EB2"/>
    <w:rsid w:val="007B2DFF"/>
    <w:rsid w:val="007B3F37"/>
    <w:rsid w:val="007B5234"/>
    <w:rsid w:val="007C040C"/>
    <w:rsid w:val="007C11C5"/>
    <w:rsid w:val="007C41DB"/>
    <w:rsid w:val="007C62EA"/>
    <w:rsid w:val="007C78D1"/>
    <w:rsid w:val="007D25CF"/>
    <w:rsid w:val="007D2BAC"/>
    <w:rsid w:val="007D7676"/>
    <w:rsid w:val="007E5435"/>
    <w:rsid w:val="00802810"/>
    <w:rsid w:val="00810B6F"/>
    <w:rsid w:val="008128A3"/>
    <w:rsid w:val="008144CC"/>
    <w:rsid w:val="0081612A"/>
    <w:rsid w:val="00816574"/>
    <w:rsid w:val="00822CE0"/>
    <w:rsid w:val="0082713A"/>
    <w:rsid w:val="008279E3"/>
    <w:rsid w:val="00827D3B"/>
    <w:rsid w:val="00833F37"/>
    <w:rsid w:val="00841AB1"/>
    <w:rsid w:val="00847CF3"/>
    <w:rsid w:val="008530FD"/>
    <w:rsid w:val="008536E8"/>
    <w:rsid w:val="008563FC"/>
    <w:rsid w:val="00860623"/>
    <w:rsid w:val="00860A85"/>
    <w:rsid w:val="00866797"/>
    <w:rsid w:val="00867042"/>
    <w:rsid w:val="0087330B"/>
    <w:rsid w:val="0087749E"/>
    <w:rsid w:val="0088492B"/>
    <w:rsid w:val="00885401"/>
    <w:rsid w:val="00885E3C"/>
    <w:rsid w:val="008922F7"/>
    <w:rsid w:val="00892A49"/>
    <w:rsid w:val="0089493A"/>
    <w:rsid w:val="008A58C5"/>
    <w:rsid w:val="008B03E4"/>
    <w:rsid w:val="008B07B4"/>
    <w:rsid w:val="008B0DE1"/>
    <w:rsid w:val="008B7F95"/>
    <w:rsid w:val="008C07B4"/>
    <w:rsid w:val="008C237F"/>
    <w:rsid w:val="008C44B9"/>
    <w:rsid w:val="008C68F1"/>
    <w:rsid w:val="008C7EFC"/>
    <w:rsid w:val="008D286A"/>
    <w:rsid w:val="008D4422"/>
    <w:rsid w:val="008D4991"/>
    <w:rsid w:val="008D7C44"/>
    <w:rsid w:val="008E2DA6"/>
    <w:rsid w:val="008E2F8E"/>
    <w:rsid w:val="008E467B"/>
    <w:rsid w:val="008F10E5"/>
    <w:rsid w:val="008F177C"/>
    <w:rsid w:val="008F189E"/>
    <w:rsid w:val="008F1944"/>
    <w:rsid w:val="008F3C12"/>
    <w:rsid w:val="008F5A04"/>
    <w:rsid w:val="008F5F45"/>
    <w:rsid w:val="008F786B"/>
    <w:rsid w:val="00916F51"/>
    <w:rsid w:val="00921803"/>
    <w:rsid w:val="00924309"/>
    <w:rsid w:val="00926503"/>
    <w:rsid w:val="00927066"/>
    <w:rsid w:val="00930E0F"/>
    <w:rsid w:val="00937F9F"/>
    <w:rsid w:val="0094404B"/>
    <w:rsid w:val="00952A89"/>
    <w:rsid w:val="00962728"/>
    <w:rsid w:val="009676B2"/>
    <w:rsid w:val="0097165D"/>
    <w:rsid w:val="009726D8"/>
    <w:rsid w:val="009811D3"/>
    <w:rsid w:val="00983737"/>
    <w:rsid w:val="00984826"/>
    <w:rsid w:val="00986D4D"/>
    <w:rsid w:val="00995C4C"/>
    <w:rsid w:val="009962C6"/>
    <w:rsid w:val="009A0269"/>
    <w:rsid w:val="009A0F6B"/>
    <w:rsid w:val="009A0FEA"/>
    <w:rsid w:val="009A24AE"/>
    <w:rsid w:val="009A37C2"/>
    <w:rsid w:val="009A4CA3"/>
    <w:rsid w:val="009A6A69"/>
    <w:rsid w:val="009C2834"/>
    <w:rsid w:val="009C4AE4"/>
    <w:rsid w:val="009D383A"/>
    <w:rsid w:val="009D402F"/>
    <w:rsid w:val="009D7308"/>
    <w:rsid w:val="009E1D69"/>
    <w:rsid w:val="009E2CEA"/>
    <w:rsid w:val="009E4E09"/>
    <w:rsid w:val="009E6398"/>
    <w:rsid w:val="009F09ED"/>
    <w:rsid w:val="009F3D3D"/>
    <w:rsid w:val="009F40BB"/>
    <w:rsid w:val="009F5C17"/>
    <w:rsid w:val="009F76DB"/>
    <w:rsid w:val="00A007F9"/>
    <w:rsid w:val="00A02411"/>
    <w:rsid w:val="00A05E99"/>
    <w:rsid w:val="00A110C4"/>
    <w:rsid w:val="00A1161B"/>
    <w:rsid w:val="00A16867"/>
    <w:rsid w:val="00A16C25"/>
    <w:rsid w:val="00A21028"/>
    <w:rsid w:val="00A26994"/>
    <w:rsid w:val="00A32C3B"/>
    <w:rsid w:val="00A33F3E"/>
    <w:rsid w:val="00A34C23"/>
    <w:rsid w:val="00A45488"/>
    <w:rsid w:val="00A45F4F"/>
    <w:rsid w:val="00A53441"/>
    <w:rsid w:val="00A55EDA"/>
    <w:rsid w:val="00A600A9"/>
    <w:rsid w:val="00A630EA"/>
    <w:rsid w:val="00A66E18"/>
    <w:rsid w:val="00A73183"/>
    <w:rsid w:val="00A74E92"/>
    <w:rsid w:val="00A76BF7"/>
    <w:rsid w:val="00A77F79"/>
    <w:rsid w:val="00A809EB"/>
    <w:rsid w:val="00A86FBA"/>
    <w:rsid w:val="00A95629"/>
    <w:rsid w:val="00A9633A"/>
    <w:rsid w:val="00AA4BCB"/>
    <w:rsid w:val="00AA55B7"/>
    <w:rsid w:val="00AA5B9E"/>
    <w:rsid w:val="00AB1282"/>
    <w:rsid w:val="00AB2407"/>
    <w:rsid w:val="00AB2B9D"/>
    <w:rsid w:val="00AB3B02"/>
    <w:rsid w:val="00AB4FFB"/>
    <w:rsid w:val="00AB53DF"/>
    <w:rsid w:val="00AC3FCE"/>
    <w:rsid w:val="00AC47F1"/>
    <w:rsid w:val="00AC531B"/>
    <w:rsid w:val="00AD79B7"/>
    <w:rsid w:val="00AE1FEC"/>
    <w:rsid w:val="00AE5C9D"/>
    <w:rsid w:val="00AF446C"/>
    <w:rsid w:val="00AF690D"/>
    <w:rsid w:val="00B012ED"/>
    <w:rsid w:val="00B01A7A"/>
    <w:rsid w:val="00B05083"/>
    <w:rsid w:val="00B07E5C"/>
    <w:rsid w:val="00B2154B"/>
    <w:rsid w:val="00B22655"/>
    <w:rsid w:val="00B26F19"/>
    <w:rsid w:val="00B30832"/>
    <w:rsid w:val="00B332F4"/>
    <w:rsid w:val="00B34D1E"/>
    <w:rsid w:val="00B420F8"/>
    <w:rsid w:val="00B513C4"/>
    <w:rsid w:val="00B51476"/>
    <w:rsid w:val="00B65B44"/>
    <w:rsid w:val="00B6745D"/>
    <w:rsid w:val="00B709CA"/>
    <w:rsid w:val="00B71B08"/>
    <w:rsid w:val="00B7261C"/>
    <w:rsid w:val="00B72E51"/>
    <w:rsid w:val="00B770A5"/>
    <w:rsid w:val="00B80177"/>
    <w:rsid w:val="00B811F7"/>
    <w:rsid w:val="00B83C14"/>
    <w:rsid w:val="00B95439"/>
    <w:rsid w:val="00B975BA"/>
    <w:rsid w:val="00BA5DC6"/>
    <w:rsid w:val="00BA6196"/>
    <w:rsid w:val="00BA68B9"/>
    <w:rsid w:val="00BA68F7"/>
    <w:rsid w:val="00BA7F2A"/>
    <w:rsid w:val="00BB28B0"/>
    <w:rsid w:val="00BC0BEE"/>
    <w:rsid w:val="00BC607B"/>
    <w:rsid w:val="00BC6D8C"/>
    <w:rsid w:val="00BD1AE2"/>
    <w:rsid w:val="00BD4624"/>
    <w:rsid w:val="00BE7703"/>
    <w:rsid w:val="00BF366F"/>
    <w:rsid w:val="00BF3A35"/>
    <w:rsid w:val="00BF59EC"/>
    <w:rsid w:val="00C22122"/>
    <w:rsid w:val="00C27E39"/>
    <w:rsid w:val="00C30B60"/>
    <w:rsid w:val="00C3246D"/>
    <w:rsid w:val="00C32C0C"/>
    <w:rsid w:val="00C34006"/>
    <w:rsid w:val="00C365A0"/>
    <w:rsid w:val="00C36B4C"/>
    <w:rsid w:val="00C36E17"/>
    <w:rsid w:val="00C426B1"/>
    <w:rsid w:val="00C43213"/>
    <w:rsid w:val="00C4356E"/>
    <w:rsid w:val="00C52519"/>
    <w:rsid w:val="00C54DDC"/>
    <w:rsid w:val="00C5500B"/>
    <w:rsid w:val="00C66160"/>
    <w:rsid w:val="00C67867"/>
    <w:rsid w:val="00C70403"/>
    <w:rsid w:val="00C708EB"/>
    <w:rsid w:val="00C721AC"/>
    <w:rsid w:val="00C72689"/>
    <w:rsid w:val="00C73CA1"/>
    <w:rsid w:val="00C76BB7"/>
    <w:rsid w:val="00C84939"/>
    <w:rsid w:val="00C85A88"/>
    <w:rsid w:val="00C8675D"/>
    <w:rsid w:val="00C90D6A"/>
    <w:rsid w:val="00CA03FA"/>
    <w:rsid w:val="00CA247E"/>
    <w:rsid w:val="00CA42E0"/>
    <w:rsid w:val="00CA6D21"/>
    <w:rsid w:val="00CB1FCA"/>
    <w:rsid w:val="00CB453A"/>
    <w:rsid w:val="00CB5DC7"/>
    <w:rsid w:val="00CC1A39"/>
    <w:rsid w:val="00CC36B7"/>
    <w:rsid w:val="00CC5808"/>
    <w:rsid w:val="00CC683B"/>
    <w:rsid w:val="00CC686E"/>
    <w:rsid w:val="00CC72B6"/>
    <w:rsid w:val="00CD2994"/>
    <w:rsid w:val="00CD7464"/>
    <w:rsid w:val="00CE006C"/>
    <w:rsid w:val="00CE02AE"/>
    <w:rsid w:val="00CE4FCC"/>
    <w:rsid w:val="00CE7808"/>
    <w:rsid w:val="00CF60F7"/>
    <w:rsid w:val="00D01E9B"/>
    <w:rsid w:val="00D0218D"/>
    <w:rsid w:val="00D023D0"/>
    <w:rsid w:val="00D043BD"/>
    <w:rsid w:val="00D11554"/>
    <w:rsid w:val="00D16875"/>
    <w:rsid w:val="00D25FB5"/>
    <w:rsid w:val="00D3136D"/>
    <w:rsid w:val="00D41DE6"/>
    <w:rsid w:val="00D42C17"/>
    <w:rsid w:val="00D44223"/>
    <w:rsid w:val="00D46446"/>
    <w:rsid w:val="00D572FE"/>
    <w:rsid w:val="00D60482"/>
    <w:rsid w:val="00D768A2"/>
    <w:rsid w:val="00D8104B"/>
    <w:rsid w:val="00D82EE9"/>
    <w:rsid w:val="00D875DA"/>
    <w:rsid w:val="00D87D83"/>
    <w:rsid w:val="00D9693C"/>
    <w:rsid w:val="00DA2529"/>
    <w:rsid w:val="00DA52E8"/>
    <w:rsid w:val="00DA632C"/>
    <w:rsid w:val="00DB130A"/>
    <w:rsid w:val="00DB1EFF"/>
    <w:rsid w:val="00DB2EBB"/>
    <w:rsid w:val="00DB7577"/>
    <w:rsid w:val="00DC10A1"/>
    <w:rsid w:val="00DC2A1D"/>
    <w:rsid w:val="00DC655F"/>
    <w:rsid w:val="00DC77F6"/>
    <w:rsid w:val="00DD0B59"/>
    <w:rsid w:val="00DD2D70"/>
    <w:rsid w:val="00DD3BA0"/>
    <w:rsid w:val="00DD7EBD"/>
    <w:rsid w:val="00DE328A"/>
    <w:rsid w:val="00DE4D31"/>
    <w:rsid w:val="00DE546D"/>
    <w:rsid w:val="00DE56F9"/>
    <w:rsid w:val="00DF27F4"/>
    <w:rsid w:val="00DF59BA"/>
    <w:rsid w:val="00DF62B6"/>
    <w:rsid w:val="00E030AF"/>
    <w:rsid w:val="00E0365E"/>
    <w:rsid w:val="00E06B2D"/>
    <w:rsid w:val="00E07098"/>
    <w:rsid w:val="00E07225"/>
    <w:rsid w:val="00E07852"/>
    <w:rsid w:val="00E16EF1"/>
    <w:rsid w:val="00E17051"/>
    <w:rsid w:val="00E25F14"/>
    <w:rsid w:val="00E27CA5"/>
    <w:rsid w:val="00E34CBE"/>
    <w:rsid w:val="00E5409F"/>
    <w:rsid w:val="00E61782"/>
    <w:rsid w:val="00E652BB"/>
    <w:rsid w:val="00E7555C"/>
    <w:rsid w:val="00E81FEE"/>
    <w:rsid w:val="00E850DF"/>
    <w:rsid w:val="00E86090"/>
    <w:rsid w:val="00E94D0D"/>
    <w:rsid w:val="00EA4736"/>
    <w:rsid w:val="00EB0AAF"/>
    <w:rsid w:val="00EB753E"/>
    <w:rsid w:val="00EC335D"/>
    <w:rsid w:val="00EC42DB"/>
    <w:rsid w:val="00EC7111"/>
    <w:rsid w:val="00EE1741"/>
    <w:rsid w:val="00EE6488"/>
    <w:rsid w:val="00EF192A"/>
    <w:rsid w:val="00EF2ABD"/>
    <w:rsid w:val="00EF4420"/>
    <w:rsid w:val="00EF4A98"/>
    <w:rsid w:val="00EF550B"/>
    <w:rsid w:val="00F021FA"/>
    <w:rsid w:val="00F03B8E"/>
    <w:rsid w:val="00F0419B"/>
    <w:rsid w:val="00F058BC"/>
    <w:rsid w:val="00F05EC0"/>
    <w:rsid w:val="00F07D52"/>
    <w:rsid w:val="00F10B9B"/>
    <w:rsid w:val="00F1163F"/>
    <w:rsid w:val="00F166EF"/>
    <w:rsid w:val="00F22986"/>
    <w:rsid w:val="00F27834"/>
    <w:rsid w:val="00F37E63"/>
    <w:rsid w:val="00F62E97"/>
    <w:rsid w:val="00F64209"/>
    <w:rsid w:val="00F71630"/>
    <w:rsid w:val="00F73EBF"/>
    <w:rsid w:val="00F859E0"/>
    <w:rsid w:val="00F85F2C"/>
    <w:rsid w:val="00F93BF5"/>
    <w:rsid w:val="00FA5A3A"/>
    <w:rsid w:val="00FB02D7"/>
    <w:rsid w:val="00FB6E37"/>
    <w:rsid w:val="00FC00CE"/>
    <w:rsid w:val="00FC19D8"/>
    <w:rsid w:val="00FC1C08"/>
    <w:rsid w:val="00FC1F25"/>
    <w:rsid w:val="00FC2FFF"/>
    <w:rsid w:val="00FD2ECD"/>
    <w:rsid w:val="00FD3949"/>
    <w:rsid w:val="00FD40EB"/>
    <w:rsid w:val="00FD6746"/>
    <w:rsid w:val="00FF3AB5"/>
    <w:rsid w:val="00FF7E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D248E9"/>
  <w15:chartTrackingRefBased/>
  <w15:docId w15:val="{4418737D-C9E6-4CDD-AB6D-CE5EE5D7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2B3D60"/>
    <w:rPr>
      <w:rFonts w:ascii="Segoe UI" w:hAnsi="Segoe UI" w:cs="Segoe UI"/>
      <w:sz w:val="18"/>
      <w:szCs w:val="18"/>
    </w:rPr>
  </w:style>
  <w:style w:type="character" w:customStyle="1" w:styleId="BalloonTextChar">
    <w:name w:val="Balloon Text Char"/>
    <w:link w:val="BalloonText"/>
    <w:rsid w:val="002B3D60"/>
    <w:rPr>
      <w:rFonts w:ascii="Segoe UI" w:hAnsi="Segoe UI" w:cs="Segoe UI"/>
      <w:snapToGrid w:val="0"/>
      <w:kern w:val="28"/>
      <w:sz w:val="18"/>
      <w:szCs w:val="18"/>
    </w:rPr>
  </w:style>
  <w:style w:type="character" w:styleId="CommentReference">
    <w:name w:val="annotation reference"/>
    <w:rsid w:val="002B3D60"/>
    <w:rPr>
      <w:sz w:val="16"/>
      <w:szCs w:val="16"/>
    </w:rPr>
  </w:style>
  <w:style w:type="paragraph" w:styleId="CommentText">
    <w:name w:val="annotation text"/>
    <w:basedOn w:val="Normal"/>
    <w:link w:val="CommentTextChar"/>
    <w:rsid w:val="002B3D60"/>
    <w:rPr>
      <w:sz w:val="20"/>
    </w:rPr>
  </w:style>
  <w:style w:type="character" w:customStyle="1" w:styleId="CommentTextChar">
    <w:name w:val="Comment Text Char"/>
    <w:link w:val="CommentText"/>
    <w:rsid w:val="002B3D60"/>
    <w:rPr>
      <w:snapToGrid w:val="0"/>
      <w:kern w:val="28"/>
    </w:rPr>
  </w:style>
  <w:style w:type="character" w:customStyle="1" w:styleId="Heading1Char">
    <w:name w:val="Heading 1 Char"/>
    <w:link w:val="Heading1"/>
    <w:rsid w:val="002B3D60"/>
    <w:rPr>
      <w:rFonts w:ascii="Times New Roman Bold" w:hAnsi="Times New Roman Bold"/>
      <w:b/>
      <w:caps/>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uiPriority w:val="99"/>
    <w:rsid w:val="002B3D60"/>
  </w:style>
  <w:style w:type="character" w:customStyle="1" w:styleId="FootnoteTextChar1Char1">
    <w:name w:val="Footnote Text Char1 Char1"/>
    <w:aliases w:val="Footnote Text Char Char Char1,Footnote Text Char2 Char Char Char1,Footnote Text Char2 Char1 Char1 Char Char Char1,Footnote Text Char3 Char1 Char Char Char Char Char1,Footnote Text Char3 Char1 Char Char Char1,fn Char Char"/>
    <w:semiHidden/>
    <w:rsid w:val="002B3D60"/>
    <w:rPr>
      <w:lang w:val="en-US" w:eastAsia="en-US" w:bidi="ar-SA"/>
    </w:rPr>
  </w:style>
  <w:style w:type="paragraph" w:styleId="CommentSubject">
    <w:name w:val="annotation subject"/>
    <w:basedOn w:val="CommentText"/>
    <w:next w:val="CommentText"/>
    <w:link w:val="CommentSubjectChar"/>
    <w:rsid w:val="00AC531B"/>
    <w:rPr>
      <w:b/>
      <w:bCs/>
    </w:rPr>
  </w:style>
  <w:style w:type="character" w:customStyle="1" w:styleId="CommentSubjectChar">
    <w:name w:val="Comment Subject Char"/>
    <w:link w:val="CommentSubject"/>
    <w:rsid w:val="00AC531B"/>
    <w:rPr>
      <w:b/>
      <w:bCs/>
      <w:snapToGrid w:val="0"/>
      <w:kern w:val="28"/>
    </w:rPr>
  </w:style>
  <w:style w:type="paragraph" w:styleId="ListParagraph">
    <w:name w:val="List Paragraph"/>
    <w:basedOn w:val="Normal"/>
    <w:uiPriority w:val="34"/>
    <w:qFormat/>
    <w:rsid w:val="0062065C"/>
    <w:pPr>
      <w:ind w:left="720"/>
      <w:contextualSpacing/>
    </w:pPr>
  </w:style>
  <w:style w:type="paragraph" w:styleId="Revision">
    <w:name w:val="Revision"/>
    <w:hidden/>
    <w:uiPriority w:val="99"/>
    <w:semiHidden/>
    <w:rsid w:val="00D875D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