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30898DAD" w14:textId="61BA9A3C">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39331A">
        <w:rPr>
          <w:szCs w:val="22"/>
        </w:rPr>
        <w:t xml:space="preserve">  </w:t>
      </w:r>
    </w:p>
    <w:p w:rsidR="00ED51D0" w:rsidP="00ED51D0" w14:paraId="4DEC566C" w14:textId="06CC525C">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313AB0">
        <w:rPr>
          <w:b/>
          <w:snapToGrid w:val="0"/>
          <w:kern w:val="28"/>
          <w:szCs w:val="22"/>
        </w:rPr>
        <w:t>379</w:t>
      </w:r>
    </w:p>
    <w:p w:rsidR="00AD440B" w:rsidRPr="00CB6B4E" w:rsidP="00ED51D0" w14:paraId="150A7C80" w14:textId="603C34C6">
      <w:pPr>
        <w:widowControl w:val="0"/>
        <w:jc w:val="right"/>
        <w:rPr>
          <w:b/>
          <w:snapToGrid w:val="0"/>
          <w:kern w:val="28"/>
          <w:szCs w:val="22"/>
        </w:rPr>
      </w:pPr>
      <w:r w:rsidRPr="00CB6B4E">
        <w:rPr>
          <w:b/>
          <w:snapToGrid w:val="0"/>
          <w:kern w:val="28"/>
          <w:szCs w:val="22"/>
        </w:rPr>
        <w:t xml:space="preserve">Released:  </w:t>
      </w:r>
      <w:r w:rsidR="006B2593">
        <w:rPr>
          <w:b/>
          <w:snapToGrid w:val="0"/>
          <w:kern w:val="28"/>
          <w:szCs w:val="22"/>
        </w:rPr>
        <w:t>April</w:t>
      </w:r>
      <w:r w:rsidRPr="00CB6B4E" w:rsidR="0055505D">
        <w:rPr>
          <w:b/>
          <w:snapToGrid w:val="0"/>
          <w:kern w:val="28"/>
          <w:szCs w:val="22"/>
        </w:rPr>
        <w:t xml:space="preserve"> </w:t>
      </w:r>
      <w:r w:rsidR="0015163D">
        <w:rPr>
          <w:b/>
          <w:snapToGrid w:val="0"/>
          <w:kern w:val="28"/>
          <w:szCs w:val="22"/>
        </w:rPr>
        <w:t>7</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A47EA1" w:rsidRPr="00CB6B4E" w:rsidP="00A47EA1" w14:paraId="7B109DAA"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p>
    <w:p w:rsidR="00833FAF" w:rsidP="009564D0" w14:paraId="6AB9074E" w14:textId="77777777">
      <w:pPr>
        <w:jc w:val="center"/>
        <w:rPr>
          <w:b/>
          <w:bCs/>
          <w:caps/>
          <w:szCs w:val="22"/>
        </w:rPr>
      </w:pPr>
      <w:r>
        <w:rPr>
          <w:b/>
          <w:bCs/>
          <w:caps/>
          <w:szCs w:val="22"/>
        </w:rPr>
        <w:t xml:space="preserve">TRANSFER OF </w:t>
      </w:r>
      <w:r w:rsidR="00C3104C">
        <w:rPr>
          <w:b/>
          <w:bCs/>
          <w:caps/>
          <w:szCs w:val="22"/>
        </w:rPr>
        <w:t xml:space="preserve">CONTROL OF </w:t>
      </w:r>
    </w:p>
    <w:p w:rsidR="00833FAF" w:rsidP="009564D0" w14:paraId="3A941B5A" w14:textId="0C6213A5">
      <w:pPr>
        <w:jc w:val="center"/>
        <w:rPr>
          <w:b/>
          <w:bCs/>
          <w:caps/>
          <w:szCs w:val="22"/>
        </w:rPr>
      </w:pPr>
      <w:r>
        <w:rPr>
          <w:b/>
          <w:bCs/>
          <w:caps/>
          <w:szCs w:val="22"/>
        </w:rPr>
        <w:t>FUSION CONNECT</w:t>
      </w:r>
      <w:r w:rsidR="0002124C">
        <w:rPr>
          <w:b/>
          <w:bCs/>
          <w:caps/>
          <w:szCs w:val="22"/>
        </w:rPr>
        <w:t>, Inc.</w:t>
      </w:r>
      <w:r>
        <w:rPr>
          <w:b/>
          <w:bCs/>
          <w:caps/>
          <w:szCs w:val="22"/>
        </w:rPr>
        <w:t xml:space="preserve"> AND ITS </w:t>
      </w:r>
      <w:r w:rsidR="006B35AD">
        <w:rPr>
          <w:b/>
          <w:bCs/>
          <w:caps/>
          <w:szCs w:val="22"/>
        </w:rPr>
        <w:t>WHOLLY</w:t>
      </w:r>
      <w:r w:rsidR="00414051">
        <w:rPr>
          <w:b/>
          <w:bCs/>
          <w:caps/>
          <w:szCs w:val="22"/>
        </w:rPr>
        <w:t>-</w:t>
      </w:r>
      <w:r w:rsidR="006B35AD">
        <w:rPr>
          <w:b/>
          <w:bCs/>
          <w:caps/>
          <w:szCs w:val="22"/>
        </w:rPr>
        <w:t>OWNED</w:t>
      </w:r>
      <w:r>
        <w:rPr>
          <w:b/>
          <w:bCs/>
          <w:caps/>
          <w:szCs w:val="22"/>
        </w:rPr>
        <w:t xml:space="preserve"> SUBSIDARIES </w:t>
      </w:r>
    </w:p>
    <w:p w:rsidR="00AD440B" w:rsidRPr="009564D0" w:rsidP="009564D0" w14:paraId="366BF9CD" w14:textId="14445596">
      <w:pPr>
        <w:jc w:val="center"/>
        <w:rPr>
          <w:b/>
          <w:bCs/>
          <w:caps/>
          <w:szCs w:val="22"/>
        </w:rPr>
      </w:pPr>
      <w:r>
        <w:rPr>
          <w:b/>
          <w:bCs/>
          <w:caps/>
          <w:szCs w:val="22"/>
        </w:rPr>
        <w:t xml:space="preserve"> </w:t>
      </w:r>
      <w:r w:rsidR="00C3104C">
        <w:rPr>
          <w:b/>
          <w:bCs/>
          <w:caps/>
          <w:szCs w:val="22"/>
        </w:rPr>
        <w:t>TO THE NORTH HAVEN ENTITIES</w:t>
      </w:r>
    </w:p>
    <w:p w:rsidR="00AD440B" w:rsidRPr="00AD440B" w:rsidP="00AD440B" w14:paraId="675AF6C0" w14:textId="77777777">
      <w:pPr>
        <w:jc w:val="center"/>
        <w:rPr>
          <w:b/>
          <w:bCs/>
          <w:szCs w:val="22"/>
        </w:rPr>
      </w:pPr>
      <w:r w:rsidRPr="00AD440B">
        <w:rPr>
          <w:b/>
          <w:bCs/>
          <w:caps/>
          <w:szCs w:val="22"/>
        </w:rPr>
        <w:t xml:space="preserve"> </w:t>
      </w:r>
    </w:p>
    <w:p w:rsidR="00AD440B" w:rsidP="0055505D" w14:paraId="27B91651" w14:textId="62704AEE">
      <w:pPr>
        <w:jc w:val="center"/>
        <w:rPr>
          <w:b/>
          <w:szCs w:val="22"/>
        </w:rPr>
      </w:pPr>
      <w:r>
        <w:rPr>
          <w:b/>
          <w:szCs w:val="22"/>
        </w:rPr>
        <w:t>NON-</w:t>
      </w:r>
      <w:r w:rsidRPr="00AD440B" w:rsidR="0039331A">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17666D09">
      <w:pPr>
        <w:widowControl w:val="0"/>
        <w:spacing w:before="60"/>
        <w:jc w:val="center"/>
        <w:rPr>
          <w:b/>
          <w:snapToGrid w:val="0"/>
          <w:kern w:val="28"/>
          <w:szCs w:val="22"/>
        </w:rPr>
      </w:pPr>
      <w:r w:rsidRPr="00AD440B">
        <w:rPr>
          <w:b/>
          <w:snapToGrid w:val="0"/>
          <w:kern w:val="28"/>
          <w:szCs w:val="22"/>
        </w:rPr>
        <w:t>WC Docket No. 2</w:t>
      </w:r>
      <w:r w:rsidR="0055505D">
        <w:rPr>
          <w:b/>
          <w:snapToGrid w:val="0"/>
          <w:kern w:val="28"/>
          <w:szCs w:val="22"/>
        </w:rPr>
        <w:t>2</w:t>
      </w:r>
      <w:r w:rsidRPr="00AD440B">
        <w:rPr>
          <w:b/>
          <w:snapToGrid w:val="0"/>
          <w:kern w:val="28"/>
          <w:szCs w:val="22"/>
        </w:rPr>
        <w:t>-</w:t>
      </w:r>
      <w:r w:rsidR="009258E3">
        <w:rPr>
          <w:b/>
          <w:snapToGrid w:val="0"/>
          <w:kern w:val="28"/>
          <w:szCs w:val="22"/>
        </w:rPr>
        <w:t>128</w:t>
      </w:r>
    </w:p>
    <w:p w:rsidR="00E94F15" w:rsidP="00AD440B" w14:paraId="7ABC8A76" w14:textId="77777777">
      <w:pPr>
        <w:rPr>
          <w:b/>
          <w:szCs w:val="22"/>
        </w:rPr>
      </w:pPr>
    </w:p>
    <w:p w:rsidR="00AD440B" w:rsidRPr="00AD440B" w:rsidP="00AD440B" w14:paraId="2E18CEC0" w14:textId="6823F723">
      <w:pPr>
        <w:rPr>
          <w:b/>
          <w:szCs w:val="22"/>
        </w:rPr>
      </w:pPr>
      <w:r w:rsidRPr="00AD440B">
        <w:rPr>
          <w:b/>
          <w:szCs w:val="22"/>
        </w:rPr>
        <w:t xml:space="preserve">Comments Due:  </w:t>
      </w:r>
      <w:r w:rsidR="006B2593">
        <w:rPr>
          <w:b/>
          <w:szCs w:val="22"/>
        </w:rPr>
        <w:t>April</w:t>
      </w:r>
      <w:r w:rsidR="009258E3">
        <w:rPr>
          <w:b/>
          <w:szCs w:val="22"/>
        </w:rPr>
        <w:t xml:space="preserve"> </w:t>
      </w:r>
      <w:r w:rsidR="0015163D">
        <w:rPr>
          <w:b/>
          <w:szCs w:val="22"/>
        </w:rPr>
        <w:t>21</w:t>
      </w:r>
      <w:r w:rsidRPr="00AD440B">
        <w:rPr>
          <w:b/>
          <w:szCs w:val="22"/>
        </w:rPr>
        <w:t>, 202</w:t>
      </w:r>
      <w:r w:rsidR="0089666B">
        <w:rPr>
          <w:b/>
          <w:szCs w:val="22"/>
        </w:rPr>
        <w:t>2</w:t>
      </w:r>
      <w:r w:rsidRPr="00AD440B">
        <w:rPr>
          <w:b/>
          <w:szCs w:val="22"/>
        </w:rPr>
        <w:t xml:space="preserve"> </w:t>
      </w:r>
    </w:p>
    <w:p w:rsidR="00AD440B" w:rsidRPr="00AD440B" w:rsidP="00AD440B" w14:paraId="08C05539" w14:textId="13F91115">
      <w:pPr>
        <w:rPr>
          <w:b/>
          <w:szCs w:val="22"/>
        </w:rPr>
      </w:pPr>
      <w:r w:rsidRPr="00AD440B">
        <w:rPr>
          <w:b/>
          <w:szCs w:val="22"/>
        </w:rPr>
        <w:t xml:space="preserve">Reply Comment Due:  </w:t>
      </w:r>
      <w:r w:rsidR="009258E3">
        <w:rPr>
          <w:b/>
          <w:szCs w:val="22"/>
        </w:rPr>
        <w:t xml:space="preserve">April </w:t>
      </w:r>
      <w:r w:rsidR="0015163D">
        <w:rPr>
          <w:b/>
          <w:szCs w:val="22"/>
        </w:rPr>
        <w:t>28</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FD0D52" w:rsidP="00FD0D52" w14:paraId="6397AAAA" w14:textId="2F3DE18F">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00095657">
        <w:rPr>
          <w:szCs w:val="22"/>
        </w:rPr>
        <w:t>Fusion Connect, Inc. (Fusion Connect) and the North Haven Entities</w:t>
      </w:r>
      <w:bookmarkEnd w:id="3"/>
      <w:r w:rsidR="00095657">
        <w:rPr>
          <w:szCs w:val="22"/>
        </w:rPr>
        <w:t xml:space="preserve"> </w:t>
      </w:r>
      <w:r>
        <w:rPr>
          <w:szCs w:val="22"/>
        </w:rPr>
        <w:t>(</w:t>
      </w:r>
      <w:r w:rsidR="004E718B">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szCs w:val="22"/>
          <w:vertAlign w:val="superscript"/>
        </w:rPr>
        <w:footnoteReference w:id="3"/>
      </w:r>
      <w:r>
        <w:rPr>
          <w:szCs w:val="22"/>
        </w:rPr>
        <w:t xml:space="preserve"> requesting consent to transfer </w:t>
      </w:r>
      <w:r w:rsidR="00CB49DA">
        <w:rPr>
          <w:szCs w:val="22"/>
        </w:rPr>
        <w:t>to the North Haven Entities</w:t>
      </w:r>
      <w:bookmarkEnd w:id="4"/>
      <w:bookmarkEnd w:id="5"/>
      <w:r w:rsidR="00CB49DA">
        <w:rPr>
          <w:szCs w:val="22"/>
        </w:rPr>
        <w:t xml:space="preserve"> the control of Fusion Connect and its wholly-owned operating subsidiaries (collectively, Fusion Licensees).</w:t>
      </w:r>
      <w:r>
        <w:rPr>
          <w:rStyle w:val="FootnoteReference"/>
          <w:szCs w:val="22"/>
        </w:rPr>
        <w:footnoteReference w:id="4"/>
      </w:r>
      <w:r w:rsidR="00C3104C">
        <w:rPr>
          <w:szCs w:val="22"/>
        </w:rPr>
        <w:t xml:space="preserve"> </w:t>
      </w:r>
    </w:p>
    <w:p w:rsidR="00CB49DA" w:rsidP="00000A2F" w14:paraId="63773C9E" w14:textId="6B039369">
      <w:pPr>
        <w:autoSpaceDE w:val="0"/>
        <w:autoSpaceDN w:val="0"/>
        <w:adjustRightInd w:val="0"/>
        <w:spacing w:after="120"/>
        <w:ind w:firstLine="720"/>
        <w:rPr>
          <w:szCs w:val="22"/>
        </w:rPr>
      </w:pPr>
      <w:r>
        <w:rPr>
          <w:szCs w:val="22"/>
        </w:rPr>
        <w:t>Fusion Connect</w:t>
      </w:r>
      <w:r w:rsidR="00336995">
        <w:rPr>
          <w:szCs w:val="22"/>
        </w:rPr>
        <w:t>,</w:t>
      </w:r>
      <w:r>
        <w:rPr>
          <w:szCs w:val="22"/>
        </w:rPr>
        <w:t xml:space="preserve"> a privately-held Delaware corporation</w:t>
      </w:r>
      <w:r w:rsidR="00F45FA5">
        <w:rPr>
          <w:szCs w:val="22"/>
        </w:rPr>
        <w:t xml:space="preserve">, through the other Fusion Licensees, provides </w:t>
      </w:r>
      <w:r w:rsidR="00164D0F">
        <w:rPr>
          <w:szCs w:val="22"/>
        </w:rPr>
        <w:t xml:space="preserve">competitive </w:t>
      </w:r>
      <w:r w:rsidR="00CE3ABC">
        <w:rPr>
          <w:szCs w:val="22"/>
        </w:rPr>
        <w:t>tele</w:t>
      </w:r>
      <w:r w:rsidR="00F45FA5">
        <w:rPr>
          <w:szCs w:val="22"/>
        </w:rPr>
        <w:t xml:space="preserve">communications services </w:t>
      </w:r>
      <w:r w:rsidR="00CE3ABC">
        <w:rPr>
          <w:szCs w:val="22"/>
        </w:rPr>
        <w:t xml:space="preserve">and other services </w:t>
      </w:r>
      <w:r w:rsidR="00F45FA5">
        <w:rPr>
          <w:szCs w:val="22"/>
        </w:rPr>
        <w:t>to business customers throughout the United States.</w:t>
      </w:r>
      <w:r>
        <w:rPr>
          <w:rStyle w:val="FootnoteReference"/>
          <w:szCs w:val="22"/>
        </w:rPr>
        <w:footnoteReference w:id="5"/>
      </w:r>
      <w:r w:rsidR="00961E42">
        <w:rPr>
          <w:szCs w:val="22"/>
        </w:rPr>
        <w:t xml:space="preserve"> </w:t>
      </w:r>
      <w:r w:rsidR="00F45FA5">
        <w:rPr>
          <w:szCs w:val="22"/>
        </w:rPr>
        <w:t xml:space="preserve"> Fusion LLC,</w:t>
      </w:r>
      <w:r w:rsidR="00F03ADC">
        <w:rPr>
          <w:szCs w:val="22"/>
        </w:rPr>
        <w:t xml:space="preserve"> </w:t>
      </w:r>
      <w:r w:rsidR="00F45FA5">
        <w:rPr>
          <w:szCs w:val="22"/>
        </w:rPr>
        <w:t>Fusion Cloud,</w:t>
      </w:r>
      <w:r w:rsidR="00270C47">
        <w:rPr>
          <w:szCs w:val="22"/>
        </w:rPr>
        <w:t xml:space="preserve"> </w:t>
      </w:r>
      <w:r w:rsidR="00F45FA5">
        <w:rPr>
          <w:szCs w:val="22"/>
        </w:rPr>
        <w:t>Fusion Communications,</w:t>
      </w:r>
      <w:r w:rsidR="00270C47">
        <w:rPr>
          <w:szCs w:val="22"/>
        </w:rPr>
        <w:t xml:space="preserve"> </w:t>
      </w:r>
      <w:r w:rsidR="00F45FA5">
        <w:rPr>
          <w:szCs w:val="22"/>
        </w:rPr>
        <w:t xml:space="preserve">and Fusion Telecom </w:t>
      </w:r>
      <w:r w:rsidR="00270C47">
        <w:rPr>
          <w:szCs w:val="22"/>
        </w:rPr>
        <w:t xml:space="preserve">(all U.S. entities) </w:t>
      </w:r>
      <w:r w:rsidR="00F45FA5">
        <w:rPr>
          <w:szCs w:val="22"/>
        </w:rPr>
        <w:t>each hold domestic section 214 authority to provide interstate</w:t>
      </w:r>
      <w:r w:rsidR="00000A2F">
        <w:rPr>
          <w:szCs w:val="22"/>
        </w:rPr>
        <w:t xml:space="preserve"> and intrastate</w:t>
      </w:r>
      <w:r w:rsidR="00F45FA5">
        <w:rPr>
          <w:szCs w:val="22"/>
        </w:rPr>
        <w:t xml:space="preserve"> telecommunications services</w:t>
      </w:r>
      <w:r w:rsidR="00A80B50">
        <w:rPr>
          <w:szCs w:val="22"/>
        </w:rPr>
        <w:t xml:space="preserve"> </w:t>
      </w:r>
      <w:r w:rsidR="00000A2F">
        <w:rPr>
          <w:szCs w:val="22"/>
        </w:rPr>
        <w:t>in multiple states</w:t>
      </w:r>
      <w:r w:rsidR="00A80B50">
        <w:rPr>
          <w:szCs w:val="22"/>
        </w:rPr>
        <w:t>.</w:t>
      </w:r>
      <w:r>
        <w:rPr>
          <w:rStyle w:val="FootnoteReference"/>
          <w:szCs w:val="22"/>
        </w:rPr>
        <w:footnoteReference w:id="6"/>
      </w:r>
      <w:r w:rsidR="00802D1D">
        <w:rPr>
          <w:szCs w:val="22"/>
        </w:rPr>
        <w:t xml:space="preserve"> </w:t>
      </w:r>
      <w:r w:rsidR="00896CA4">
        <w:rPr>
          <w:szCs w:val="22"/>
        </w:rPr>
        <w:t xml:space="preserve"> Currently, no person or entity holds </w:t>
      </w:r>
      <w:r w:rsidRPr="00000A2F" w:rsidR="00896CA4">
        <w:rPr>
          <w:i/>
          <w:iCs/>
          <w:szCs w:val="22"/>
        </w:rPr>
        <w:t>de jure</w:t>
      </w:r>
      <w:r w:rsidR="00896CA4">
        <w:rPr>
          <w:szCs w:val="22"/>
        </w:rPr>
        <w:t xml:space="preserve"> or </w:t>
      </w:r>
      <w:r w:rsidRPr="00000A2F" w:rsidR="00896CA4">
        <w:rPr>
          <w:i/>
          <w:iCs/>
          <w:szCs w:val="22"/>
        </w:rPr>
        <w:t>de facto</w:t>
      </w:r>
      <w:r w:rsidR="00896CA4">
        <w:rPr>
          <w:szCs w:val="22"/>
        </w:rPr>
        <w:t xml:space="preserve"> control of Fusion Connect.</w:t>
      </w:r>
      <w:r>
        <w:rPr>
          <w:rStyle w:val="FootnoteReference"/>
          <w:szCs w:val="22"/>
        </w:rPr>
        <w:footnoteReference w:id="7"/>
      </w:r>
      <w:r w:rsidR="00896CA4">
        <w:rPr>
          <w:szCs w:val="22"/>
        </w:rPr>
        <w:t xml:space="preserve"> </w:t>
      </w:r>
      <w:r w:rsidR="00F55678">
        <w:rPr>
          <w:szCs w:val="22"/>
        </w:rPr>
        <w:t xml:space="preserve"> </w:t>
      </w:r>
    </w:p>
    <w:p w:rsidR="00D64217" w:rsidRPr="00FD0D52" w:rsidP="00B64FDE" w14:paraId="28BA3264" w14:textId="20676A60">
      <w:pPr>
        <w:autoSpaceDE w:val="0"/>
        <w:autoSpaceDN w:val="0"/>
        <w:adjustRightInd w:val="0"/>
        <w:spacing w:after="120"/>
        <w:ind w:firstLine="720"/>
        <w:rPr>
          <w:szCs w:val="22"/>
        </w:rPr>
      </w:pPr>
      <w:r>
        <w:rPr>
          <w:szCs w:val="22"/>
        </w:rPr>
        <w:t xml:space="preserve">Applicants </w:t>
      </w:r>
      <w:r w:rsidR="00B96818">
        <w:rPr>
          <w:szCs w:val="22"/>
        </w:rPr>
        <w:t xml:space="preserve">state that </w:t>
      </w:r>
      <w:r w:rsidR="00645192">
        <w:rPr>
          <w:szCs w:val="22"/>
        </w:rPr>
        <w:t xml:space="preserve">North Haven </w:t>
      </w:r>
      <w:r w:rsidR="00CA2D4B">
        <w:rPr>
          <w:szCs w:val="22"/>
        </w:rPr>
        <w:t>II and NH Senior Loan Fund</w:t>
      </w:r>
      <w:r w:rsidR="0077275A">
        <w:rPr>
          <w:szCs w:val="22"/>
        </w:rPr>
        <w:t xml:space="preserve"> currently hold approximately 11.04% of Fusion </w:t>
      </w:r>
      <w:r w:rsidR="00645192">
        <w:rPr>
          <w:szCs w:val="22"/>
        </w:rPr>
        <w:t>Connect’s voting stock</w:t>
      </w:r>
      <w:r w:rsidR="00CA2D4B">
        <w:rPr>
          <w:szCs w:val="22"/>
        </w:rPr>
        <w:t>,</w:t>
      </w:r>
      <w:r>
        <w:rPr>
          <w:rStyle w:val="FootnoteReference"/>
          <w:szCs w:val="22"/>
        </w:rPr>
        <w:footnoteReference w:id="8"/>
      </w:r>
      <w:r w:rsidR="00CA2D4B">
        <w:rPr>
          <w:szCs w:val="22"/>
        </w:rPr>
        <w:t xml:space="preserve"> and</w:t>
      </w:r>
      <w:r w:rsidR="00644794">
        <w:rPr>
          <w:szCs w:val="22"/>
        </w:rPr>
        <w:t>,</w:t>
      </w:r>
      <w:r w:rsidR="00CA2D4B">
        <w:rPr>
          <w:szCs w:val="22"/>
        </w:rPr>
        <w:t xml:space="preserve"> in combination with NH III, will </w:t>
      </w:r>
      <w:r w:rsidR="004F796E">
        <w:rPr>
          <w:szCs w:val="22"/>
        </w:rPr>
        <w:t>post</w:t>
      </w:r>
      <w:r w:rsidR="00644794">
        <w:rPr>
          <w:szCs w:val="22"/>
        </w:rPr>
        <w:t>-</w:t>
      </w:r>
      <w:r w:rsidR="004F796E">
        <w:rPr>
          <w:szCs w:val="22"/>
        </w:rPr>
        <w:t xml:space="preserve">transaction </w:t>
      </w:r>
      <w:r w:rsidR="00644794">
        <w:rPr>
          <w:szCs w:val="22"/>
        </w:rPr>
        <w:t xml:space="preserve">acquire </w:t>
      </w:r>
      <w:r w:rsidRPr="004F796E" w:rsidR="004F796E">
        <w:rPr>
          <w:i/>
          <w:iCs/>
          <w:szCs w:val="22"/>
        </w:rPr>
        <w:t>de jure</w:t>
      </w:r>
      <w:r w:rsidR="004F796E">
        <w:rPr>
          <w:szCs w:val="22"/>
        </w:rPr>
        <w:t xml:space="preserve"> control of the Fusion Licensees</w:t>
      </w:r>
      <w:r w:rsidR="00645192">
        <w:rPr>
          <w:szCs w:val="22"/>
        </w:rPr>
        <w:t>.</w:t>
      </w:r>
      <w:r>
        <w:rPr>
          <w:rStyle w:val="FootnoteReference"/>
          <w:szCs w:val="22"/>
        </w:rPr>
        <w:footnoteReference w:id="9"/>
      </w:r>
      <w:r w:rsidR="00942A31">
        <w:rPr>
          <w:szCs w:val="22"/>
        </w:rPr>
        <w:t xml:space="preserve">  </w:t>
      </w:r>
      <w:r w:rsidR="00716B24">
        <w:rPr>
          <w:szCs w:val="22"/>
        </w:rPr>
        <w:t xml:space="preserve">The </w:t>
      </w:r>
      <w:r w:rsidR="00726354">
        <w:rPr>
          <w:szCs w:val="22"/>
        </w:rPr>
        <w:t>securities held</w:t>
      </w:r>
      <w:r w:rsidR="00716B24">
        <w:rPr>
          <w:szCs w:val="22"/>
        </w:rPr>
        <w:t xml:space="preserve"> or controlled by the North Haven Entities are under the common management of MS Capital Partners Adviser</w:t>
      </w:r>
      <w:r w:rsidR="00CA2D4B">
        <w:rPr>
          <w:szCs w:val="22"/>
        </w:rPr>
        <w:t xml:space="preserve"> Inc.</w:t>
      </w:r>
      <w:r w:rsidR="00726354">
        <w:rPr>
          <w:szCs w:val="22"/>
        </w:rPr>
        <w:t xml:space="preserve"> (MS Capital Partners Advisor)</w:t>
      </w:r>
      <w:r w:rsidR="00716B24">
        <w:rPr>
          <w:szCs w:val="22"/>
        </w:rPr>
        <w:t xml:space="preserve">, </w:t>
      </w:r>
      <w:r w:rsidR="00660C36">
        <w:rPr>
          <w:szCs w:val="22"/>
        </w:rPr>
        <w:t xml:space="preserve">a Delaware corporation, </w:t>
      </w:r>
      <w:r w:rsidR="00716B24">
        <w:rPr>
          <w:szCs w:val="22"/>
        </w:rPr>
        <w:t>in its capacity as investment manager to the North Haven Entities</w:t>
      </w:r>
      <w:r w:rsidR="00630291">
        <w:rPr>
          <w:szCs w:val="22"/>
        </w:rPr>
        <w:t>.</w:t>
      </w:r>
      <w:r>
        <w:rPr>
          <w:rStyle w:val="FootnoteReference"/>
          <w:szCs w:val="22"/>
        </w:rPr>
        <w:footnoteReference w:id="10"/>
      </w:r>
      <w:r w:rsidR="008711D5">
        <w:rPr>
          <w:szCs w:val="22"/>
        </w:rPr>
        <w:t xml:space="preserve">  </w:t>
      </w:r>
      <w:r w:rsidR="00A216A2">
        <w:rPr>
          <w:szCs w:val="22"/>
        </w:rPr>
        <w:t>MS Capital Partners Advisor</w:t>
      </w:r>
      <w:r w:rsidR="0048693F">
        <w:rPr>
          <w:szCs w:val="22"/>
        </w:rPr>
        <w:t xml:space="preserve"> </w:t>
      </w:r>
      <w:r w:rsidR="00F256D4">
        <w:rPr>
          <w:szCs w:val="22"/>
        </w:rPr>
        <w:t>is a wholly</w:t>
      </w:r>
      <w:r w:rsidR="00375254">
        <w:rPr>
          <w:szCs w:val="22"/>
        </w:rPr>
        <w:t>-</w:t>
      </w:r>
      <w:r w:rsidR="00F256D4">
        <w:rPr>
          <w:szCs w:val="22"/>
        </w:rPr>
        <w:t>owned direct subsidiary of MS Holdings Incorporated (MS</w:t>
      </w:r>
      <w:r w:rsidR="00677689">
        <w:rPr>
          <w:szCs w:val="22"/>
        </w:rPr>
        <w:t xml:space="preserve"> </w:t>
      </w:r>
      <w:r w:rsidR="00F256D4">
        <w:rPr>
          <w:szCs w:val="22"/>
        </w:rPr>
        <w:t>Holdings), a Delaware corporation.</w:t>
      </w:r>
      <w:r>
        <w:rPr>
          <w:rStyle w:val="FootnoteReference"/>
          <w:szCs w:val="22"/>
        </w:rPr>
        <w:footnoteReference w:id="11"/>
      </w:r>
      <w:r w:rsidR="00F256D4">
        <w:rPr>
          <w:szCs w:val="22"/>
        </w:rPr>
        <w:t xml:space="preserve">  MS Holdings is a wholly</w:t>
      </w:r>
      <w:r w:rsidR="00375254">
        <w:rPr>
          <w:szCs w:val="22"/>
        </w:rPr>
        <w:t>-</w:t>
      </w:r>
      <w:r w:rsidR="00F256D4">
        <w:rPr>
          <w:szCs w:val="22"/>
        </w:rPr>
        <w:t>owned direct subsidiary of Morgan Stanley, a Delaware corporation.</w:t>
      </w:r>
      <w:r>
        <w:rPr>
          <w:rStyle w:val="FootnoteReference"/>
          <w:szCs w:val="22"/>
        </w:rPr>
        <w:footnoteReference w:id="12"/>
      </w:r>
      <w:r w:rsidR="003F5829">
        <w:rPr>
          <w:szCs w:val="22"/>
        </w:rPr>
        <w:t xml:space="preserve"> </w:t>
      </w:r>
      <w:r w:rsidR="00F256D4">
        <w:rPr>
          <w:szCs w:val="22"/>
        </w:rPr>
        <w:t xml:space="preserve"> </w:t>
      </w:r>
      <w:r w:rsidR="00AA6C23">
        <w:rPr>
          <w:szCs w:val="22"/>
        </w:rPr>
        <w:t xml:space="preserve">Mitsubishi </w:t>
      </w:r>
      <w:r w:rsidR="00E04812">
        <w:rPr>
          <w:szCs w:val="22"/>
        </w:rPr>
        <w:t>UF</w:t>
      </w:r>
      <w:r w:rsidR="00AA6C23">
        <w:rPr>
          <w:szCs w:val="22"/>
        </w:rPr>
        <w:t>J Financial Group, Inc. (MUFG)</w:t>
      </w:r>
      <w:r w:rsidR="005D7795">
        <w:rPr>
          <w:szCs w:val="22"/>
        </w:rPr>
        <w:t>, a Japanese bank and financial services institution,</w:t>
      </w:r>
      <w:r w:rsidR="00AA6C23">
        <w:rPr>
          <w:szCs w:val="22"/>
        </w:rPr>
        <w:t xml:space="preserve"> </w:t>
      </w:r>
      <w:r w:rsidR="00E04812">
        <w:rPr>
          <w:szCs w:val="22"/>
        </w:rPr>
        <w:t>holds a 21.02% interest in Morgan</w:t>
      </w:r>
      <w:r w:rsidR="00DA69AD">
        <w:rPr>
          <w:szCs w:val="22"/>
        </w:rPr>
        <w:t xml:space="preserve"> S</w:t>
      </w:r>
      <w:r w:rsidR="00E04812">
        <w:rPr>
          <w:szCs w:val="22"/>
        </w:rPr>
        <w:t>tanley</w:t>
      </w:r>
      <w:r w:rsidR="00960EC2">
        <w:rPr>
          <w:szCs w:val="22"/>
        </w:rPr>
        <w:t>.</w:t>
      </w:r>
      <w:r>
        <w:rPr>
          <w:rStyle w:val="FootnoteReference"/>
          <w:szCs w:val="22"/>
        </w:rPr>
        <w:footnoteReference w:id="13"/>
      </w:r>
      <w:r w:rsidR="00960EC2">
        <w:rPr>
          <w:szCs w:val="22"/>
        </w:rPr>
        <w:t xml:space="preserve">  Applicants state that </w:t>
      </w:r>
      <w:r w:rsidR="0004570D">
        <w:rPr>
          <w:szCs w:val="22"/>
        </w:rPr>
        <w:t xml:space="preserve">“MUFG will not have any direct or indirect involvement in the day-to-day </w:t>
      </w:r>
      <w:r w:rsidR="009E5B12">
        <w:rPr>
          <w:szCs w:val="22"/>
        </w:rPr>
        <w:t>operations</w:t>
      </w:r>
      <w:r w:rsidR="0004570D">
        <w:rPr>
          <w:szCs w:val="22"/>
        </w:rPr>
        <w:t xml:space="preserve"> or activities of the Fusion Licensees or exercise control over the designation or nomination of directors to serve on the Board.”</w:t>
      </w:r>
      <w:r>
        <w:rPr>
          <w:rStyle w:val="FootnoteReference"/>
          <w:szCs w:val="22"/>
        </w:rPr>
        <w:footnoteReference w:id="14"/>
      </w:r>
      <w:r w:rsidR="0004570D">
        <w:rPr>
          <w:szCs w:val="22"/>
        </w:rPr>
        <w:t xml:space="preserve"> </w:t>
      </w:r>
      <w:r w:rsidR="002E427A">
        <w:rPr>
          <w:szCs w:val="22"/>
        </w:rPr>
        <w:t xml:space="preserve"> </w:t>
      </w:r>
      <w:r w:rsidR="00973A90">
        <w:rPr>
          <w:szCs w:val="22"/>
        </w:rPr>
        <w:t>Applicants state that no person or entity that is not affiliated with Morgan Stanley or MUFG will “have a direct or indirect ownership or controlling interest in Fusion Connect and the other Fusion Licensees of 10% or more pursuant to the Commission’s ownership attribution rules.”</w:t>
      </w:r>
      <w:r>
        <w:rPr>
          <w:rStyle w:val="FootnoteReference"/>
          <w:szCs w:val="22"/>
        </w:rPr>
        <w:footnoteReference w:id="15"/>
      </w:r>
      <w:r w:rsidR="002E427A">
        <w:rPr>
          <w:szCs w:val="22"/>
        </w:rPr>
        <w:t xml:space="preserve">  </w:t>
      </w:r>
      <w:r w:rsidR="008A1282">
        <w:rPr>
          <w:szCs w:val="22"/>
        </w:rPr>
        <w:t xml:space="preserve">Applicants </w:t>
      </w:r>
      <w:r w:rsidR="00644794">
        <w:rPr>
          <w:szCs w:val="22"/>
        </w:rPr>
        <w:t xml:space="preserve">further </w:t>
      </w:r>
      <w:r w:rsidR="008A1282">
        <w:rPr>
          <w:szCs w:val="22"/>
        </w:rPr>
        <w:t xml:space="preserve">state that Morgan Stanley is affiliated with </w:t>
      </w:r>
      <w:r w:rsidR="00D401C5">
        <w:rPr>
          <w:szCs w:val="22"/>
        </w:rPr>
        <w:t xml:space="preserve">Channel 51 License Co. LLC, a wireless license holder, and Cablevision Lightpath LLC, </w:t>
      </w:r>
      <w:r w:rsidR="00230E24">
        <w:rPr>
          <w:szCs w:val="22"/>
        </w:rPr>
        <w:t>which provides</w:t>
      </w:r>
      <w:r w:rsidR="00EA1B23">
        <w:rPr>
          <w:szCs w:val="22"/>
        </w:rPr>
        <w:t xml:space="preserve"> competitive</w:t>
      </w:r>
      <w:r w:rsidR="00230E24">
        <w:rPr>
          <w:szCs w:val="22"/>
        </w:rPr>
        <w:t xml:space="preserve"> telecommunications services</w:t>
      </w:r>
      <w:r w:rsidR="00440844">
        <w:rPr>
          <w:szCs w:val="22"/>
        </w:rPr>
        <w:t>, fiber-based services,</w:t>
      </w:r>
      <w:r w:rsidR="00230E24">
        <w:rPr>
          <w:szCs w:val="22"/>
        </w:rPr>
        <w:t xml:space="preserve"> and other </w:t>
      </w:r>
      <w:r w:rsidR="00230E24">
        <w:rPr>
          <w:szCs w:val="22"/>
        </w:rPr>
        <w:t>services</w:t>
      </w:r>
      <w:r w:rsidR="00440844">
        <w:rPr>
          <w:szCs w:val="22"/>
        </w:rPr>
        <w:t xml:space="preserve"> in New York and in the northeastern United States</w:t>
      </w:r>
      <w:r w:rsidR="00EA1B23">
        <w:rPr>
          <w:szCs w:val="22"/>
        </w:rPr>
        <w:t>, including in some of the same geographic areas served by the Fusion Licensees</w:t>
      </w:r>
      <w:r w:rsidR="00440844">
        <w:rPr>
          <w:szCs w:val="22"/>
        </w:rPr>
        <w:t>.</w:t>
      </w:r>
      <w:r>
        <w:rPr>
          <w:rStyle w:val="FootnoteReference"/>
          <w:szCs w:val="22"/>
        </w:rPr>
        <w:footnoteReference w:id="16"/>
      </w:r>
      <w:r w:rsidR="00440844">
        <w:rPr>
          <w:szCs w:val="22"/>
        </w:rPr>
        <w:t xml:space="preserve">  </w:t>
      </w:r>
    </w:p>
    <w:p w:rsidR="00D522AE" w:rsidP="004F44F5" w14:paraId="18AFD4A3" w14:textId="3A68B499">
      <w:pPr>
        <w:autoSpaceDE w:val="0"/>
        <w:autoSpaceDN w:val="0"/>
        <w:adjustRightInd w:val="0"/>
        <w:spacing w:after="120"/>
        <w:ind w:firstLine="720"/>
        <w:rPr>
          <w:szCs w:val="22"/>
        </w:rPr>
      </w:pPr>
      <w:bookmarkStart w:id="6" w:name="_Hlk83807160"/>
      <w:r>
        <w:rPr>
          <w:szCs w:val="22"/>
        </w:rPr>
        <w:t>According to Applicants, “</w:t>
      </w:r>
      <w:r>
        <w:t>subject to receipt of all required regulatory approvals, the North Haven Entities will obtain control of the Fusion Licensees due to the following simultaneous events: (1) certain of the North Haven Funds will exercise options that they secured from several stockholders of Fusion Connect (the ‘Option Agreements’) to purchase those stockholders’ shares of Fusion Connect’s common stock (the ‘Common Stock’)</w:t>
      </w:r>
      <w:r w:rsidR="00644794">
        <w:t>;</w:t>
      </w:r>
      <w:r>
        <w:t xml:space="preserve"> (2) additional voting rights associated with Fusion Connect’s Series A Preferred Stock (the ‘Series A Preferred Stock’), will activate; (3) Fusion Connect’s non-voting Series B Preferred Stock (the ‘Series B Preferred Stock’) will convert into newly issued shares of Common Stock; and (4) the holders of three tranches of warrants (the ‘Warrants’) issued by Fusion in January 2022 will have the right to exercise those Warrants and purchase additional, newly issued, shares of Common Stock (collectively, with (1), (2) and (3), the ‘Transaction’).”</w:t>
      </w:r>
      <w:r>
        <w:rPr>
          <w:rStyle w:val="FootnoteReference"/>
        </w:rPr>
        <w:footnoteReference w:id="17"/>
      </w:r>
    </w:p>
    <w:p w:rsidR="004F44F5" w:rsidP="00CF6C49" w14:paraId="0EBF9D7C" w14:textId="001D1AA6">
      <w:pPr>
        <w:autoSpaceDE w:val="0"/>
        <w:autoSpaceDN w:val="0"/>
        <w:adjustRightInd w:val="0"/>
        <w:spacing w:after="120"/>
        <w:ind w:firstLine="720"/>
        <w:rPr>
          <w:szCs w:val="22"/>
        </w:rPr>
      </w:pPr>
      <w:r>
        <w:rPr>
          <w:szCs w:val="22"/>
        </w:rPr>
        <w:t xml:space="preserve">Fusion Connect and its </w:t>
      </w:r>
      <w:r w:rsidR="003F5829">
        <w:rPr>
          <w:szCs w:val="22"/>
        </w:rPr>
        <w:t>wholly</w:t>
      </w:r>
      <w:r w:rsidR="00375254">
        <w:rPr>
          <w:szCs w:val="22"/>
        </w:rPr>
        <w:t>-</w:t>
      </w:r>
      <w:r w:rsidR="003F5829">
        <w:rPr>
          <w:szCs w:val="22"/>
        </w:rPr>
        <w:t>owned</w:t>
      </w:r>
      <w:r>
        <w:rPr>
          <w:szCs w:val="22"/>
        </w:rPr>
        <w:t xml:space="preserve"> operating subsidiaries will merge with and into </w:t>
      </w:r>
      <w:bookmarkEnd w:id="6"/>
      <w:r w:rsidR="00990EC0">
        <w:rPr>
          <w:szCs w:val="22"/>
        </w:rPr>
        <w:t>t</w:t>
      </w:r>
      <w:r>
        <w:rPr>
          <w:szCs w:val="22"/>
        </w:rPr>
        <w:t>he North Haven Entities.</w:t>
      </w:r>
      <w:r>
        <w:rPr>
          <w:rStyle w:val="FootnoteReference"/>
          <w:szCs w:val="22"/>
        </w:rPr>
        <w:footnoteReference w:id="18"/>
      </w:r>
      <w:r>
        <w:rPr>
          <w:szCs w:val="22"/>
        </w:rPr>
        <w:t xml:space="preserve"> </w:t>
      </w:r>
      <w:r w:rsidR="00B64FDE">
        <w:rPr>
          <w:szCs w:val="22"/>
        </w:rPr>
        <w:t xml:space="preserve"> </w:t>
      </w:r>
      <w:r w:rsidR="0002124C">
        <w:rPr>
          <w:bCs/>
          <w:szCs w:val="22"/>
        </w:rPr>
        <w:t>T</w:t>
      </w:r>
      <w:r w:rsidR="00782A2A">
        <w:rPr>
          <w:bCs/>
          <w:szCs w:val="22"/>
        </w:rPr>
        <w:t>he North Haven Entities’ voting interests in Fusion Connect, collecti</w:t>
      </w:r>
      <w:r w:rsidR="002E019B">
        <w:rPr>
          <w:bCs/>
          <w:szCs w:val="22"/>
        </w:rPr>
        <w:t xml:space="preserve">vely managed by MS Capital Partners Adviser, will </w:t>
      </w:r>
      <w:r w:rsidR="0002124C">
        <w:rPr>
          <w:bCs/>
          <w:szCs w:val="22"/>
        </w:rPr>
        <w:t xml:space="preserve">thereby </w:t>
      </w:r>
      <w:r w:rsidR="002E019B">
        <w:rPr>
          <w:bCs/>
          <w:szCs w:val="22"/>
        </w:rPr>
        <w:t>increase from 11.04% to more than 50%.</w:t>
      </w:r>
      <w:r>
        <w:rPr>
          <w:rStyle w:val="FootnoteReference"/>
          <w:bCs/>
          <w:szCs w:val="22"/>
        </w:rPr>
        <w:footnoteReference w:id="19"/>
      </w:r>
      <w:r w:rsidRPr="00AD440B" w:rsidR="00594E8C">
        <w:rPr>
          <w:bCs/>
          <w:szCs w:val="22"/>
        </w:rPr>
        <w:t xml:space="preserve">  </w:t>
      </w:r>
      <w:r w:rsidR="00B96818">
        <w:rPr>
          <w:bCs/>
          <w:szCs w:val="22"/>
        </w:rPr>
        <w:t xml:space="preserve">Specifically, </w:t>
      </w:r>
      <w:r w:rsidR="000D0B04">
        <w:rPr>
          <w:szCs w:val="22"/>
        </w:rPr>
        <w:t>Applicants state that “</w:t>
      </w:r>
      <w:r w:rsidR="00CF6C49">
        <w:rPr>
          <w:szCs w:val="22"/>
        </w:rPr>
        <w:t>i</w:t>
      </w:r>
      <w:r w:rsidR="000D0B04">
        <w:rPr>
          <w:szCs w:val="22"/>
        </w:rPr>
        <w:t>n total, MS Capital Partner</w:t>
      </w:r>
      <w:r w:rsidR="00990EC0">
        <w:rPr>
          <w:szCs w:val="22"/>
        </w:rPr>
        <w:t>s</w:t>
      </w:r>
      <w:r w:rsidR="000D0B04">
        <w:rPr>
          <w:szCs w:val="22"/>
        </w:rPr>
        <w:t xml:space="preserve"> Adviser will manage, post-close, approximately 82.65% of Fusion Connect’s voting equity, held directly by the North Haven Funds.</w:t>
      </w:r>
      <w:r>
        <w:rPr>
          <w:rStyle w:val="FootnoteReference"/>
          <w:szCs w:val="22"/>
        </w:rPr>
        <w:footnoteReference w:id="20"/>
      </w:r>
      <w:r w:rsidR="000D0B04">
        <w:rPr>
          <w:szCs w:val="22"/>
        </w:rPr>
        <w:t xml:space="preserve">  The North Haven Funds </w:t>
      </w:r>
      <w:r w:rsidR="00644794">
        <w:rPr>
          <w:szCs w:val="22"/>
        </w:rPr>
        <w:t xml:space="preserve">will </w:t>
      </w:r>
      <w:r w:rsidR="000D0B04">
        <w:rPr>
          <w:szCs w:val="22"/>
        </w:rPr>
        <w:t>delegate to MS Capital Partners Adviser, as investment manager, the full authority to acquire, dispose of, and vote the securities held by the North Haven Funds, including their current and post-</w:t>
      </w:r>
      <w:r w:rsidR="00644794">
        <w:rPr>
          <w:szCs w:val="22"/>
        </w:rPr>
        <w:t>t</w:t>
      </w:r>
      <w:r w:rsidR="000D0B04">
        <w:rPr>
          <w:szCs w:val="22"/>
        </w:rPr>
        <w:t>ransaction shares in Fusion Connect.</w:t>
      </w:r>
      <w:r>
        <w:rPr>
          <w:rStyle w:val="FootnoteReference"/>
          <w:szCs w:val="22"/>
        </w:rPr>
        <w:footnoteReference w:id="21"/>
      </w:r>
      <w:r w:rsidR="000D0B04">
        <w:rPr>
          <w:szCs w:val="22"/>
        </w:rPr>
        <w:t xml:space="preserve">  </w:t>
      </w:r>
    </w:p>
    <w:p w:rsidR="00915766" w:rsidP="004F44F5" w14:paraId="3C66D8C0" w14:textId="76A99F26">
      <w:pPr>
        <w:autoSpaceDE w:val="0"/>
        <w:autoSpaceDN w:val="0"/>
        <w:adjustRightInd w:val="0"/>
        <w:spacing w:after="120"/>
        <w:ind w:firstLine="720"/>
        <w:rPr>
          <w:bCs/>
          <w:szCs w:val="22"/>
        </w:rPr>
      </w:pPr>
      <w:r>
        <w:rPr>
          <w:bCs/>
          <w:szCs w:val="22"/>
        </w:rPr>
        <w:t xml:space="preserve"> </w:t>
      </w:r>
      <w:r w:rsidR="00CC1B5C">
        <w:rPr>
          <w:bCs/>
          <w:szCs w:val="22"/>
        </w:rPr>
        <w:t xml:space="preserve">Applicants contend that the proposed transaction will serve the public interest, </w:t>
      </w:r>
      <w:r w:rsidR="00636C9F">
        <w:rPr>
          <w:bCs/>
          <w:szCs w:val="22"/>
        </w:rPr>
        <w:t>convenience</w:t>
      </w:r>
      <w:r w:rsidR="00CC1B5C">
        <w:rPr>
          <w:bCs/>
          <w:szCs w:val="22"/>
        </w:rPr>
        <w:t xml:space="preserve"> </w:t>
      </w:r>
      <w:r w:rsidR="00D96CB9">
        <w:rPr>
          <w:bCs/>
          <w:szCs w:val="22"/>
        </w:rPr>
        <w:t xml:space="preserve"> </w:t>
      </w:r>
      <w:r w:rsidR="00CC1B5C">
        <w:rPr>
          <w:bCs/>
          <w:szCs w:val="22"/>
        </w:rPr>
        <w:t>and necessity.</w:t>
      </w:r>
      <w:r>
        <w:rPr>
          <w:rStyle w:val="FootnoteReference"/>
          <w:bCs/>
          <w:szCs w:val="22"/>
        </w:rPr>
        <w:footnoteReference w:id="22"/>
      </w:r>
      <w:r w:rsidR="00A71ECC">
        <w:rPr>
          <w:bCs/>
          <w:szCs w:val="22"/>
        </w:rPr>
        <w:t xml:space="preserve">  </w:t>
      </w:r>
      <w:r w:rsidR="00CF6C49">
        <w:rPr>
          <w:bCs/>
          <w:szCs w:val="22"/>
        </w:rPr>
        <w:t>They</w:t>
      </w:r>
      <w:r w:rsidR="00817E69">
        <w:rPr>
          <w:bCs/>
          <w:szCs w:val="22"/>
        </w:rPr>
        <w:t xml:space="preserve"> assert that, post-consummation, the Fusion Licensees will continue to “provide a comprehensive suite of advanced solutions to existing and future customers, without diminishment or interruption.”</w:t>
      </w:r>
      <w:r>
        <w:rPr>
          <w:rStyle w:val="FootnoteReference"/>
          <w:bCs/>
          <w:szCs w:val="22"/>
        </w:rPr>
        <w:footnoteReference w:id="23"/>
      </w:r>
      <w:r w:rsidR="00511E46">
        <w:rPr>
          <w:bCs/>
          <w:szCs w:val="22"/>
        </w:rPr>
        <w:t xml:space="preserve"> </w:t>
      </w:r>
      <w:r w:rsidR="00817E69">
        <w:rPr>
          <w:bCs/>
          <w:szCs w:val="22"/>
        </w:rPr>
        <w:t xml:space="preserve"> </w:t>
      </w:r>
      <w:r w:rsidR="00CF6C49">
        <w:rPr>
          <w:bCs/>
          <w:szCs w:val="22"/>
        </w:rPr>
        <w:t>They maintain</w:t>
      </w:r>
      <w:r w:rsidR="00817E69">
        <w:rPr>
          <w:bCs/>
          <w:szCs w:val="22"/>
        </w:rPr>
        <w:t xml:space="preserve"> that the </w:t>
      </w:r>
      <w:r w:rsidR="00644794">
        <w:rPr>
          <w:bCs/>
          <w:szCs w:val="22"/>
        </w:rPr>
        <w:t xml:space="preserve">proposed </w:t>
      </w:r>
      <w:r w:rsidR="00817E69">
        <w:rPr>
          <w:bCs/>
          <w:szCs w:val="22"/>
        </w:rPr>
        <w:t xml:space="preserve">transaction will </w:t>
      </w:r>
      <w:r w:rsidR="00CF6C49">
        <w:rPr>
          <w:bCs/>
          <w:szCs w:val="22"/>
        </w:rPr>
        <w:t xml:space="preserve">not raise </w:t>
      </w:r>
      <w:r w:rsidR="00260037">
        <w:rPr>
          <w:bCs/>
          <w:szCs w:val="22"/>
        </w:rPr>
        <w:t>anticompetitive concerns</w:t>
      </w:r>
      <w:r w:rsidR="00CF6C49">
        <w:rPr>
          <w:bCs/>
          <w:szCs w:val="22"/>
        </w:rPr>
        <w:t>.</w:t>
      </w:r>
      <w:r>
        <w:rPr>
          <w:rStyle w:val="FootnoteReference"/>
          <w:szCs w:val="22"/>
        </w:rPr>
        <w:footnoteReference w:id="24"/>
      </w:r>
    </w:p>
    <w:p w:rsidR="000112AB" w:rsidRPr="000112AB" w:rsidP="000112AB" w14:paraId="6BFA56EE" w14:textId="7E6412F0">
      <w:pPr>
        <w:autoSpaceDE w:val="0"/>
        <w:autoSpaceDN w:val="0"/>
        <w:adjustRightInd w:val="0"/>
        <w:spacing w:after="120"/>
        <w:ind w:firstLine="720"/>
        <w:rPr>
          <w:bCs/>
          <w:kern w:val="28"/>
        </w:rPr>
      </w:pPr>
      <w:r w:rsidRPr="000112AB">
        <w:rPr>
          <w:bCs/>
          <w:kern w:val="28"/>
          <w:u w:val="single"/>
        </w:rPr>
        <w:t>Referral to Executive Branch Agencies</w:t>
      </w:r>
      <w:r w:rsidRPr="000112AB">
        <w:rPr>
          <w:bCs/>
          <w:kern w:val="28"/>
        </w:rPr>
        <w:t>.  Through this Public Notice, pursuant to Commission practice, the Application and the associated international application, ITC-T/C-202203</w:t>
      </w:r>
      <w:r>
        <w:rPr>
          <w:bCs/>
          <w:kern w:val="28"/>
        </w:rPr>
        <w:t>17</w:t>
      </w:r>
      <w:r w:rsidRPr="000112AB">
        <w:rPr>
          <w:bCs/>
          <w:kern w:val="28"/>
        </w:rPr>
        <w:t>-0003</w:t>
      </w:r>
      <w:r>
        <w:rPr>
          <w:bCs/>
          <w:kern w:val="28"/>
        </w:rPr>
        <w:t>8</w:t>
      </w:r>
      <w:r w:rsidRPr="000112AB">
        <w:rPr>
          <w:bCs/>
          <w:kern w:val="28"/>
        </w:rPr>
        <w:t xml:space="preserve">, are being referred to the relevant Executive Branch agencies for their views on </w:t>
      </w:r>
      <w:r w:rsidRPr="000112AB">
        <w:rPr>
          <w:bCs/>
          <w:kern w:val="28"/>
        </w:rPr>
        <w:t>any national security, law enforcement, foreign policy, or trade policy concerns related to the foreign ownership of the Applicants.</w:t>
      </w:r>
      <w:r>
        <w:rPr>
          <w:bCs/>
          <w:kern w:val="28"/>
          <w:vertAlign w:val="superscript"/>
        </w:rPr>
        <w:footnoteReference w:id="25"/>
      </w:r>
    </w:p>
    <w:p w:rsidR="0044009A" w:rsidP="000112AB" w14:paraId="64F4CE37" w14:textId="77777777">
      <w:pPr>
        <w:ind w:firstLine="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8F4B15" w:rsidP="00E94F15" w14:paraId="1E97F145" w14:textId="0A94013E">
      <w:pPr>
        <w:ind w:left="720"/>
        <w:rPr>
          <w:szCs w:val="22"/>
        </w:rPr>
      </w:pPr>
      <w:r>
        <w:rPr>
          <w:szCs w:val="22"/>
        </w:rPr>
        <w:t>Fusion Connect</w:t>
      </w:r>
      <w:r w:rsidR="0014781B">
        <w:rPr>
          <w:szCs w:val="22"/>
        </w:rPr>
        <w:t>, Inc.</w:t>
      </w:r>
      <w:r>
        <w:rPr>
          <w:szCs w:val="22"/>
        </w:rPr>
        <w:t xml:space="preserve"> and its </w:t>
      </w:r>
      <w:r w:rsidR="006E490A">
        <w:rPr>
          <w:szCs w:val="22"/>
        </w:rPr>
        <w:t>W</w:t>
      </w:r>
      <w:r w:rsidR="006C3AF2">
        <w:rPr>
          <w:szCs w:val="22"/>
        </w:rPr>
        <w:t>holly</w:t>
      </w:r>
      <w:r w:rsidR="00375254">
        <w:rPr>
          <w:szCs w:val="22"/>
        </w:rPr>
        <w:t>-</w:t>
      </w:r>
      <w:r w:rsidR="006E490A">
        <w:rPr>
          <w:szCs w:val="22"/>
        </w:rPr>
        <w:t>O</w:t>
      </w:r>
      <w:r w:rsidR="006C3AF2">
        <w:rPr>
          <w:szCs w:val="22"/>
        </w:rPr>
        <w:t>wned</w:t>
      </w:r>
      <w:r>
        <w:rPr>
          <w:szCs w:val="22"/>
        </w:rPr>
        <w:t xml:space="preserve"> </w:t>
      </w:r>
      <w:r w:rsidR="006E490A">
        <w:rPr>
          <w:szCs w:val="22"/>
        </w:rPr>
        <w:t>S</w:t>
      </w:r>
      <w:r>
        <w:rPr>
          <w:szCs w:val="22"/>
        </w:rPr>
        <w:t>ubsidiaries to The North Haven Entities</w:t>
      </w:r>
      <w:r w:rsidR="0039331A">
        <w:rPr>
          <w:szCs w:val="22"/>
        </w:rPr>
        <w:t>,</w:t>
      </w:r>
      <w:r w:rsidR="00E94F15">
        <w:rPr>
          <w:szCs w:val="22"/>
        </w:rPr>
        <w:t xml:space="preserve"> </w:t>
      </w:r>
    </w:p>
    <w:p w:rsidR="00AD440B" w:rsidRPr="00AD440B" w:rsidP="00E94F15" w14:paraId="460F9D03" w14:textId="742AE482">
      <w:pPr>
        <w:ind w:left="720"/>
        <w:rPr>
          <w:szCs w:val="22"/>
        </w:rPr>
      </w:pPr>
      <w:r w:rsidRPr="00AD440B">
        <w:rPr>
          <w:szCs w:val="22"/>
        </w:rPr>
        <w:t>WC Docket No. 2</w:t>
      </w:r>
      <w:r w:rsidR="00554D90">
        <w:rPr>
          <w:szCs w:val="22"/>
        </w:rPr>
        <w:t>2</w:t>
      </w:r>
      <w:r w:rsidRPr="00AD440B">
        <w:rPr>
          <w:szCs w:val="22"/>
        </w:rPr>
        <w:t>-</w:t>
      </w:r>
      <w:r w:rsidR="002E5D8A">
        <w:rPr>
          <w:szCs w:val="22"/>
        </w:rPr>
        <w:t>128</w:t>
      </w:r>
      <w:r w:rsidRPr="00AD440B">
        <w:rPr>
          <w:szCs w:val="22"/>
        </w:rPr>
        <w:t xml:space="preserve"> (filed </w:t>
      </w:r>
      <w:r w:rsidR="002E5D8A">
        <w:rPr>
          <w:szCs w:val="22"/>
        </w:rPr>
        <w:t>Mar</w:t>
      </w:r>
      <w:r w:rsidRPr="00AD440B">
        <w:rPr>
          <w:szCs w:val="22"/>
        </w:rPr>
        <w:t xml:space="preserve">. </w:t>
      </w:r>
      <w:r w:rsidR="002E5D8A">
        <w:rPr>
          <w:szCs w:val="22"/>
        </w:rPr>
        <w:t>17</w:t>
      </w:r>
      <w:r w:rsidRPr="00AD440B">
        <w:rPr>
          <w:szCs w:val="22"/>
        </w:rPr>
        <w:t>, 202</w:t>
      </w:r>
      <w:r w:rsidR="00CF6C49">
        <w:rPr>
          <w:szCs w:val="22"/>
        </w:rPr>
        <w:t>2</w:t>
      </w:r>
      <w:r w:rsidRPr="00AD440B">
        <w:rPr>
          <w:szCs w:val="22"/>
        </w:rPr>
        <w:t>).</w:t>
      </w:r>
    </w:p>
    <w:p w:rsidR="00AD440B" w:rsidRPr="00AD440B" w:rsidP="00AD440B" w14:paraId="600757BA" w14:textId="77777777">
      <w:pPr>
        <w:widowControl w:val="0"/>
        <w:rPr>
          <w:snapToGrid w:val="0"/>
          <w:kern w:val="28"/>
          <w:szCs w:val="22"/>
        </w:rPr>
      </w:pPr>
    </w:p>
    <w:p w:rsidR="003D0DB4" w:rsidRPr="008051B2" w:rsidP="003D0DB4" w14:paraId="58CF718E" w14:textId="77777777">
      <w:pPr>
        <w:autoSpaceDE w:val="0"/>
        <w:autoSpaceDN w:val="0"/>
        <w:adjustRightInd w:val="0"/>
        <w:rPr>
          <w:color w:val="000000"/>
          <w:szCs w:val="22"/>
        </w:rPr>
      </w:pPr>
      <w:r w:rsidRPr="008051B2">
        <w:rPr>
          <w:b/>
          <w:color w:val="000000"/>
          <w:szCs w:val="22"/>
          <w:u w:val="single"/>
        </w:rPr>
        <w:t>GENERAL INFORMATION</w:t>
      </w:r>
    </w:p>
    <w:p w:rsidR="003D0DB4" w:rsidRPr="008051B2" w:rsidP="003D0DB4" w14:paraId="294449B3" w14:textId="77777777">
      <w:pPr>
        <w:autoSpaceDE w:val="0"/>
        <w:autoSpaceDN w:val="0"/>
        <w:adjustRightInd w:val="0"/>
        <w:rPr>
          <w:color w:val="000000"/>
          <w:szCs w:val="22"/>
        </w:rPr>
      </w:pPr>
    </w:p>
    <w:p w:rsidR="003D0DB4" w:rsidRPr="008051B2" w:rsidP="003D0DB4" w14:paraId="3BCC2E32"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D0DB4" w:rsidRPr="008051B2" w:rsidP="003D0DB4" w14:paraId="231509A9" w14:textId="0A2C30B4">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April </w:t>
      </w:r>
      <w:r w:rsidR="0015163D">
        <w:rPr>
          <w:b/>
          <w:color w:val="000000"/>
          <w:szCs w:val="22"/>
        </w:rPr>
        <w:t>21</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April </w:t>
      </w:r>
      <w:r w:rsidR="0015163D">
        <w:rPr>
          <w:b/>
          <w:color w:val="000000"/>
          <w:szCs w:val="22"/>
        </w:rPr>
        <w:t>28</w:t>
      </w:r>
      <w:r w:rsidRPr="008051B2">
        <w:rPr>
          <w:b/>
          <w:color w:val="000000"/>
          <w:szCs w:val="22"/>
        </w:rPr>
        <w:t>, 2022</w:t>
      </w:r>
      <w:r w:rsidRPr="008051B2">
        <w:rPr>
          <w:color w:val="000000"/>
          <w:szCs w:val="22"/>
        </w:rPr>
        <w:t>.  Comments may be filed using the Commission’s Electronic Comment Filing System (ECFS) or by paper.  </w:t>
      </w:r>
    </w:p>
    <w:p w:rsidR="003D0DB4" w:rsidRPr="008051B2" w:rsidP="003D0DB4" w14:paraId="79205588"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3D0DB4" w:rsidRPr="008051B2" w:rsidP="003D0DB4" w14:paraId="687E4B00"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D0DB4" w:rsidRPr="008051B2" w:rsidP="003D0DB4" w14:paraId="50101DEF"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26"/>
      </w:r>
      <w:r w:rsidRPr="008051B2">
        <w:rPr>
          <w:color w:val="000000"/>
          <w:szCs w:val="22"/>
        </w:rPr>
        <w:t xml:space="preserve">  All filings must be addressed to the Commission’s Secretary, Office of the Secretary, Federal Communications Commission.</w:t>
      </w:r>
    </w:p>
    <w:p w:rsidR="003D0DB4" w:rsidRPr="008051B2" w:rsidP="003D0DB4" w14:paraId="155938FC"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3D0DB4" w:rsidRPr="008051B2" w:rsidP="003D0DB4" w14:paraId="1AEBE940"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550762" w:rsidP="003D0DB4" w14:paraId="13D777E5" w14:textId="77777777">
      <w:pPr>
        <w:autoSpaceDE w:val="0"/>
        <w:autoSpaceDN w:val="0"/>
        <w:adjustRightInd w:val="0"/>
        <w:spacing w:after="120"/>
        <w:ind w:firstLine="720"/>
        <w:rPr>
          <w:b/>
          <w:color w:val="000000"/>
          <w:szCs w:val="22"/>
        </w:rPr>
      </w:pPr>
    </w:p>
    <w:p w:rsidR="00E620A8" w:rsidP="003D0DB4" w14:paraId="57C8A3F0" w14:textId="77777777">
      <w:pPr>
        <w:autoSpaceDE w:val="0"/>
        <w:autoSpaceDN w:val="0"/>
        <w:adjustRightInd w:val="0"/>
        <w:spacing w:after="120"/>
        <w:ind w:firstLine="720"/>
        <w:rPr>
          <w:b/>
          <w:color w:val="000000"/>
          <w:szCs w:val="22"/>
        </w:rPr>
      </w:pPr>
    </w:p>
    <w:p w:rsidR="003D0DB4" w:rsidRPr="008051B2" w:rsidP="003D0DB4" w14:paraId="675FFD96" w14:textId="155ACF1F">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550762" w:rsidP="003D0DB4" w14:paraId="652DDC8D" w14:textId="77777777">
      <w:pPr>
        <w:numPr>
          <w:ilvl w:val="0"/>
          <w:numId w:val="18"/>
        </w:numPr>
        <w:autoSpaceDE w:val="0"/>
        <w:autoSpaceDN w:val="0"/>
        <w:adjustRightInd w:val="0"/>
        <w:spacing w:after="120"/>
        <w:rPr>
          <w:color w:val="000000"/>
          <w:szCs w:val="22"/>
        </w:rPr>
      </w:pPr>
      <w:r>
        <w:rPr>
          <w:color w:val="000000"/>
          <w:szCs w:val="22"/>
        </w:rPr>
        <w:t>Dennis Johnson</w:t>
      </w:r>
      <w:r w:rsidRPr="008051B2">
        <w:rPr>
          <w:color w:val="000000"/>
          <w:szCs w:val="22"/>
        </w:rPr>
        <w:t xml:space="preserve">, Competition Policy Division, Wireline Competition Bureau, </w:t>
      </w:r>
      <w:hyperlink r:id="rId10" w:history="1">
        <w:r w:rsidRPr="00467BA2">
          <w:rPr>
            <w:rStyle w:val="Hyperlink"/>
            <w:szCs w:val="22"/>
          </w:rPr>
          <w:t>dennis.johnson@fcc.gov</w:t>
        </w:r>
      </w:hyperlink>
      <w:r w:rsidRPr="008051B2">
        <w:rPr>
          <w:color w:val="000000"/>
          <w:szCs w:val="22"/>
        </w:rPr>
        <w:t xml:space="preserve">; </w:t>
      </w:r>
    </w:p>
    <w:p w:rsidR="003D0DB4" w:rsidRPr="008051B2" w:rsidP="003D0DB4" w14:paraId="68904C51" w14:textId="0D934BC3">
      <w:pPr>
        <w:numPr>
          <w:ilvl w:val="0"/>
          <w:numId w:val="18"/>
        </w:numPr>
        <w:autoSpaceDE w:val="0"/>
        <w:autoSpaceDN w:val="0"/>
        <w:adjustRightInd w:val="0"/>
        <w:spacing w:after="120"/>
        <w:rPr>
          <w:color w:val="000000"/>
          <w:szCs w:val="22"/>
        </w:rPr>
      </w:pPr>
      <w:r>
        <w:rPr>
          <w:szCs w:val="22"/>
        </w:rPr>
        <w:t>David Krech or Sumita Mukhoty</w:t>
      </w:r>
      <w:r w:rsidRPr="008014D0">
        <w:rPr>
          <w:szCs w:val="22"/>
        </w:rPr>
        <w:t>, Telecommunications and Analysis Division, International Bureau,</w:t>
      </w:r>
      <w:r>
        <w:rPr>
          <w:szCs w:val="22"/>
        </w:rPr>
        <w:t xml:space="preserve"> </w:t>
      </w:r>
      <w:hyperlink r:id="rId11" w:history="1">
        <w:r w:rsidRPr="00A15F39">
          <w:rPr>
            <w:rStyle w:val="Hyperlink"/>
            <w:szCs w:val="22"/>
          </w:rPr>
          <w:t>david.krech@fcc.gov</w:t>
        </w:r>
      </w:hyperlink>
      <w:r>
        <w:rPr>
          <w:szCs w:val="22"/>
        </w:rPr>
        <w:t xml:space="preserve">; </w:t>
      </w:r>
      <w:r w:rsidRPr="008014D0">
        <w:rPr>
          <w:szCs w:val="22"/>
        </w:rPr>
        <w:t xml:space="preserve"> </w:t>
      </w:r>
      <w:hyperlink r:id="rId12" w:history="1">
        <w:r w:rsidRPr="00805A48">
          <w:rPr>
            <w:rStyle w:val="Hyperlink"/>
            <w:szCs w:val="22"/>
          </w:rPr>
          <w:t>sumita.mukhoty</w:t>
        </w:r>
        <w:r w:rsidRPr="008014D0">
          <w:rPr>
            <w:rStyle w:val="Hyperlink"/>
            <w:szCs w:val="22"/>
          </w:rPr>
          <w:t>@fcc.gov</w:t>
        </w:r>
      </w:hyperlink>
      <w:r w:rsidRPr="008014D0">
        <w:rPr>
          <w:szCs w:val="22"/>
        </w:rPr>
        <w:t>;</w:t>
      </w:r>
      <w:r>
        <w:rPr>
          <w:szCs w:val="22"/>
        </w:rPr>
        <w:t xml:space="preserve"> </w:t>
      </w:r>
      <w:r w:rsidRPr="008051B2">
        <w:rPr>
          <w:color w:val="000000"/>
          <w:szCs w:val="22"/>
        </w:rPr>
        <w:t>and</w:t>
      </w:r>
    </w:p>
    <w:p w:rsidR="003D0DB4" w:rsidRPr="008051B2" w:rsidP="003D0DB4" w14:paraId="02CC9DB1" w14:textId="46C9971D">
      <w:pPr>
        <w:numPr>
          <w:ilvl w:val="0"/>
          <w:numId w:val="18"/>
        </w:numPr>
        <w:autoSpaceDE w:val="0"/>
        <w:autoSpaceDN w:val="0"/>
        <w:adjustRightInd w:val="0"/>
        <w:spacing w:after="120"/>
        <w:rPr>
          <w:color w:val="000000"/>
          <w:szCs w:val="22"/>
        </w:rPr>
      </w:pPr>
      <w:r w:rsidRPr="008051B2">
        <w:rPr>
          <w:color w:val="000000"/>
          <w:szCs w:val="22"/>
        </w:rPr>
        <w:t xml:space="preserve">Jim Bird, Office of General Counsel, </w:t>
      </w:r>
      <w:hyperlink r:id="rId13" w:history="1">
        <w:r w:rsidRPr="008051B2">
          <w:rPr>
            <w:rStyle w:val="Hyperlink"/>
            <w:szCs w:val="22"/>
          </w:rPr>
          <w:t>jim.bird@fcc.gov</w:t>
        </w:r>
      </w:hyperlink>
      <w:r w:rsidR="009E5B12">
        <w:rPr>
          <w:rStyle w:val="Hyperlink"/>
          <w:szCs w:val="22"/>
        </w:rPr>
        <w:t>.</w:t>
      </w:r>
    </w:p>
    <w:p w:rsidR="003D0DB4" w:rsidRPr="008051B2" w:rsidP="003D0DB4" w14:paraId="7ECA2FBE"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3D0DB4" w:rsidRPr="008051B2" w:rsidP="003D0DB4" w14:paraId="2D967ED1"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27"/>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D0DB4" w:rsidRPr="008051B2" w:rsidP="003D0DB4" w14:paraId="018BECF9" w14:textId="3DD5CF24">
      <w:pPr>
        <w:autoSpaceDE w:val="0"/>
        <w:autoSpaceDN w:val="0"/>
        <w:adjustRightInd w:val="0"/>
        <w:spacing w:after="120"/>
        <w:ind w:firstLine="720"/>
        <w:rPr>
          <w:color w:val="000000"/>
          <w:szCs w:val="22"/>
        </w:rPr>
      </w:pPr>
      <w:r w:rsidRPr="008051B2">
        <w:rPr>
          <w:color w:val="000000"/>
          <w:szCs w:val="22"/>
        </w:rPr>
        <w:t xml:space="preserve">For further information, please contact </w:t>
      </w:r>
      <w:r>
        <w:rPr>
          <w:color w:val="000000"/>
          <w:szCs w:val="22"/>
        </w:rPr>
        <w:t>Dennis Johnson</w:t>
      </w:r>
      <w:r w:rsidRPr="008051B2">
        <w:rPr>
          <w:color w:val="000000"/>
          <w:szCs w:val="22"/>
        </w:rPr>
        <w:t xml:space="preserve"> at (202) 418-</w:t>
      </w:r>
      <w:r>
        <w:rPr>
          <w:color w:val="000000"/>
          <w:szCs w:val="22"/>
        </w:rPr>
        <w:t>0809</w:t>
      </w:r>
      <w:r w:rsidRPr="008051B2">
        <w:rPr>
          <w:color w:val="000000"/>
          <w:szCs w:val="22"/>
        </w:rPr>
        <w:t>.</w:t>
      </w:r>
    </w:p>
    <w:p w:rsidR="003D0DB4" w:rsidRPr="008051B2" w:rsidP="003D0DB4" w14:paraId="700EC626" w14:textId="77777777">
      <w:pPr>
        <w:autoSpaceDE w:val="0"/>
        <w:autoSpaceDN w:val="0"/>
        <w:adjustRightInd w:val="0"/>
        <w:spacing w:after="120"/>
        <w:jc w:val="center"/>
        <w:rPr>
          <w:color w:val="000000"/>
          <w:szCs w:val="22"/>
        </w:rPr>
      </w:pPr>
      <w:r w:rsidRPr="008051B2">
        <w:rPr>
          <w:b/>
          <w:color w:val="000000"/>
          <w:szCs w:val="22"/>
        </w:rPr>
        <w:t>-FCC-</w:t>
      </w:r>
    </w:p>
    <w:bookmarkEnd w:id="1"/>
    <w:bookmarkEnd w:id="2"/>
    <w:p w:rsidR="00524D79" w14:paraId="0CBEF836"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0152" w14:paraId="53A4957A" w14:textId="77777777">
      <w:r>
        <w:separator/>
      </w:r>
    </w:p>
  </w:footnote>
  <w:footnote w:type="continuationSeparator" w:id="1">
    <w:p w:rsidR="00730152" w14:paraId="6CF900EB" w14:textId="77777777">
      <w:r>
        <w:continuationSeparator/>
      </w:r>
    </w:p>
  </w:footnote>
  <w:footnote w:type="continuationNotice" w:id="2">
    <w:p w:rsidR="00730152" w14:paraId="04808020" w14:textId="77777777"/>
  </w:footnote>
  <w:footnote w:id="3">
    <w:p w:rsidR="00414051" w:rsidRPr="00C56777" w:rsidP="00414051" w14:paraId="3BEAC383" w14:textId="0E3DDB30">
      <w:pPr>
        <w:spacing w:after="120"/>
        <w:rPr>
          <w:bCs/>
          <w:sz w:val="20"/>
        </w:rPr>
      </w:pPr>
      <w:r w:rsidRPr="00C56777">
        <w:rPr>
          <w:rStyle w:val="FootnoteReference"/>
          <w:sz w:val="20"/>
        </w:rPr>
        <w:footnoteRef/>
      </w:r>
      <w:r w:rsidRPr="00C56777">
        <w:rPr>
          <w:sz w:val="20"/>
        </w:rPr>
        <w:t xml:space="preserve"> </w:t>
      </w:r>
      <w:r w:rsidRPr="00C56777">
        <w:rPr>
          <w:i/>
          <w:sz w:val="20"/>
        </w:rPr>
        <w:t>See</w:t>
      </w:r>
      <w:r w:rsidRPr="00C56777">
        <w:rPr>
          <w:sz w:val="20"/>
        </w:rPr>
        <w:t xml:space="preserve"> 47 U.S.C. § 214; 47 CFR §§ 63.03-04.  </w:t>
      </w:r>
      <w:r w:rsidRPr="00C56777" w:rsidR="00584018">
        <w:rPr>
          <w:sz w:val="20"/>
        </w:rPr>
        <w:t>Application for Consent to a Transfer of Control of Fusion Connect, Inc.</w:t>
      </w:r>
      <w:r w:rsidRPr="00C56777" w:rsidR="00F37AC1">
        <w:rPr>
          <w:sz w:val="20"/>
        </w:rPr>
        <w:t xml:space="preserve"> to the North Haven Entities</w:t>
      </w:r>
      <w:r w:rsidRPr="00C56777" w:rsidR="00584018">
        <w:rPr>
          <w:sz w:val="20"/>
        </w:rPr>
        <w:t>, WC Docket No. 22-128 (filed Mar. 17, 2022) (Application)</w:t>
      </w:r>
      <w:r w:rsidRPr="00C56777" w:rsidR="00864AA8">
        <w:rPr>
          <w:sz w:val="20"/>
        </w:rPr>
        <w:t xml:space="preserve"> </w:t>
      </w:r>
      <w:hyperlink r:id="rId1" w:history="1">
        <w:r w:rsidRPr="00C56777" w:rsidR="00864AA8">
          <w:rPr>
            <w:rStyle w:val="Hyperlink"/>
            <w:sz w:val="20"/>
          </w:rPr>
          <w:t>https://ecfsapi.fcc.gov/file/10317241733338/Fusion%20Connect%20Section%20214%20TOC%20Application%20.pdf</w:t>
        </w:r>
      </w:hyperlink>
      <w:r w:rsidRPr="00C56777" w:rsidR="00584018">
        <w:rPr>
          <w:sz w:val="20"/>
        </w:rPr>
        <w:t xml:space="preserve">.  </w:t>
      </w:r>
      <w:r w:rsidRPr="00C56777" w:rsidR="0002124C">
        <w:rPr>
          <w:bCs/>
          <w:sz w:val="20"/>
        </w:rPr>
        <w:t xml:space="preserve">Applicants filed a supplement to their application on March 29, 2022.  Letter from Edward A. Yorkgitis, Jr. and Winafred R. Brantl, Counsel for Fusion Connect, Inc., </w:t>
      </w:r>
      <w:r w:rsidR="0002124C">
        <w:rPr>
          <w:bCs/>
          <w:sz w:val="20"/>
        </w:rPr>
        <w:t>James P. Prenetta, Jr., Executive Vice President and General Counsel, Fusion Connect</w:t>
      </w:r>
      <w:r w:rsidRPr="00C56777" w:rsidR="0002124C">
        <w:rPr>
          <w:bCs/>
          <w:sz w:val="20"/>
        </w:rPr>
        <w:t xml:space="preserve">, </w:t>
      </w:r>
      <w:r w:rsidR="0002124C">
        <w:rPr>
          <w:bCs/>
          <w:sz w:val="20"/>
        </w:rPr>
        <w:t xml:space="preserve">Inc., and Debra Abramovitz, Executive Director, North Haven Credit Partners II L.P., </w:t>
      </w:r>
      <w:r w:rsidRPr="002A74DE" w:rsidR="0002124C">
        <w:rPr>
          <w:bCs/>
          <w:i/>
          <w:iCs/>
          <w:sz w:val="20"/>
        </w:rPr>
        <w:t>et al</w:t>
      </w:r>
      <w:r w:rsidR="00B14EC1">
        <w:rPr>
          <w:bCs/>
          <w:sz w:val="20"/>
        </w:rPr>
        <w:t>,</w:t>
      </w:r>
      <w:r w:rsidR="0002124C">
        <w:rPr>
          <w:bCs/>
          <w:sz w:val="20"/>
        </w:rPr>
        <w:t xml:space="preserve"> </w:t>
      </w:r>
      <w:r w:rsidRPr="00C56777" w:rsidR="0002124C">
        <w:rPr>
          <w:bCs/>
          <w:sz w:val="20"/>
        </w:rPr>
        <w:t xml:space="preserve">to Marlene H. Dortch, Secretary, FCC, WC Docket No. </w:t>
      </w:r>
      <w:r w:rsidR="00B14EC1">
        <w:rPr>
          <w:bCs/>
          <w:sz w:val="20"/>
        </w:rPr>
        <w:t>22-128</w:t>
      </w:r>
      <w:r w:rsidRPr="00C56777" w:rsidR="0002124C">
        <w:rPr>
          <w:bCs/>
          <w:sz w:val="20"/>
        </w:rPr>
        <w:t xml:space="preserve"> (filed </w:t>
      </w:r>
      <w:r w:rsidR="00B14EC1">
        <w:rPr>
          <w:bCs/>
          <w:sz w:val="20"/>
        </w:rPr>
        <w:t>Mar. 28</w:t>
      </w:r>
      <w:r w:rsidRPr="00C56777" w:rsidR="0002124C">
        <w:rPr>
          <w:bCs/>
          <w:sz w:val="20"/>
        </w:rPr>
        <w:t>, 20</w:t>
      </w:r>
      <w:r w:rsidR="00B14EC1">
        <w:rPr>
          <w:bCs/>
          <w:sz w:val="20"/>
        </w:rPr>
        <w:t>22</w:t>
      </w:r>
      <w:r w:rsidRPr="00C56777" w:rsidR="0002124C">
        <w:rPr>
          <w:bCs/>
          <w:sz w:val="20"/>
        </w:rPr>
        <w:t>)</w:t>
      </w:r>
      <w:r w:rsidR="00B14EC1">
        <w:rPr>
          <w:bCs/>
          <w:sz w:val="20"/>
        </w:rPr>
        <w:t xml:space="preserve">.  </w:t>
      </w:r>
      <w:r w:rsidRPr="00C56777">
        <w:rPr>
          <w:sz w:val="20"/>
        </w:rPr>
        <w:t xml:space="preserve">Applicants also filed applications for the transfer of authorizations associated with international services. </w:t>
      </w:r>
      <w:r w:rsidRPr="00C56777" w:rsidR="00584018">
        <w:rPr>
          <w:sz w:val="20"/>
        </w:rPr>
        <w:t xml:space="preserve"> </w:t>
      </w:r>
      <w:r w:rsidRPr="00C56777">
        <w:rPr>
          <w:sz w:val="20"/>
        </w:rPr>
        <w:t>Any action on this domestic section 214 application is without prejudice to Commission action on other related, pending applications</w:t>
      </w:r>
      <w:r w:rsidRPr="00C56777">
        <w:rPr>
          <w:bCs/>
          <w:sz w:val="20"/>
        </w:rPr>
        <w:t xml:space="preserve">.  </w:t>
      </w:r>
    </w:p>
  </w:footnote>
  <w:footnote w:id="4">
    <w:p w:rsidR="00CB49DA" w:rsidRPr="00893C1A" w:rsidP="00893C1A" w14:paraId="6A97A2E8" w14:textId="6B6ECD5A">
      <w:pPr>
        <w:spacing w:after="120"/>
        <w:rPr>
          <w:sz w:val="20"/>
        </w:rPr>
      </w:pPr>
      <w:r w:rsidRPr="0004570D">
        <w:rPr>
          <w:rStyle w:val="FootnoteReference"/>
          <w:sz w:val="20"/>
        </w:rPr>
        <w:footnoteRef/>
      </w:r>
      <w:r w:rsidRPr="0004570D">
        <w:rPr>
          <w:sz w:val="20"/>
        </w:rPr>
        <w:t xml:space="preserve"> The Fusion Licensees collectively refer to Fusion Connect; Fusion LLC (Fusion LLC); Fusion Cloud Services, LLC (Fusion Cloud); Fusion Communications, LLC (Fusion Communications); and Fusion Telecom of Texas Ltd., L.L.P. (Fusion Telecom).</w:t>
      </w:r>
      <w:r w:rsidR="00DB4F5F">
        <w:rPr>
          <w:sz w:val="20"/>
        </w:rPr>
        <w:t xml:space="preserve">  Fusion </w:t>
      </w:r>
      <w:r w:rsidR="00B14EC1">
        <w:rPr>
          <w:sz w:val="20"/>
        </w:rPr>
        <w:t xml:space="preserve">Connect </w:t>
      </w:r>
      <w:r w:rsidR="00DB4F5F">
        <w:rPr>
          <w:sz w:val="20"/>
        </w:rPr>
        <w:t xml:space="preserve">was a party to a prior domestic </w:t>
      </w:r>
      <w:r w:rsidR="00D713D2">
        <w:rPr>
          <w:sz w:val="20"/>
        </w:rPr>
        <w:t xml:space="preserve">section </w:t>
      </w:r>
      <w:r w:rsidR="00DB4F5F">
        <w:rPr>
          <w:sz w:val="20"/>
        </w:rPr>
        <w:t xml:space="preserve">214 application </w:t>
      </w:r>
      <w:r w:rsidR="00D713D2">
        <w:rPr>
          <w:sz w:val="20"/>
        </w:rPr>
        <w:t xml:space="preserve">that </w:t>
      </w:r>
      <w:r w:rsidR="00DB4F5F">
        <w:rPr>
          <w:sz w:val="20"/>
        </w:rPr>
        <w:t xml:space="preserve">the Bureau granted on February 25, 2021, as a part of </w:t>
      </w:r>
      <w:r w:rsidR="00B14EC1">
        <w:rPr>
          <w:sz w:val="20"/>
        </w:rPr>
        <w:t>its</w:t>
      </w:r>
      <w:r w:rsidR="00DB4F5F">
        <w:rPr>
          <w:sz w:val="20"/>
        </w:rPr>
        <w:t xml:space="preserve"> bankruptcy reorganization plan.  </w:t>
      </w:r>
      <w:r w:rsidRPr="00B14EC1" w:rsidR="002409D1">
        <w:rPr>
          <w:i/>
          <w:iCs/>
          <w:sz w:val="20"/>
        </w:rPr>
        <w:t>Domestic 214 Application Granted for the Transfer of Control of Fusion Connect, Inc. and Subsidiaries</w:t>
      </w:r>
      <w:r w:rsidR="002409D1">
        <w:rPr>
          <w:sz w:val="20"/>
        </w:rPr>
        <w:t xml:space="preserve">, WC Docket No. 20-44, Public Notice, DA 21-235 (WCB 2021).  </w:t>
      </w:r>
      <w:r w:rsidRPr="0004570D" w:rsidR="00164D0F">
        <w:rPr>
          <w:sz w:val="20"/>
        </w:rPr>
        <w:t>The North Haven Entities</w:t>
      </w:r>
      <w:r w:rsidR="00164D0F">
        <w:rPr>
          <w:sz w:val="20"/>
        </w:rPr>
        <w:t>, each a Delaware limited partnership,</w:t>
      </w:r>
      <w:r w:rsidRPr="0004570D" w:rsidR="00164D0F">
        <w:rPr>
          <w:sz w:val="20"/>
        </w:rPr>
        <w:t xml:space="preserve"> are, collectively, North Haven Credit Partners II L.P.  (North Haven II), North Haven Senior Loan Fund L.P. (NH Senior Loan Fund), and North Haven Credit Partners III Holdings L.P. (NH III).  The North Haven Entities are commonly-controlled and the shares they,</w:t>
      </w:r>
      <w:r w:rsidR="00164D0F">
        <w:rPr>
          <w:sz w:val="20"/>
        </w:rPr>
        <w:t xml:space="preserve"> </w:t>
      </w:r>
      <w:r w:rsidRPr="0004570D" w:rsidR="00164D0F">
        <w:rPr>
          <w:sz w:val="20"/>
        </w:rPr>
        <w:t>and other commonly-controlled limited partnership funds</w:t>
      </w:r>
      <w:r w:rsidR="00164D0F">
        <w:rPr>
          <w:sz w:val="20"/>
        </w:rPr>
        <w:t xml:space="preserve"> (</w:t>
      </w:r>
      <w:r w:rsidRPr="0004570D" w:rsidR="00164D0F">
        <w:rPr>
          <w:sz w:val="20"/>
        </w:rPr>
        <w:t>together with the North Haven Entities, referred to as the North Haven Funds</w:t>
      </w:r>
      <w:r w:rsidR="00164D0F">
        <w:rPr>
          <w:sz w:val="20"/>
        </w:rPr>
        <w:t>),</w:t>
      </w:r>
      <w:r w:rsidRPr="0004570D" w:rsidR="00164D0F">
        <w:rPr>
          <w:sz w:val="20"/>
        </w:rPr>
        <w:t xml:space="preserve"> will hold are commonly managed.</w:t>
      </w:r>
      <w:r w:rsidR="00164D0F">
        <w:rPr>
          <w:sz w:val="20"/>
        </w:rPr>
        <w:t xml:space="preserve">  Application at n.1.</w:t>
      </w:r>
      <w:r w:rsidR="00E620A8">
        <w:rPr>
          <w:sz w:val="20"/>
        </w:rPr>
        <w:t xml:space="preserve">  </w:t>
      </w:r>
      <w:r w:rsidR="00893C1A">
        <w:rPr>
          <w:sz w:val="20"/>
        </w:rPr>
        <w:t xml:space="preserve">The complete group of affiliated entities that will have shares in Fusion Connect are referred to as the North Haven Funds.  </w:t>
      </w:r>
      <w:r w:rsidR="00893C1A">
        <w:rPr>
          <w:i/>
          <w:iCs/>
          <w:sz w:val="20"/>
        </w:rPr>
        <w:t>Id</w:t>
      </w:r>
      <w:r w:rsidR="00893C1A">
        <w:rPr>
          <w:sz w:val="20"/>
        </w:rPr>
        <w:t>. at n.7.</w:t>
      </w:r>
    </w:p>
  </w:footnote>
  <w:footnote w:id="5">
    <w:p w:rsidR="005F1E57" w:rsidRPr="005F1E57" w:rsidP="00893C1A" w14:paraId="4AA8CAAA" w14:textId="338460E4">
      <w:pPr>
        <w:spacing w:after="120"/>
        <w:rPr>
          <w:sz w:val="20"/>
        </w:rPr>
      </w:pPr>
      <w:r w:rsidRPr="005F1E57">
        <w:rPr>
          <w:rStyle w:val="FootnoteReference"/>
          <w:sz w:val="20"/>
        </w:rPr>
        <w:footnoteRef/>
      </w:r>
      <w:r w:rsidRPr="005F1E57">
        <w:rPr>
          <w:sz w:val="20"/>
        </w:rPr>
        <w:t xml:space="preserve"> Application at 5.</w:t>
      </w:r>
    </w:p>
  </w:footnote>
  <w:footnote w:id="6">
    <w:p w:rsidR="008965BC" w:rsidRPr="008965BC" w:rsidP="00893C1A" w14:paraId="1D309F44" w14:textId="368B64AD">
      <w:pPr>
        <w:spacing w:after="120"/>
        <w:rPr>
          <w:sz w:val="20"/>
        </w:rPr>
      </w:pPr>
      <w:r w:rsidRPr="008965BC">
        <w:rPr>
          <w:rStyle w:val="FootnoteReference"/>
          <w:sz w:val="20"/>
        </w:rPr>
        <w:footnoteRef/>
      </w:r>
      <w:r w:rsidRPr="008965BC">
        <w:rPr>
          <w:sz w:val="20"/>
        </w:rPr>
        <w:t xml:space="preserve"> </w:t>
      </w:r>
      <w:r w:rsidRPr="008965BC">
        <w:rPr>
          <w:i/>
          <w:iCs/>
          <w:sz w:val="20"/>
        </w:rPr>
        <w:t>Id</w:t>
      </w:r>
      <w:r w:rsidRPr="008965BC">
        <w:rPr>
          <w:sz w:val="20"/>
        </w:rPr>
        <w:t>. at 5-6.</w:t>
      </w:r>
    </w:p>
  </w:footnote>
  <w:footnote w:id="7">
    <w:p w:rsidR="005F1E57" w:rsidRPr="00E00857" w:rsidP="00893C1A" w14:paraId="5C28F6B7" w14:textId="394D8B56">
      <w:pPr>
        <w:spacing w:after="120"/>
        <w:rPr>
          <w:sz w:val="20"/>
        </w:rPr>
      </w:pPr>
      <w:r w:rsidRPr="005F1E57">
        <w:rPr>
          <w:rStyle w:val="FootnoteReference"/>
          <w:sz w:val="20"/>
        </w:rPr>
        <w:footnoteRef/>
      </w:r>
      <w:r w:rsidRPr="005F1E57">
        <w:rPr>
          <w:sz w:val="20"/>
        </w:rPr>
        <w:t xml:space="preserve"> </w:t>
      </w:r>
      <w:r w:rsidRPr="00E00857">
        <w:rPr>
          <w:i/>
          <w:iCs/>
          <w:sz w:val="20"/>
        </w:rPr>
        <w:t>Id</w:t>
      </w:r>
      <w:r w:rsidRPr="00E00857">
        <w:rPr>
          <w:sz w:val="20"/>
        </w:rPr>
        <w:t>. at 1-2.</w:t>
      </w:r>
    </w:p>
  </w:footnote>
  <w:footnote w:id="8">
    <w:p w:rsidR="004F796E" w:rsidRPr="00E00857" w:rsidP="00893C1A" w14:paraId="0BEC24E2" w14:textId="51B20DE4">
      <w:pPr>
        <w:spacing w:after="120"/>
        <w:rPr>
          <w:sz w:val="20"/>
        </w:rPr>
      </w:pPr>
      <w:r w:rsidRPr="00E00857">
        <w:rPr>
          <w:rStyle w:val="FootnoteReference"/>
          <w:sz w:val="20"/>
        </w:rPr>
        <w:footnoteRef/>
      </w:r>
      <w:r w:rsidRPr="00E00857">
        <w:rPr>
          <w:sz w:val="20"/>
        </w:rPr>
        <w:t xml:space="preserve"> </w:t>
      </w:r>
      <w:r w:rsidRPr="00E00857">
        <w:rPr>
          <w:i/>
          <w:iCs/>
          <w:sz w:val="20"/>
        </w:rPr>
        <w:t>Id</w:t>
      </w:r>
      <w:r w:rsidRPr="00E00857">
        <w:rPr>
          <w:sz w:val="20"/>
        </w:rPr>
        <w:t>. at 3</w:t>
      </w:r>
      <w:r w:rsidRPr="00E00857" w:rsidR="00E00857">
        <w:rPr>
          <w:sz w:val="20"/>
        </w:rPr>
        <w:t>, 8</w:t>
      </w:r>
      <w:r w:rsidRPr="00E00857">
        <w:rPr>
          <w:sz w:val="20"/>
        </w:rPr>
        <w:t>.</w:t>
      </w:r>
    </w:p>
  </w:footnote>
  <w:footnote w:id="9">
    <w:p w:rsidR="00375254" w:rsidRPr="00375254" w:rsidP="00893C1A" w14:paraId="60F73504" w14:textId="4591C4E8">
      <w:pPr>
        <w:spacing w:after="120"/>
        <w:rPr>
          <w:sz w:val="20"/>
        </w:rPr>
      </w:pPr>
      <w:r w:rsidRPr="00375254">
        <w:rPr>
          <w:rStyle w:val="FootnoteReference"/>
          <w:sz w:val="20"/>
        </w:rPr>
        <w:footnoteRef/>
      </w:r>
      <w:r w:rsidRPr="00375254">
        <w:rPr>
          <w:sz w:val="20"/>
        </w:rPr>
        <w:t xml:space="preserve"> </w:t>
      </w:r>
      <w:r w:rsidRPr="00375254">
        <w:rPr>
          <w:i/>
          <w:iCs/>
          <w:sz w:val="20"/>
        </w:rPr>
        <w:t>Id</w:t>
      </w:r>
      <w:r w:rsidRPr="00375254">
        <w:rPr>
          <w:sz w:val="20"/>
        </w:rPr>
        <w:t xml:space="preserve">. at </w:t>
      </w:r>
      <w:r w:rsidR="00893C1A">
        <w:rPr>
          <w:sz w:val="20"/>
        </w:rPr>
        <w:t>3</w:t>
      </w:r>
      <w:r w:rsidR="00656DEE">
        <w:rPr>
          <w:sz w:val="20"/>
        </w:rPr>
        <w:t xml:space="preserve"> and Attach. 1 (Identification of Ten Percent or Greater Equity and Voting Interest Holders Post-Transaction) at</w:t>
      </w:r>
      <w:r w:rsidR="00893C1A">
        <w:rPr>
          <w:sz w:val="20"/>
        </w:rPr>
        <w:t xml:space="preserve"> </w:t>
      </w:r>
      <w:r w:rsidR="004F796E">
        <w:rPr>
          <w:sz w:val="20"/>
        </w:rPr>
        <w:t>26-27</w:t>
      </w:r>
      <w:r w:rsidRPr="00375254">
        <w:rPr>
          <w:sz w:val="20"/>
        </w:rPr>
        <w:t>.</w:t>
      </w:r>
      <w:r w:rsidR="00DE64B2">
        <w:rPr>
          <w:sz w:val="20"/>
        </w:rPr>
        <w:t xml:space="preserve">  </w:t>
      </w:r>
    </w:p>
  </w:footnote>
  <w:footnote w:id="10">
    <w:p w:rsidR="00205859" w:rsidRPr="0004570D" w:rsidP="00893C1A" w14:paraId="18DF916B" w14:textId="6F298E0E">
      <w:pPr>
        <w:spacing w:after="120"/>
        <w:rPr>
          <w:sz w:val="20"/>
        </w:rPr>
      </w:pPr>
      <w:r w:rsidRPr="0004570D">
        <w:rPr>
          <w:rStyle w:val="FootnoteReference"/>
          <w:sz w:val="20"/>
        </w:rPr>
        <w:footnoteRef/>
      </w:r>
      <w:r w:rsidRPr="0004570D">
        <w:rPr>
          <w:sz w:val="20"/>
        </w:rPr>
        <w:t xml:space="preserve"> </w:t>
      </w:r>
      <w:r w:rsidRPr="0004570D">
        <w:rPr>
          <w:i/>
          <w:iCs/>
          <w:sz w:val="20"/>
        </w:rPr>
        <w:t>Id</w:t>
      </w:r>
      <w:r w:rsidRPr="0004570D">
        <w:rPr>
          <w:sz w:val="20"/>
        </w:rPr>
        <w:t xml:space="preserve">. at </w:t>
      </w:r>
      <w:r w:rsidR="00656DEE">
        <w:rPr>
          <w:sz w:val="20"/>
        </w:rPr>
        <w:t xml:space="preserve">Attach. 1 at </w:t>
      </w:r>
      <w:r w:rsidRPr="0004570D">
        <w:rPr>
          <w:sz w:val="20"/>
        </w:rPr>
        <w:t>27.</w:t>
      </w:r>
    </w:p>
  </w:footnote>
  <w:footnote w:id="11">
    <w:p w:rsidR="00C67326" w:rsidRPr="004F796E" w:rsidP="00893C1A" w14:paraId="773B1798" w14:textId="0853D81B">
      <w:pPr>
        <w:spacing w:after="120"/>
        <w:rPr>
          <w:sz w:val="20"/>
        </w:rPr>
      </w:pPr>
      <w:r w:rsidRPr="00773ACC">
        <w:rPr>
          <w:rStyle w:val="FootnoteReference"/>
          <w:sz w:val="20"/>
        </w:rPr>
        <w:footnoteRef/>
      </w:r>
      <w:r w:rsidRPr="00773ACC">
        <w:rPr>
          <w:sz w:val="20"/>
        </w:rPr>
        <w:t xml:space="preserve"> </w:t>
      </w:r>
      <w:r w:rsidRPr="00773ACC" w:rsidR="00773ACC">
        <w:rPr>
          <w:i/>
          <w:iCs/>
          <w:sz w:val="20"/>
        </w:rPr>
        <w:t>Id</w:t>
      </w:r>
      <w:r w:rsidRPr="00773ACC" w:rsidR="00773ACC">
        <w:rPr>
          <w:sz w:val="20"/>
        </w:rPr>
        <w:t>. at 6-7</w:t>
      </w:r>
      <w:r w:rsidR="00656DEE">
        <w:rPr>
          <w:sz w:val="20"/>
        </w:rPr>
        <w:t xml:space="preserve"> and Attach. 1 at </w:t>
      </w:r>
      <w:r w:rsidR="004F796E">
        <w:rPr>
          <w:sz w:val="20"/>
        </w:rPr>
        <w:t xml:space="preserve">26-27. </w:t>
      </w:r>
    </w:p>
  </w:footnote>
  <w:footnote w:id="12">
    <w:p w:rsidR="00660C36" w:rsidRPr="00E00857" w:rsidP="00893C1A" w14:paraId="475503C3" w14:textId="23DB9128">
      <w:pPr>
        <w:spacing w:after="120"/>
        <w:rPr>
          <w:sz w:val="20"/>
        </w:rPr>
      </w:pPr>
      <w:r w:rsidRPr="0004570D">
        <w:rPr>
          <w:rStyle w:val="FootnoteReference"/>
          <w:sz w:val="20"/>
        </w:rPr>
        <w:footnoteRef/>
      </w:r>
      <w:r w:rsidRPr="0004570D">
        <w:rPr>
          <w:sz w:val="20"/>
        </w:rPr>
        <w:t xml:space="preserve"> </w:t>
      </w:r>
      <w:r w:rsidRPr="00A27065" w:rsidR="00E00857">
        <w:rPr>
          <w:i/>
          <w:iCs/>
          <w:sz w:val="20"/>
        </w:rPr>
        <w:t>Id</w:t>
      </w:r>
      <w:r w:rsidR="00E00857">
        <w:rPr>
          <w:sz w:val="20"/>
        </w:rPr>
        <w:t xml:space="preserve">. at </w:t>
      </w:r>
      <w:r w:rsidR="00A27065">
        <w:rPr>
          <w:sz w:val="20"/>
        </w:rPr>
        <w:t xml:space="preserve">Attach. 1 at </w:t>
      </w:r>
      <w:r w:rsidR="00E00857">
        <w:rPr>
          <w:sz w:val="20"/>
        </w:rPr>
        <w:t>26-27</w:t>
      </w:r>
      <w:r w:rsidR="00D522AE">
        <w:rPr>
          <w:sz w:val="20"/>
        </w:rPr>
        <w:t xml:space="preserve">.  </w:t>
      </w:r>
      <w:r w:rsidRPr="00E00857">
        <w:rPr>
          <w:sz w:val="20"/>
        </w:rPr>
        <w:t>MS</w:t>
      </w:r>
      <w:r w:rsidRPr="0004570D">
        <w:rPr>
          <w:sz w:val="20"/>
        </w:rPr>
        <w:t xml:space="preserve"> Holdings wholly-owns and controls MS Credit Partners II GP Inc. and MS Credit Partners III GP Inc., which are the general partners of MS Credit Partners II GP L.P. and MS Credit Partners III GP L.P., respectively, which are themselves the general partners of North Haven II and NH III, respectively, the two North Haven Entities with disclosable direct interests in Fusion Connect.</w:t>
      </w:r>
      <w:r w:rsidR="00E00857">
        <w:rPr>
          <w:sz w:val="20"/>
        </w:rPr>
        <w:t xml:space="preserve">  </w:t>
      </w:r>
      <w:r w:rsidR="00E00857">
        <w:rPr>
          <w:i/>
          <w:iCs/>
          <w:sz w:val="20"/>
        </w:rPr>
        <w:t>Id</w:t>
      </w:r>
      <w:r w:rsidR="00E00857">
        <w:rPr>
          <w:sz w:val="20"/>
        </w:rPr>
        <w:t>. at 7.</w:t>
      </w:r>
      <w:r w:rsidR="00893C1A">
        <w:rPr>
          <w:sz w:val="20"/>
        </w:rPr>
        <w:t xml:space="preserve">  </w:t>
      </w:r>
    </w:p>
  </w:footnote>
  <w:footnote w:id="13">
    <w:p w:rsidR="00C67326" w:rsidRPr="005F1E57" w:rsidP="00893C1A" w14:paraId="30F8FD28" w14:textId="515F73BD">
      <w:pPr>
        <w:spacing w:after="120"/>
        <w:rPr>
          <w:sz w:val="20"/>
        </w:rPr>
      </w:pPr>
      <w:r w:rsidRPr="005F1E57">
        <w:rPr>
          <w:rStyle w:val="FootnoteReference"/>
          <w:sz w:val="20"/>
        </w:rPr>
        <w:footnoteRef/>
      </w:r>
      <w:r w:rsidRPr="005F1E57">
        <w:rPr>
          <w:sz w:val="20"/>
        </w:rPr>
        <w:t xml:space="preserve"> </w:t>
      </w:r>
      <w:r w:rsidR="00E00857">
        <w:rPr>
          <w:i/>
          <w:iCs/>
          <w:sz w:val="20"/>
        </w:rPr>
        <w:t>Id</w:t>
      </w:r>
      <w:r w:rsidR="00E00857">
        <w:rPr>
          <w:sz w:val="20"/>
        </w:rPr>
        <w:t>.</w:t>
      </w:r>
      <w:r w:rsidRPr="005F1E57" w:rsidR="005D7795">
        <w:rPr>
          <w:sz w:val="20"/>
        </w:rPr>
        <w:t xml:space="preserve"> at </w:t>
      </w:r>
      <w:r w:rsidR="00A27065">
        <w:rPr>
          <w:sz w:val="20"/>
        </w:rPr>
        <w:t xml:space="preserve">Attach. 1 at </w:t>
      </w:r>
      <w:r w:rsidRPr="005F1E57" w:rsidR="005D7795">
        <w:rPr>
          <w:sz w:val="20"/>
        </w:rPr>
        <w:t>27, 31.</w:t>
      </w:r>
    </w:p>
  </w:footnote>
  <w:footnote w:id="14">
    <w:p w:rsidR="0004570D" w:rsidRPr="0004570D" w:rsidP="00893C1A" w14:paraId="2B188A8D" w14:textId="2264D9E0">
      <w:pPr>
        <w:spacing w:after="120"/>
        <w:rPr>
          <w:sz w:val="20"/>
        </w:rPr>
      </w:pPr>
      <w:r w:rsidRPr="0004570D">
        <w:rPr>
          <w:rStyle w:val="FootnoteReference"/>
          <w:sz w:val="20"/>
        </w:rPr>
        <w:footnoteRef/>
      </w:r>
      <w:r w:rsidRPr="0004570D">
        <w:rPr>
          <w:sz w:val="20"/>
        </w:rPr>
        <w:t xml:space="preserve"> </w:t>
      </w:r>
      <w:r w:rsidRPr="00E00857" w:rsidR="00E00857">
        <w:rPr>
          <w:i/>
          <w:iCs/>
          <w:sz w:val="20"/>
        </w:rPr>
        <w:t>Id</w:t>
      </w:r>
      <w:r w:rsidR="00E00857">
        <w:rPr>
          <w:sz w:val="20"/>
        </w:rPr>
        <w:t xml:space="preserve">. </w:t>
      </w:r>
      <w:r w:rsidRPr="0004570D">
        <w:rPr>
          <w:sz w:val="20"/>
        </w:rPr>
        <w:t>at 16.</w:t>
      </w:r>
    </w:p>
  </w:footnote>
  <w:footnote w:id="15">
    <w:p w:rsidR="00973A90" w:rsidRPr="00973A90" w14:paraId="12FA583E" w14:textId="3AFF4CCD">
      <w:pPr>
        <w:pStyle w:val="FootnoteText"/>
        <w:rPr>
          <w:sz w:val="20"/>
        </w:rPr>
      </w:pPr>
      <w:r w:rsidRPr="00973A90">
        <w:rPr>
          <w:rStyle w:val="FootnoteReference"/>
          <w:sz w:val="20"/>
        </w:rPr>
        <w:footnoteRef/>
      </w:r>
      <w:r w:rsidRPr="00973A90">
        <w:rPr>
          <w:sz w:val="20"/>
        </w:rPr>
        <w:t xml:space="preserve"> </w:t>
      </w:r>
      <w:r w:rsidRPr="00973A90">
        <w:rPr>
          <w:i/>
          <w:iCs/>
          <w:sz w:val="20"/>
        </w:rPr>
        <w:t>Id</w:t>
      </w:r>
      <w:r w:rsidRPr="00973A90">
        <w:rPr>
          <w:sz w:val="20"/>
        </w:rPr>
        <w:t xml:space="preserve">. at </w:t>
      </w:r>
      <w:r w:rsidR="00A27065">
        <w:rPr>
          <w:sz w:val="20"/>
        </w:rPr>
        <w:t xml:space="preserve">Attach. 1 at </w:t>
      </w:r>
      <w:r w:rsidRPr="00973A90">
        <w:rPr>
          <w:sz w:val="20"/>
        </w:rPr>
        <w:t>28.</w:t>
      </w:r>
      <w:r w:rsidR="005D7795">
        <w:rPr>
          <w:sz w:val="20"/>
        </w:rPr>
        <w:t xml:space="preserve">  Applicants provided additional information on the Morgan Stanley Entities that will hold direct ownership interests in Fusion Connect </w:t>
      </w:r>
      <w:r w:rsidR="00EA1B23">
        <w:rPr>
          <w:sz w:val="20"/>
        </w:rPr>
        <w:t xml:space="preserve">and </w:t>
      </w:r>
      <w:r w:rsidR="005D7795">
        <w:rPr>
          <w:sz w:val="20"/>
        </w:rPr>
        <w:t xml:space="preserve">which are commonly managed by MS Capital Partners Adviser.  </w:t>
      </w:r>
      <w:r w:rsidR="00D47CDD">
        <w:rPr>
          <w:i/>
          <w:iCs/>
          <w:sz w:val="20"/>
        </w:rPr>
        <w:t>Id</w:t>
      </w:r>
      <w:r w:rsidR="00D47CDD">
        <w:rPr>
          <w:sz w:val="20"/>
        </w:rPr>
        <w:t xml:space="preserve">. </w:t>
      </w:r>
      <w:r w:rsidR="005D7795">
        <w:rPr>
          <w:sz w:val="20"/>
        </w:rPr>
        <w:t xml:space="preserve">at </w:t>
      </w:r>
      <w:r w:rsidR="00A27065">
        <w:rPr>
          <w:sz w:val="20"/>
        </w:rPr>
        <w:t xml:space="preserve">Attach. 1 at </w:t>
      </w:r>
      <w:r w:rsidR="005D7795">
        <w:rPr>
          <w:sz w:val="20"/>
        </w:rPr>
        <w:t>28-31.</w:t>
      </w:r>
    </w:p>
  </w:footnote>
  <w:footnote w:id="16">
    <w:p w:rsidR="00440844" w:rsidRPr="00440844" w:rsidP="00E620A8" w14:paraId="4D988781" w14:textId="3E4A230B">
      <w:pPr>
        <w:spacing w:after="120"/>
        <w:rPr>
          <w:sz w:val="20"/>
        </w:rPr>
      </w:pPr>
      <w:r w:rsidRPr="00440844">
        <w:rPr>
          <w:rStyle w:val="FootnoteReference"/>
          <w:sz w:val="20"/>
        </w:rPr>
        <w:footnoteRef/>
      </w:r>
      <w:r w:rsidRPr="00440844">
        <w:rPr>
          <w:sz w:val="20"/>
        </w:rPr>
        <w:t xml:space="preserve"> </w:t>
      </w:r>
      <w:r w:rsidRPr="00440844">
        <w:rPr>
          <w:i/>
          <w:iCs/>
          <w:sz w:val="20"/>
        </w:rPr>
        <w:t>Id</w:t>
      </w:r>
      <w:r w:rsidRPr="00440844">
        <w:rPr>
          <w:sz w:val="20"/>
        </w:rPr>
        <w:t>. at 13-15</w:t>
      </w:r>
      <w:r w:rsidR="00EA1B23">
        <w:rPr>
          <w:sz w:val="20"/>
        </w:rPr>
        <w:t xml:space="preserve"> (stating that the New York and Boston metropolitan areas served by Cablevision Lightpath and Fusion Connect are served by other competitors, including incumbent providers).</w:t>
      </w:r>
    </w:p>
  </w:footnote>
  <w:footnote w:id="17">
    <w:p w:rsidR="00D522AE" w:rsidRPr="00656DEE" w:rsidP="00E620A8" w14:paraId="4C5301EE" w14:textId="2FA2D7CE">
      <w:pPr>
        <w:spacing w:after="120"/>
        <w:rPr>
          <w:sz w:val="20"/>
        </w:rPr>
      </w:pPr>
      <w:r>
        <w:rPr>
          <w:rStyle w:val="FootnoteReference"/>
        </w:rPr>
        <w:footnoteRef/>
      </w:r>
      <w:r>
        <w:t xml:space="preserve"> </w:t>
      </w:r>
      <w:r w:rsidRPr="00D522AE">
        <w:rPr>
          <w:i/>
          <w:iCs/>
          <w:sz w:val="20"/>
        </w:rPr>
        <w:t>Id</w:t>
      </w:r>
      <w:r w:rsidRPr="00D522AE">
        <w:rPr>
          <w:sz w:val="20"/>
        </w:rPr>
        <w:t>. at 3-4.</w:t>
      </w:r>
      <w:r w:rsidR="00656DEE">
        <w:rPr>
          <w:sz w:val="20"/>
        </w:rPr>
        <w:t xml:space="preserve">  According to Applicants, even if the equity holder Warrants are excluded, the North Haven Entities will have </w:t>
      </w:r>
      <w:r w:rsidRPr="00656DEE" w:rsidR="00656DEE">
        <w:rPr>
          <w:i/>
          <w:iCs/>
          <w:sz w:val="20"/>
        </w:rPr>
        <w:t>de jure</w:t>
      </w:r>
      <w:r w:rsidR="00656DEE">
        <w:rPr>
          <w:sz w:val="20"/>
        </w:rPr>
        <w:t xml:space="preserve"> control of the Fusion Licensees post-transaction.  </w:t>
      </w:r>
      <w:r w:rsidR="00656DEE">
        <w:rPr>
          <w:i/>
          <w:iCs/>
          <w:sz w:val="20"/>
        </w:rPr>
        <w:t>Id</w:t>
      </w:r>
      <w:r w:rsidR="00656DEE">
        <w:rPr>
          <w:sz w:val="20"/>
        </w:rPr>
        <w:t>. at 4</w:t>
      </w:r>
      <w:r w:rsidR="00A27065">
        <w:rPr>
          <w:sz w:val="20"/>
        </w:rPr>
        <w:t xml:space="preserve"> and n.32</w:t>
      </w:r>
      <w:r w:rsidR="00656DEE">
        <w:rPr>
          <w:sz w:val="20"/>
        </w:rPr>
        <w:t>.</w:t>
      </w:r>
    </w:p>
  </w:footnote>
  <w:footnote w:id="18">
    <w:p w:rsidR="00782A2A" w:rsidP="00E620A8" w14:paraId="55706955" w14:textId="0A3F2FB6">
      <w:pPr>
        <w:spacing w:after="120"/>
      </w:pPr>
      <w:r>
        <w:rPr>
          <w:rStyle w:val="FootnoteReference"/>
        </w:rPr>
        <w:footnoteRef/>
      </w:r>
      <w:r>
        <w:t xml:space="preserve"> </w:t>
      </w:r>
      <w:r w:rsidRPr="00782A2A">
        <w:rPr>
          <w:i/>
          <w:iCs/>
          <w:sz w:val="20"/>
        </w:rPr>
        <w:t>Id.</w:t>
      </w:r>
    </w:p>
  </w:footnote>
  <w:footnote w:id="19">
    <w:p w:rsidR="002E019B" w:rsidP="00E620A8" w14:paraId="17EE9E0B" w14:textId="355C113E">
      <w:pPr>
        <w:spacing w:after="120"/>
      </w:pPr>
      <w:r>
        <w:rPr>
          <w:rStyle w:val="FootnoteReference"/>
        </w:rPr>
        <w:footnoteRef/>
      </w:r>
      <w:r>
        <w:t xml:space="preserve"> </w:t>
      </w:r>
      <w:r w:rsidRPr="002E019B">
        <w:rPr>
          <w:i/>
          <w:iCs/>
          <w:sz w:val="20"/>
        </w:rPr>
        <w:t>Id</w:t>
      </w:r>
      <w:r w:rsidRPr="002E019B">
        <w:rPr>
          <w:sz w:val="20"/>
        </w:rPr>
        <w:t>.</w:t>
      </w:r>
    </w:p>
  </w:footnote>
  <w:footnote w:id="20">
    <w:p w:rsidR="00A27065" w:rsidRPr="00A27065" w:rsidP="00A27065" w14:paraId="7FD1A6CF" w14:textId="1243C474">
      <w:pPr>
        <w:spacing w:after="120"/>
        <w:rPr>
          <w:sz w:val="20"/>
        </w:rPr>
      </w:pPr>
      <w:r>
        <w:rPr>
          <w:rStyle w:val="FootnoteReference"/>
        </w:rPr>
        <w:footnoteRef/>
      </w:r>
      <w:r>
        <w:t xml:space="preserve"> </w:t>
      </w:r>
      <w:r w:rsidRPr="00A27065">
        <w:rPr>
          <w:i/>
          <w:iCs/>
          <w:sz w:val="20"/>
        </w:rPr>
        <w:t>Id</w:t>
      </w:r>
      <w:r w:rsidRPr="00A27065">
        <w:rPr>
          <w:sz w:val="20"/>
        </w:rPr>
        <w:t>. at 3, n.11, and Attach. 1 at 30.</w:t>
      </w:r>
    </w:p>
  </w:footnote>
  <w:footnote w:id="21">
    <w:p w:rsidR="000D0B04" w:rsidRPr="0004570D" w:rsidP="00E620A8" w14:paraId="4A778E83" w14:textId="5069014B">
      <w:pPr>
        <w:spacing w:after="120"/>
        <w:rPr>
          <w:sz w:val="20"/>
        </w:rPr>
      </w:pPr>
      <w:r w:rsidRPr="0004570D">
        <w:rPr>
          <w:rStyle w:val="FootnoteReference"/>
          <w:sz w:val="20"/>
        </w:rPr>
        <w:footnoteRef/>
      </w:r>
      <w:r w:rsidRPr="0004570D">
        <w:rPr>
          <w:sz w:val="20"/>
        </w:rPr>
        <w:t xml:space="preserve"> </w:t>
      </w:r>
      <w:r w:rsidRPr="0004570D">
        <w:rPr>
          <w:i/>
          <w:iCs/>
          <w:sz w:val="20"/>
        </w:rPr>
        <w:t>Id.</w:t>
      </w:r>
      <w:r w:rsidR="00644794">
        <w:rPr>
          <w:sz w:val="20"/>
        </w:rPr>
        <w:t xml:space="preserve"> at 3.</w:t>
      </w:r>
      <w:r w:rsidRPr="0004570D">
        <w:rPr>
          <w:sz w:val="20"/>
        </w:rPr>
        <w:t xml:space="preserve"> </w:t>
      </w:r>
    </w:p>
  </w:footnote>
  <w:footnote w:id="22">
    <w:p w:rsidR="00CC1B5C" w:rsidRPr="00CC1B5C" w:rsidP="00E620A8" w14:paraId="384FB4FE" w14:textId="16651164">
      <w:pPr>
        <w:spacing w:after="120"/>
        <w:rPr>
          <w:sz w:val="20"/>
        </w:rPr>
      </w:pPr>
      <w:r w:rsidRPr="00CC1B5C">
        <w:rPr>
          <w:rStyle w:val="FootnoteReference"/>
          <w:sz w:val="20"/>
        </w:rPr>
        <w:footnoteRef/>
      </w:r>
      <w:r w:rsidRPr="00CC1B5C">
        <w:rPr>
          <w:sz w:val="20"/>
        </w:rPr>
        <w:t xml:space="preserve"> </w:t>
      </w:r>
      <w:r w:rsidR="00E620A8">
        <w:rPr>
          <w:i/>
          <w:iCs/>
          <w:sz w:val="20"/>
        </w:rPr>
        <w:t>Id</w:t>
      </w:r>
      <w:r w:rsidR="00E620A8">
        <w:rPr>
          <w:sz w:val="20"/>
        </w:rPr>
        <w:t>. a</w:t>
      </w:r>
      <w:r w:rsidRPr="00CC1B5C">
        <w:rPr>
          <w:sz w:val="20"/>
        </w:rPr>
        <w:t>t 12-17.</w:t>
      </w:r>
    </w:p>
  </w:footnote>
  <w:footnote w:id="23">
    <w:p w:rsidR="00817E69" w:rsidRPr="00817E69" w:rsidP="00E620A8" w14:paraId="7498DCFF" w14:textId="6FB3E120">
      <w:pPr>
        <w:spacing w:after="120"/>
        <w:rPr>
          <w:sz w:val="20"/>
        </w:rPr>
      </w:pPr>
      <w:r w:rsidRPr="00817E69">
        <w:rPr>
          <w:rStyle w:val="FootnoteReference"/>
          <w:sz w:val="20"/>
        </w:rPr>
        <w:footnoteRef/>
      </w:r>
      <w:r w:rsidRPr="00817E69">
        <w:rPr>
          <w:sz w:val="20"/>
        </w:rPr>
        <w:t xml:space="preserve"> </w:t>
      </w:r>
      <w:r w:rsidRPr="00817E69">
        <w:rPr>
          <w:i/>
          <w:iCs/>
          <w:sz w:val="20"/>
        </w:rPr>
        <w:t>Id</w:t>
      </w:r>
      <w:r w:rsidRPr="00817E69">
        <w:rPr>
          <w:sz w:val="20"/>
        </w:rPr>
        <w:t>. at 12.</w:t>
      </w:r>
    </w:p>
  </w:footnote>
  <w:footnote w:id="24">
    <w:p w:rsidR="00511E46" w:rsidRPr="005B6134" w:rsidP="00511E46" w14:paraId="744FB776" w14:textId="77777777">
      <w:pPr>
        <w:pStyle w:val="FootnoteText"/>
        <w:rPr>
          <w:sz w:val="20"/>
        </w:rPr>
      </w:pPr>
      <w:r w:rsidRPr="005B6134">
        <w:rPr>
          <w:rStyle w:val="FootnoteReference"/>
          <w:sz w:val="20"/>
        </w:rPr>
        <w:footnoteRef/>
      </w:r>
      <w:r w:rsidRPr="005B6134">
        <w:rPr>
          <w:sz w:val="20"/>
        </w:rPr>
        <w:t xml:space="preserve"> </w:t>
      </w:r>
      <w:r w:rsidRPr="005B6134">
        <w:rPr>
          <w:i/>
          <w:iCs/>
          <w:sz w:val="20"/>
        </w:rPr>
        <w:t>Id</w:t>
      </w:r>
      <w:r w:rsidRPr="005B6134">
        <w:rPr>
          <w:sz w:val="20"/>
        </w:rPr>
        <w:t>. at 14.</w:t>
      </w:r>
    </w:p>
  </w:footnote>
  <w:footnote w:id="25">
    <w:p w:rsidR="000112AB" w:rsidRPr="00E620A8" w:rsidP="00E620A8" w14:paraId="7DE5D0E8" w14:textId="77777777">
      <w:pPr>
        <w:spacing w:after="120"/>
        <w:rPr>
          <w:sz w:val="20"/>
        </w:rPr>
      </w:pPr>
      <w:r w:rsidRPr="00E620A8">
        <w:rPr>
          <w:rStyle w:val="FootnoteReference"/>
          <w:sz w:val="20"/>
        </w:rPr>
        <w:footnoteRef/>
      </w:r>
      <w:r w:rsidRPr="00E620A8">
        <w:rPr>
          <w:sz w:val="20"/>
        </w:rPr>
        <w:t xml:space="preserve"> </w:t>
      </w:r>
      <w:r w:rsidRPr="00E620A8">
        <w:rPr>
          <w:color w:val="000000"/>
          <w:sz w:val="20"/>
        </w:rPr>
        <w:t xml:space="preserve">47 CFR § 1.40001.  </w:t>
      </w:r>
      <w:r w:rsidRPr="00E620A8">
        <w:rPr>
          <w:i/>
          <w:iCs/>
          <w:sz w:val="20"/>
        </w:rPr>
        <w:t>See Process Reform for Executive Branch Review of Certain FCC Applications and Petitions Involving Foreign Ownership,</w:t>
      </w:r>
      <w:r w:rsidRPr="00E620A8">
        <w:rPr>
          <w:sz w:val="20"/>
        </w:rPr>
        <w:t xml:space="preserve"> IB Docket 16-155, Report and Order, 35 FCC Rcd 10927 (2020), Erratum (Appendix B — Final Rules), DA 20-1404 (OMD/IB rel. Nov. 27, 2020).  </w:t>
      </w:r>
      <w:r w:rsidRPr="00E620A8">
        <w:rPr>
          <w:i/>
          <w:iCs/>
          <w:sz w:val="20"/>
        </w:rPr>
        <w:t>See also Rules and Policies on Foreign Participation in the U.S. Telecommunications Market; Market Entry and Regulation of Foreign- Affiliated Entities</w:t>
      </w:r>
      <w:r w:rsidRPr="00E620A8">
        <w:rPr>
          <w:sz w:val="20"/>
        </w:rPr>
        <w:t>, IB Docket Nos. 97-142 and 95-22, Report and Order and Order on Reconsideration, 12 FCC Rcd 23891, 23918-19, paras. 61-63 (1997) (</w:t>
      </w:r>
      <w:r w:rsidRPr="00E620A8">
        <w:rPr>
          <w:i/>
          <w:iCs/>
          <w:sz w:val="20"/>
        </w:rPr>
        <w:t>Foreign Participation Order</w:t>
      </w:r>
      <w:r w:rsidRPr="00E620A8">
        <w:rPr>
          <w:sz w:val="20"/>
        </w:rPr>
        <w:t xml:space="preserve">), recon. denied, 15 FCC Rcd 18158 (2000).  </w:t>
      </w:r>
    </w:p>
  </w:footnote>
  <w:footnote w:id="26">
    <w:p w:rsidR="003D0DB4" w:rsidRPr="00E620A8" w:rsidP="003D0DB4" w14:paraId="01D49AC4" w14:textId="77777777">
      <w:pPr>
        <w:pStyle w:val="FootnoteText"/>
        <w:spacing w:after="120"/>
        <w:rPr>
          <w:sz w:val="20"/>
          <w:u w:val="single"/>
        </w:rPr>
      </w:pPr>
      <w:r w:rsidRPr="00E620A8">
        <w:rPr>
          <w:rStyle w:val="FootnoteReference"/>
          <w:sz w:val="20"/>
        </w:rPr>
        <w:footnoteRef/>
      </w:r>
      <w:r w:rsidRPr="00E620A8">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E620A8">
        <w:rPr>
          <w:rFonts w:eastAsia="Calibri"/>
          <w:i/>
          <w:iCs/>
          <w:sz w:val="20"/>
        </w:rPr>
        <w:t>See FCC Announces Closure of FCC Headquarters Open Window and Change in Hand-Delivery Policy</w:t>
      </w:r>
      <w:r w:rsidRPr="00E620A8">
        <w:rPr>
          <w:rFonts w:eastAsia="Calibri"/>
          <w:sz w:val="20"/>
        </w:rPr>
        <w:t>, Public Notice, 35 FCC Rcd 2788 (OS 2020).</w:t>
      </w:r>
    </w:p>
  </w:footnote>
  <w:footnote w:id="27">
    <w:p w:rsidR="003D0DB4" w:rsidRPr="003661DC" w:rsidP="003D0DB4" w14:paraId="54421310" w14:textId="77777777">
      <w:pPr>
        <w:pStyle w:val="FootnoteText"/>
        <w:spacing w:after="120"/>
      </w:pPr>
      <w:r w:rsidRPr="00461507">
        <w:rPr>
          <w:rStyle w:val="FootnoteReference"/>
          <w:sz w:val="20"/>
        </w:rPr>
        <w:footnoteRef/>
      </w:r>
      <w:r w:rsidRPr="00461507">
        <w:rPr>
          <w:sz w:val="20"/>
        </w:rPr>
        <w:t xml:space="preserve"> </w:t>
      </w:r>
      <w:r w:rsidRPr="00461507">
        <w:rPr>
          <w:i/>
          <w:sz w:val="20"/>
        </w:rPr>
        <w:t>See</w:t>
      </w:r>
      <w:r w:rsidRPr="0046150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39331A">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A2F"/>
    <w:rsid w:val="00000D29"/>
    <w:rsid w:val="00001825"/>
    <w:rsid w:val="0000228F"/>
    <w:rsid w:val="000064CD"/>
    <w:rsid w:val="000069BB"/>
    <w:rsid w:val="0001023F"/>
    <w:rsid w:val="000103C1"/>
    <w:rsid w:val="000112AB"/>
    <w:rsid w:val="0001135F"/>
    <w:rsid w:val="0001280D"/>
    <w:rsid w:val="00015C00"/>
    <w:rsid w:val="0001608E"/>
    <w:rsid w:val="00017A3A"/>
    <w:rsid w:val="00020FC6"/>
    <w:rsid w:val="0002124C"/>
    <w:rsid w:val="00024494"/>
    <w:rsid w:val="0002566C"/>
    <w:rsid w:val="00025A42"/>
    <w:rsid w:val="00026F70"/>
    <w:rsid w:val="00027342"/>
    <w:rsid w:val="0003099A"/>
    <w:rsid w:val="00031C8B"/>
    <w:rsid w:val="00032A4A"/>
    <w:rsid w:val="000330E3"/>
    <w:rsid w:val="00035419"/>
    <w:rsid w:val="00035F32"/>
    <w:rsid w:val="00040610"/>
    <w:rsid w:val="00040B01"/>
    <w:rsid w:val="00040BA0"/>
    <w:rsid w:val="00040DAF"/>
    <w:rsid w:val="00041B38"/>
    <w:rsid w:val="00041C01"/>
    <w:rsid w:val="00043692"/>
    <w:rsid w:val="0004570D"/>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46FB"/>
    <w:rsid w:val="0009534A"/>
    <w:rsid w:val="00095657"/>
    <w:rsid w:val="00097AB0"/>
    <w:rsid w:val="000A24AA"/>
    <w:rsid w:val="000A2EEF"/>
    <w:rsid w:val="000A671D"/>
    <w:rsid w:val="000B0795"/>
    <w:rsid w:val="000B1C31"/>
    <w:rsid w:val="000B2362"/>
    <w:rsid w:val="000B3146"/>
    <w:rsid w:val="000B390D"/>
    <w:rsid w:val="000B48A6"/>
    <w:rsid w:val="000B4EDD"/>
    <w:rsid w:val="000B5635"/>
    <w:rsid w:val="000B6839"/>
    <w:rsid w:val="000C7CA4"/>
    <w:rsid w:val="000D0B0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9F"/>
    <w:rsid w:val="00117529"/>
    <w:rsid w:val="001226CB"/>
    <w:rsid w:val="0012329A"/>
    <w:rsid w:val="0012437D"/>
    <w:rsid w:val="0012660C"/>
    <w:rsid w:val="00126DDB"/>
    <w:rsid w:val="00131952"/>
    <w:rsid w:val="00132529"/>
    <w:rsid w:val="0013405D"/>
    <w:rsid w:val="00134FFC"/>
    <w:rsid w:val="001356E5"/>
    <w:rsid w:val="0014084C"/>
    <w:rsid w:val="00141388"/>
    <w:rsid w:val="00142ED5"/>
    <w:rsid w:val="001449F9"/>
    <w:rsid w:val="00144E61"/>
    <w:rsid w:val="001470F0"/>
    <w:rsid w:val="0014781B"/>
    <w:rsid w:val="001513B4"/>
    <w:rsid w:val="0015163D"/>
    <w:rsid w:val="0015217F"/>
    <w:rsid w:val="00152CF6"/>
    <w:rsid w:val="00156EA3"/>
    <w:rsid w:val="00161A99"/>
    <w:rsid w:val="00164D0F"/>
    <w:rsid w:val="00165FDC"/>
    <w:rsid w:val="00171181"/>
    <w:rsid w:val="00176BD0"/>
    <w:rsid w:val="00187617"/>
    <w:rsid w:val="00190745"/>
    <w:rsid w:val="001947E9"/>
    <w:rsid w:val="00194E1E"/>
    <w:rsid w:val="001A00A7"/>
    <w:rsid w:val="001A2DFA"/>
    <w:rsid w:val="001A3813"/>
    <w:rsid w:val="001A3E67"/>
    <w:rsid w:val="001A47EC"/>
    <w:rsid w:val="001A5568"/>
    <w:rsid w:val="001B2C26"/>
    <w:rsid w:val="001B2FBB"/>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57AC"/>
    <w:rsid w:val="00205859"/>
    <w:rsid w:val="00207926"/>
    <w:rsid w:val="00210B74"/>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0E24"/>
    <w:rsid w:val="00234F46"/>
    <w:rsid w:val="002409D1"/>
    <w:rsid w:val="00240B49"/>
    <w:rsid w:val="00241CB2"/>
    <w:rsid w:val="0024326F"/>
    <w:rsid w:val="002519DF"/>
    <w:rsid w:val="0025247F"/>
    <w:rsid w:val="00253247"/>
    <w:rsid w:val="00253AB2"/>
    <w:rsid w:val="00257DD2"/>
    <w:rsid w:val="00260037"/>
    <w:rsid w:val="002606A8"/>
    <w:rsid w:val="0026090D"/>
    <w:rsid w:val="00262C25"/>
    <w:rsid w:val="00262E65"/>
    <w:rsid w:val="00263433"/>
    <w:rsid w:val="0026356E"/>
    <w:rsid w:val="00263AE9"/>
    <w:rsid w:val="00266135"/>
    <w:rsid w:val="002666BC"/>
    <w:rsid w:val="00266D63"/>
    <w:rsid w:val="00267BF2"/>
    <w:rsid w:val="00270C47"/>
    <w:rsid w:val="00271151"/>
    <w:rsid w:val="00272142"/>
    <w:rsid w:val="00274DD5"/>
    <w:rsid w:val="00280873"/>
    <w:rsid w:val="0028149F"/>
    <w:rsid w:val="0028397D"/>
    <w:rsid w:val="0028555C"/>
    <w:rsid w:val="00287432"/>
    <w:rsid w:val="00287FB9"/>
    <w:rsid w:val="0029098D"/>
    <w:rsid w:val="00297F1D"/>
    <w:rsid w:val="002A1D13"/>
    <w:rsid w:val="002A30D9"/>
    <w:rsid w:val="002A6754"/>
    <w:rsid w:val="002A74DE"/>
    <w:rsid w:val="002A7BD3"/>
    <w:rsid w:val="002B16FA"/>
    <w:rsid w:val="002B1948"/>
    <w:rsid w:val="002B1EF7"/>
    <w:rsid w:val="002B26A1"/>
    <w:rsid w:val="002B34DB"/>
    <w:rsid w:val="002B430C"/>
    <w:rsid w:val="002B5D0C"/>
    <w:rsid w:val="002B6B43"/>
    <w:rsid w:val="002B705C"/>
    <w:rsid w:val="002C0122"/>
    <w:rsid w:val="002C203E"/>
    <w:rsid w:val="002C22F3"/>
    <w:rsid w:val="002C27F4"/>
    <w:rsid w:val="002C3F26"/>
    <w:rsid w:val="002D09E2"/>
    <w:rsid w:val="002D11BE"/>
    <w:rsid w:val="002D16A6"/>
    <w:rsid w:val="002D4A00"/>
    <w:rsid w:val="002D4CB4"/>
    <w:rsid w:val="002D65CC"/>
    <w:rsid w:val="002D6F61"/>
    <w:rsid w:val="002E019B"/>
    <w:rsid w:val="002E0BAF"/>
    <w:rsid w:val="002E2A6F"/>
    <w:rsid w:val="002E363F"/>
    <w:rsid w:val="002E427A"/>
    <w:rsid w:val="002E4894"/>
    <w:rsid w:val="002E5D8A"/>
    <w:rsid w:val="002E7AB0"/>
    <w:rsid w:val="002F2901"/>
    <w:rsid w:val="002F4E17"/>
    <w:rsid w:val="002F5F38"/>
    <w:rsid w:val="0030523C"/>
    <w:rsid w:val="00305D86"/>
    <w:rsid w:val="00306AAD"/>
    <w:rsid w:val="0031156F"/>
    <w:rsid w:val="00312CE1"/>
    <w:rsid w:val="00313546"/>
    <w:rsid w:val="00313AB0"/>
    <w:rsid w:val="00315BA9"/>
    <w:rsid w:val="00315D50"/>
    <w:rsid w:val="00315FCD"/>
    <w:rsid w:val="0031636F"/>
    <w:rsid w:val="00321F97"/>
    <w:rsid w:val="00325988"/>
    <w:rsid w:val="00325E35"/>
    <w:rsid w:val="0032625B"/>
    <w:rsid w:val="00334E6C"/>
    <w:rsid w:val="00335A7E"/>
    <w:rsid w:val="0033631D"/>
    <w:rsid w:val="00336995"/>
    <w:rsid w:val="00340881"/>
    <w:rsid w:val="00345CA2"/>
    <w:rsid w:val="003471AE"/>
    <w:rsid w:val="003479C9"/>
    <w:rsid w:val="00351689"/>
    <w:rsid w:val="00351D1D"/>
    <w:rsid w:val="00353CB5"/>
    <w:rsid w:val="0035663A"/>
    <w:rsid w:val="003632CF"/>
    <w:rsid w:val="00364590"/>
    <w:rsid w:val="00364DFB"/>
    <w:rsid w:val="00365194"/>
    <w:rsid w:val="003661DC"/>
    <w:rsid w:val="00367E50"/>
    <w:rsid w:val="00370A7F"/>
    <w:rsid w:val="00371142"/>
    <w:rsid w:val="00372CA2"/>
    <w:rsid w:val="00375254"/>
    <w:rsid w:val="003768D4"/>
    <w:rsid w:val="0037705C"/>
    <w:rsid w:val="003811C7"/>
    <w:rsid w:val="003817EB"/>
    <w:rsid w:val="003855A0"/>
    <w:rsid w:val="00387294"/>
    <w:rsid w:val="003879D0"/>
    <w:rsid w:val="00387BBE"/>
    <w:rsid w:val="0039175A"/>
    <w:rsid w:val="0039331A"/>
    <w:rsid w:val="00395294"/>
    <w:rsid w:val="00395A7A"/>
    <w:rsid w:val="00396D92"/>
    <w:rsid w:val="003A0227"/>
    <w:rsid w:val="003A0E99"/>
    <w:rsid w:val="003A157D"/>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7229"/>
    <w:rsid w:val="003D08F3"/>
    <w:rsid w:val="003D0DB4"/>
    <w:rsid w:val="003D0F71"/>
    <w:rsid w:val="003D0F8F"/>
    <w:rsid w:val="003D4F94"/>
    <w:rsid w:val="003D628C"/>
    <w:rsid w:val="003E10CB"/>
    <w:rsid w:val="003E14B9"/>
    <w:rsid w:val="003E1784"/>
    <w:rsid w:val="003E187A"/>
    <w:rsid w:val="003E2442"/>
    <w:rsid w:val="003E3AD7"/>
    <w:rsid w:val="003E5630"/>
    <w:rsid w:val="003E58EC"/>
    <w:rsid w:val="003E6571"/>
    <w:rsid w:val="003F0ECD"/>
    <w:rsid w:val="003F16BE"/>
    <w:rsid w:val="003F1D04"/>
    <w:rsid w:val="003F2CD4"/>
    <w:rsid w:val="003F398A"/>
    <w:rsid w:val="003F5829"/>
    <w:rsid w:val="0040580F"/>
    <w:rsid w:val="004076BA"/>
    <w:rsid w:val="004077D0"/>
    <w:rsid w:val="00412C94"/>
    <w:rsid w:val="00414051"/>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844"/>
    <w:rsid w:val="00440989"/>
    <w:rsid w:val="004435EE"/>
    <w:rsid w:val="00444548"/>
    <w:rsid w:val="004503EA"/>
    <w:rsid w:val="00452843"/>
    <w:rsid w:val="00453514"/>
    <w:rsid w:val="0045717F"/>
    <w:rsid w:val="00460914"/>
    <w:rsid w:val="004609A4"/>
    <w:rsid w:val="00461507"/>
    <w:rsid w:val="00462D8F"/>
    <w:rsid w:val="00464B4D"/>
    <w:rsid w:val="00464E8A"/>
    <w:rsid w:val="00465520"/>
    <w:rsid w:val="00466B9F"/>
    <w:rsid w:val="00467BA2"/>
    <w:rsid w:val="004703C8"/>
    <w:rsid w:val="00473955"/>
    <w:rsid w:val="00476EFB"/>
    <w:rsid w:val="004808FC"/>
    <w:rsid w:val="00482EB0"/>
    <w:rsid w:val="00483B1B"/>
    <w:rsid w:val="00485D13"/>
    <w:rsid w:val="0048693F"/>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18B"/>
    <w:rsid w:val="004E74EE"/>
    <w:rsid w:val="004F2447"/>
    <w:rsid w:val="004F3603"/>
    <w:rsid w:val="004F3CEC"/>
    <w:rsid w:val="004F44F5"/>
    <w:rsid w:val="004F686B"/>
    <w:rsid w:val="004F6F64"/>
    <w:rsid w:val="004F796E"/>
    <w:rsid w:val="00501D17"/>
    <w:rsid w:val="00501F06"/>
    <w:rsid w:val="00504BF5"/>
    <w:rsid w:val="00505DA1"/>
    <w:rsid w:val="005107DF"/>
    <w:rsid w:val="00511E46"/>
    <w:rsid w:val="00511F5D"/>
    <w:rsid w:val="0051681C"/>
    <w:rsid w:val="00517217"/>
    <w:rsid w:val="005226C6"/>
    <w:rsid w:val="00524D79"/>
    <w:rsid w:val="00526561"/>
    <w:rsid w:val="005273AB"/>
    <w:rsid w:val="005320B5"/>
    <w:rsid w:val="00533917"/>
    <w:rsid w:val="00535877"/>
    <w:rsid w:val="00536ED2"/>
    <w:rsid w:val="0054677E"/>
    <w:rsid w:val="005473A6"/>
    <w:rsid w:val="005505CE"/>
    <w:rsid w:val="00550762"/>
    <w:rsid w:val="00551202"/>
    <w:rsid w:val="00551ADB"/>
    <w:rsid w:val="005524B6"/>
    <w:rsid w:val="00554D90"/>
    <w:rsid w:val="00554E17"/>
    <w:rsid w:val="0055505D"/>
    <w:rsid w:val="0055684E"/>
    <w:rsid w:val="0056058F"/>
    <w:rsid w:val="0056467B"/>
    <w:rsid w:val="0056720F"/>
    <w:rsid w:val="00567286"/>
    <w:rsid w:val="00573CA8"/>
    <w:rsid w:val="00576EDE"/>
    <w:rsid w:val="00580DBD"/>
    <w:rsid w:val="00581792"/>
    <w:rsid w:val="00584018"/>
    <w:rsid w:val="0059084B"/>
    <w:rsid w:val="00592F09"/>
    <w:rsid w:val="005932BA"/>
    <w:rsid w:val="00594E8C"/>
    <w:rsid w:val="00597ABB"/>
    <w:rsid w:val="005A13D0"/>
    <w:rsid w:val="005A24CD"/>
    <w:rsid w:val="005A256B"/>
    <w:rsid w:val="005A25E9"/>
    <w:rsid w:val="005A3026"/>
    <w:rsid w:val="005A3E2A"/>
    <w:rsid w:val="005A56D4"/>
    <w:rsid w:val="005A64A7"/>
    <w:rsid w:val="005B2105"/>
    <w:rsid w:val="005B25C7"/>
    <w:rsid w:val="005B2E8A"/>
    <w:rsid w:val="005B376F"/>
    <w:rsid w:val="005B3D27"/>
    <w:rsid w:val="005B4CA6"/>
    <w:rsid w:val="005B57F1"/>
    <w:rsid w:val="005B6134"/>
    <w:rsid w:val="005C0AE1"/>
    <w:rsid w:val="005C2ADB"/>
    <w:rsid w:val="005C342C"/>
    <w:rsid w:val="005C3E2F"/>
    <w:rsid w:val="005C403A"/>
    <w:rsid w:val="005C44C6"/>
    <w:rsid w:val="005C5C55"/>
    <w:rsid w:val="005C740F"/>
    <w:rsid w:val="005C7DC4"/>
    <w:rsid w:val="005D4020"/>
    <w:rsid w:val="005D55CB"/>
    <w:rsid w:val="005D5B08"/>
    <w:rsid w:val="005D64C0"/>
    <w:rsid w:val="005D6BD0"/>
    <w:rsid w:val="005D7264"/>
    <w:rsid w:val="005D7795"/>
    <w:rsid w:val="005D7F49"/>
    <w:rsid w:val="005E1BF3"/>
    <w:rsid w:val="005E21F5"/>
    <w:rsid w:val="005E40DD"/>
    <w:rsid w:val="005E6383"/>
    <w:rsid w:val="005E65C4"/>
    <w:rsid w:val="005E7A72"/>
    <w:rsid w:val="005E7C21"/>
    <w:rsid w:val="005F0281"/>
    <w:rsid w:val="005F06C4"/>
    <w:rsid w:val="005F090A"/>
    <w:rsid w:val="005F189F"/>
    <w:rsid w:val="005F1E57"/>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967"/>
    <w:rsid w:val="00626D16"/>
    <w:rsid w:val="00630291"/>
    <w:rsid w:val="006311C4"/>
    <w:rsid w:val="00631250"/>
    <w:rsid w:val="00633290"/>
    <w:rsid w:val="00635062"/>
    <w:rsid w:val="0063611E"/>
    <w:rsid w:val="00636679"/>
    <w:rsid w:val="00636C9F"/>
    <w:rsid w:val="00637ECE"/>
    <w:rsid w:val="006420D0"/>
    <w:rsid w:val="00642643"/>
    <w:rsid w:val="00642F32"/>
    <w:rsid w:val="00644794"/>
    <w:rsid w:val="00645192"/>
    <w:rsid w:val="0064748A"/>
    <w:rsid w:val="00647C67"/>
    <w:rsid w:val="00650544"/>
    <w:rsid w:val="00653610"/>
    <w:rsid w:val="00654B1F"/>
    <w:rsid w:val="00656777"/>
    <w:rsid w:val="0065693D"/>
    <w:rsid w:val="00656DEE"/>
    <w:rsid w:val="00660C36"/>
    <w:rsid w:val="006619A7"/>
    <w:rsid w:val="00663300"/>
    <w:rsid w:val="00663975"/>
    <w:rsid w:val="006639BB"/>
    <w:rsid w:val="006703D5"/>
    <w:rsid w:val="0067115F"/>
    <w:rsid w:val="006768CC"/>
    <w:rsid w:val="00677689"/>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B2593"/>
    <w:rsid w:val="006B3480"/>
    <w:rsid w:val="006B35AD"/>
    <w:rsid w:val="006B36F1"/>
    <w:rsid w:val="006B5C06"/>
    <w:rsid w:val="006B6400"/>
    <w:rsid w:val="006C146A"/>
    <w:rsid w:val="006C211E"/>
    <w:rsid w:val="006C277B"/>
    <w:rsid w:val="006C2DC7"/>
    <w:rsid w:val="006C32C8"/>
    <w:rsid w:val="006C3309"/>
    <w:rsid w:val="006C3AF2"/>
    <w:rsid w:val="006C4F3D"/>
    <w:rsid w:val="006C591C"/>
    <w:rsid w:val="006C6FE0"/>
    <w:rsid w:val="006D49DF"/>
    <w:rsid w:val="006D4FB7"/>
    <w:rsid w:val="006E099D"/>
    <w:rsid w:val="006E3B3B"/>
    <w:rsid w:val="006E3E11"/>
    <w:rsid w:val="006E490A"/>
    <w:rsid w:val="006E4EF0"/>
    <w:rsid w:val="006E61ED"/>
    <w:rsid w:val="006E643F"/>
    <w:rsid w:val="006E67A0"/>
    <w:rsid w:val="006E7452"/>
    <w:rsid w:val="006E77B7"/>
    <w:rsid w:val="006F2F1F"/>
    <w:rsid w:val="006F3441"/>
    <w:rsid w:val="006F4360"/>
    <w:rsid w:val="006F4B1B"/>
    <w:rsid w:val="006F4D60"/>
    <w:rsid w:val="006F7E1D"/>
    <w:rsid w:val="00702B72"/>
    <w:rsid w:val="00702B9D"/>
    <w:rsid w:val="00703543"/>
    <w:rsid w:val="0070514A"/>
    <w:rsid w:val="007052BE"/>
    <w:rsid w:val="007067E2"/>
    <w:rsid w:val="00706D49"/>
    <w:rsid w:val="0070755C"/>
    <w:rsid w:val="0071041E"/>
    <w:rsid w:val="00710722"/>
    <w:rsid w:val="00710BAB"/>
    <w:rsid w:val="007124C8"/>
    <w:rsid w:val="00712BB0"/>
    <w:rsid w:val="00714887"/>
    <w:rsid w:val="00716B24"/>
    <w:rsid w:val="00721062"/>
    <w:rsid w:val="00721165"/>
    <w:rsid w:val="00724722"/>
    <w:rsid w:val="00726354"/>
    <w:rsid w:val="0072750E"/>
    <w:rsid w:val="00730152"/>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7017E"/>
    <w:rsid w:val="00771214"/>
    <w:rsid w:val="0077275A"/>
    <w:rsid w:val="0077396E"/>
    <w:rsid w:val="00773ACC"/>
    <w:rsid w:val="00774E30"/>
    <w:rsid w:val="007758B4"/>
    <w:rsid w:val="00775CD4"/>
    <w:rsid w:val="00776827"/>
    <w:rsid w:val="00777B41"/>
    <w:rsid w:val="00777F32"/>
    <w:rsid w:val="00780F55"/>
    <w:rsid w:val="00782A2A"/>
    <w:rsid w:val="007904D9"/>
    <w:rsid w:val="00790DDF"/>
    <w:rsid w:val="007915C7"/>
    <w:rsid w:val="00796E19"/>
    <w:rsid w:val="00796E54"/>
    <w:rsid w:val="00797794"/>
    <w:rsid w:val="007A2155"/>
    <w:rsid w:val="007A41CD"/>
    <w:rsid w:val="007A4B45"/>
    <w:rsid w:val="007A6E5A"/>
    <w:rsid w:val="007B1EAE"/>
    <w:rsid w:val="007B4269"/>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44C2"/>
    <w:rsid w:val="007E47B5"/>
    <w:rsid w:val="007E64BB"/>
    <w:rsid w:val="007F0E50"/>
    <w:rsid w:val="007F23AB"/>
    <w:rsid w:val="0080023C"/>
    <w:rsid w:val="0080055D"/>
    <w:rsid w:val="008014D0"/>
    <w:rsid w:val="00802D1D"/>
    <w:rsid w:val="00803625"/>
    <w:rsid w:val="00804B53"/>
    <w:rsid w:val="008051B2"/>
    <w:rsid w:val="008052CD"/>
    <w:rsid w:val="00805A48"/>
    <w:rsid w:val="00805DF1"/>
    <w:rsid w:val="00807040"/>
    <w:rsid w:val="0081108D"/>
    <w:rsid w:val="00813C6D"/>
    <w:rsid w:val="00814193"/>
    <w:rsid w:val="0081481B"/>
    <w:rsid w:val="0081531F"/>
    <w:rsid w:val="008177D0"/>
    <w:rsid w:val="00817B2E"/>
    <w:rsid w:val="00817CEC"/>
    <w:rsid w:val="00817E69"/>
    <w:rsid w:val="00821491"/>
    <w:rsid w:val="00824E65"/>
    <w:rsid w:val="0082798B"/>
    <w:rsid w:val="00830915"/>
    <w:rsid w:val="00831D30"/>
    <w:rsid w:val="0083237E"/>
    <w:rsid w:val="00833FAF"/>
    <w:rsid w:val="0083618B"/>
    <w:rsid w:val="00837B07"/>
    <w:rsid w:val="00840199"/>
    <w:rsid w:val="0084125A"/>
    <w:rsid w:val="00843A51"/>
    <w:rsid w:val="0084563E"/>
    <w:rsid w:val="008470BA"/>
    <w:rsid w:val="0084778A"/>
    <w:rsid w:val="00850A62"/>
    <w:rsid w:val="0085101A"/>
    <w:rsid w:val="00851095"/>
    <w:rsid w:val="00851420"/>
    <w:rsid w:val="00853114"/>
    <w:rsid w:val="0085536D"/>
    <w:rsid w:val="0085579D"/>
    <w:rsid w:val="00856944"/>
    <w:rsid w:val="00864AA8"/>
    <w:rsid w:val="008650A4"/>
    <w:rsid w:val="0086691C"/>
    <w:rsid w:val="008675C7"/>
    <w:rsid w:val="00870E07"/>
    <w:rsid w:val="008711D5"/>
    <w:rsid w:val="00873C90"/>
    <w:rsid w:val="0087554B"/>
    <w:rsid w:val="00876629"/>
    <w:rsid w:val="0087685F"/>
    <w:rsid w:val="00877D35"/>
    <w:rsid w:val="008850A3"/>
    <w:rsid w:val="00890CFD"/>
    <w:rsid w:val="00893308"/>
    <w:rsid w:val="00893C1A"/>
    <w:rsid w:val="00894B20"/>
    <w:rsid w:val="008950DE"/>
    <w:rsid w:val="008954D0"/>
    <w:rsid w:val="00895561"/>
    <w:rsid w:val="00895EC3"/>
    <w:rsid w:val="008965BC"/>
    <w:rsid w:val="0089666B"/>
    <w:rsid w:val="00896CA4"/>
    <w:rsid w:val="008A1282"/>
    <w:rsid w:val="008A16BE"/>
    <w:rsid w:val="008A2C82"/>
    <w:rsid w:val="008A5AB2"/>
    <w:rsid w:val="008A5E93"/>
    <w:rsid w:val="008A65A6"/>
    <w:rsid w:val="008A6CDA"/>
    <w:rsid w:val="008A72EC"/>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4B15"/>
    <w:rsid w:val="008F4D2D"/>
    <w:rsid w:val="008F59D9"/>
    <w:rsid w:val="008F67DB"/>
    <w:rsid w:val="008F6981"/>
    <w:rsid w:val="0090059F"/>
    <w:rsid w:val="00903154"/>
    <w:rsid w:val="00903330"/>
    <w:rsid w:val="00903DE0"/>
    <w:rsid w:val="009075DA"/>
    <w:rsid w:val="009101A4"/>
    <w:rsid w:val="00912D13"/>
    <w:rsid w:val="00913852"/>
    <w:rsid w:val="00915766"/>
    <w:rsid w:val="009161AD"/>
    <w:rsid w:val="009211C4"/>
    <w:rsid w:val="009236BF"/>
    <w:rsid w:val="009258E3"/>
    <w:rsid w:val="009318D4"/>
    <w:rsid w:val="0093491F"/>
    <w:rsid w:val="009375A4"/>
    <w:rsid w:val="0094117D"/>
    <w:rsid w:val="00942A31"/>
    <w:rsid w:val="00950639"/>
    <w:rsid w:val="00951B8C"/>
    <w:rsid w:val="0095318C"/>
    <w:rsid w:val="009558A7"/>
    <w:rsid w:val="00956255"/>
    <w:rsid w:val="009564D0"/>
    <w:rsid w:val="00960857"/>
    <w:rsid w:val="00960EC2"/>
    <w:rsid w:val="00961E42"/>
    <w:rsid w:val="00963EF4"/>
    <w:rsid w:val="00963F91"/>
    <w:rsid w:val="00965889"/>
    <w:rsid w:val="00966264"/>
    <w:rsid w:val="0097049D"/>
    <w:rsid w:val="00973A90"/>
    <w:rsid w:val="0097409F"/>
    <w:rsid w:val="0097560B"/>
    <w:rsid w:val="00976736"/>
    <w:rsid w:val="0097746C"/>
    <w:rsid w:val="00977B5C"/>
    <w:rsid w:val="0098015F"/>
    <w:rsid w:val="00980592"/>
    <w:rsid w:val="00980EF3"/>
    <w:rsid w:val="00982D2C"/>
    <w:rsid w:val="0098437F"/>
    <w:rsid w:val="00990455"/>
    <w:rsid w:val="00990EC0"/>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E1797"/>
    <w:rsid w:val="009E312D"/>
    <w:rsid w:val="009E32BA"/>
    <w:rsid w:val="009E4467"/>
    <w:rsid w:val="009E5B12"/>
    <w:rsid w:val="009F4194"/>
    <w:rsid w:val="009F4216"/>
    <w:rsid w:val="009F4470"/>
    <w:rsid w:val="009F52E2"/>
    <w:rsid w:val="00A00CAA"/>
    <w:rsid w:val="00A02787"/>
    <w:rsid w:val="00A07DE6"/>
    <w:rsid w:val="00A11865"/>
    <w:rsid w:val="00A132F3"/>
    <w:rsid w:val="00A14FAC"/>
    <w:rsid w:val="00A15248"/>
    <w:rsid w:val="00A15F39"/>
    <w:rsid w:val="00A216A2"/>
    <w:rsid w:val="00A229F0"/>
    <w:rsid w:val="00A25AB6"/>
    <w:rsid w:val="00A25C41"/>
    <w:rsid w:val="00A26754"/>
    <w:rsid w:val="00A268CF"/>
    <w:rsid w:val="00A27065"/>
    <w:rsid w:val="00A30C04"/>
    <w:rsid w:val="00A326BD"/>
    <w:rsid w:val="00A3545A"/>
    <w:rsid w:val="00A36DEA"/>
    <w:rsid w:val="00A37CD0"/>
    <w:rsid w:val="00A4540E"/>
    <w:rsid w:val="00A47815"/>
    <w:rsid w:val="00A47EA1"/>
    <w:rsid w:val="00A54518"/>
    <w:rsid w:val="00A55BA1"/>
    <w:rsid w:val="00A55F2F"/>
    <w:rsid w:val="00A569E4"/>
    <w:rsid w:val="00A64935"/>
    <w:rsid w:val="00A71ECC"/>
    <w:rsid w:val="00A8041F"/>
    <w:rsid w:val="00A80B50"/>
    <w:rsid w:val="00A824AF"/>
    <w:rsid w:val="00A826F0"/>
    <w:rsid w:val="00A85921"/>
    <w:rsid w:val="00A87404"/>
    <w:rsid w:val="00A91538"/>
    <w:rsid w:val="00A91559"/>
    <w:rsid w:val="00A92C9E"/>
    <w:rsid w:val="00A930EF"/>
    <w:rsid w:val="00A94D7F"/>
    <w:rsid w:val="00A964BE"/>
    <w:rsid w:val="00A9705F"/>
    <w:rsid w:val="00AA04BA"/>
    <w:rsid w:val="00AA1CE3"/>
    <w:rsid w:val="00AA461C"/>
    <w:rsid w:val="00AA50FB"/>
    <w:rsid w:val="00AA662F"/>
    <w:rsid w:val="00AA6C23"/>
    <w:rsid w:val="00AA79C4"/>
    <w:rsid w:val="00AB2A9E"/>
    <w:rsid w:val="00AB582C"/>
    <w:rsid w:val="00AB6787"/>
    <w:rsid w:val="00AC3B4C"/>
    <w:rsid w:val="00AC4CEF"/>
    <w:rsid w:val="00AC7FFC"/>
    <w:rsid w:val="00AD0360"/>
    <w:rsid w:val="00AD2147"/>
    <w:rsid w:val="00AD23E5"/>
    <w:rsid w:val="00AD440B"/>
    <w:rsid w:val="00AD68EA"/>
    <w:rsid w:val="00AD690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DCE"/>
    <w:rsid w:val="00B11E8B"/>
    <w:rsid w:val="00B13AC2"/>
    <w:rsid w:val="00B14EC1"/>
    <w:rsid w:val="00B252B2"/>
    <w:rsid w:val="00B26819"/>
    <w:rsid w:val="00B30941"/>
    <w:rsid w:val="00B309DB"/>
    <w:rsid w:val="00B32670"/>
    <w:rsid w:val="00B32A8C"/>
    <w:rsid w:val="00B33058"/>
    <w:rsid w:val="00B335D6"/>
    <w:rsid w:val="00B3405E"/>
    <w:rsid w:val="00B41B3D"/>
    <w:rsid w:val="00B427E6"/>
    <w:rsid w:val="00B43A08"/>
    <w:rsid w:val="00B45FB2"/>
    <w:rsid w:val="00B500E9"/>
    <w:rsid w:val="00B506FC"/>
    <w:rsid w:val="00B50FF2"/>
    <w:rsid w:val="00B52C92"/>
    <w:rsid w:val="00B5576C"/>
    <w:rsid w:val="00B55A93"/>
    <w:rsid w:val="00B565D8"/>
    <w:rsid w:val="00B56E1B"/>
    <w:rsid w:val="00B57D2A"/>
    <w:rsid w:val="00B621AB"/>
    <w:rsid w:val="00B64D59"/>
    <w:rsid w:val="00B64FDE"/>
    <w:rsid w:val="00B6681C"/>
    <w:rsid w:val="00B66A71"/>
    <w:rsid w:val="00B71C43"/>
    <w:rsid w:val="00B72F45"/>
    <w:rsid w:val="00B73211"/>
    <w:rsid w:val="00B73AED"/>
    <w:rsid w:val="00B7498F"/>
    <w:rsid w:val="00B758D4"/>
    <w:rsid w:val="00B82819"/>
    <w:rsid w:val="00B83A8F"/>
    <w:rsid w:val="00B84642"/>
    <w:rsid w:val="00B856DD"/>
    <w:rsid w:val="00B908C9"/>
    <w:rsid w:val="00B91444"/>
    <w:rsid w:val="00B934A6"/>
    <w:rsid w:val="00B9373D"/>
    <w:rsid w:val="00B93BD0"/>
    <w:rsid w:val="00B951D6"/>
    <w:rsid w:val="00B958E7"/>
    <w:rsid w:val="00B96818"/>
    <w:rsid w:val="00B97629"/>
    <w:rsid w:val="00BA42C4"/>
    <w:rsid w:val="00BA45FE"/>
    <w:rsid w:val="00BA47A9"/>
    <w:rsid w:val="00BA496C"/>
    <w:rsid w:val="00BA6803"/>
    <w:rsid w:val="00BB0D72"/>
    <w:rsid w:val="00BB1216"/>
    <w:rsid w:val="00BB16F2"/>
    <w:rsid w:val="00BB24EB"/>
    <w:rsid w:val="00BB7CEB"/>
    <w:rsid w:val="00BC0F23"/>
    <w:rsid w:val="00BC1394"/>
    <w:rsid w:val="00BC68D7"/>
    <w:rsid w:val="00BC7555"/>
    <w:rsid w:val="00BD05A1"/>
    <w:rsid w:val="00BD2520"/>
    <w:rsid w:val="00BD3278"/>
    <w:rsid w:val="00BD5AFA"/>
    <w:rsid w:val="00BD5F83"/>
    <w:rsid w:val="00BD6631"/>
    <w:rsid w:val="00BE0364"/>
    <w:rsid w:val="00BE063A"/>
    <w:rsid w:val="00BE1FC9"/>
    <w:rsid w:val="00BE4C7C"/>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104C"/>
    <w:rsid w:val="00C35C48"/>
    <w:rsid w:val="00C3643D"/>
    <w:rsid w:val="00C3705B"/>
    <w:rsid w:val="00C37D69"/>
    <w:rsid w:val="00C404CF"/>
    <w:rsid w:val="00C405A1"/>
    <w:rsid w:val="00C42D1B"/>
    <w:rsid w:val="00C4446E"/>
    <w:rsid w:val="00C4607F"/>
    <w:rsid w:val="00C53E5E"/>
    <w:rsid w:val="00C56777"/>
    <w:rsid w:val="00C60F32"/>
    <w:rsid w:val="00C612FD"/>
    <w:rsid w:val="00C64B14"/>
    <w:rsid w:val="00C64DFC"/>
    <w:rsid w:val="00C67326"/>
    <w:rsid w:val="00C67FE7"/>
    <w:rsid w:val="00C70494"/>
    <w:rsid w:val="00C71A07"/>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414E"/>
    <w:rsid w:val="00C950B4"/>
    <w:rsid w:val="00CA2D4B"/>
    <w:rsid w:val="00CA3644"/>
    <w:rsid w:val="00CA5169"/>
    <w:rsid w:val="00CB08EA"/>
    <w:rsid w:val="00CB49DA"/>
    <w:rsid w:val="00CB56E5"/>
    <w:rsid w:val="00CB5D7D"/>
    <w:rsid w:val="00CB6B4E"/>
    <w:rsid w:val="00CC1B5C"/>
    <w:rsid w:val="00CC3DC6"/>
    <w:rsid w:val="00CC45A6"/>
    <w:rsid w:val="00CC70CB"/>
    <w:rsid w:val="00CD0419"/>
    <w:rsid w:val="00CD20C1"/>
    <w:rsid w:val="00CD3CBE"/>
    <w:rsid w:val="00CD5614"/>
    <w:rsid w:val="00CD6760"/>
    <w:rsid w:val="00CD711A"/>
    <w:rsid w:val="00CE03DE"/>
    <w:rsid w:val="00CE2A1A"/>
    <w:rsid w:val="00CE3ABC"/>
    <w:rsid w:val="00CE3D85"/>
    <w:rsid w:val="00CE49B4"/>
    <w:rsid w:val="00CF1452"/>
    <w:rsid w:val="00CF569B"/>
    <w:rsid w:val="00CF6960"/>
    <w:rsid w:val="00CF6C49"/>
    <w:rsid w:val="00D00C86"/>
    <w:rsid w:val="00D02269"/>
    <w:rsid w:val="00D04963"/>
    <w:rsid w:val="00D04DB0"/>
    <w:rsid w:val="00D05475"/>
    <w:rsid w:val="00D111DF"/>
    <w:rsid w:val="00D130E3"/>
    <w:rsid w:val="00D13A95"/>
    <w:rsid w:val="00D1542F"/>
    <w:rsid w:val="00D209FB"/>
    <w:rsid w:val="00D218FF"/>
    <w:rsid w:val="00D22738"/>
    <w:rsid w:val="00D23CB9"/>
    <w:rsid w:val="00D252B2"/>
    <w:rsid w:val="00D25A5D"/>
    <w:rsid w:val="00D261C4"/>
    <w:rsid w:val="00D30DAA"/>
    <w:rsid w:val="00D313A3"/>
    <w:rsid w:val="00D343D8"/>
    <w:rsid w:val="00D347E0"/>
    <w:rsid w:val="00D34AD8"/>
    <w:rsid w:val="00D359B7"/>
    <w:rsid w:val="00D401C5"/>
    <w:rsid w:val="00D42D5A"/>
    <w:rsid w:val="00D4304C"/>
    <w:rsid w:val="00D443D8"/>
    <w:rsid w:val="00D4618E"/>
    <w:rsid w:val="00D47918"/>
    <w:rsid w:val="00D47CDD"/>
    <w:rsid w:val="00D522AE"/>
    <w:rsid w:val="00D553EC"/>
    <w:rsid w:val="00D55FB1"/>
    <w:rsid w:val="00D566DE"/>
    <w:rsid w:val="00D56FEF"/>
    <w:rsid w:val="00D57071"/>
    <w:rsid w:val="00D57598"/>
    <w:rsid w:val="00D57FBF"/>
    <w:rsid w:val="00D605CB"/>
    <w:rsid w:val="00D64217"/>
    <w:rsid w:val="00D64667"/>
    <w:rsid w:val="00D64788"/>
    <w:rsid w:val="00D6598C"/>
    <w:rsid w:val="00D668AD"/>
    <w:rsid w:val="00D674A6"/>
    <w:rsid w:val="00D7063B"/>
    <w:rsid w:val="00D713D2"/>
    <w:rsid w:val="00D74088"/>
    <w:rsid w:val="00D75D75"/>
    <w:rsid w:val="00D767D0"/>
    <w:rsid w:val="00D81CDC"/>
    <w:rsid w:val="00D82F0A"/>
    <w:rsid w:val="00D84FE8"/>
    <w:rsid w:val="00D8568B"/>
    <w:rsid w:val="00D85A2E"/>
    <w:rsid w:val="00D87DFE"/>
    <w:rsid w:val="00D90B6C"/>
    <w:rsid w:val="00D918DB"/>
    <w:rsid w:val="00D937FF"/>
    <w:rsid w:val="00D94C3B"/>
    <w:rsid w:val="00D94FDC"/>
    <w:rsid w:val="00D9655B"/>
    <w:rsid w:val="00D96CB9"/>
    <w:rsid w:val="00DA1392"/>
    <w:rsid w:val="00DA1E1B"/>
    <w:rsid w:val="00DA2683"/>
    <w:rsid w:val="00DA26DF"/>
    <w:rsid w:val="00DA2A23"/>
    <w:rsid w:val="00DA2C92"/>
    <w:rsid w:val="00DA69AD"/>
    <w:rsid w:val="00DB0CA1"/>
    <w:rsid w:val="00DB15FB"/>
    <w:rsid w:val="00DB4F5F"/>
    <w:rsid w:val="00DB59FD"/>
    <w:rsid w:val="00DB6614"/>
    <w:rsid w:val="00DC097A"/>
    <w:rsid w:val="00DC3A1A"/>
    <w:rsid w:val="00DC441A"/>
    <w:rsid w:val="00DC5921"/>
    <w:rsid w:val="00DC5BDD"/>
    <w:rsid w:val="00DC6A3E"/>
    <w:rsid w:val="00DC6D92"/>
    <w:rsid w:val="00DD0493"/>
    <w:rsid w:val="00DD0968"/>
    <w:rsid w:val="00DD10F5"/>
    <w:rsid w:val="00DD1676"/>
    <w:rsid w:val="00DD17EF"/>
    <w:rsid w:val="00DD2629"/>
    <w:rsid w:val="00DE03F3"/>
    <w:rsid w:val="00DE12DE"/>
    <w:rsid w:val="00DE1DB8"/>
    <w:rsid w:val="00DE2494"/>
    <w:rsid w:val="00DE365A"/>
    <w:rsid w:val="00DE39A5"/>
    <w:rsid w:val="00DE3FF0"/>
    <w:rsid w:val="00DE4457"/>
    <w:rsid w:val="00DE4EC0"/>
    <w:rsid w:val="00DE64B2"/>
    <w:rsid w:val="00DE684E"/>
    <w:rsid w:val="00DE74F2"/>
    <w:rsid w:val="00DE79C9"/>
    <w:rsid w:val="00DF18C1"/>
    <w:rsid w:val="00DF1AD9"/>
    <w:rsid w:val="00DF21C9"/>
    <w:rsid w:val="00DF3C71"/>
    <w:rsid w:val="00DF538D"/>
    <w:rsid w:val="00DF635A"/>
    <w:rsid w:val="00DF6BB3"/>
    <w:rsid w:val="00E00857"/>
    <w:rsid w:val="00E042F4"/>
    <w:rsid w:val="00E04732"/>
    <w:rsid w:val="00E04812"/>
    <w:rsid w:val="00E05096"/>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1A47"/>
    <w:rsid w:val="00E51C29"/>
    <w:rsid w:val="00E54722"/>
    <w:rsid w:val="00E547F0"/>
    <w:rsid w:val="00E55A96"/>
    <w:rsid w:val="00E577F2"/>
    <w:rsid w:val="00E620A8"/>
    <w:rsid w:val="00E63C52"/>
    <w:rsid w:val="00E64254"/>
    <w:rsid w:val="00E6637B"/>
    <w:rsid w:val="00E67D1E"/>
    <w:rsid w:val="00E7033D"/>
    <w:rsid w:val="00E74981"/>
    <w:rsid w:val="00E76148"/>
    <w:rsid w:val="00E8472C"/>
    <w:rsid w:val="00E84DF2"/>
    <w:rsid w:val="00E84F99"/>
    <w:rsid w:val="00E86FCB"/>
    <w:rsid w:val="00E87A1A"/>
    <w:rsid w:val="00E90A56"/>
    <w:rsid w:val="00E918BD"/>
    <w:rsid w:val="00E92F16"/>
    <w:rsid w:val="00E94F15"/>
    <w:rsid w:val="00EA02F6"/>
    <w:rsid w:val="00EA1B23"/>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E0450"/>
    <w:rsid w:val="00EE37C8"/>
    <w:rsid w:val="00EE59BC"/>
    <w:rsid w:val="00EE7A85"/>
    <w:rsid w:val="00EF45D4"/>
    <w:rsid w:val="00EF59CB"/>
    <w:rsid w:val="00F0047B"/>
    <w:rsid w:val="00F016FA"/>
    <w:rsid w:val="00F02173"/>
    <w:rsid w:val="00F03ADC"/>
    <w:rsid w:val="00F03FBE"/>
    <w:rsid w:val="00F04342"/>
    <w:rsid w:val="00F048D9"/>
    <w:rsid w:val="00F04E22"/>
    <w:rsid w:val="00F05755"/>
    <w:rsid w:val="00F100A6"/>
    <w:rsid w:val="00F125FF"/>
    <w:rsid w:val="00F12675"/>
    <w:rsid w:val="00F12E9C"/>
    <w:rsid w:val="00F13E8E"/>
    <w:rsid w:val="00F149F6"/>
    <w:rsid w:val="00F151DB"/>
    <w:rsid w:val="00F22A55"/>
    <w:rsid w:val="00F23F94"/>
    <w:rsid w:val="00F24030"/>
    <w:rsid w:val="00F242B0"/>
    <w:rsid w:val="00F242B2"/>
    <w:rsid w:val="00F256D4"/>
    <w:rsid w:val="00F257E5"/>
    <w:rsid w:val="00F25C6B"/>
    <w:rsid w:val="00F270D4"/>
    <w:rsid w:val="00F27F09"/>
    <w:rsid w:val="00F3027E"/>
    <w:rsid w:val="00F3092F"/>
    <w:rsid w:val="00F30EA4"/>
    <w:rsid w:val="00F3488E"/>
    <w:rsid w:val="00F36FF9"/>
    <w:rsid w:val="00F3762F"/>
    <w:rsid w:val="00F37AC1"/>
    <w:rsid w:val="00F4077B"/>
    <w:rsid w:val="00F41DFE"/>
    <w:rsid w:val="00F43CCF"/>
    <w:rsid w:val="00F4490B"/>
    <w:rsid w:val="00F451CB"/>
    <w:rsid w:val="00F45FA5"/>
    <w:rsid w:val="00F5049B"/>
    <w:rsid w:val="00F51F08"/>
    <w:rsid w:val="00F52571"/>
    <w:rsid w:val="00F54AF5"/>
    <w:rsid w:val="00F55678"/>
    <w:rsid w:val="00F57A04"/>
    <w:rsid w:val="00F644CD"/>
    <w:rsid w:val="00F65523"/>
    <w:rsid w:val="00F6664A"/>
    <w:rsid w:val="00F674FB"/>
    <w:rsid w:val="00F7052D"/>
    <w:rsid w:val="00F737C1"/>
    <w:rsid w:val="00F768B9"/>
    <w:rsid w:val="00F80D9C"/>
    <w:rsid w:val="00F825B6"/>
    <w:rsid w:val="00F83075"/>
    <w:rsid w:val="00F84F1C"/>
    <w:rsid w:val="00FA093F"/>
    <w:rsid w:val="00FA3E37"/>
    <w:rsid w:val="00FA546C"/>
    <w:rsid w:val="00FA76F1"/>
    <w:rsid w:val="00FB15A3"/>
    <w:rsid w:val="00FB2DB4"/>
    <w:rsid w:val="00FB6CC3"/>
    <w:rsid w:val="00FB729A"/>
    <w:rsid w:val="00FC3E30"/>
    <w:rsid w:val="00FC4B01"/>
    <w:rsid w:val="00FC4C9C"/>
    <w:rsid w:val="00FC55AB"/>
    <w:rsid w:val="00FC6A56"/>
    <w:rsid w:val="00FC74B1"/>
    <w:rsid w:val="00FD0D52"/>
    <w:rsid w:val="00FD107E"/>
    <w:rsid w:val="00FD40F2"/>
    <w:rsid w:val="00FD5090"/>
    <w:rsid w:val="00FD5B6B"/>
    <w:rsid w:val="00FD7085"/>
    <w:rsid w:val="00FE122A"/>
    <w:rsid w:val="00FE2544"/>
    <w:rsid w:val="00FE41D5"/>
    <w:rsid w:val="00FE43B3"/>
    <w:rsid w:val="00FE48E3"/>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
    <w:name w:val="Unresolved Mention"/>
    <w:rsid w:val="002E5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17241733338/Fusion%20Connect%20Section%20214%20TOC%20Application%20.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