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30159790">
            <w:pPr>
              <w:tabs>
                <w:tab w:val="center" w:pos="4680"/>
              </w:tabs>
              <w:suppressAutoHyphens/>
              <w:rPr>
                <w:b/>
                <w:bCs/>
                <w:spacing w:val="-2"/>
              </w:rPr>
            </w:pPr>
            <w:r>
              <w:rPr>
                <w:b/>
                <w:bCs/>
                <w:spacing w:val="-2"/>
              </w:rPr>
              <w:t>International Broadcasting Corporation</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5AE5C3C9">
            <w:pPr>
              <w:tabs>
                <w:tab w:val="center" w:pos="4680"/>
              </w:tabs>
              <w:suppressAutoHyphens/>
              <w:rPr>
                <w:spacing w:val="-2"/>
              </w:rPr>
            </w:pPr>
            <w:r w:rsidRPr="00140750">
              <w:rPr>
                <w:spacing w:val="-2"/>
              </w:rPr>
              <w:t xml:space="preserve">FM Translator Station </w:t>
            </w:r>
            <w:r w:rsidR="001240CA">
              <w:rPr>
                <w:spacing w:val="-2"/>
              </w:rPr>
              <w:t>W</w:t>
            </w:r>
            <w:r w:rsidR="00F56AF6">
              <w:rPr>
                <w:spacing w:val="-2"/>
              </w:rPr>
              <w:t>293DE</w:t>
            </w:r>
          </w:p>
          <w:p w:rsidR="004C2EE3" w:rsidRPr="007115F7" w:rsidP="00140750" w14:paraId="310B4D25" w14:textId="484F4C25">
            <w:pPr>
              <w:tabs>
                <w:tab w:val="center" w:pos="4680"/>
              </w:tabs>
              <w:suppressAutoHyphens/>
              <w:rPr>
                <w:spacing w:val="-2"/>
              </w:rPr>
            </w:pPr>
            <w:r>
              <w:rPr>
                <w:spacing w:val="-2"/>
              </w:rPr>
              <w:t>Guayama</w:t>
            </w:r>
            <w:r>
              <w:rPr>
                <w:spacing w:val="-2"/>
              </w:rPr>
              <w:t>, Puerto Rico</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17FB4D00">
            <w:pPr>
              <w:pStyle w:val="TOAHeading"/>
              <w:tabs>
                <w:tab w:val="center" w:pos="4680"/>
              </w:tabs>
              <w:rPr>
                <w:spacing w:val="-2"/>
              </w:rPr>
            </w:pPr>
            <w:r w:rsidRPr="00140750">
              <w:rPr>
                <w:spacing w:val="-2"/>
              </w:rPr>
              <w:t xml:space="preserve">Facility ID No. </w:t>
            </w:r>
            <w:r w:rsidR="00441308">
              <w:rPr>
                <w:spacing w:val="-2"/>
              </w:rPr>
              <w:t>20</w:t>
            </w:r>
            <w:r w:rsidR="001240CA">
              <w:rPr>
                <w:spacing w:val="-2"/>
              </w:rPr>
              <w:t>0</w:t>
            </w:r>
            <w:r w:rsidR="00F56AF6">
              <w:rPr>
                <w:spacing w:val="-2"/>
              </w:rPr>
              <w:t>724</w:t>
            </w:r>
          </w:p>
          <w:p w:rsidR="00140750" w:rsidRPr="00140750" w:rsidP="00140750" w14:paraId="31F6B7E1" w14:textId="0D06905C">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F56AF6">
              <w:rPr>
                <w:spacing w:val="-2"/>
              </w:rPr>
              <w:t>2</w:t>
            </w:r>
            <w:r w:rsidRPr="00140750">
              <w:rPr>
                <w:spacing w:val="-2"/>
              </w:rPr>
              <w:t>414100</w:t>
            </w:r>
            <w:bookmarkEnd w:id="0"/>
            <w:r w:rsidR="007751A8">
              <w:rPr>
                <w:spacing w:val="-2"/>
              </w:rPr>
              <w:t>01</w:t>
            </w:r>
          </w:p>
          <w:p w:rsidR="00140750" w:rsidRPr="00140750" w:rsidP="00140750" w14:paraId="60F8F9FE" w14:textId="21A43369">
            <w:pPr>
              <w:pStyle w:val="TOAHeading"/>
              <w:tabs>
                <w:tab w:val="center" w:pos="4680"/>
              </w:tabs>
              <w:rPr>
                <w:spacing w:val="-2"/>
              </w:rPr>
            </w:pPr>
            <w:r w:rsidRPr="00140750">
              <w:rPr>
                <w:spacing w:val="-2"/>
              </w:rPr>
              <w:t>FRN:</w:t>
            </w:r>
            <w:r w:rsidR="002172BD">
              <w:rPr>
                <w:spacing w:val="-2"/>
              </w:rPr>
              <w:t xml:space="preserve"> </w:t>
            </w:r>
            <w:r w:rsidR="001240CA">
              <w:rPr>
                <w:spacing w:val="-2"/>
              </w:rPr>
              <w:t>00</w:t>
            </w:r>
            <w:r w:rsidR="00F56AF6">
              <w:rPr>
                <w:spacing w:val="-2"/>
              </w:rPr>
              <w:t>25144825</w:t>
            </w:r>
          </w:p>
          <w:p w:rsidR="004C2EE3" w:rsidP="00140750" w14:paraId="0C593CF4" w14:textId="34693DC3">
            <w:pPr>
              <w:tabs>
                <w:tab w:val="center" w:pos="4680"/>
              </w:tabs>
              <w:suppressAutoHyphens/>
              <w:rPr>
                <w:spacing w:val="-2"/>
              </w:rPr>
            </w:pPr>
            <w:r w:rsidRPr="00140750">
              <w:rPr>
                <w:spacing w:val="-2"/>
              </w:rPr>
              <w:t xml:space="preserve">File No. </w:t>
            </w:r>
            <w:r w:rsidR="00596F9E">
              <w:rPr>
                <w:spacing w:val="-2"/>
              </w:rPr>
              <w:t>0000</w:t>
            </w:r>
            <w:r w:rsidR="00F56AF6">
              <w:rPr>
                <w:spacing w:val="-2"/>
              </w:rPr>
              <w:t>177623</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DDC4E1A">
      <w:pPr>
        <w:tabs>
          <w:tab w:val="left" w:pos="720"/>
          <w:tab w:val="right" w:pos="9360"/>
        </w:tabs>
        <w:suppressAutoHyphens/>
        <w:spacing w:line="227" w:lineRule="auto"/>
        <w:rPr>
          <w:spacing w:val="-2"/>
        </w:rPr>
      </w:pPr>
      <w:r w:rsidRPr="003F17E2">
        <w:rPr>
          <w:b/>
          <w:spacing w:val="-2"/>
        </w:rPr>
        <w:t xml:space="preserve">Adopted:  </w:t>
      </w:r>
      <w:r w:rsidR="007751A8">
        <w:rPr>
          <w:b/>
          <w:spacing w:val="-2"/>
        </w:rPr>
        <w:t>January 13, 2022</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7751A8">
        <w:rPr>
          <w:b/>
          <w:spacing w:val="-2"/>
        </w:rPr>
        <w:t>January 13, 2022</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2AAE9278">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F56AF6">
        <w:t>International Broadcasting Corporation</w:t>
      </w:r>
      <w:r w:rsidR="001240CA">
        <w:t>.</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F56AF6">
        <w:t xml:space="preserve">W293DE, </w:t>
      </w:r>
      <w:r w:rsidR="00F56AF6">
        <w:t>Guayama</w:t>
      </w:r>
      <w:r w:rsidR="00F56AF6">
        <w:t>, Puerto Rico</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140750" w:rsidRPr="00146D8A" w:rsidP="00E32F73" w14:paraId="6BFD0F40" w14:textId="08DDAE91">
      <w:pPr>
        <w:pStyle w:val="ParaNum"/>
        <w:widowControl/>
      </w:pPr>
      <w:r>
        <w:t xml:space="preserve">The Bureau issued Permittee a construction permit for the Translator on January </w:t>
      </w:r>
      <w:r w:rsidR="005D0C20">
        <w:t>10</w:t>
      </w:r>
      <w:r w:rsidR="00441308">
        <w:t>,</w:t>
      </w:r>
      <w:r>
        <w:t xml:space="preserve"> 2018, with an expiration date of January </w:t>
      </w:r>
      <w:r w:rsidR="0006558A">
        <w:t xml:space="preserve">10, </w:t>
      </w:r>
      <w:r>
        <w:t>2021</w:t>
      </w:r>
      <w:r w:rsidR="00F94259">
        <w:t xml:space="preserve"> (Permit)</w:t>
      </w:r>
      <w:r>
        <w:t>.</w:t>
      </w:r>
      <w:r>
        <w:rPr>
          <w:rStyle w:val="FootnoteReference"/>
        </w:rPr>
        <w:footnoteReference w:id="6"/>
      </w:r>
      <w:r>
        <w:t xml:space="preserve"> </w:t>
      </w:r>
      <w:r w:rsidR="00A41060">
        <w:t xml:space="preserve"> </w:t>
      </w:r>
      <w:r w:rsidR="00275A56">
        <w:t>However, Permittee</w:t>
      </w:r>
      <w:r w:rsidR="00C27060">
        <w:t xml:space="preserve"> </w:t>
      </w:r>
      <w:r w:rsidR="00D60D91">
        <w:t>did not</w:t>
      </w:r>
      <w:r w:rsidR="00275A56">
        <w:t xml:space="preserve"> file a covering license application by </w:t>
      </w:r>
      <w:r w:rsidR="00441308">
        <w:t xml:space="preserve">January </w:t>
      </w:r>
      <w:r w:rsidR="0006558A">
        <w:t>10</w:t>
      </w:r>
      <w:r w:rsidR="00275A56">
        <w:t>, 2021,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7"/>
      </w:r>
      <w:r w:rsidR="00A41060">
        <w:t xml:space="preserve"> </w:t>
      </w:r>
      <w:r w:rsidR="00025331">
        <w:t xml:space="preserve"> O</w:t>
      </w:r>
      <w:r w:rsidR="00AF350B">
        <w:t>n</w:t>
      </w:r>
      <w:r w:rsidR="00025331">
        <w:t xml:space="preserve"> </w:t>
      </w:r>
      <w:r w:rsidR="0006558A">
        <w:t>November 10</w:t>
      </w:r>
      <w:r w:rsidR="00025331">
        <w:t xml:space="preserve">, 2021, </w:t>
      </w:r>
      <w:r w:rsidR="003946B0">
        <w:t>Permittee</w:t>
      </w:r>
      <w:r w:rsidR="00025331">
        <w:t xml:space="preserve"> filed a Petition for </w:t>
      </w:r>
      <w:r w:rsidR="00AF350B">
        <w:t>Reconsideration</w:t>
      </w:r>
      <w:r w:rsidR="00025331">
        <w:t xml:space="preserve"> </w:t>
      </w:r>
      <w:r w:rsidR="00F94259">
        <w:t>(Petition)</w:t>
      </w:r>
      <w:r w:rsidR="00025331">
        <w:t xml:space="preserve">, </w:t>
      </w:r>
      <w:r w:rsidR="00AF350B">
        <w:t>demonstrating</w:t>
      </w:r>
      <w:r w:rsidR="00025331">
        <w:t xml:space="preserve"> that the Translator was constructed prior to the expiration of the Permit.</w:t>
      </w:r>
      <w:r>
        <w:rPr>
          <w:rStyle w:val="FootnoteReference"/>
        </w:rPr>
        <w:footnoteReference w:id="8"/>
      </w:r>
      <w:r w:rsidR="00025331">
        <w:t xml:space="preserve">  The staff treated the Petition as a request for waiver of section 73.3598 of the Rules, granted the </w:t>
      </w:r>
      <w:r w:rsidR="00C27060">
        <w:t xml:space="preserve">waiver, </w:t>
      </w:r>
      <w:r w:rsidR="00E76FAC">
        <w:t xml:space="preserve">reinstated the Permit, and </w:t>
      </w:r>
      <w:r w:rsidR="00AD0047">
        <w:t>instructed the</w:t>
      </w:r>
      <w:r w:rsidR="00E76FAC">
        <w:t xml:space="preserve"> Permittee to file a covering license application for the Permit.</w:t>
      </w:r>
      <w:r>
        <w:rPr>
          <w:rStyle w:val="FootnoteReference"/>
        </w:rPr>
        <w:footnoteReference w:id="9"/>
      </w:r>
      <w:r w:rsidR="00E76FAC">
        <w:t xml:space="preserve">  Permittee filed the Application on November 22, 2021.</w:t>
      </w:r>
    </w:p>
    <w:p w:rsidR="00140750" w:rsidRPr="00146D8A" w:rsidP="00140750" w14:paraId="663EEE6D" w14:textId="77777777">
      <w:pPr>
        <w:pStyle w:val="Heading1"/>
        <w:rPr>
          <w:szCs w:val="22"/>
        </w:rPr>
      </w:pPr>
      <w:r w:rsidRPr="00753410">
        <w:t>DISCUSSION</w:t>
      </w:r>
    </w:p>
    <w:p w:rsidR="00140750" w:rsidRPr="00146D8A" w:rsidP="00F94259" w14:paraId="174DC642" w14:textId="7628FEB2">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341891">
        <w:t xml:space="preserve">January </w:t>
      </w:r>
      <w:r w:rsidR="00A07F07">
        <w:t>10</w:t>
      </w:r>
      <w:r w:rsidR="00341891">
        <w:t>, 2021 and</w:t>
      </w:r>
      <w:r w:rsidR="000B44EA">
        <w:t xml:space="preserve"> did not seek </w:t>
      </w:r>
      <w:r w:rsidR="00F94259">
        <w:t>special temporary authority</w:t>
      </w:r>
      <w:r w:rsidR="000B44EA">
        <w:t xml:space="preserve"> to operate with those facilities.  Thus, </w:t>
      </w:r>
      <w:r w:rsidR="003946B0">
        <w:t>Permittee</w:t>
      </w:r>
      <w:r w:rsidR="000B44EA">
        <w:t xml:space="preserve"> engaged in unauthorized operation for </w:t>
      </w:r>
      <w:r w:rsidR="00E76FAC">
        <w:t>ten</w:t>
      </w:r>
      <w:r w:rsidR="00D6392C">
        <w:t xml:space="preserve"> month</w:t>
      </w:r>
      <w:r w:rsidR="00E32F73">
        <w:t>s</w:t>
      </w:r>
      <w:r w:rsidR="00D6392C">
        <w:t xml:space="preserve"> </w:t>
      </w:r>
      <w:r w:rsidR="000B44EA">
        <w:t xml:space="preserve">in violation of </w:t>
      </w:r>
      <w:r w:rsidR="00D6392C">
        <w:t>s</w:t>
      </w:r>
      <w:r w:rsidR="000B44EA">
        <w:t>ection 301 of the Act</w:t>
      </w:r>
      <w:r w:rsidR="00341891">
        <w:t xml:space="preserve"> before attempting to file the appropriate covering license application</w:t>
      </w:r>
      <w:r w:rsidR="000B44EA">
        <w: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0"/>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1"/>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2"/>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3"/>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4"/>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5"/>
      </w:r>
      <w:r w:rsidR="00BF575C">
        <w:t xml:space="preserve">  The guidelines also specify a base forfeiture amount of $10,000 for construction and/or operation without an instrument of authorization for the service.</w:t>
      </w:r>
      <w:r>
        <w:rPr>
          <w:rStyle w:val="FootnoteReference"/>
        </w:rPr>
        <w:footnoteReference w:id="16"/>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7"/>
      </w:r>
      <w:r>
        <w:t xml:space="preserve">  </w:t>
      </w:r>
    </w:p>
    <w:p w:rsidR="00140750" w:rsidRPr="00221720" w:rsidP="00FF6072" w14:paraId="36D2D6B7" w14:textId="60E51D9C">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8"/>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F11399">
        <w:t xml:space="preserve">anuary </w:t>
      </w:r>
      <w:r w:rsidR="001D0823">
        <w:t>10</w:t>
      </w:r>
      <w:r w:rsidR="00341891">
        <w:t>,</w:t>
      </w:r>
      <w:r>
        <w:t xml:space="preserve">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19"/>
      </w:r>
      <w:r>
        <w:t xml:space="preserve"> </w:t>
      </w:r>
      <w:r w:rsidR="006255CA">
        <w:t xml:space="preserve"> </w:t>
      </w:r>
      <w:r>
        <w:t>We 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27347D8D">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0"/>
      </w:r>
      <w:r w:rsidRPr="00947B4D">
        <w:t xml:space="preserve"> </w:t>
      </w:r>
      <w:r w:rsidR="00A07F07">
        <w:t>International Broadcasting Corporation</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64F3F561">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w:t>
      </w:r>
      <w:r w:rsidR="00A07F07">
        <w:rPr>
          <w:i/>
        </w:rPr>
        <w:t>AL</w:t>
      </w:r>
      <w:r w:rsidR="00A07F07">
        <w:rPr>
          <w:iCs/>
        </w:rPr>
        <w:t>, International Broadcasting Corporation</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A07F07" w:rsidRPr="00BE3744" w:rsidP="00A07F07" w14:paraId="12F415D2" w14:textId="4B8E69FB">
      <w:pPr>
        <w:pStyle w:val="ParaNum"/>
        <w:widowControl/>
        <w:rPr>
          <w:szCs w:val="22"/>
        </w:rPr>
      </w:pPr>
      <w:r w:rsidRPr="00514C8E">
        <w:rPr>
          <w:szCs w:val="22"/>
        </w:rPr>
        <w:t xml:space="preserve">Payment of the </w:t>
      </w:r>
      <w:r w:rsidRPr="00A07F07">
        <w:rPr>
          <w:szCs w:val="22"/>
        </w:rPr>
        <w:t>forfeiture must be made by credit card, ACH (Automated Clearing House) debit from a bank account using CORES (the Commission’s online payment system),</w:t>
      </w:r>
      <w:r>
        <w:rPr>
          <w:rStyle w:val="FootnoteReference"/>
          <w:szCs w:val="22"/>
        </w:rPr>
        <w:footnoteReference w:id="21"/>
      </w:r>
      <w:r w:rsidRPr="00A07F07">
        <w:rPr>
          <w:szCs w:val="22"/>
        </w:rPr>
        <w:t xml:space="preserve"> or by wire transfer.  Payments by check or money order to pay a forfeiture are</w:t>
      </w:r>
      <w:r>
        <w:rPr>
          <w:szCs w:val="22"/>
        </w:rPr>
        <w:t xml:space="preserv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A07F07" w:rsidRPr="00514C8E" w:rsidP="00A07F07" w14:paraId="38F5CBCB"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A07F07" w:rsidP="00A07F07" w14:paraId="4897EE8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A07F07" w:rsidRPr="00546822" w:rsidP="00A07F07" w14:paraId="07A7A631" w14:textId="77777777">
      <w:pPr>
        <w:pStyle w:val="ParaNum"/>
        <w:widowControl/>
        <w:numPr>
          <w:ilvl w:val="0"/>
          <w:numId w:val="12"/>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4"/>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9"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5"/>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6"/>
      </w:r>
      <w:r>
        <w:t xml:space="preserve"> </w:t>
      </w:r>
      <w:r w:rsidRPr="001940F0">
        <w:t xml:space="preserve">A courtesy copy emailed to </w:t>
      </w:r>
      <w:hyperlink r:id="rId10"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7CC53EEA">
      <w:pPr>
        <w:pStyle w:val="ParaNum"/>
      </w:pPr>
      <w:r w:rsidRPr="00947B4D">
        <w:t>The Commission will not consider reducing or canceling a forfeiture in response to a claim of inability to pay</w:t>
      </w:r>
      <w:r>
        <w:t xml:space="preserve"> unless the respondent submits: </w:t>
      </w:r>
      <w:r w:rsidRPr="00947B4D">
        <w:t>(1) federal tax returns for the most recent three-</w:t>
      </w:r>
      <w:r w:rsidRPr="00947B4D">
        <w:t xml:space="preserv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7"/>
      </w:r>
      <w:r w:rsidRPr="005F7F74" w:rsidR="005F7F74">
        <w:t xml:space="preserve">  </w:t>
      </w:r>
    </w:p>
    <w:p w:rsidR="00140750" w:rsidRPr="008D4F70" w:rsidP="00BD2A6A" w14:paraId="27B417DC" w14:textId="6163153C">
      <w:pPr>
        <w:pStyle w:val="ParaNum"/>
        <w:keepNext/>
        <w:keepLines/>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w:t>
      </w:r>
      <w:r w:rsidR="004478DF">
        <w:t xml:space="preserve"> to </w:t>
      </w:r>
      <w:r w:rsidR="007240F2">
        <w:t xml:space="preserve">International Broadcasting Corporation, c/o Angle Roman, Calle </w:t>
      </w:r>
      <w:r w:rsidR="007240F2">
        <w:t>Bori</w:t>
      </w:r>
      <w:r w:rsidR="007240F2">
        <w:t xml:space="preserve"> #1554, Urb Caribe, San Juan, PR 00927</w:t>
      </w:r>
      <w:r w:rsidR="00BD2A6A">
        <w:t xml:space="preserve">, and to its counsel, </w:t>
      </w:r>
      <w:r w:rsidR="00A07F07">
        <w:t>Francisco Montero</w:t>
      </w:r>
      <w:r w:rsidR="00BD2A6A">
        <w:t>, Esq, Fletcher, Heald &amp; Hildreth, P.L.C., 1300 N. 17</w:t>
      </w:r>
      <w:r w:rsidRPr="00BD2A6A" w:rsidR="00BD2A6A">
        <w:rPr>
          <w:vertAlign w:val="superscript"/>
        </w:rPr>
        <w:t>th</w:t>
      </w:r>
      <w:r w:rsidR="00BD2A6A">
        <w:t xml:space="preserve"> Street, Eleventh Floor, Arlington, VA 22209</w:t>
      </w:r>
      <w:r w:rsidR="00D60D91">
        <w:t>.</w:t>
      </w:r>
    </w:p>
    <w:p w:rsidR="00140750" w:rsidP="00BD2A6A" w14:paraId="0D7BDCF6" w14:textId="77777777">
      <w:pPr>
        <w:keepNext/>
        <w:keepLines/>
      </w:pPr>
      <w:r>
        <w:tab/>
      </w:r>
      <w:r>
        <w:tab/>
      </w:r>
      <w:r>
        <w:tab/>
      </w:r>
      <w:r>
        <w:tab/>
      </w:r>
      <w:r>
        <w:tab/>
      </w:r>
      <w:r>
        <w:tab/>
        <w:t>FEDERAL COMMUNICATIONS COMMISSION</w:t>
      </w:r>
    </w:p>
    <w:p w:rsidR="00140750" w:rsidP="00BD2A6A" w14:paraId="63D88502" w14:textId="77777777">
      <w:pPr>
        <w:keepNext/>
        <w:keepLines/>
      </w:pPr>
    </w:p>
    <w:p w:rsidR="00140750" w:rsidP="00BD2A6A" w14:paraId="04738E0C" w14:textId="77777777">
      <w:pPr>
        <w:keepNext/>
        <w:keepLines/>
      </w:pPr>
    </w:p>
    <w:p w:rsidR="00140750" w:rsidP="00BD2A6A" w14:paraId="601D208C" w14:textId="77777777">
      <w:pPr>
        <w:keepNext/>
        <w:keepLines/>
      </w:pPr>
    </w:p>
    <w:p w:rsidR="00140750" w:rsidP="00BD2A6A" w14:paraId="587691EB" w14:textId="77777777">
      <w:pPr>
        <w:keepNext/>
        <w:keepLines/>
      </w:pPr>
    </w:p>
    <w:p w:rsidR="00140750" w:rsidP="00BD2A6A" w14:paraId="57C8D643" w14:textId="77777777">
      <w:pPr>
        <w:keepNext/>
        <w:keepLines/>
      </w:pPr>
      <w:r>
        <w:tab/>
      </w:r>
      <w:r>
        <w:tab/>
      </w:r>
      <w:r>
        <w:tab/>
      </w:r>
      <w:r>
        <w:tab/>
      </w:r>
      <w:r>
        <w:tab/>
      </w:r>
      <w:r>
        <w:tab/>
        <w:t>Albert Shuldiner</w:t>
      </w:r>
    </w:p>
    <w:p w:rsidR="00140750" w:rsidP="00BD2A6A" w14:paraId="4ED0A5C6" w14:textId="77777777">
      <w:pPr>
        <w:keepNext/>
        <w:keepLines/>
      </w:pPr>
      <w:r>
        <w:tab/>
      </w:r>
      <w:r>
        <w:tab/>
      </w:r>
      <w:r>
        <w:tab/>
      </w:r>
      <w:r>
        <w:tab/>
      </w:r>
      <w:r>
        <w:tab/>
      </w:r>
      <w:r>
        <w:tab/>
        <w:t>Chief, Audio Division</w:t>
      </w:r>
    </w:p>
    <w:p w:rsidR="00412FC5" w:rsidP="00BD2A6A" w14:paraId="5A1D65FF" w14:textId="4414A7C5">
      <w:pPr>
        <w:keepNext/>
        <w:keepLines/>
      </w:pPr>
      <w:r>
        <w:tab/>
      </w:r>
      <w:r>
        <w:tab/>
      </w:r>
      <w:r>
        <w:tab/>
      </w:r>
      <w:r>
        <w:tab/>
      </w:r>
      <w:r>
        <w:tab/>
      </w:r>
      <w:r>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84612F" w14:paraId="3B7EB862" w14:textId="682B1687">
      <w:pPr>
        <w:pStyle w:val="FootnoteText"/>
      </w:pPr>
      <w:r>
        <w:rPr>
          <w:rStyle w:val="FootnoteReference"/>
        </w:rPr>
        <w:footnoteRef/>
      </w:r>
      <w:r>
        <w:t xml:space="preserve"> </w:t>
      </w:r>
      <w:r>
        <w:t>File No. BNPFT-20171201ALL.</w:t>
      </w:r>
    </w:p>
  </w:footnote>
  <w:footnote w:id="7">
    <w:p w:rsidR="00A41060" w:rsidRPr="00C17963" w:rsidP="00A41060" w14:paraId="4353A7E7" w14:textId="77777777">
      <w:pPr>
        <w:pStyle w:val="FootnoteText"/>
      </w:pPr>
      <w:r>
        <w:rPr>
          <w:rStyle w:val="FootnoteReference"/>
        </w:rPr>
        <w:footnoteRef/>
      </w:r>
      <w:r w:rsidRPr="00C17963">
        <w:t xml:space="preserve"> </w:t>
      </w:r>
      <w:r w:rsidRPr="00C17963">
        <w:t>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8">
    <w:p w:rsidR="00F92E03" w14:paraId="504476AF" w14:textId="4080C1CB">
      <w:pPr>
        <w:pStyle w:val="FootnoteText"/>
      </w:pPr>
      <w:r>
        <w:rPr>
          <w:rStyle w:val="FootnoteReference"/>
        </w:rPr>
        <w:footnoteRef/>
      </w:r>
      <w:r>
        <w:t xml:space="preserve"> </w:t>
      </w:r>
      <w:r>
        <w:t>Pleading File No. 168014 (filed Nov. 10, 2021);</w:t>
      </w:r>
      <w:r w:rsidR="00E76FAC">
        <w:t xml:space="preserve"> </w:t>
      </w:r>
      <w:r w:rsidR="00E76FAC">
        <w:rPr>
          <w:i/>
          <w:iCs/>
        </w:rPr>
        <w:t>see also</w:t>
      </w:r>
      <w:r>
        <w:t xml:space="preserve"> Email from </w:t>
      </w:r>
      <w:r w:rsidR="00E76FAC">
        <w:t xml:space="preserve">Seth Williams, Esq., Fletcher, Heald &amp; Hildreth, P.L.C., to Alexander Sanjenis, Audio Division, FCC Media Bureau (Nov. 23, 2021, 10:09 AM EST). </w:t>
      </w:r>
    </w:p>
  </w:footnote>
  <w:footnote w:id="9">
    <w:p w:rsidR="00E76FAC" w:rsidRPr="002476A5" w:rsidP="00E76FAC" w14:paraId="691D89EF" w14:textId="78A0B3A9">
      <w:pPr>
        <w:pStyle w:val="FootnoteText"/>
        <w:rPr>
          <w:i/>
          <w:iCs/>
        </w:rPr>
      </w:pPr>
      <w:r>
        <w:rPr>
          <w:rStyle w:val="FootnoteReference"/>
        </w:rPr>
        <w:footnoteRef/>
      </w:r>
      <w:r>
        <w:t xml:space="preserve"> </w:t>
      </w:r>
      <w:r>
        <w:t xml:space="preserve">Email from James Bradshaw, Deputy Chief, Audio Division, FCC Media Bureau, to Frank Montero, Esq, Fletcher, Heald &amp; Hildreth, P.L.C. </w:t>
      </w:r>
      <w:r w:rsidRPr="00AD0047">
        <w:t>(</w:t>
      </w:r>
      <w:r w:rsidRPr="00AD0047" w:rsidR="00AD0047">
        <w:t>Dec. 17</w:t>
      </w:r>
      <w:r w:rsidRPr="00AD0047">
        <w:t>, 202</w:t>
      </w:r>
      <w:r w:rsidRPr="00AD0047" w:rsidR="00AD0047">
        <w:t>1</w:t>
      </w:r>
      <w:r w:rsidRPr="00AD0047">
        <w:t xml:space="preserve">, </w:t>
      </w:r>
      <w:r w:rsidRPr="00AD0047" w:rsidR="00AD0047">
        <w:t>11</w:t>
      </w:r>
      <w:r w:rsidR="00AD0047">
        <w:t>:37 AM</w:t>
      </w:r>
      <w:r>
        <w:t xml:space="preserve"> E</w:t>
      </w:r>
      <w:r w:rsidR="00AD0047">
        <w:t>D</w:t>
      </w:r>
      <w:r>
        <w:t xml:space="preserve">T).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 xml:space="preserve">26 FCC </w:t>
      </w:r>
      <w:r w:rsidRPr="001F7DA5">
        <w:t>Rcd</w:t>
      </w:r>
      <w:r w:rsidRPr="001F7DA5">
        <w:t xml:space="preserve">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Pr>
          <w:i/>
          <w:iCs/>
        </w:rPr>
        <w:t>Cranesville</w:t>
      </w:r>
      <w:r w:rsidRPr="005E2DDC">
        <w:rPr>
          <w:i/>
          <w:iCs/>
        </w:rPr>
        <w:t xml:space="preserve"> Block Company, Inc.</w:t>
      </w:r>
      <w:r w:rsidRPr="005E2DDC">
        <w:t xml:space="preserve">, Letter Order, 27 FCC </w:t>
      </w:r>
      <w:r w:rsidRPr="005E2DDC">
        <w:t>Rcd</w:t>
      </w:r>
      <w:r w:rsidRPr="005E2DDC">
        <w:t xml:space="preserve"> 2018</w:t>
      </w:r>
      <w:r>
        <w:t xml:space="preserve">, </w:t>
      </w:r>
      <w:r w:rsidRPr="005E2DDC">
        <w:t xml:space="preserve">2019-20 </w:t>
      </w:r>
      <w:r>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10">
    <w:p w:rsidR="00140750" w:rsidRPr="00E4519B" w:rsidP="003F17E2" w14:paraId="3B0A197D" w14:textId="77777777">
      <w:pPr>
        <w:pStyle w:val="FootnoteText"/>
        <w:widowControl w:val="0"/>
      </w:pPr>
      <w:r w:rsidRPr="00E4519B">
        <w:rPr>
          <w:rStyle w:val="FootnoteReference"/>
        </w:rPr>
        <w:footnoteRef/>
      </w:r>
      <w:r w:rsidRPr="00E4519B">
        <w:t xml:space="preserve"> </w:t>
      </w:r>
      <w:r w:rsidRPr="00E4519B">
        <w:t xml:space="preserve">47 U.S.C. § 503(b)(1)(B).  </w:t>
      </w:r>
      <w:r w:rsidRPr="00E4519B">
        <w:rPr>
          <w:i/>
        </w:rPr>
        <w:t>S</w:t>
      </w:r>
      <w:r w:rsidRPr="00E4519B">
        <w:rPr>
          <w:i/>
          <w:iCs/>
        </w:rPr>
        <w:t>ee also</w:t>
      </w:r>
      <w:r w:rsidRPr="00E4519B">
        <w:t xml:space="preserve"> 47 CFR</w:t>
      </w:r>
      <w:r>
        <w:t xml:space="preserve"> </w:t>
      </w:r>
      <w:r w:rsidRPr="00E4519B">
        <w:t>§ 1.80(a)(1).</w:t>
      </w:r>
    </w:p>
  </w:footnote>
  <w:footnote w:id="11">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2">
    <w:p w:rsidR="00140750" w:rsidRPr="00D64E57" w:rsidP="003F17E2" w14:paraId="1BF92BF5"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3">
    <w:p w:rsidR="00140750" w:rsidRPr="00D64E57" w:rsidP="003F17E2" w14:paraId="41182A00" w14:textId="27375176">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4">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w:t>
      </w:r>
      <w:r w:rsidRPr="006F7D37">
        <w:rPr>
          <w:sz w:val="20"/>
        </w:rPr>
        <w:t xml:space="preserve">47 U.S.C. § 312(f)(2). </w:t>
      </w:r>
    </w:p>
  </w:footnote>
  <w:footnote w:id="15">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0B44EA">
        <w:rPr>
          <w:sz w:val="20"/>
        </w:rPr>
        <w:t>10</w:t>
      </w:r>
      <w:r>
        <w:rPr>
          <w:sz w:val="20"/>
        </w:rPr>
        <w:t>), note to paragraph (b)(</w:t>
      </w:r>
      <w:r w:rsidR="000B44EA">
        <w:rPr>
          <w:sz w:val="20"/>
        </w:rPr>
        <w:t>10</w:t>
      </w:r>
      <w:r>
        <w:rPr>
          <w:sz w:val="20"/>
        </w:rPr>
        <w:t>), Section I.</w:t>
      </w:r>
    </w:p>
  </w:footnote>
  <w:footnote w:id="16">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7">
    <w:p w:rsidR="00140750" w:rsidRPr="00D423B0" w:rsidP="003F17E2" w14:paraId="1DD85200" w14:textId="77777777">
      <w:pPr>
        <w:pStyle w:val="FootnoteText"/>
        <w:widowControl w:val="0"/>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1.80(b)(4). </w:t>
      </w:r>
    </w:p>
  </w:footnote>
  <w:footnote w:id="18">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w:t>
      </w:r>
      <w:r w:rsidR="00FC0CFA">
        <w:t>Rcd</w:t>
      </w:r>
      <w:r w:rsidR="00FC0CFA">
        <w:t xml:space="preserve">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w:t>
      </w:r>
      <w:r w:rsidR="001C5F2F">
        <w:t>Rcd</w:t>
      </w:r>
      <w:r w:rsidR="001C5F2F">
        <w:t xml:space="preserve">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9">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w:t>
      </w:r>
      <w:r w:rsidR="006255CA">
        <w:t>reducing $3,000 base forfeiture to</w:t>
      </w:r>
      <w:r>
        <w:t xml:space="preserve"> $1,500 for untimely filed renewal application </w:t>
      </w:r>
      <w:r w:rsidR="006255CA">
        <w:t>filed by</w:t>
      </w:r>
      <w:r>
        <w:t xml:space="preserve"> FM translator station).</w:t>
      </w:r>
    </w:p>
  </w:footnote>
  <w:footnote w:id="20">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1">
    <w:p w:rsidR="00A07F07" w:rsidRPr="00514C8E" w:rsidP="00A07F07" w14:paraId="459F48CB"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A07F07" w:rsidRPr="00514C8E" w:rsidP="00A07F07" w14:paraId="0AB866EC"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A07F07" w:rsidRPr="00514C8E" w:rsidP="00A07F07" w14:paraId="5F5110AC"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5">
    <w:p w:rsidR="00C6145C" w:rsidP="00C6145C" w14:paraId="21D533EE" w14:textId="1970BB38">
      <w:pPr>
        <w:pStyle w:val="FootnoteText"/>
        <w:widowControl w:val="0"/>
      </w:pPr>
      <w:r>
        <w:rPr>
          <w:rStyle w:val="FootnoteReference"/>
        </w:rPr>
        <w:footnoteRef/>
      </w:r>
      <w:r>
        <w:t xml:space="preserve"> </w:t>
      </w:r>
      <w:r>
        <w:t>47 CFR §§ 1.16 and 1.80(</w:t>
      </w:r>
      <w:r w:rsidR="001C5F2F">
        <w:t>g</w:t>
      </w:r>
      <w:r>
        <w:t>)(3).</w:t>
      </w:r>
    </w:p>
  </w:footnote>
  <w:footnote w:id="26">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7C6C4EF5">
    <w:pPr>
      <w:pStyle w:val="Header"/>
      <w:rPr>
        <w:b w:val="0"/>
      </w:rPr>
    </w:pPr>
    <w:r>
      <w:tab/>
    </w:r>
    <w:r>
      <w:t>Federal Communications Commission</w:t>
    </w:r>
    <w:r>
      <w:tab/>
    </w:r>
    <w:r w:rsidR="00140750">
      <w:t>DA 2</w:t>
    </w:r>
    <w:r w:rsidR="00A07F07">
      <w:t>2</w:t>
    </w:r>
    <w:r w:rsidR="00140750">
      <w:t>-</w:t>
    </w:r>
    <w:r w:rsidR="007751A8">
      <w:t>37</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685410C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40750">
      <w:rPr>
        <w:spacing w:val="-2"/>
      </w:rPr>
      <w:t>DA 2</w:t>
    </w:r>
    <w:r w:rsidR="007751A8">
      <w:rPr>
        <w:spacing w:val="-2"/>
      </w:rPr>
      <w:t>2</w:t>
    </w:r>
    <w:r w:rsidR="00140750">
      <w:rPr>
        <w:spacing w:val="-2"/>
      </w:rPr>
      <w:t>-</w:t>
    </w:r>
    <w:r w:rsidR="007751A8">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02F5"/>
    <w:rsid w:val="00021174"/>
    <w:rsid w:val="00025331"/>
    <w:rsid w:val="00025BF3"/>
    <w:rsid w:val="00036039"/>
    <w:rsid w:val="00037F90"/>
    <w:rsid w:val="00044E42"/>
    <w:rsid w:val="000634FA"/>
    <w:rsid w:val="0006558A"/>
    <w:rsid w:val="000725CB"/>
    <w:rsid w:val="000875BF"/>
    <w:rsid w:val="00093FC8"/>
    <w:rsid w:val="00096D8C"/>
    <w:rsid w:val="000A65AC"/>
    <w:rsid w:val="000B15EF"/>
    <w:rsid w:val="000B44EA"/>
    <w:rsid w:val="000C0B65"/>
    <w:rsid w:val="000C4D69"/>
    <w:rsid w:val="000D2FDB"/>
    <w:rsid w:val="000E05FE"/>
    <w:rsid w:val="000E3D42"/>
    <w:rsid w:val="000F2026"/>
    <w:rsid w:val="000F3DE4"/>
    <w:rsid w:val="000F6468"/>
    <w:rsid w:val="0010399E"/>
    <w:rsid w:val="00122BD5"/>
    <w:rsid w:val="001240CA"/>
    <w:rsid w:val="00124FB3"/>
    <w:rsid w:val="00132193"/>
    <w:rsid w:val="0013316D"/>
    <w:rsid w:val="00133F79"/>
    <w:rsid w:val="00140750"/>
    <w:rsid w:val="001416FB"/>
    <w:rsid w:val="00146D8A"/>
    <w:rsid w:val="00152E4C"/>
    <w:rsid w:val="00152F4B"/>
    <w:rsid w:val="00175910"/>
    <w:rsid w:val="00187498"/>
    <w:rsid w:val="001940F0"/>
    <w:rsid w:val="00194A66"/>
    <w:rsid w:val="001C5F2F"/>
    <w:rsid w:val="001D0823"/>
    <w:rsid w:val="001D6BCF"/>
    <w:rsid w:val="001E01CA"/>
    <w:rsid w:val="001F7DA5"/>
    <w:rsid w:val="00215867"/>
    <w:rsid w:val="002172BD"/>
    <w:rsid w:val="00221720"/>
    <w:rsid w:val="00244DA3"/>
    <w:rsid w:val="00245789"/>
    <w:rsid w:val="002476A5"/>
    <w:rsid w:val="00250597"/>
    <w:rsid w:val="002546D1"/>
    <w:rsid w:val="00257770"/>
    <w:rsid w:val="00264220"/>
    <w:rsid w:val="00275A56"/>
    <w:rsid w:val="00275CF5"/>
    <w:rsid w:val="00282655"/>
    <w:rsid w:val="0028301F"/>
    <w:rsid w:val="00285017"/>
    <w:rsid w:val="002A2D2E"/>
    <w:rsid w:val="002C00E8"/>
    <w:rsid w:val="002C655D"/>
    <w:rsid w:val="002F1961"/>
    <w:rsid w:val="002F4279"/>
    <w:rsid w:val="00341891"/>
    <w:rsid w:val="00343749"/>
    <w:rsid w:val="003577E1"/>
    <w:rsid w:val="003660ED"/>
    <w:rsid w:val="003664DA"/>
    <w:rsid w:val="003946B0"/>
    <w:rsid w:val="003B0550"/>
    <w:rsid w:val="003B694F"/>
    <w:rsid w:val="003F171C"/>
    <w:rsid w:val="003F17E2"/>
    <w:rsid w:val="0040710E"/>
    <w:rsid w:val="00412FC5"/>
    <w:rsid w:val="00422276"/>
    <w:rsid w:val="004242F1"/>
    <w:rsid w:val="00434675"/>
    <w:rsid w:val="00441308"/>
    <w:rsid w:val="004450EA"/>
    <w:rsid w:val="00445A00"/>
    <w:rsid w:val="004478DF"/>
    <w:rsid w:val="00451B0F"/>
    <w:rsid w:val="00460B7A"/>
    <w:rsid w:val="004711FC"/>
    <w:rsid w:val="00476992"/>
    <w:rsid w:val="00481FFA"/>
    <w:rsid w:val="004B33E9"/>
    <w:rsid w:val="004B5D3F"/>
    <w:rsid w:val="004C2CAB"/>
    <w:rsid w:val="004C2EE3"/>
    <w:rsid w:val="004E40F1"/>
    <w:rsid w:val="004E4A22"/>
    <w:rsid w:val="00511968"/>
    <w:rsid w:val="00512D18"/>
    <w:rsid w:val="00513883"/>
    <w:rsid w:val="00514C8E"/>
    <w:rsid w:val="00525F98"/>
    <w:rsid w:val="005373CC"/>
    <w:rsid w:val="00546822"/>
    <w:rsid w:val="00555D44"/>
    <w:rsid w:val="0055614C"/>
    <w:rsid w:val="00566D06"/>
    <w:rsid w:val="00591AAC"/>
    <w:rsid w:val="00596F9E"/>
    <w:rsid w:val="005B2CE7"/>
    <w:rsid w:val="005B6CC4"/>
    <w:rsid w:val="005D0C20"/>
    <w:rsid w:val="005E14C2"/>
    <w:rsid w:val="005E2DDC"/>
    <w:rsid w:val="005F0307"/>
    <w:rsid w:val="005F5ACF"/>
    <w:rsid w:val="005F7F74"/>
    <w:rsid w:val="00600AB4"/>
    <w:rsid w:val="00607BA5"/>
    <w:rsid w:val="0061180A"/>
    <w:rsid w:val="00614D11"/>
    <w:rsid w:val="006255CA"/>
    <w:rsid w:val="00626EB6"/>
    <w:rsid w:val="00655D03"/>
    <w:rsid w:val="00683388"/>
    <w:rsid w:val="00683F84"/>
    <w:rsid w:val="006A6A81"/>
    <w:rsid w:val="006F7393"/>
    <w:rsid w:val="006F7D37"/>
    <w:rsid w:val="0070224F"/>
    <w:rsid w:val="0071139E"/>
    <w:rsid w:val="007115F7"/>
    <w:rsid w:val="007240F2"/>
    <w:rsid w:val="00753410"/>
    <w:rsid w:val="0077399F"/>
    <w:rsid w:val="007743C9"/>
    <w:rsid w:val="007751A8"/>
    <w:rsid w:val="00785689"/>
    <w:rsid w:val="0079754B"/>
    <w:rsid w:val="007A1E6D"/>
    <w:rsid w:val="007A2495"/>
    <w:rsid w:val="007A502A"/>
    <w:rsid w:val="007B0EB2"/>
    <w:rsid w:val="007B3516"/>
    <w:rsid w:val="007B357C"/>
    <w:rsid w:val="007B767F"/>
    <w:rsid w:val="007C476C"/>
    <w:rsid w:val="007D0C67"/>
    <w:rsid w:val="007D0E3F"/>
    <w:rsid w:val="007E569D"/>
    <w:rsid w:val="007F223C"/>
    <w:rsid w:val="007F42C5"/>
    <w:rsid w:val="00810B6F"/>
    <w:rsid w:val="00815718"/>
    <w:rsid w:val="00822CE0"/>
    <w:rsid w:val="00823FF9"/>
    <w:rsid w:val="00841AB1"/>
    <w:rsid w:val="0084612F"/>
    <w:rsid w:val="00874E66"/>
    <w:rsid w:val="008C4A33"/>
    <w:rsid w:val="008C6117"/>
    <w:rsid w:val="008C68F1"/>
    <w:rsid w:val="008D30C5"/>
    <w:rsid w:val="008D4F70"/>
    <w:rsid w:val="00921803"/>
    <w:rsid w:val="00926503"/>
    <w:rsid w:val="009377D8"/>
    <w:rsid w:val="00943ACD"/>
    <w:rsid w:val="00947B4D"/>
    <w:rsid w:val="009726D8"/>
    <w:rsid w:val="00982BF9"/>
    <w:rsid w:val="009D576D"/>
    <w:rsid w:val="009D7308"/>
    <w:rsid w:val="009F76DB"/>
    <w:rsid w:val="00A069B5"/>
    <w:rsid w:val="00A07F07"/>
    <w:rsid w:val="00A27808"/>
    <w:rsid w:val="00A32C3B"/>
    <w:rsid w:val="00A41060"/>
    <w:rsid w:val="00A45F4F"/>
    <w:rsid w:val="00A600A9"/>
    <w:rsid w:val="00A8013F"/>
    <w:rsid w:val="00AA120E"/>
    <w:rsid w:val="00AA55B7"/>
    <w:rsid w:val="00AA5B9E"/>
    <w:rsid w:val="00AB2407"/>
    <w:rsid w:val="00AB53DF"/>
    <w:rsid w:val="00AD0047"/>
    <w:rsid w:val="00AF350B"/>
    <w:rsid w:val="00AF64B2"/>
    <w:rsid w:val="00B07E5C"/>
    <w:rsid w:val="00B10690"/>
    <w:rsid w:val="00B3712A"/>
    <w:rsid w:val="00B4063A"/>
    <w:rsid w:val="00B811F7"/>
    <w:rsid w:val="00B8499A"/>
    <w:rsid w:val="00B913E9"/>
    <w:rsid w:val="00B945BD"/>
    <w:rsid w:val="00B97556"/>
    <w:rsid w:val="00BA5DC6"/>
    <w:rsid w:val="00BA6196"/>
    <w:rsid w:val="00BC6D8C"/>
    <w:rsid w:val="00BD2A6A"/>
    <w:rsid w:val="00BD5379"/>
    <w:rsid w:val="00BE3744"/>
    <w:rsid w:val="00BF575C"/>
    <w:rsid w:val="00BF7164"/>
    <w:rsid w:val="00BF7B55"/>
    <w:rsid w:val="00C17963"/>
    <w:rsid w:val="00C23825"/>
    <w:rsid w:val="00C27060"/>
    <w:rsid w:val="00C3027F"/>
    <w:rsid w:val="00C34006"/>
    <w:rsid w:val="00C36B4C"/>
    <w:rsid w:val="00C426B1"/>
    <w:rsid w:val="00C55A17"/>
    <w:rsid w:val="00C6145C"/>
    <w:rsid w:val="00C66160"/>
    <w:rsid w:val="00C721AC"/>
    <w:rsid w:val="00C72C30"/>
    <w:rsid w:val="00C90D6A"/>
    <w:rsid w:val="00CA247E"/>
    <w:rsid w:val="00CA4CE7"/>
    <w:rsid w:val="00CA6D21"/>
    <w:rsid w:val="00CC72B6"/>
    <w:rsid w:val="00CF021F"/>
    <w:rsid w:val="00D0218D"/>
    <w:rsid w:val="00D16857"/>
    <w:rsid w:val="00D25FB5"/>
    <w:rsid w:val="00D423B0"/>
    <w:rsid w:val="00D44223"/>
    <w:rsid w:val="00D60D91"/>
    <w:rsid w:val="00D6392C"/>
    <w:rsid w:val="00D64E57"/>
    <w:rsid w:val="00D84577"/>
    <w:rsid w:val="00D8571E"/>
    <w:rsid w:val="00D975B7"/>
    <w:rsid w:val="00DA2529"/>
    <w:rsid w:val="00DB10EE"/>
    <w:rsid w:val="00DB130A"/>
    <w:rsid w:val="00DB2EBB"/>
    <w:rsid w:val="00DC10A1"/>
    <w:rsid w:val="00DC543F"/>
    <w:rsid w:val="00DC5CAC"/>
    <w:rsid w:val="00DC655F"/>
    <w:rsid w:val="00DD0B59"/>
    <w:rsid w:val="00DD7EBD"/>
    <w:rsid w:val="00DF62B6"/>
    <w:rsid w:val="00E07225"/>
    <w:rsid w:val="00E1189A"/>
    <w:rsid w:val="00E15AFA"/>
    <w:rsid w:val="00E26139"/>
    <w:rsid w:val="00E32F73"/>
    <w:rsid w:val="00E4234B"/>
    <w:rsid w:val="00E4519B"/>
    <w:rsid w:val="00E5409F"/>
    <w:rsid w:val="00E60119"/>
    <w:rsid w:val="00E66756"/>
    <w:rsid w:val="00E76FAC"/>
    <w:rsid w:val="00E80030"/>
    <w:rsid w:val="00EE25D2"/>
    <w:rsid w:val="00EE4177"/>
    <w:rsid w:val="00EE6488"/>
    <w:rsid w:val="00F021FA"/>
    <w:rsid w:val="00F02727"/>
    <w:rsid w:val="00F11399"/>
    <w:rsid w:val="00F36DD9"/>
    <w:rsid w:val="00F56AF6"/>
    <w:rsid w:val="00F62E97"/>
    <w:rsid w:val="00F64209"/>
    <w:rsid w:val="00F67AFF"/>
    <w:rsid w:val="00F92630"/>
    <w:rsid w:val="00F92E03"/>
    <w:rsid w:val="00F93BF5"/>
    <w:rsid w:val="00F94259"/>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751A8"/>
    <w:pPr>
      <w:widowControl w:val="0"/>
    </w:pPr>
    <w:rPr>
      <w:snapToGrid w:val="0"/>
      <w:kern w:val="28"/>
      <w:sz w:val="22"/>
    </w:rPr>
  </w:style>
  <w:style w:type="paragraph" w:styleId="Heading1">
    <w:name w:val="heading 1"/>
    <w:basedOn w:val="Normal"/>
    <w:next w:val="ParaNum"/>
    <w:link w:val="Heading1Char"/>
    <w:qFormat/>
    <w:rsid w:val="007751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51A8"/>
    <w:pPr>
      <w:keepNext/>
      <w:numPr>
        <w:ilvl w:val="1"/>
        <w:numId w:val="3"/>
      </w:numPr>
      <w:spacing w:after="120"/>
      <w:outlineLvl w:val="1"/>
    </w:pPr>
    <w:rPr>
      <w:b/>
    </w:rPr>
  </w:style>
  <w:style w:type="paragraph" w:styleId="Heading3">
    <w:name w:val="heading 3"/>
    <w:basedOn w:val="Normal"/>
    <w:next w:val="ParaNum"/>
    <w:qFormat/>
    <w:rsid w:val="007751A8"/>
    <w:pPr>
      <w:keepNext/>
      <w:numPr>
        <w:ilvl w:val="2"/>
        <w:numId w:val="3"/>
      </w:numPr>
      <w:tabs>
        <w:tab w:val="left" w:pos="2160"/>
      </w:tabs>
      <w:spacing w:after="120"/>
      <w:outlineLvl w:val="2"/>
    </w:pPr>
    <w:rPr>
      <w:b/>
    </w:rPr>
  </w:style>
  <w:style w:type="paragraph" w:styleId="Heading4">
    <w:name w:val="heading 4"/>
    <w:basedOn w:val="Normal"/>
    <w:next w:val="ParaNum"/>
    <w:qFormat/>
    <w:rsid w:val="007751A8"/>
    <w:pPr>
      <w:keepNext/>
      <w:numPr>
        <w:ilvl w:val="3"/>
        <w:numId w:val="3"/>
      </w:numPr>
      <w:tabs>
        <w:tab w:val="left" w:pos="2880"/>
      </w:tabs>
      <w:spacing w:after="120"/>
      <w:outlineLvl w:val="3"/>
    </w:pPr>
    <w:rPr>
      <w:b/>
    </w:rPr>
  </w:style>
  <w:style w:type="paragraph" w:styleId="Heading5">
    <w:name w:val="heading 5"/>
    <w:basedOn w:val="Normal"/>
    <w:next w:val="ParaNum"/>
    <w:qFormat/>
    <w:rsid w:val="007751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751A8"/>
    <w:pPr>
      <w:numPr>
        <w:ilvl w:val="5"/>
        <w:numId w:val="3"/>
      </w:numPr>
      <w:tabs>
        <w:tab w:val="left" w:pos="4320"/>
      </w:tabs>
      <w:spacing w:after="120"/>
      <w:outlineLvl w:val="5"/>
    </w:pPr>
    <w:rPr>
      <w:b/>
    </w:rPr>
  </w:style>
  <w:style w:type="paragraph" w:styleId="Heading7">
    <w:name w:val="heading 7"/>
    <w:basedOn w:val="Normal"/>
    <w:next w:val="ParaNum"/>
    <w:qFormat/>
    <w:rsid w:val="007751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751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751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51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1A8"/>
  </w:style>
  <w:style w:type="paragraph" w:customStyle="1" w:styleId="ParaNum">
    <w:name w:val="ParaNum"/>
    <w:basedOn w:val="Normal"/>
    <w:link w:val="ParaNumChar"/>
    <w:rsid w:val="007751A8"/>
    <w:pPr>
      <w:numPr>
        <w:numId w:val="2"/>
      </w:numPr>
      <w:tabs>
        <w:tab w:val="clear" w:pos="1080"/>
        <w:tab w:val="num" w:pos="1440"/>
      </w:tabs>
      <w:spacing w:after="120"/>
    </w:pPr>
  </w:style>
  <w:style w:type="paragraph" w:styleId="EndnoteText">
    <w:name w:val="endnote text"/>
    <w:basedOn w:val="Normal"/>
    <w:semiHidden/>
    <w:rsid w:val="007751A8"/>
    <w:rPr>
      <w:sz w:val="20"/>
    </w:rPr>
  </w:style>
  <w:style w:type="character" w:styleId="EndnoteReference">
    <w:name w:val="endnote reference"/>
    <w:semiHidden/>
    <w:rsid w:val="007751A8"/>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751A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751A8"/>
    <w:rPr>
      <w:rFonts w:ascii="Times New Roman" w:hAnsi="Times New Roman"/>
      <w:dstrike w:val="0"/>
      <w:color w:val="auto"/>
      <w:sz w:val="20"/>
      <w:vertAlign w:val="superscript"/>
    </w:rPr>
  </w:style>
  <w:style w:type="paragraph" w:styleId="TOC1">
    <w:name w:val="toc 1"/>
    <w:basedOn w:val="Normal"/>
    <w:next w:val="Normal"/>
    <w:semiHidden/>
    <w:rsid w:val="007751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51A8"/>
    <w:pPr>
      <w:tabs>
        <w:tab w:val="left" w:pos="720"/>
        <w:tab w:val="right" w:leader="dot" w:pos="9360"/>
      </w:tabs>
      <w:suppressAutoHyphens/>
      <w:ind w:left="720" w:right="720" w:hanging="360"/>
    </w:pPr>
    <w:rPr>
      <w:noProof/>
    </w:rPr>
  </w:style>
  <w:style w:type="paragraph" w:styleId="TOC3">
    <w:name w:val="toc 3"/>
    <w:basedOn w:val="Normal"/>
    <w:next w:val="Normal"/>
    <w:semiHidden/>
    <w:rsid w:val="007751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51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51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51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51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51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51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51A8"/>
    <w:pPr>
      <w:tabs>
        <w:tab w:val="right" w:pos="9360"/>
      </w:tabs>
      <w:suppressAutoHyphens/>
    </w:pPr>
  </w:style>
  <w:style w:type="character" w:customStyle="1" w:styleId="EquationCaption">
    <w:name w:val="_Equation Caption"/>
    <w:rsid w:val="007751A8"/>
  </w:style>
  <w:style w:type="paragraph" w:styleId="Header">
    <w:name w:val="header"/>
    <w:basedOn w:val="Normal"/>
    <w:autoRedefine/>
    <w:rsid w:val="007751A8"/>
    <w:pPr>
      <w:tabs>
        <w:tab w:val="center" w:pos="4680"/>
        <w:tab w:val="right" w:pos="9360"/>
      </w:tabs>
    </w:pPr>
    <w:rPr>
      <w:b/>
    </w:rPr>
  </w:style>
  <w:style w:type="paragraph" w:styleId="Footer">
    <w:name w:val="footer"/>
    <w:basedOn w:val="Normal"/>
    <w:link w:val="FooterChar"/>
    <w:uiPriority w:val="99"/>
    <w:rsid w:val="007751A8"/>
    <w:pPr>
      <w:tabs>
        <w:tab w:val="center" w:pos="4320"/>
        <w:tab w:val="right" w:pos="8640"/>
      </w:tabs>
    </w:pPr>
  </w:style>
  <w:style w:type="character" w:styleId="PageNumber">
    <w:name w:val="page number"/>
    <w:basedOn w:val="DefaultParagraphFont"/>
    <w:rsid w:val="007751A8"/>
  </w:style>
  <w:style w:type="paragraph" w:styleId="BlockText">
    <w:name w:val="Block Text"/>
    <w:basedOn w:val="Normal"/>
    <w:rsid w:val="007751A8"/>
    <w:pPr>
      <w:spacing w:after="240"/>
      <w:ind w:left="1440" w:right="1440"/>
    </w:pPr>
  </w:style>
  <w:style w:type="paragraph" w:customStyle="1" w:styleId="Paratitle">
    <w:name w:val="Para title"/>
    <w:basedOn w:val="Normal"/>
    <w:rsid w:val="007751A8"/>
    <w:pPr>
      <w:tabs>
        <w:tab w:val="center" w:pos="9270"/>
      </w:tabs>
      <w:spacing w:after="240"/>
    </w:pPr>
    <w:rPr>
      <w:spacing w:val="-2"/>
    </w:rPr>
  </w:style>
  <w:style w:type="paragraph" w:customStyle="1" w:styleId="Bullet">
    <w:name w:val="Bullet"/>
    <w:basedOn w:val="Normal"/>
    <w:rsid w:val="007751A8"/>
    <w:pPr>
      <w:tabs>
        <w:tab w:val="left" w:pos="2160"/>
      </w:tabs>
      <w:spacing w:after="220"/>
      <w:ind w:left="2160" w:hanging="720"/>
    </w:pPr>
  </w:style>
  <w:style w:type="paragraph" w:customStyle="1" w:styleId="TableFormat">
    <w:name w:val="TableFormat"/>
    <w:basedOn w:val="Bullet"/>
    <w:rsid w:val="007751A8"/>
    <w:pPr>
      <w:tabs>
        <w:tab w:val="clear" w:pos="2160"/>
        <w:tab w:val="left" w:pos="5040"/>
      </w:tabs>
      <w:ind w:left="5040" w:hanging="3600"/>
    </w:pPr>
  </w:style>
  <w:style w:type="paragraph" w:customStyle="1" w:styleId="TOCTitle">
    <w:name w:val="TOC Title"/>
    <w:basedOn w:val="Normal"/>
    <w:rsid w:val="007751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51A8"/>
    <w:pPr>
      <w:jc w:val="center"/>
    </w:pPr>
    <w:rPr>
      <w:rFonts w:ascii="Times New Roman Bold" w:hAnsi="Times New Roman Bold"/>
      <w:b/>
      <w:bCs/>
      <w:caps/>
      <w:szCs w:val="22"/>
    </w:rPr>
  </w:style>
  <w:style w:type="character" w:styleId="Hyperlink">
    <w:name w:val="Hyperlink"/>
    <w:rsid w:val="007751A8"/>
    <w:rPr>
      <w:color w:val="0000FF"/>
      <w:u w:val="single"/>
    </w:rPr>
  </w:style>
  <w:style w:type="character" w:customStyle="1" w:styleId="FooterChar">
    <w:name w:val="Footer Char"/>
    <w:link w:val="Footer"/>
    <w:uiPriority w:val="99"/>
    <w:rsid w:val="007751A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