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5884" w:rsidRPr="00B02A93" w:rsidP="75796D0F" w14:paraId="1304E72A" w14:textId="697A64AC">
      <w:pPr>
        <w:jc w:val="right"/>
        <w:rPr>
          <w:sz w:val="24"/>
          <w:szCs w:val="24"/>
        </w:rPr>
      </w:pPr>
      <w:r>
        <w:rPr>
          <w:sz w:val="24"/>
          <w:szCs w:val="24"/>
        </w:rPr>
        <w:t xml:space="preserve"> </w:t>
      </w:r>
      <w:r w:rsidR="001E3645">
        <w:rPr>
          <w:sz w:val="24"/>
          <w:szCs w:val="24"/>
        </w:rPr>
        <w:t xml:space="preserve"> </w:t>
      </w:r>
      <w:r w:rsidR="00C47E32">
        <w:rPr>
          <w:sz w:val="24"/>
          <w:szCs w:val="24"/>
        </w:rPr>
        <w:t xml:space="preserve"> </w:t>
      </w:r>
    </w:p>
    <w:p w:rsidR="005614FA" w:rsidRPr="008D5EB1" w:rsidP="008C12CA" w14:paraId="3E24FDAA" w14:textId="4651D55C">
      <w:pPr>
        <w:widowControl/>
        <w:suppressAutoHyphens/>
        <w:jc w:val="right"/>
        <w:rPr>
          <w:b/>
        </w:rPr>
      </w:pPr>
      <w:r w:rsidRPr="008D5EB1">
        <w:rPr>
          <w:b/>
        </w:rPr>
        <w:t>DA 22-</w:t>
      </w:r>
      <w:r w:rsidR="00BB4B5B">
        <w:rPr>
          <w:b/>
        </w:rPr>
        <w:t>388</w:t>
      </w:r>
    </w:p>
    <w:p w:rsidR="005614FA" w:rsidRPr="00B02A93" w:rsidP="005614FA" w14:paraId="2C244092" w14:textId="0C3CF8B9">
      <w:pPr>
        <w:widowControl/>
        <w:suppressAutoHyphens/>
        <w:spacing w:after="240"/>
        <w:jc w:val="right"/>
        <w:rPr>
          <w:b/>
        </w:rPr>
      </w:pPr>
      <w:r w:rsidRPr="008D5EB1">
        <w:rPr>
          <w:b/>
        </w:rPr>
        <w:t xml:space="preserve">Released: </w:t>
      </w:r>
      <w:r w:rsidR="008D5EB1">
        <w:rPr>
          <w:b/>
        </w:rPr>
        <w:t>April 8, 2022</w:t>
      </w:r>
    </w:p>
    <w:p w:rsidR="00861C96" w:rsidP="006979A7" w14:paraId="2FCBDFD7" w14:textId="12B33F28">
      <w:pPr>
        <w:jc w:val="center"/>
        <w:rPr>
          <w:b/>
          <w:bCs/>
          <w:szCs w:val="22"/>
        </w:rPr>
      </w:pPr>
      <w:r w:rsidRPr="008C12CA">
        <w:rPr>
          <w:b/>
          <w:szCs w:val="22"/>
        </w:rPr>
        <w:t xml:space="preserve">DOMESTIC </w:t>
      </w:r>
      <w:r>
        <w:rPr>
          <w:b/>
          <w:szCs w:val="22"/>
        </w:rPr>
        <w:t xml:space="preserve">SECTION </w:t>
      </w:r>
      <w:r w:rsidRPr="008C12CA">
        <w:rPr>
          <w:b/>
          <w:szCs w:val="22"/>
        </w:rPr>
        <w:t>214 APPLICATION GRANTED FOR</w:t>
      </w:r>
      <w:r w:rsidRPr="008C12CA">
        <w:rPr>
          <w:b/>
          <w:bCs/>
          <w:szCs w:val="22"/>
        </w:rPr>
        <w:t xml:space="preserve"> THE </w:t>
      </w:r>
    </w:p>
    <w:p w:rsidR="006979A7" w:rsidRPr="006979A7" w:rsidP="006979A7" w14:paraId="798394D0" w14:textId="331E6315">
      <w:pPr>
        <w:jc w:val="center"/>
        <w:rPr>
          <w:b/>
          <w:bCs/>
          <w:caps/>
          <w:snapToGrid/>
          <w:kern w:val="0"/>
          <w:szCs w:val="22"/>
        </w:rPr>
      </w:pPr>
      <w:r w:rsidRPr="008C12CA">
        <w:rPr>
          <w:b/>
          <w:bCs/>
          <w:szCs w:val="22"/>
        </w:rPr>
        <w:t xml:space="preserve">TRANSFER OF </w:t>
      </w:r>
      <w:bookmarkStart w:id="0" w:name="_Hlk80002431"/>
      <w:r w:rsidRPr="006979A7">
        <w:rPr>
          <w:b/>
          <w:bCs/>
          <w:caps/>
          <w:snapToGrid/>
          <w:kern w:val="0"/>
          <w:szCs w:val="22"/>
        </w:rPr>
        <w:t xml:space="preserve">CONTROL OF </w:t>
      </w:r>
      <w:bookmarkStart w:id="1" w:name="_Hlk83973973"/>
      <w:r w:rsidRPr="006979A7">
        <w:rPr>
          <w:b/>
          <w:bCs/>
          <w:caps/>
          <w:snapToGrid/>
          <w:kern w:val="0"/>
          <w:szCs w:val="22"/>
        </w:rPr>
        <w:t xml:space="preserve">CABLESOUTH MEDIA III, LLC </w:t>
      </w:r>
    </w:p>
    <w:p w:rsidR="006979A7" w:rsidRPr="006979A7" w:rsidP="006979A7" w14:paraId="47F0F037" w14:textId="77777777">
      <w:pPr>
        <w:widowControl/>
        <w:jc w:val="center"/>
        <w:rPr>
          <w:b/>
          <w:bCs/>
          <w:caps/>
          <w:snapToGrid/>
          <w:kern w:val="0"/>
          <w:szCs w:val="22"/>
        </w:rPr>
      </w:pPr>
      <w:r w:rsidRPr="006979A7">
        <w:rPr>
          <w:b/>
          <w:bCs/>
          <w:caps/>
          <w:snapToGrid/>
          <w:kern w:val="0"/>
          <w:szCs w:val="22"/>
        </w:rPr>
        <w:t xml:space="preserve">TO ITC BROADBAND HOLDINGS, LLC </w:t>
      </w:r>
      <w:bookmarkEnd w:id="1"/>
    </w:p>
    <w:p w:rsidR="00CF7B63" w:rsidP="00CF7B63" w14:paraId="6DDF03C0" w14:textId="77777777">
      <w:pPr>
        <w:autoSpaceDE w:val="0"/>
        <w:autoSpaceDN w:val="0"/>
        <w:adjustRightInd w:val="0"/>
        <w:jc w:val="center"/>
        <w:rPr>
          <w:b/>
          <w:szCs w:val="22"/>
        </w:rPr>
      </w:pPr>
    </w:p>
    <w:p w:rsidR="005614FA" w:rsidP="006979A7" w14:paraId="4F620B5F" w14:textId="681D2F20">
      <w:pPr>
        <w:autoSpaceDE w:val="0"/>
        <w:autoSpaceDN w:val="0"/>
        <w:adjustRightInd w:val="0"/>
        <w:jc w:val="center"/>
        <w:rPr>
          <w:b/>
          <w:szCs w:val="22"/>
        </w:rPr>
      </w:pPr>
      <w:r w:rsidRPr="008C12CA">
        <w:rPr>
          <w:b/>
          <w:szCs w:val="22"/>
        </w:rPr>
        <w:t xml:space="preserve">WC Docket No. </w:t>
      </w:r>
      <w:bookmarkEnd w:id="0"/>
      <w:r w:rsidR="00CF7B63">
        <w:rPr>
          <w:b/>
          <w:szCs w:val="22"/>
        </w:rPr>
        <w:t>22-</w:t>
      </w:r>
      <w:r w:rsidR="006979A7">
        <w:rPr>
          <w:b/>
          <w:szCs w:val="22"/>
        </w:rPr>
        <w:t>11</w:t>
      </w:r>
    </w:p>
    <w:p w:rsidR="006979A7" w:rsidRPr="00B02A93" w:rsidP="006979A7" w14:paraId="42A5CDBE" w14:textId="77777777">
      <w:pPr>
        <w:autoSpaceDE w:val="0"/>
        <w:autoSpaceDN w:val="0"/>
        <w:adjustRightInd w:val="0"/>
        <w:jc w:val="center"/>
        <w:rPr>
          <w:b/>
        </w:rPr>
      </w:pPr>
    </w:p>
    <w:p w:rsidR="0027209C" w:rsidP="00960B05" w14:paraId="6A72F370" w14:textId="04493878">
      <w:pPr>
        <w:widowControl/>
        <w:autoSpaceDE w:val="0"/>
        <w:autoSpaceDN w:val="0"/>
        <w:adjustRightInd w:val="0"/>
        <w:spacing w:after="120"/>
        <w:ind w:firstLine="720"/>
        <w:rPr>
          <w:snapToGrid/>
          <w:kern w:val="0"/>
          <w:szCs w:val="22"/>
        </w:rPr>
      </w:pPr>
      <w:r w:rsidRPr="008C12CA">
        <w:rPr>
          <w:snapToGrid/>
          <w:kern w:val="0"/>
          <w:szCs w:val="22"/>
        </w:rPr>
        <w:t xml:space="preserve">By this Public Notice, the Wireline Competition Bureau (Bureau) grants an application filed by </w:t>
      </w:r>
      <w:bookmarkStart w:id="2" w:name="_Hlk87961388"/>
      <w:bookmarkStart w:id="3" w:name="_Hlk73713070"/>
      <w:bookmarkStart w:id="4" w:name="_Hlk67917977"/>
      <w:r w:rsidRPr="006979A7" w:rsidR="006979A7">
        <w:rPr>
          <w:snapToGrid/>
          <w:kern w:val="0"/>
          <w:szCs w:val="22"/>
        </w:rPr>
        <w:t>Hunt Land Holdings, LLC (Hunt Land Holdings), CableSouth Media III, LLC d/b/a Media</w:t>
      </w:r>
      <w:r w:rsidR="006979A7">
        <w:rPr>
          <w:snapToGrid/>
          <w:kern w:val="0"/>
          <w:szCs w:val="22"/>
        </w:rPr>
        <w:t>3</w:t>
      </w:r>
      <w:r w:rsidRPr="006979A7" w:rsidR="006979A7">
        <w:rPr>
          <w:snapToGrid/>
          <w:kern w:val="0"/>
          <w:szCs w:val="22"/>
        </w:rPr>
        <w:t xml:space="preserve"> (CableSouth), and ITC Broadband Holdings, LLC (ITC Holdings) </w:t>
      </w:r>
      <w:bookmarkEnd w:id="2"/>
      <w:r w:rsidRPr="006979A7" w:rsidR="006979A7">
        <w:rPr>
          <w:snapToGrid/>
          <w:kern w:val="0"/>
          <w:szCs w:val="22"/>
        </w:rPr>
        <w:t>(collectively, Applicants), pursuant to section 214 of the Communications Act of 1934, as amended, and sections 63.03-04 of the Commission’s rules, requesting consent to consummate a transaction in which ITC Holdings will indirectly acquire a 35% ownership interest in</w:t>
      </w:r>
      <w:r w:rsidR="009A4C45">
        <w:rPr>
          <w:snapToGrid/>
          <w:kern w:val="0"/>
          <w:szCs w:val="22"/>
        </w:rPr>
        <w:t>,</w:t>
      </w:r>
      <w:r w:rsidRPr="006979A7" w:rsidR="006979A7">
        <w:rPr>
          <w:snapToGrid/>
          <w:kern w:val="0"/>
          <w:szCs w:val="22"/>
        </w:rPr>
        <w:t xml:space="preserve"> and control of</w:t>
      </w:r>
      <w:r w:rsidR="009A4C45">
        <w:rPr>
          <w:snapToGrid/>
          <w:kern w:val="0"/>
          <w:szCs w:val="22"/>
        </w:rPr>
        <w:t>,</w:t>
      </w:r>
      <w:r w:rsidRPr="006979A7" w:rsidR="006979A7">
        <w:rPr>
          <w:snapToGrid/>
          <w:kern w:val="0"/>
          <w:szCs w:val="22"/>
        </w:rPr>
        <w:t xml:space="preserve"> CableSouth.</w:t>
      </w:r>
      <w:bookmarkStart w:id="5" w:name="_Hlk72758776"/>
      <w:bookmarkEnd w:id="3"/>
      <w:bookmarkEnd w:id="4"/>
      <w:r>
        <w:rPr>
          <w:snapToGrid/>
          <w:kern w:val="0"/>
          <w:szCs w:val="22"/>
          <w:vertAlign w:val="superscript"/>
        </w:rPr>
        <w:footnoteReference w:id="3"/>
      </w:r>
      <w:bookmarkEnd w:id="5"/>
      <w:r w:rsidRPr="006979A7" w:rsidR="006979A7">
        <w:rPr>
          <w:snapToGrid/>
          <w:kern w:val="0"/>
          <w:szCs w:val="22"/>
        </w:rPr>
        <w:t xml:space="preserve">  </w:t>
      </w:r>
      <w:r w:rsidRPr="00AB5112">
        <w:rPr>
          <w:szCs w:val="22"/>
        </w:rPr>
        <w:t xml:space="preserve">  </w:t>
      </w:r>
    </w:p>
    <w:p w:rsidR="005614FA" w:rsidRPr="00B02A93" w:rsidP="00960B05" w14:paraId="67628BEE" w14:textId="2B159958">
      <w:pPr>
        <w:widowControl/>
        <w:autoSpaceDE w:val="0"/>
        <w:autoSpaceDN w:val="0"/>
        <w:adjustRightInd w:val="0"/>
        <w:spacing w:after="120"/>
        <w:ind w:firstLine="720"/>
        <w:rPr>
          <w:snapToGrid/>
          <w:kern w:val="0"/>
          <w:szCs w:val="22"/>
        </w:rPr>
      </w:pPr>
      <w:r w:rsidRPr="00B02A93">
        <w:rPr>
          <w:szCs w:val="22"/>
        </w:rPr>
        <w:t xml:space="preserve">On </w:t>
      </w:r>
      <w:r w:rsidR="006979A7">
        <w:rPr>
          <w:szCs w:val="22"/>
        </w:rPr>
        <w:t>January 31</w:t>
      </w:r>
      <w:r w:rsidR="00395DC5">
        <w:rPr>
          <w:szCs w:val="22"/>
        </w:rPr>
        <w:t>, 2022</w:t>
      </w:r>
      <w:r w:rsidRPr="00B02A93">
        <w:rPr>
          <w:szCs w:val="22"/>
        </w:rPr>
        <w:t>, the Bureau released a public notice seeking comment on the Application.</w:t>
      </w:r>
      <w:r>
        <w:rPr>
          <w:rStyle w:val="FootnoteReference"/>
          <w:szCs w:val="22"/>
        </w:rPr>
        <w:footnoteReference w:id="4"/>
      </w:r>
      <w:r w:rsidRPr="00B02A93">
        <w:rPr>
          <w:szCs w:val="22"/>
        </w:rPr>
        <w:t xml:space="preserve">  </w:t>
      </w:r>
      <w:r w:rsidRPr="00B02A93" w:rsidR="00AB3596">
        <w:rPr>
          <w:szCs w:val="22"/>
        </w:rPr>
        <w:t xml:space="preserve">The Bureau </w:t>
      </w:r>
      <w:r w:rsidRPr="00B02A93">
        <w:rPr>
          <w:szCs w:val="22"/>
        </w:rPr>
        <w:t>did not receive comments or petitions in opposition to the Application.</w:t>
      </w:r>
      <w:r w:rsidRPr="00B02A93" w:rsidR="0085777F">
        <w:rPr>
          <w:snapToGrid/>
          <w:kern w:val="0"/>
          <w:szCs w:val="22"/>
        </w:rPr>
        <w:t xml:space="preserve"> </w:t>
      </w:r>
    </w:p>
    <w:p w:rsidR="008D5B54" w:rsidRPr="00B02A93" w:rsidP="00960B05" w14:paraId="4A9F1894" w14:textId="77777777">
      <w:pPr>
        <w:widowControl/>
        <w:autoSpaceDE w:val="0"/>
        <w:autoSpaceDN w:val="0"/>
        <w:adjustRightInd w:val="0"/>
        <w:spacing w:after="120"/>
        <w:rPr>
          <w:b/>
          <w:bCs/>
          <w:snapToGrid/>
          <w:kern w:val="0"/>
          <w:szCs w:val="22"/>
          <w:u w:val="single"/>
        </w:rPr>
      </w:pPr>
      <w:r w:rsidRPr="00B02A93">
        <w:rPr>
          <w:b/>
          <w:bCs/>
          <w:snapToGrid/>
          <w:kern w:val="0"/>
          <w:szCs w:val="22"/>
          <w:u w:val="single"/>
        </w:rPr>
        <w:t>Applicants and Description of Transaction</w:t>
      </w:r>
    </w:p>
    <w:p w:rsidR="006979A7" w:rsidRPr="006979A7" w:rsidP="006979A7" w14:paraId="4D598502" w14:textId="6427BC17">
      <w:pPr>
        <w:widowControl/>
        <w:autoSpaceDE w:val="0"/>
        <w:autoSpaceDN w:val="0"/>
        <w:adjustRightInd w:val="0"/>
        <w:spacing w:after="120"/>
        <w:ind w:firstLine="720"/>
        <w:rPr>
          <w:snapToGrid/>
          <w:kern w:val="0"/>
          <w:szCs w:val="22"/>
        </w:rPr>
      </w:pPr>
      <w:r w:rsidRPr="006979A7">
        <w:rPr>
          <w:snapToGrid/>
          <w:kern w:val="0"/>
          <w:szCs w:val="22"/>
        </w:rPr>
        <w:t>CableSouth, a Tennessee limited liability company, is wholly</w:t>
      </w:r>
      <w:r w:rsidR="00D02EE8">
        <w:rPr>
          <w:snapToGrid/>
          <w:kern w:val="0"/>
          <w:szCs w:val="22"/>
        </w:rPr>
        <w:t>-</w:t>
      </w:r>
      <w:r w:rsidRPr="006979A7">
        <w:rPr>
          <w:snapToGrid/>
          <w:kern w:val="0"/>
          <w:szCs w:val="22"/>
        </w:rPr>
        <w:t>owned by CableSouth Media, LLC, a Tennessee limited liability company that is, in turn, wholly</w:t>
      </w:r>
      <w:r w:rsidR="00661BB1">
        <w:rPr>
          <w:snapToGrid/>
          <w:kern w:val="0"/>
          <w:szCs w:val="22"/>
        </w:rPr>
        <w:t>-</w:t>
      </w:r>
      <w:r w:rsidRPr="006979A7">
        <w:rPr>
          <w:snapToGrid/>
          <w:kern w:val="0"/>
          <w:szCs w:val="22"/>
        </w:rPr>
        <w:t>owned by Hunt Land Holdings, a Louisiana limited liability company that does not itself provide telecommunications services.</w:t>
      </w:r>
      <w:r>
        <w:rPr>
          <w:snapToGrid/>
          <w:kern w:val="0"/>
          <w:szCs w:val="22"/>
          <w:vertAlign w:val="superscript"/>
        </w:rPr>
        <w:footnoteReference w:id="5"/>
      </w:r>
      <w:r w:rsidRPr="006979A7">
        <w:rPr>
          <w:snapToGrid/>
          <w:kern w:val="0"/>
          <w:szCs w:val="22"/>
        </w:rPr>
        <w:t xml:space="preserve">  Hunt Land Holdings and CableSouth, bidding through the Segnem Egere Consortium</w:t>
      </w:r>
      <w:r w:rsidR="00661BB1">
        <w:rPr>
          <w:snapToGrid/>
          <w:kern w:val="0"/>
          <w:szCs w:val="22"/>
        </w:rPr>
        <w:t xml:space="preserve"> (Consortium)</w:t>
      </w:r>
      <w:r w:rsidRPr="006979A7">
        <w:rPr>
          <w:snapToGrid/>
          <w:kern w:val="0"/>
          <w:szCs w:val="22"/>
        </w:rPr>
        <w:t>, participated in and won the rights to provide service to 57,387 locations in Arkansas, Louisiana, and Mississippi through Phase I of the Rural Digital Opportunity Fund (RDOF) Auction.</w:t>
      </w:r>
      <w:r>
        <w:rPr>
          <w:snapToGrid/>
          <w:kern w:val="0"/>
          <w:szCs w:val="22"/>
          <w:vertAlign w:val="superscript"/>
        </w:rPr>
        <w:footnoteReference w:id="6"/>
      </w:r>
      <w:r w:rsidRPr="006979A7">
        <w:rPr>
          <w:snapToGrid/>
          <w:kern w:val="0"/>
          <w:szCs w:val="22"/>
        </w:rPr>
        <w:t xml:space="preserve">  The Consortium assigned its winning RDOF </w:t>
      </w:r>
      <w:r w:rsidRPr="006979A7">
        <w:rPr>
          <w:snapToGrid/>
          <w:kern w:val="0"/>
          <w:szCs w:val="22"/>
        </w:rPr>
        <w:t>bids to CableSouth.</w:t>
      </w:r>
      <w:r>
        <w:rPr>
          <w:snapToGrid/>
          <w:kern w:val="0"/>
          <w:szCs w:val="22"/>
          <w:vertAlign w:val="superscript"/>
        </w:rPr>
        <w:footnoteReference w:id="7"/>
      </w:r>
      <w:r w:rsidRPr="006979A7">
        <w:rPr>
          <w:snapToGrid/>
          <w:kern w:val="0"/>
          <w:szCs w:val="22"/>
        </w:rPr>
        <w:t xml:space="preserve">  </w:t>
      </w:r>
      <w:r w:rsidR="00530724">
        <w:rPr>
          <w:snapToGrid/>
          <w:kern w:val="0"/>
          <w:szCs w:val="22"/>
        </w:rPr>
        <w:t>On March 15, 2022, the Bureau authorized CableSouth to receive RDOF support.</w:t>
      </w:r>
      <w:r>
        <w:rPr>
          <w:rStyle w:val="FootnoteReference"/>
          <w:snapToGrid/>
          <w:kern w:val="0"/>
          <w:szCs w:val="22"/>
        </w:rPr>
        <w:footnoteReference w:id="8"/>
      </w:r>
      <w:r w:rsidR="00530724">
        <w:rPr>
          <w:snapToGrid/>
          <w:kern w:val="0"/>
          <w:szCs w:val="22"/>
        </w:rPr>
        <w:t xml:space="preserve">  </w:t>
      </w:r>
      <w:r w:rsidRPr="006979A7">
        <w:rPr>
          <w:snapToGrid/>
          <w:kern w:val="0"/>
          <w:szCs w:val="22"/>
        </w:rPr>
        <w:t xml:space="preserve">CableSouth is </w:t>
      </w:r>
      <w:r w:rsidR="009014E5">
        <w:rPr>
          <w:snapToGrid/>
          <w:kern w:val="0"/>
          <w:szCs w:val="22"/>
        </w:rPr>
        <w:t>designated as</w:t>
      </w:r>
      <w:r w:rsidR="00A7048D">
        <w:rPr>
          <w:snapToGrid/>
          <w:kern w:val="0"/>
          <w:szCs w:val="22"/>
        </w:rPr>
        <w:t xml:space="preserve"> </w:t>
      </w:r>
      <w:r w:rsidRPr="006979A7">
        <w:rPr>
          <w:snapToGrid/>
          <w:kern w:val="0"/>
          <w:szCs w:val="22"/>
        </w:rPr>
        <w:t>an eligible telecommunications carrier (ETC) in each of the jurisdictions in which it won RDOF bids.</w:t>
      </w:r>
      <w:r>
        <w:rPr>
          <w:snapToGrid/>
          <w:kern w:val="0"/>
          <w:szCs w:val="22"/>
          <w:vertAlign w:val="superscript"/>
        </w:rPr>
        <w:footnoteReference w:id="9"/>
      </w:r>
      <w:r w:rsidRPr="006979A7">
        <w:rPr>
          <w:snapToGrid/>
          <w:kern w:val="0"/>
          <w:szCs w:val="22"/>
        </w:rPr>
        <w:t xml:space="preserve">  Under the brand names, SwyftConnect and Swyft Fiber, CableSouth currently offers broadband, video, and voice services in Arkansas, Louisiana, and Mississippi.</w:t>
      </w:r>
      <w:r>
        <w:rPr>
          <w:snapToGrid/>
          <w:kern w:val="0"/>
          <w:szCs w:val="22"/>
          <w:vertAlign w:val="superscript"/>
        </w:rPr>
        <w:footnoteReference w:id="10"/>
      </w:r>
      <w:r w:rsidRPr="006979A7">
        <w:rPr>
          <w:snapToGrid/>
          <w:kern w:val="0"/>
          <w:szCs w:val="22"/>
        </w:rPr>
        <w:t xml:space="preserve">  </w:t>
      </w:r>
    </w:p>
    <w:p w:rsidR="00B76960" w:rsidP="00114ACC" w14:paraId="0E839527" w14:textId="24F42D0B">
      <w:pPr>
        <w:widowControl/>
        <w:autoSpaceDE w:val="0"/>
        <w:autoSpaceDN w:val="0"/>
        <w:adjustRightInd w:val="0"/>
        <w:spacing w:after="120"/>
        <w:ind w:firstLine="720"/>
        <w:rPr>
          <w:snapToGrid/>
          <w:kern w:val="0"/>
          <w:szCs w:val="22"/>
        </w:rPr>
      </w:pPr>
      <w:r w:rsidRPr="006979A7">
        <w:rPr>
          <w:snapToGrid/>
          <w:kern w:val="0"/>
          <w:szCs w:val="22"/>
        </w:rPr>
        <w:t>ITC Holdings, a Delaware limited liability company, is affiliated with incumbent local exchange carrier</w:t>
      </w:r>
      <w:r w:rsidR="005C187C">
        <w:rPr>
          <w:snapToGrid/>
          <w:kern w:val="0"/>
          <w:szCs w:val="22"/>
        </w:rPr>
        <w:t xml:space="preserve">s </w:t>
      </w:r>
      <w:r w:rsidRPr="006979A7">
        <w:rPr>
          <w:snapToGrid/>
          <w:kern w:val="0"/>
          <w:szCs w:val="22"/>
        </w:rPr>
        <w:t>(LEC</w:t>
      </w:r>
      <w:r w:rsidR="005C187C">
        <w:rPr>
          <w:snapToGrid/>
          <w:kern w:val="0"/>
          <w:szCs w:val="22"/>
        </w:rPr>
        <w:t>s</w:t>
      </w:r>
      <w:r w:rsidRPr="006979A7">
        <w:rPr>
          <w:snapToGrid/>
          <w:kern w:val="0"/>
          <w:szCs w:val="22"/>
        </w:rPr>
        <w:t>) and other telecommunications service providers in Colorado, Georgia, Kansas, Nebraska, and Texas.</w:t>
      </w:r>
      <w:r>
        <w:rPr>
          <w:snapToGrid/>
          <w:kern w:val="0"/>
          <w:szCs w:val="22"/>
          <w:vertAlign w:val="superscript"/>
        </w:rPr>
        <w:footnoteReference w:id="11"/>
      </w:r>
      <w:r>
        <w:rPr>
          <w:snapToGrid/>
          <w:kern w:val="0"/>
          <w:szCs w:val="22"/>
        </w:rPr>
        <w:t xml:space="preserve">  ITC Holdings is affiliated with several incumbent LE</w:t>
      </w:r>
      <w:r w:rsidR="00114ACC">
        <w:rPr>
          <w:snapToGrid/>
          <w:kern w:val="0"/>
          <w:szCs w:val="22"/>
        </w:rPr>
        <w:t>C</w:t>
      </w:r>
      <w:r>
        <w:rPr>
          <w:snapToGrid/>
          <w:kern w:val="0"/>
          <w:szCs w:val="22"/>
        </w:rPr>
        <w:t>s and other providers through its ownership of US Connect Holdings</w:t>
      </w:r>
      <w:r w:rsidR="00114ACC">
        <w:rPr>
          <w:snapToGrid/>
          <w:kern w:val="0"/>
          <w:szCs w:val="22"/>
        </w:rPr>
        <w:t>, Inc.</w:t>
      </w:r>
      <w:r>
        <w:rPr>
          <w:rStyle w:val="FootnoteReference"/>
          <w:snapToGrid/>
          <w:kern w:val="0"/>
          <w:szCs w:val="22"/>
        </w:rPr>
        <w:footnoteReference w:id="12"/>
      </w:r>
      <w:r w:rsidR="00114ACC">
        <w:rPr>
          <w:snapToGrid/>
          <w:kern w:val="0"/>
          <w:szCs w:val="22"/>
        </w:rPr>
        <w:t xml:space="preserve">  These incumbent LECs </w:t>
      </w:r>
      <w:r w:rsidRPr="00A37769">
        <w:rPr>
          <w:snapToGrid/>
          <w:kern w:val="0"/>
          <w:szCs w:val="22"/>
        </w:rPr>
        <w:t xml:space="preserve">receive </w:t>
      </w:r>
      <w:r w:rsidR="00114ACC">
        <w:rPr>
          <w:snapToGrid/>
          <w:kern w:val="0"/>
          <w:szCs w:val="22"/>
        </w:rPr>
        <w:t xml:space="preserve">universal service fund </w:t>
      </w:r>
      <w:r w:rsidRPr="00A37769">
        <w:rPr>
          <w:snapToGrid/>
          <w:kern w:val="0"/>
          <w:szCs w:val="22"/>
        </w:rPr>
        <w:t xml:space="preserve">high-cost support through the different mechanisms of cost-based support and fixed model-based support.  </w:t>
      </w:r>
      <w:r>
        <w:rPr>
          <w:snapToGrid/>
          <w:kern w:val="0"/>
          <w:szCs w:val="22"/>
        </w:rPr>
        <w:t xml:space="preserve">Specifically, </w:t>
      </w:r>
      <w:r w:rsidR="00114ACC">
        <w:rPr>
          <w:snapToGrid/>
          <w:kern w:val="0"/>
          <w:szCs w:val="22"/>
        </w:rPr>
        <w:t xml:space="preserve">South Park, Rye, Dalton Telephone, Elsie, and S&amp;A Telephone </w:t>
      </w:r>
      <w:r w:rsidRPr="00A37769" w:rsidR="00114ACC">
        <w:rPr>
          <w:kern w:val="0"/>
          <w:szCs w:val="22"/>
        </w:rPr>
        <w:t>elected to receive fixed universal service support under the Alternative Connect America Cost Model (A-CAM).</w:t>
      </w:r>
      <w:r>
        <w:rPr>
          <w:kern w:val="0"/>
          <w:szCs w:val="22"/>
          <w:vertAlign w:val="superscript"/>
        </w:rPr>
        <w:footnoteReference w:id="13"/>
      </w:r>
      <w:r w:rsidRPr="00A37769" w:rsidR="00114ACC">
        <w:rPr>
          <w:kern w:val="0"/>
          <w:szCs w:val="22"/>
        </w:rPr>
        <w:t xml:space="preserve">  </w:t>
      </w:r>
      <w:r w:rsidR="007F3CD0">
        <w:rPr>
          <w:kern w:val="0"/>
          <w:szCs w:val="22"/>
        </w:rPr>
        <w:t xml:space="preserve">Livingston and Waverly </w:t>
      </w:r>
      <w:r w:rsidR="000439AB">
        <w:rPr>
          <w:kern w:val="0"/>
          <w:szCs w:val="22"/>
        </w:rPr>
        <w:t xml:space="preserve">Hall Telephone </w:t>
      </w:r>
      <w:r w:rsidRPr="00A37769">
        <w:rPr>
          <w:snapToGrid/>
          <w:kern w:val="0"/>
          <w:szCs w:val="22"/>
        </w:rPr>
        <w:t>did not elect to receive model-based support and receive cost-based universal service support.</w:t>
      </w:r>
      <w:r>
        <w:rPr>
          <w:snapToGrid/>
          <w:kern w:val="0"/>
          <w:szCs w:val="22"/>
          <w:vertAlign w:val="superscript"/>
        </w:rPr>
        <w:footnoteReference w:id="14"/>
      </w:r>
      <w:r w:rsidRPr="00A37769">
        <w:rPr>
          <w:snapToGrid/>
          <w:kern w:val="0"/>
          <w:szCs w:val="22"/>
        </w:rPr>
        <w:t xml:space="preserve">  </w:t>
      </w:r>
    </w:p>
    <w:p w:rsidR="006979A7" w:rsidRPr="006979A7" w:rsidP="006979A7" w14:paraId="7E507A09" w14:textId="1FEE280F">
      <w:pPr>
        <w:widowControl/>
        <w:autoSpaceDE w:val="0"/>
        <w:autoSpaceDN w:val="0"/>
        <w:adjustRightInd w:val="0"/>
        <w:spacing w:after="120"/>
        <w:ind w:firstLine="720"/>
        <w:rPr>
          <w:snapToGrid/>
          <w:kern w:val="0"/>
          <w:szCs w:val="22"/>
        </w:rPr>
      </w:pPr>
      <w:r>
        <w:rPr>
          <w:snapToGrid/>
          <w:kern w:val="0"/>
          <w:szCs w:val="22"/>
        </w:rPr>
        <w:t xml:space="preserve">Following </w:t>
      </w:r>
      <w:r w:rsidRPr="006979A7">
        <w:rPr>
          <w:snapToGrid/>
          <w:kern w:val="0"/>
          <w:szCs w:val="22"/>
        </w:rPr>
        <w:t>consummation of the proposed transaction</w:t>
      </w:r>
      <w:r>
        <w:rPr>
          <w:snapToGrid/>
          <w:kern w:val="0"/>
          <w:szCs w:val="22"/>
        </w:rPr>
        <w:t>, Applicants state</w:t>
      </w:r>
      <w:r w:rsidR="003318D2">
        <w:rPr>
          <w:snapToGrid/>
          <w:kern w:val="0"/>
          <w:szCs w:val="22"/>
        </w:rPr>
        <w:t xml:space="preserve"> that</w:t>
      </w:r>
      <w:r w:rsidRPr="006979A7">
        <w:rPr>
          <w:snapToGrid/>
          <w:kern w:val="0"/>
          <w:szCs w:val="22"/>
        </w:rPr>
        <w:t xml:space="preserve"> </w:t>
      </w:r>
      <w:r w:rsidRPr="006979A7">
        <w:rPr>
          <w:snapToGrid/>
          <w:kern w:val="0"/>
          <w:szCs w:val="22"/>
        </w:rPr>
        <w:t xml:space="preserve">the following U.S.-based investment entities will own a 10% or greater equity interest in ITC Holdings:  HF Direct Investments Pool LLC (14.5%); 4612-Broadband Holdco, LP (14.5%); ITC Broadband Investments (QP), </w:t>
      </w:r>
      <w:r w:rsidRPr="006979A7">
        <w:rPr>
          <w:snapToGrid/>
          <w:kern w:val="0"/>
          <w:szCs w:val="22"/>
        </w:rPr>
        <w:t>LLC (17.8%); Kinetic-ITC Broadband Investments, LLC (13.9%); Atlantic Engineering Group, Inc. (16.2%)</w:t>
      </w:r>
      <w:r w:rsidR="003318D2">
        <w:rPr>
          <w:snapToGrid/>
          <w:kern w:val="0"/>
          <w:szCs w:val="22"/>
        </w:rPr>
        <w:t>;</w:t>
      </w:r>
      <w:r w:rsidRPr="006979A7">
        <w:rPr>
          <w:snapToGrid/>
          <w:kern w:val="0"/>
          <w:szCs w:val="22"/>
        </w:rPr>
        <w:t xml:space="preserve"> and ITC Broadband Management, LP (15%).</w:t>
      </w:r>
      <w:r>
        <w:rPr>
          <w:snapToGrid/>
          <w:kern w:val="0"/>
          <w:szCs w:val="22"/>
          <w:vertAlign w:val="superscript"/>
        </w:rPr>
        <w:footnoteReference w:id="15"/>
      </w:r>
      <w:r w:rsidRPr="006979A7">
        <w:rPr>
          <w:snapToGrid/>
          <w:kern w:val="0"/>
          <w:szCs w:val="22"/>
        </w:rPr>
        <w:t xml:space="preserve">  Applicants state that no other entity or individual will hold directly or indirectly a 10% or greater interest in ITC Holdings.</w:t>
      </w:r>
      <w:r>
        <w:rPr>
          <w:snapToGrid/>
          <w:kern w:val="0"/>
          <w:szCs w:val="22"/>
          <w:vertAlign w:val="superscript"/>
        </w:rPr>
        <w:footnoteReference w:id="16"/>
      </w:r>
      <w:r w:rsidRPr="006979A7">
        <w:rPr>
          <w:snapToGrid/>
          <w:kern w:val="0"/>
          <w:szCs w:val="22"/>
        </w:rPr>
        <w:t xml:space="preserve">  </w:t>
      </w:r>
    </w:p>
    <w:p w:rsidR="006979A7" w:rsidRPr="006979A7" w:rsidP="006979A7" w14:paraId="7066A314" w14:textId="301356D3">
      <w:pPr>
        <w:widowControl/>
        <w:autoSpaceDE w:val="0"/>
        <w:autoSpaceDN w:val="0"/>
        <w:adjustRightInd w:val="0"/>
        <w:spacing w:after="120"/>
        <w:ind w:firstLine="720"/>
        <w:rPr>
          <w:snapToGrid/>
          <w:kern w:val="0"/>
          <w:szCs w:val="22"/>
        </w:rPr>
      </w:pPr>
      <w:r w:rsidRPr="006979A7">
        <w:rPr>
          <w:snapToGrid/>
          <w:kern w:val="0"/>
          <w:szCs w:val="22"/>
        </w:rPr>
        <w:t xml:space="preserve">Pursuant to the terms of the proposed transaction, which </w:t>
      </w:r>
      <w:r w:rsidR="003318D2">
        <w:rPr>
          <w:snapToGrid/>
          <w:kern w:val="0"/>
          <w:szCs w:val="22"/>
        </w:rPr>
        <w:t xml:space="preserve">Applicants state </w:t>
      </w:r>
      <w:r w:rsidRPr="006979A7">
        <w:rPr>
          <w:snapToGrid/>
          <w:kern w:val="0"/>
          <w:szCs w:val="22"/>
        </w:rPr>
        <w:t>will occur through a series of steps, ITC Holdings will indirectly acquire approximately 35% of the voting and equity interests in CableSouth from Hunt Land Holdings, along with certain shareholder rights.</w:t>
      </w:r>
      <w:r>
        <w:rPr>
          <w:snapToGrid/>
          <w:kern w:val="0"/>
          <w:szCs w:val="22"/>
          <w:vertAlign w:val="superscript"/>
        </w:rPr>
        <w:footnoteReference w:id="17"/>
      </w:r>
      <w:r w:rsidRPr="006979A7">
        <w:rPr>
          <w:snapToGrid/>
          <w:kern w:val="0"/>
          <w:szCs w:val="22"/>
        </w:rPr>
        <w:t xml:space="preserve">  Post-consummation</w:t>
      </w:r>
      <w:r w:rsidR="004612D9">
        <w:rPr>
          <w:snapToGrid/>
          <w:kern w:val="0"/>
          <w:szCs w:val="22"/>
        </w:rPr>
        <w:t>,</w:t>
      </w:r>
      <w:r w:rsidRPr="006979A7">
        <w:rPr>
          <w:snapToGrid/>
          <w:kern w:val="0"/>
          <w:szCs w:val="22"/>
        </w:rPr>
        <w:t xml:space="preserve"> ITC Holdings will “have the right to designate a minority of the members of the board of CableSouth’s parent company and an observer seat, as well as have the right to select two of the six planned managers for the board of CableSouth’s parent company going forward.  The managers designated by ITC Holdings can be removed or replaced only by ITC Holdings or its designees.  ITC Holdings (or its appointed managers) will also acquire a veto right over a variety of business activities, including, but not limited to:  (i) effectuating a sale of the company, pledging all or substantially all assets of any CableSouth entity, filing for bankruptcy or liquidation, or merging or consolidating with any other person; (ii) amending any operative governance documents of the company; (iii) approving an annual budget; and (iv) establishing compensation levels for and removal of officers.”</w:t>
      </w:r>
      <w:r>
        <w:rPr>
          <w:snapToGrid/>
          <w:kern w:val="0"/>
          <w:szCs w:val="22"/>
          <w:vertAlign w:val="superscript"/>
        </w:rPr>
        <w:footnoteReference w:id="18"/>
      </w:r>
      <w:r w:rsidRPr="006979A7">
        <w:rPr>
          <w:snapToGrid/>
          <w:kern w:val="0"/>
          <w:szCs w:val="22"/>
        </w:rPr>
        <w:t xml:space="preserve">  Applicants acknowledge that these rights, coupled with a 35% indirect ownership stake, would provide ITC Holdings with a </w:t>
      </w:r>
      <w:r w:rsidRPr="006979A7">
        <w:rPr>
          <w:i/>
          <w:iCs/>
          <w:snapToGrid/>
          <w:kern w:val="0"/>
          <w:szCs w:val="22"/>
        </w:rPr>
        <w:t xml:space="preserve">de facto </w:t>
      </w:r>
      <w:r w:rsidRPr="006979A7">
        <w:rPr>
          <w:snapToGrid/>
          <w:kern w:val="0"/>
          <w:szCs w:val="22"/>
        </w:rPr>
        <w:t>controlling interest in CableSouth.</w:t>
      </w:r>
      <w:r>
        <w:rPr>
          <w:snapToGrid/>
          <w:kern w:val="0"/>
          <w:szCs w:val="22"/>
          <w:vertAlign w:val="superscript"/>
        </w:rPr>
        <w:footnoteReference w:id="19"/>
      </w:r>
      <w:r w:rsidRPr="006979A7">
        <w:rPr>
          <w:snapToGrid/>
          <w:kern w:val="0"/>
          <w:szCs w:val="22"/>
        </w:rPr>
        <w:t xml:space="preserve">  Upon consummation, the existing beneficial owners of CableSouth will continue to indirectly hold a 65% interest in CableSouth.</w:t>
      </w:r>
      <w:r>
        <w:rPr>
          <w:snapToGrid/>
          <w:kern w:val="0"/>
          <w:szCs w:val="22"/>
          <w:vertAlign w:val="superscript"/>
        </w:rPr>
        <w:footnoteReference w:id="20"/>
      </w:r>
      <w:r w:rsidRPr="006979A7">
        <w:rPr>
          <w:snapToGrid/>
          <w:kern w:val="0"/>
          <w:szCs w:val="22"/>
        </w:rPr>
        <w:t xml:space="preserve"> </w:t>
      </w:r>
      <w:r w:rsidR="007D26FF">
        <w:rPr>
          <w:snapToGrid/>
          <w:kern w:val="0"/>
          <w:szCs w:val="22"/>
        </w:rPr>
        <w:t xml:space="preserve"> </w:t>
      </w:r>
    </w:p>
    <w:p w:rsidR="004612D9" w:rsidRPr="004612D9" w:rsidP="009229EE" w14:paraId="6FD8EE5F" w14:textId="4670D7C9">
      <w:pPr>
        <w:widowControl/>
        <w:autoSpaceDE w:val="0"/>
        <w:autoSpaceDN w:val="0"/>
        <w:adjustRightInd w:val="0"/>
        <w:spacing w:after="120"/>
        <w:ind w:firstLine="720"/>
        <w:rPr>
          <w:snapToGrid/>
          <w:color w:val="000000"/>
          <w:kern w:val="0"/>
          <w:szCs w:val="22"/>
        </w:rPr>
      </w:pPr>
      <w:r w:rsidRPr="004612D9">
        <w:rPr>
          <w:snapToGrid/>
          <w:kern w:val="0"/>
          <w:szCs w:val="22"/>
        </w:rPr>
        <w:t>Applicants assert that a grant of the Application would serve the public interest, convenience, and necessity.</w:t>
      </w:r>
      <w:r>
        <w:rPr>
          <w:snapToGrid/>
          <w:kern w:val="0"/>
          <w:szCs w:val="22"/>
          <w:vertAlign w:val="superscript"/>
        </w:rPr>
        <w:footnoteReference w:id="21"/>
      </w:r>
      <w:r w:rsidRPr="004612D9">
        <w:rPr>
          <w:snapToGrid/>
          <w:kern w:val="0"/>
          <w:szCs w:val="22"/>
        </w:rPr>
        <w:t xml:space="preserve">  They certify that the proposed transaction would not result in any alteration to CableSouth’s RDOF network buildout plans,</w:t>
      </w:r>
      <w:r>
        <w:rPr>
          <w:rStyle w:val="FootnoteReference"/>
          <w:snapToGrid/>
          <w:kern w:val="0"/>
          <w:szCs w:val="22"/>
        </w:rPr>
        <w:footnoteReference w:id="22"/>
      </w:r>
      <w:r w:rsidRPr="004612D9">
        <w:rPr>
          <w:snapToGrid/>
          <w:kern w:val="0"/>
          <w:szCs w:val="22"/>
        </w:rPr>
        <w:t xml:space="preserve"> that they will adhere to all Commission requirements associated with RDOF funding,</w:t>
      </w:r>
      <w:r>
        <w:rPr>
          <w:snapToGrid/>
          <w:kern w:val="0"/>
          <w:szCs w:val="22"/>
          <w:vertAlign w:val="superscript"/>
        </w:rPr>
        <w:footnoteReference w:id="23"/>
      </w:r>
      <w:r w:rsidRPr="004612D9">
        <w:rPr>
          <w:snapToGrid/>
          <w:kern w:val="0"/>
          <w:szCs w:val="22"/>
        </w:rPr>
        <w:t xml:space="preserve"> and that “following the construction of its RDOF network, CableSouth will provide gigabit broadband and VoIP service to end-user customers in Arkansas, Louisiana, and Mississippi.”</w:t>
      </w:r>
      <w:r>
        <w:rPr>
          <w:snapToGrid/>
          <w:kern w:val="0"/>
          <w:szCs w:val="22"/>
          <w:vertAlign w:val="superscript"/>
        </w:rPr>
        <w:footnoteReference w:id="24"/>
      </w:r>
      <w:r w:rsidRPr="004612D9">
        <w:rPr>
          <w:snapToGrid/>
          <w:kern w:val="0"/>
          <w:szCs w:val="22"/>
        </w:rPr>
        <w:t xml:space="preserve">  They assert that ITC Holdings has significant industry and financial expertise in managing and investing in fiber networks and that “by leveraging this</w:t>
      </w:r>
      <w:r w:rsidR="008622FE">
        <w:rPr>
          <w:snapToGrid/>
          <w:kern w:val="0"/>
          <w:szCs w:val="22"/>
        </w:rPr>
        <w:t xml:space="preserve"> </w:t>
      </w:r>
      <w:r w:rsidRPr="004612D9">
        <w:rPr>
          <w:snapToGrid/>
          <w:kern w:val="0"/>
          <w:szCs w:val="22"/>
        </w:rPr>
        <w:t>expertise and its extensive financial resources, ITC Holdings will better enable CableSouth to address technical and engineering matters and optimize build-out of its RDOF-supported</w:t>
      </w:r>
      <w:r w:rsidR="008622FE">
        <w:rPr>
          <w:snapToGrid/>
          <w:kern w:val="0"/>
          <w:szCs w:val="22"/>
        </w:rPr>
        <w:t xml:space="preserve"> </w:t>
      </w:r>
      <w:r w:rsidRPr="004612D9">
        <w:rPr>
          <w:snapToGrid/>
          <w:kern w:val="0"/>
          <w:szCs w:val="22"/>
        </w:rPr>
        <w:t>network, whether in Arkansas, Louisiana, or Mississippi.”</w:t>
      </w:r>
      <w:r>
        <w:rPr>
          <w:snapToGrid/>
          <w:kern w:val="0"/>
          <w:szCs w:val="22"/>
          <w:vertAlign w:val="superscript"/>
        </w:rPr>
        <w:footnoteReference w:id="25"/>
      </w:r>
      <w:r w:rsidRPr="004612D9">
        <w:rPr>
          <w:snapToGrid/>
          <w:kern w:val="0"/>
          <w:szCs w:val="22"/>
        </w:rPr>
        <w:t xml:space="preserve">  They state that the proposed transaction would be transparent to prospective customers and to CableSouth’s existing customers, who would continue to receive service pursuant to existing terms and conditions.</w:t>
      </w:r>
      <w:r>
        <w:rPr>
          <w:rStyle w:val="FootnoteReference"/>
          <w:snapToGrid/>
          <w:kern w:val="0"/>
          <w:szCs w:val="22"/>
        </w:rPr>
        <w:footnoteReference w:id="26"/>
      </w:r>
      <w:r w:rsidRPr="004612D9">
        <w:rPr>
          <w:snapToGrid/>
          <w:kern w:val="0"/>
          <w:szCs w:val="22"/>
        </w:rPr>
        <w:t xml:space="preserve"> </w:t>
      </w:r>
    </w:p>
    <w:p w:rsidR="008D5B54" w:rsidRPr="00B02A93" w:rsidP="009014E5" w14:paraId="460F2DA2" w14:textId="358548F0">
      <w:pPr>
        <w:keepNext/>
        <w:widowControl/>
        <w:autoSpaceDE w:val="0"/>
        <w:autoSpaceDN w:val="0"/>
        <w:adjustRightInd w:val="0"/>
        <w:spacing w:after="120"/>
        <w:rPr>
          <w:b/>
          <w:bCs/>
          <w:szCs w:val="22"/>
          <w:u w:val="single"/>
        </w:rPr>
      </w:pPr>
      <w:r w:rsidRPr="00B02A93">
        <w:rPr>
          <w:b/>
          <w:bCs/>
          <w:szCs w:val="22"/>
          <w:u w:val="single"/>
        </w:rPr>
        <w:t>Discussion</w:t>
      </w:r>
    </w:p>
    <w:p w:rsidR="00A901ED" w:rsidP="003318D2" w14:paraId="59A6062E" w14:textId="5B50A5DE">
      <w:pPr>
        <w:widowControl/>
        <w:autoSpaceDE w:val="0"/>
        <w:autoSpaceDN w:val="0"/>
        <w:adjustRightInd w:val="0"/>
        <w:spacing w:after="120"/>
        <w:ind w:firstLine="720"/>
      </w:pPr>
      <w:r w:rsidRPr="00B02A93">
        <w:t xml:space="preserve">We find, upon </w:t>
      </w:r>
      <w:r w:rsidRPr="001A7655">
        <w:t xml:space="preserve">consideration </w:t>
      </w:r>
      <w:r w:rsidRPr="00B02A93">
        <w:t>of the record, that grant of the Application will serve the public interest, convenience, and necessity.</w:t>
      </w:r>
      <w:r>
        <w:rPr>
          <w:vertAlign w:val="superscript"/>
        </w:rPr>
        <w:footnoteReference w:id="27"/>
      </w:r>
      <w:r w:rsidRPr="00B02A93">
        <w:t xml:space="preserve">  </w:t>
      </w:r>
      <w:r w:rsidRPr="00A901ED">
        <w:t>To make this determination under Commission precedent, we consider whether the proposed transaction could result in public interest harms by substantially frustrating or impairing the objectives or implementation of the</w:t>
      </w:r>
      <w:r>
        <w:t xml:space="preserve"> </w:t>
      </w:r>
      <w:r w:rsidRPr="00A901ED">
        <w:t>Act or related statutes.</w:t>
      </w:r>
      <w:r>
        <w:rPr>
          <w:vertAlign w:val="superscript"/>
        </w:rPr>
        <w:footnoteReference w:id="28"/>
      </w:r>
      <w:r w:rsidRPr="00A901ED">
        <w:t xml:space="preserve">  We then employ a balancing test weighing any potential public interest harms of the proposed transaction against any potential public interest benefits.</w:t>
      </w:r>
      <w:r>
        <w:rPr>
          <w:vertAlign w:val="superscript"/>
        </w:rPr>
        <w:footnoteReference w:id="29"/>
      </w:r>
      <w:r w:rsidRPr="00A901ED">
        <w:t xml:space="preserve">  The Applicants bear the burden of proving, by a preponderance of the evidence, that the proposed transaction, on balance, serves the public interest.</w:t>
      </w:r>
      <w:r>
        <w:rPr>
          <w:vertAlign w:val="superscript"/>
        </w:rPr>
        <w:footnoteReference w:id="30"/>
      </w:r>
    </w:p>
    <w:p w:rsidR="00682D96" w:rsidRPr="00682D96" w:rsidP="008C5AED" w14:paraId="0C33C53F" w14:textId="73C3B975">
      <w:pPr>
        <w:widowControl/>
        <w:autoSpaceDE w:val="0"/>
        <w:autoSpaceDN w:val="0"/>
        <w:adjustRightInd w:val="0"/>
        <w:spacing w:after="120"/>
        <w:ind w:firstLine="720"/>
        <w:rPr>
          <w:color w:val="000000"/>
          <w:szCs w:val="22"/>
        </w:rPr>
      </w:pPr>
      <w:r w:rsidRPr="00682D96">
        <w:rPr>
          <w:color w:val="000000"/>
          <w:szCs w:val="22"/>
        </w:rPr>
        <w:t>We find that there are no potential public interest harms identified in the record.  First, the proposed transaction</w:t>
      </w:r>
      <w:r w:rsidR="00025905">
        <w:rPr>
          <w:color w:val="000000"/>
          <w:szCs w:val="22"/>
        </w:rPr>
        <w:t xml:space="preserve"> likely</w:t>
      </w:r>
      <w:r w:rsidRPr="00682D96">
        <w:rPr>
          <w:color w:val="000000"/>
          <w:szCs w:val="22"/>
        </w:rPr>
        <w:t xml:space="preserve"> </w:t>
      </w:r>
      <w:r w:rsidRPr="007F2E5D" w:rsidR="00025905">
        <w:rPr>
          <w:bCs/>
          <w:color w:val="000000"/>
          <w:szCs w:val="22"/>
        </w:rPr>
        <w:t xml:space="preserve">will not adversely affect </w:t>
      </w:r>
      <w:r w:rsidR="008622FE">
        <w:rPr>
          <w:bCs/>
          <w:color w:val="000000"/>
          <w:szCs w:val="22"/>
        </w:rPr>
        <w:t xml:space="preserve">or eliminate </w:t>
      </w:r>
      <w:r w:rsidRPr="007F2E5D" w:rsidR="00025905">
        <w:rPr>
          <w:bCs/>
          <w:color w:val="000000"/>
          <w:szCs w:val="22"/>
        </w:rPr>
        <w:t>competition</w:t>
      </w:r>
      <w:r w:rsidR="008622FE">
        <w:rPr>
          <w:bCs/>
          <w:color w:val="000000"/>
          <w:szCs w:val="22"/>
        </w:rPr>
        <w:t xml:space="preserve"> as ITC Holdings’ affiliates do not operat</w:t>
      </w:r>
      <w:r w:rsidR="00736AD6">
        <w:rPr>
          <w:bCs/>
          <w:color w:val="000000"/>
          <w:szCs w:val="22"/>
        </w:rPr>
        <w:t xml:space="preserve">e </w:t>
      </w:r>
      <w:r w:rsidR="008622FE">
        <w:rPr>
          <w:bCs/>
          <w:color w:val="000000"/>
          <w:szCs w:val="22"/>
        </w:rPr>
        <w:t xml:space="preserve">in the </w:t>
      </w:r>
      <w:r w:rsidR="003C7931">
        <w:rPr>
          <w:bCs/>
          <w:color w:val="000000"/>
          <w:szCs w:val="22"/>
        </w:rPr>
        <w:t xml:space="preserve">areas </w:t>
      </w:r>
      <w:r w:rsidR="008622FE">
        <w:rPr>
          <w:bCs/>
          <w:color w:val="000000"/>
          <w:szCs w:val="22"/>
        </w:rPr>
        <w:t>in which CableSouth provides service.</w:t>
      </w:r>
      <w:r>
        <w:rPr>
          <w:rStyle w:val="FootnoteReference"/>
          <w:bCs/>
          <w:szCs w:val="22"/>
        </w:rPr>
        <w:footnoteReference w:id="31"/>
      </w:r>
      <w:r w:rsidR="00F67BF1">
        <w:rPr>
          <w:bCs/>
          <w:color w:val="000000"/>
          <w:szCs w:val="22"/>
        </w:rPr>
        <w:t xml:space="preserve"> </w:t>
      </w:r>
      <w:r w:rsidR="008965D6">
        <w:rPr>
          <w:bCs/>
          <w:color w:val="000000"/>
          <w:szCs w:val="22"/>
        </w:rPr>
        <w:t xml:space="preserve"> </w:t>
      </w:r>
      <w:r w:rsidR="005B420F">
        <w:rPr>
          <w:bCs/>
          <w:color w:val="000000"/>
          <w:szCs w:val="22"/>
        </w:rPr>
        <w:t xml:space="preserve">Further, </w:t>
      </w:r>
      <w:r w:rsidRPr="00025905" w:rsidR="00025905">
        <w:rPr>
          <w:bCs/>
          <w:color w:val="000000"/>
          <w:szCs w:val="22"/>
        </w:rPr>
        <w:t>Applicants state</w:t>
      </w:r>
      <w:r w:rsidR="003E5F74">
        <w:rPr>
          <w:bCs/>
          <w:color w:val="000000"/>
          <w:szCs w:val="22"/>
        </w:rPr>
        <w:t xml:space="preserve"> that</w:t>
      </w:r>
      <w:r w:rsidR="00131DFC">
        <w:rPr>
          <w:bCs/>
          <w:color w:val="000000"/>
          <w:szCs w:val="22"/>
        </w:rPr>
        <w:t xml:space="preserve"> </w:t>
      </w:r>
      <w:r w:rsidR="008C5AED">
        <w:rPr>
          <w:bCs/>
          <w:color w:val="000000"/>
          <w:szCs w:val="22"/>
        </w:rPr>
        <w:t xml:space="preserve">the proposed </w:t>
      </w:r>
      <w:r w:rsidRPr="00025905" w:rsidR="00025905">
        <w:rPr>
          <w:bCs/>
          <w:color w:val="000000"/>
          <w:szCs w:val="22"/>
        </w:rPr>
        <w:t xml:space="preserve">transaction </w:t>
      </w:r>
      <w:r w:rsidRPr="007F2E5D" w:rsidR="00025905">
        <w:rPr>
          <w:bCs/>
          <w:color w:val="000000"/>
          <w:szCs w:val="22"/>
        </w:rPr>
        <w:t xml:space="preserve">will be </w:t>
      </w:r>
      <w:r w:rsidR="00915DB4">
        <w:rPr>
          <w:bCs/>
          <w:color w:val="000000"/>
          <w:szCs w:val="22"/>
        </w:rPr>
        <w:t>transparent</w:t>
      </w:r>
      <w:r w:rsidRPr="007F2E5D" w:rsidR="00025905">
        <w:rPr>
          <w:bCs/>
          <w:color w:val="000000"/>
          <w:szCs w:val="22"/>
        </w:rPr>
        <w:t xml:space="preserve"> </w:t>
      </w:r>
      <w:r w:rsidR="00131DFC">
        <w:rPr>
          <w:bCs/>
          <w:color w:val="000000"/>
          <w:szCs w:val="22"/>
        </w:rPr>
        <w:t>to the customers of the Applicants, who will continue to be served pursuant to each Applicant’s existing operations and existing terms and conditions</w:t>
      </w:r>
      <w:r w:rsidRPr="00025905" w:rsidR="00025905">
        <w:rPr>
          <w:bCs/>
          <w:color w:val="000000"/>
          <w:szCs w:val="22"/>
        </w:rPr>
        <w:t xml:space="preserve">, and therefore, we expect no </w:t>
      </w:r>
      <w:r w:rsidR="008C5AED">
        <w:rPr>
          <w:bCs/>
          <w:color w:val="000000"/>
          <w:szCs w:val="22"/>
        </w:rPr>
        <w:t>harm to existing customers</w:t>
      </w:r>
      <w:r w:rsidRPr="00025905" w:rsidR="00025905">
        <w:rPr>
          <w:bCs/>
          <w:color w:val="000000"/>
          <w:szCs w:val="22"/>
        </w:rPr>
        <w:t xml:space="preserve"> to result from the transactio</w:t>
      </w:r>
      <w:r w:rsidR="00025905">
        <w:rPr>
          <w:bCs/>
          <w:color w:val="000000"/>
          <w:szCs w:val="22"/>
        </w:rPr>
        <w:t>n.</w:t>
      </w:r>
      <w:r>
        <w:rPr>
          <w:rStyle w:val="FootnoteReference"/>
          <w:bCs/>
          <w:szCs w:val="22"/>
        </w:rPr>
        <w:footnoteReference w:id="32"/>
      </w:r>
    </w:p>
    <w:p w:rsidR="00682D96" w:rsidRPr="00682D96" w:rsidP="004B34FF" w14:paraId="3922BA62" w14:textId="69486CFB">
      <w:pPr>
        <w:widowControl/>
        <w:autoSpaceDE w:val="0"/>
        <w:autoSpaceDN w:val="0"/>
        <w:adjustRightInd w:val="0"/>
        <w:spacing w:after="120"/>
        <w:ind w:firstLine="720"/>
        <w:rPr>
          <w:color w:val="000000"/>
          <w:szCs w:val="22"/>
        </w:rPr>
      </w:pPr>
      <w:r w:rsidRPr="00682D96">
        <w:rPr>
          <w:color w:val="000000"/>
          <w:szCs w:val="22"/>
        </w:rPr>
        <w:t xml:space="preserve">Second, </w:t>
      </w:r>
      <w:r w:rsidR="00E93E3E">
        <w:rPr>
          <w:color w:val="000000"/>
          <w:szCs w:val="22"/>
        </w:rPr>
        <w:t>Applicants certify that they will meet all relevant RDOF support obligations,</w:t>
      </w:r>
      <w:r>
        <w:rPr>
          <w:rStyle w:val="FootnoteReference"/>
          <w:szCs w:val="22"/>
        </w:rPr>
        <w:footnoteReference w:id="33"/>
      </w:r>
      <w:r w:rsidR="00004C56">
        <w:rPr>
          <w:color w:val="000000"/>
          <w:szCs w:val="22"/>
        </w:rPr>
        <w:t xml:space="preserve"> </w:t>
      </w:r>
      <w:r w:rsidR="00E93E3E">
        <w:rPr>
          <w:color w:val="000000"/>
          <w:szCs w:val="22"/>
        </w:rPr>
        <w:t>and we</w:t>
      </w:r>
      <w:r w:rsidRPr="00682D96" w:rsidR="00E93E3E">
        <w:rPr>
          <w:color w:val="000000"/>
          <w:szCs w:val="22"/>
        </w:rPr>
        <w:t xml:space="preserve"> expect that the proposed transaction will not negatively impact these obligations.</w:t>
      </w:r>
      <w:r w:rsidRPr="00682D96" w:rsidR="00E93E3E">
        <w:rPr>
          <w:bCs/>
          <w:color w:val="000000"/>
          <w:szCs w:val="22"/>
        </w:rPr>
        <w:t xml:space="preserve">  </w:t>
      </w:r>
      <w:r w:rsidR="00106048">
        <w:rPr>
          <w:color w:val="000000"/>
          <w:szCs w:val="22"/>
        </w:rPr>
        <w:t xml:space="preserve">CableSouth and </w:t>
      </w:r>
      <w:r w:rsidR="008622FE">
        <w:rPr>
          <w:color w:val="000000"/>
          <w:szCs w:val="22"/>
        </w:rPr>
        <w:t>ITC Holdings</w:t>
      </w:r>
      <w:r w:rsidR="00DE7E1C">
        <w:rPr>
          <w:color w:val="000000"/>
          <w:szCs w:val="22"/>
        </w:rPr>
        <w:t>, which will both hold ownership interests post-transaction,</w:t>
      </w:r>
      <w:r w:rsidR="008622FE">
        <w:rPr>
          <w:color w:val="000000"/>
          <w:szCs w:val="22"/>
        </w:rPr>
        <w:t xml:space="preserve"> </w:t>
      </w:r>
      <w:r w:rsidR="00106048">
        <w:rPr>
          <w:color w:val="000000"/>
          <w:szCs w:val="22"/>
        </w:rPr>
        <w:t xml:space="preserve">assert that they will “work together to build out </w:t>
      </w:r>
      <w:r w:rsidR="00DE7E1C">
        <w:rPr>
          <w:color w:val="000000"/>
          <w:szCs w:val="22"/>
        </w:rPr>
        <w:t>C</w:t>
      </w:r>
      <w:r w:rsidR="00106048">
        <w:rPr>
          <w:color w:val="000000"/>
          <w:szCs w:val="22"/>
        </w:rPr>
        <w:t>ableSouth’s new RDOF-supported network in Arkansas, Louisiana, and Mississippi, over which they will provide gigabit broadband service to residential customers</w:t>
      </w:r>
      <w:r w:rsidR="00E93E3E">
        <w:rPr>
          <w:color w:val="000000"/>
          <w:szCs w:val="22"/>
        </w:rPr>
        <w:t>.</w:t>
      </w:r>
      <w:r w:rsidR="00106048">
        <w:rPr>
          <w:color w:val="000000"/>
          <w:szCs w:val="22"/>
        </w:rPr>
        <w:t>”</w:t>
      </w:r>
      <w:r>
        <w:rPr>
          <w:rStyle w:val="FootnoteReference"/>
          <w:szCs w:val="22"/>
        </w:rPr>
        <w:footnoteReference w:id="34"/>
      </w:r>
      <w:r w:rsidR="00106048">
        <w:rPr>
          <w:color w:val="000000"/>
          <w:szCs w:val="22"/>
        </w:rPr>
        <w:t xml:space="preserve"> </w:t>
      </w:r>
      <w:r w:rsidR="00FE28E0">
        <w:rPr>
          <w:color w:val="000000"/>
          <w:szCs w:val="22"/>
        </w:rPr>
        <w:t xml:space="preserve"> </w:t>
      </w:r>
      <w:r w:rsidR="00093575">
        <w:rPr>
          <w:color w:val="000000"/>
          <w:szCs w:val="22"/>
        </w:rPr>
        <w:t>Indeed</w:t>
      </w:r>
      <w:r w:rsidRPr="00682D96">
        <w:rPr>
          <w:color w:val="000000"/>
          <w:szCs w:val="22"/>
        </w:rPr>
        <w:t xml:space="preserve">, Applicants have confirmed that </w:t>
      </w:r>
      <w:r w:rsidR="00801DFE">
        <w:rPr>
          <w:color w:val="000000"/>
          <w:szCs w:val="22"/>
        </w:rPr>
        <w:t xml:space="preserve">“the transaction will not result in any </w:t>
      </w:r>
      <w:r w:rsidR="0067126E">
        <w:rPr>
          <w:color w:val="000000"/>
          <w:szCs w:val="22"/>
        </w:rPr>
        <w:t xml:space="preserve">alternation to the buildout plans” that CableSouth </w:t>
      </w:r>
      <w:r w:rsidR="0067126E">
        <w:rPr>
          <w:color w:val="000000"/>
          <w:szCs w:val="22"/>
        </w:rPr>
        <w:t>submitted to the Commission to qualify for RDOF funding.</w:t>
      </w:r>
      <w:r>
        <w:rPr>
          <w:rStyle w:val="FootnoteReference"/>
          <w:szCs w:val="22"/>
        </w:rPr>
        <w:footnoteReference w:id="35"/>
      </w:r>
      <w:r w:rsidR="0067126E">
        <w:rPr>
          <w:color w:val="000000"/>
          <w:szCs w:val="22"/>
        </w:rPr>
        <w:t xml:space="preserve">  </w:t>
      </w:r>
      <w:r w:rsidR="00975007">
        <w:t xml:space="preserve">Moreover, CableSouth remains financially, managerially, and technically obligated to meet all public interest and performance obligations associated with the receipt of RDOF funding in accordance with the Commission’s pre-transaction approval of its qualifications.  </w:t>
      </w:r>
      <w:r w:rsidR="00165642">
        <w:rPr>
          <w:color w:val="000000"/>
          <w:szCs w:val="22"/>
        </w:rPr>
        <w:t xml:space="preserve">Applicants have </w:t>
      </w:r>
      <w:r w:rsidR="00975007">
        <w:rPr>
          <w:color w:val="000000"/>
          <w:szCs w:val="22"/>
        </w:rPr>
        <w:t xml:space="preserve">attested </w:t>
      </w:r>
      <w:r w:rsidR="00165642">
        <w:rPr>
          <w:color w:val="000000"/>
          <w:szCs w:val="22"/>
        </w:rPr>
        <w:t>that</w:t>
      </w:r>
      <w:r w:rsidR="00FE28E0">
        <w:rPr>
          <w:color w:val="000000"/>
          <w:szCs w:val="22"/>
        </w:rPr>
        <w:t>,</w:t>
      </w:r>
      <w:r w:rsidR="00165642">
        <w:rPr>
          <w:color w:val="000000"/>
          <w:szCs w:val="22"/>
        </w:rPr>
        <w:t xml:space="preserve"> following consummation of the proposed transaction, </w:t>
      </w:r>
      <w:r w:rsidR="00975007">
        <w:rPr>
          <w:color w:val="000000"/>
          <w:szCs w:val="22"/>
        </w:rPr>
        <w:t>CableSouth</w:t>
      </w:r>
      <w:r w:rsidR="00165642">
        <w:rPr>
          <w:color w:val="000000"/>
          <w:szCs w:val="22"/>
        </w:rPr>
        <w:t xml:space="preserve"> will continue to have the necessary managerial and operational expertise to meet the</w:t>
      </w:r>
      <w:r w:rsidR="00E93E3E">
        <w:rPr>
          <w:color w:val="000000"/>
          <w:szCs w:val="22"/>
        </w:rPr>
        <w:t>se</w:t>
      </w:r>
      <w:r w:rsidR="00165642">
        <w:rPr>
          <w:color w:val="000000"/>
          <w:szCs w:val="22"/>
        </w:rPr>
        <w:t xml:space="preserve"> RDOF commitments</w:t>
      </w:r>
      <w:r w:rsidR="008D29A6">
        <w:rPr>
          <w:color w:val="000000"/>
          <w:szCs w:val="22"/>
        </w:rPr>
        <w:t>.</w:t>
      </w:r>
      <w:r>
        <w:rPr>
          <w:rStyle w:val="FootnoteReference"/>
          <w:szCs w:val="22"/>
        </w:rPr>
        <w:footnoteReference w:id="36"/>
      </w:r>
      <w:r w:rsidR="008D29A6">
        <w:rPr>
          <w:color w:val="000000"/>
          <w:szCs w:val="22"/>
        </w:rPr>
        <w:t xml:space="preserve">  </w:t>
      </w:r>
      <w:r w:rsidR="00E93E3E">
        <w:rPr>
          <w:color w:val="000000"/>
          <w:szCs w:val="22"/>
        </w:rPr>
        <w:t>They</w:t>
      </w:r>
      <w:r w:rsidR="00043FF5">
        <w:rPr>
          <w:color w:val="000000"/>
          <w:szCs w:val="22"/>
        </w:rPr>
        <w:t xml:space="preserve"> </w:t>
      </w:r>
      <w:r w:rsidR="00975007">
        <w:rPr>
          <w:color w:val="000000"/>
          <w:szCs w:val="22"/>
        </w:rPr>
        <w:t xml:space="preserve">further </w:t>
      </w:r>
      <w:r w:rsidR="00043FF5">
        <w:rPr>
          <w:color w:val="000000"/>
          <w:szCs w:val="22"/>
        </w:rPr>
        <w:t xml:space="preserve">state that </w:t>
      </w:r>
      <w:r w:rsidR="000B2E86">
        <w:rPr>
          <w:color w:val="000000"/>
          <w:szCs w:val="22"/>
        </w:rPr>
        <w:t xml:space="preserve">ITC Holdings will provide equity financing for CableSouth, which is in addition to the amount that Hunt </w:t>
      </w:r>
      <w:r w:rsidR="00975007">
        <w:rPr>
          <w:color w:val="000000"/>
          <w:szCs w:val="22"/>
        </w:rPr>
        <w:t>L</w:t>
      </w:r>
      <w:r w:rsidR="000B2E86">
        <w:rPr>
          <w:color w:val="000000"/>
          <w:szCs w:val="22"/>
        </w:rPr>
        <w:t>and Holdings contemplated investing in connection with the RDOF funding</w:t>
      </w:r>
      <w:r w:rsidR="00887C2E">
        <w:rPr>
          <w:color w:val="000000"/>
          <w:szCs w:val="22"/>
        </w:rPr>
        <w:t>.</w:t>
      </w:r>
      <w:r>
        <w:rPr>
          <w:rStyle w:val="FootnoteReference"/>
          <w:szCs w:val="22"/>
        </w:rPr>
        <w:footnoteReference w:id="37"/>
      </w:r>
      <w:r w:rsidR="00887C2E">
        <w:rPr>
          <w:color w:val="000000"/>
          <w:szCs w:val="22"/>
        </w:rPr>
        <w:t xml:space="preserve">  We expect that th</w:t>
      </w:r>
      <w:r w:rsidR="00E93E3E">
        <w:rPr>
          <w:color w:val="000000"/>
          <w:szCs w:val="22"/>
        </w:rPr>
        <w:t>is</w:t>
      </w:r>
      <w:r w:rsidR="00887C2E">
        <w:rPr>
          <w:color w:val="000000"/>
          <w:szCs w:val="22"/>
        </w:rPr>
        <w:t xml:space="preserve"> additional funding, together with certain debt financing contemplated by a credit agreement that Applicants described in the record, </w:t>
      </w:r>
      <w:r w:rsidR="00043FF5">
        <w:rPr>
          <w:color w:val="000000"/>
          <w:szCs w:val="22"/>
        </w:rPr>
        <w:t xml:space="preserve">will not compromise </w:t>
      </w:r>
      <w:r w:rsidR="000B2E86">
        <w:rPr>
          <w:color w:val="000000"/>
          <w:szCs w:val="22"/>
        </w:rPr>
        <w:t>CableSouth’s</w:t>
      </w:r>
      <w:r w:rsidR="00043FF5">
        <w:rPr>
          <w:color w:val="000000"/>
          <w:szCs w:val="22"/>
        </w:rPr>
        <w:t xml:space="preserve"> support obligations </w:t>
      </w:r>
      <w:r w:rsidR="00887C2E">
        <w:rPr>
          <w:color w:val="000000"/>
          <w:szCs w:val="22"/>
        </w:rPr>
        <w:t xml:space="preserve">and should place it in a </w:t>
      </w:r>
      <w:r w:rsidR="000D5F04">
        <w:rPr>
          <w:color w:val="000000"/>
          <w:szCs w:val="22"/>
        </w:rPr>
        <w:t xml:space="preserve">strong </w:t>
      </w:r>
      <w:r w:rsidR="00887C2E">
        <w:rPr>
          <w:color w:val="000000"/>
          <w:szCs w:val="22"/>
        </w:rPr>
        <w:t xml:space="preserve">position to meet its obligations.  </w:t>
      </w:r>
      <w:r w:rsidR="007E4A79">
        <w:rPr>
          <w:color w:val="000000"/>
          <w:szCs w:val="22"/>
        </w:rPr>
        <w:t xml:space="preserve">In addition, </w:t>
      </w:r>
      <w:r w:rsidR="00120E3D">
        <w:rPr>
          <w:color w:val="000000"/>
          <w:szCs w:val="22"/>
        </w:rPr>
        <w:t xml:space="preserve">CableSouth </w:t>
      </w:r>
      <w:r w:rsidRPr="007E4A79" w:rsidR="007E4A79">
        <w:t>will be subject to ongoing oversight</w:t>
      </w:r>
      <w:r w:rsidR="00994CBF">
        <w:t xml:space="preserve"> and </w:t>
      </w:r>
      <w:r w:rsidRPr="007E4A79" w:rsidR="007E4A79">
        <w:t xml:space="preserve">must comply with annual </w:t>
      </w:r>
      <w:r w:rsidR="00FE28E0">
        <w:t xml:space="preserve">RDOF </w:t>
      </w:r>
      <w:r w:rsidRPr="007E4A79" w:rsidR="007E4A79">
        <w:t>reporting and certification requirements</w:t>
      </w:r>
      <w:r w:rsidR="00994CBF">
        <w:t>.</w:t>
      </w:r>
      <w:r>
        <w:rPr>
          <w:rStyle w:val="FootnoteReference"/>
        </w:rPr>
        <w:footnoteReference w:id="38"/>
      </w:r>
    </w:p>
    <w:p w:rsidR="00A901ED" w:rsidP="00B33C83" w14:paraId="6A9051AB" w14:textId="47E96C7A">
      <w:pPr>
        <w:widowControl/>
        <w:autoSpaceDE w:val="0"/>
        <w:autoSpaceDN w:val="0"/>
        <w:adjustRightInd w:val="0"/>
        <w:spacing w:after="120"/>
        <w:ind w:firstLine="720"/>
        <w:rPr>
          <w:szCs w:val="22"/>
        </w:rPr>
      </w:pPr>
      <w:r>
        <w:rPr>
          <w:szCs w:val="22"/>
        </w:rPr>
        <w:t>We</w:t>
      </w:r>
      <w:r w:rsidRPr="00A901ED">
        <w:rPr>
          <w:szCs w:val="22"/>
        </w:rPr>
        <w:t xml:space="preserve"> next consider whether the proposed transaction is likely to generate verifiable, transaction-specific public interest benefits.</w:t>
      </w:r>
      <w:r>
        <w:rPr>
          <w:szCs w:val="22"/>
          <w:vertAlign w:val="superscript"/>
        </w:rPr>
        <w:footnoteReference w:id="39"/>
      </w:r>
      <w:r w:rsidRPr="00A901ED">
        <w:rPr>
          <w:szCs w:val="22"/>
        </w:rPr>
        <w:t xml:space="preserve"> </w:t>
      </w:r>
      <w:r w:rsidR="00BB2051">
        <w:rPr>
          <w:szCs w:val="22"/>
        </w:rPr>
        <w:t xml:space="preserve"> </w:t>
      </w:r>
      <w:r w:rsidRPr="00A901ED">
        <w:rPr>
          <w:szCs w:val="22"/>
        </w:rPr>
        <w:t>Applicants must provide evidence of a claimed benefit to allow the Commission to verify its likelihood and magnitude.</w:t>
      </w:r>
      <w:r>
        <w:rPr>
          <w:szCs w:val="22"/>
          <w:vertAlign w:val="superscript"/>
        </w:rPr>
        <w:footnoteReference w:id="40"/>
      </w:r>
      <w:r w:rsidRPr="00A901ED">
        <w:rPr>
          <w:szCs w:val="22"/>
        </w:rPr>
        <w:t xml:space="preserve">  Where potential harms appear unlikely, as is the case with the Application before us here, the Commission accepts a lesser degree of magnitude and likelihood than when harms are present.</w:t>
      </w:r>
      <w:r>
        <w:rPr>
          <w:szCs w:val="22"/>
          <w:vertAlign w:val="superscript"/>
        </w:rPr>
        <w:footnoteReference w:id="41"/>
      </w:r>
      <w:r w:rsidRPr="00A901ED">
        <w:rPr>
          <w:szCs w:val="22"/>
        </w:rPr>
        <w:t xml:space="preserve">  </w:t>
      </w:r>
    </w:p>
    <w:p w:rsidR="0091436D" w:rsidP="0091436D" w14:paraId="1ED7E945" w14:textId="350F0BFF">
      <w:pPr>
        <w:widowControl/>
        <w:autoSpaceDE w:val="0"/>
        <w:autoSpaceDN w:val="0"/>
        <w:adjustRightInd w:val="0"/>
        <w:spacing w:after="120"/>
        <w:ind w:firstLine="720"/>
        <w:rPr>
          <w:snapToGrid/>
          <w:kern w:val="0"/>
          <w:szCs w:val="22"/>
        </w:rPr>
      </w:pPr>
      <w:r>
        <w:rPr>
          <w:bCs/>
          <w:szCs w:val="22"/>
        </w:rPr>
        <w:t xml:space="preserve">Applicants </w:t>
      </w:r>
      <w:r w:rsidR="006566D0">
        <w:rPr>
          <w:bCs/>
          <w:szCs w:val="22"/>
        </w:rPr>
        <w:t>state that following construction of the RDOF network, CableSouth will provide gigabit broadband service and VoIP service to end user customers and anticipate that “t</w:t>
      </w:r>
      <w:r w:rsidR="006566D0">
        <w:t>he additional financial resources from ITC Holdings, as well as its managerial and technical expertise in building out broadband networks, will put CableSouth in an optimal position to accelerate its network deployment and provide high quality broadband service to customers in Arkansas, Louisiana, and Mississippi in the near term, as well as fulfill its RDOF public interest obligations in the long term.”</w:t>
      </w:r>
      <w:r>
        <w:rPr>
          <w:rStyle w:val="FootnoteReference"/>
        </w:rPr>
        <w:footnoteReference w:id="42"/>
      </w:r>
      <w:r w:rsidR="006566D0">
        <w:t xml:space="preserve">  </w:t>
      </w:r>
      <w:r w:rsidRPr="0076309F">
        <w:rPr>
          <w:bCs/>
          <w:szCs w:val="22"/>
        </w:rPr>
        <w:t>The Commission has specified that ensuring consumers receive new or additional services is an important public interest factor</w:t>
      </w:r>
      <w:r>
        <w:rPr>
          <w:bCs/>
          <w:szCs w:val="22"/>
          <w:vertAlign w:val="superscript"/>
        </w:rPr>
        <w:footnoteReference w:id="43"/>
      </w:r>
      <w:r w:rsidRPr="0076309F">
        <w:rPr>
          <w:bCs/>
          <w:szCs w:val="22"/>
        </w:rPr>
        <w:t xml:space="preserve"> </w:t>
      </w:r>
      <w:r w:rsidR="00CE6E0B">
        <w:rPr>
          <w:bCs/>
          <w:szCs w:val="22"/>
        </w:rPr>
        <w:t>and</w:t>
      </w:r>
      <w:r w:rsidRPr="0076309F">
        <w:rPr>
          <w:bCs/>
          <w:szCs w:val="22"/>
        </w:rPr>
        <w:t xml:space="preserve"> accelerating private sector deployment of advanced services</w:t>
      </w:r>
      <w:r w:rsidR="00CE6E0B">
        <w:rPr>
          <w:bCs/>
          <w:szCs w:val="22"/>
        </w:rPr>
        <w:t xml:space="preserve"> is one of the aims of the Act</w:t>
      </w:r>
      <w:r w:rsidRPr="0076309F">
        <w:rPr>
          <w:bCs/>
          <w:szCs w:val="22"/>
        </w:rPr>
        <w:t>.</w:t>
      </w:r>
      <w:r>
        <w:rPr>
          <w:bCs/>
          <w:szCs w:val="22"/>
          <w:vertAlign w:val="superscript"/>
        </w:rPr>
        <w:footnoteReference w:id="44"/>
      </w:r>
      <w:r w:rsidRPr="0076309F">
        <w:rPr>
          <w:bCs/>
          <w:szCs w:val="22"/>
        </w:rPr>
        <w:t xml:space="preserve">  </w:t>
      </w:r>
      <w:r w:rsidR="00682D96">
        <w:rPr>
          <w:bCs/>
          <w:snapToGrid/>
          <w:kern w:val="0"/>
          <w:szCs w:val="22"/>
        </w:rPr>
        <w:t>Based on the record of this proceeding, we find it likely that the proposed transaction would result in some public interest benefits</w:t>
      </w:r>
      <w:r w:rsidR="00246575">
        <w:rPr>
          <w:bCs/>
          <w:snapToGrid/>
          <w:kern w:val="0"/>
          <w:szCs w:val="22"/>
        </w:rPr>
        <w:t xml:space="preserve">, including </w:t>
      </w:r>
      <w:r w:rsidR="00947E35">
        <w:rPr>
          <w:bCs/>
          <w:snapToGrid/>
          <w:kern w:val="0"/>
          <w:szCs w:val="22"/>
        </w:rPr>
        <w:t xml:space="preserve">an investment of </w:t>
      </w:r>
      <w:r w:rsidR="002A7431">
        <w:rPr>
          <w:bCs/>
          <w:snapToGrid/>
          <w:kern w:val="0"/>
          <w:szCs w:val="22"/>
        </w:rPr>
        <w:t xml:space="preserve">capital from ITC Holdings that is in addition to CableSouth’s </w:t>
      </w:r>
      <w:r w:rsidR="00947E35">
        <w:rPr>
          <w:bCs/>
          <w:snapToGrid/>
          <w:kern w:val="0"/>
          <w:szCs w:val="22"/>
        </w:rPr>
        <w:t xml:space="preserve">own </w:t>
      </w:r>
      <w:r w:rsidR="002A7431">
        <w:rPr>
          <w:bCs/>
          <w:snapToGrid/>
          <w:kern w:val="0"/>
          <w:szCs w:val="22"/>
        </w:rPr>
        <w:t>investment</w:t>
      </w:r>
      <w:r w:rsidR="000D5F04">
        <w:rPr>
          <w:bCs/>
          <w:snapToGrid/>
          <w:kern w:val="0"/>
          <w:szCs w:val="22"/>
        </w:rPr>
        <w:t>.</w:t>
      </w:r>
      <w:r>
        <w:rPr>
          <w:rStyle w:val="FootnoteReference"/>
          <w:bCs/>
          <w:snapToGrid/>
          <w:kern w:val="0"/>
          <w:szCs w:val="22"/>
        </w:rPr>
        <w:footnoteReference w:id="45"/>
      </w:r>
      <w:r w:rsidR="002A7431">
        <w:rPr>
          <w:bCs/>
          <w:snapToGrid/>
          <w:kern w:val="0"/>
          <w:szCs w:val="22"/>
        </w:rPr>
        <w:t xml:space="preserve"> </w:t>
      </w:r>
      <w:r w:rsidR="008F7481">
        <w:rPr>
          <w:bCs/>
          <w:snapToGrid/>
          <w:kern w:val="0"/>
          <w:szCs w:val="22"/>
        </w:rPr>
        <w:t xml:space="preserve"> </w:t>
      </w:r>
      <w:r w:rsidR="000D5F04">
        <w:rPr>
          <w:bCs/>
          <w:snapToGrid/>
          <w:kern w:val="0"/>
          <w:szCs w:val="22"/>
        </w:rPr>
        <w:t>This</w:t>
      </w:r>
      <w:r w:rsidR="00E93E3E">
        <w:rPr>
          <w:bCs/>
          <w:snapToGrid/>
          <w:kern w:val="0"/>
          <w:szCs w:val="22"/>
        </w:rPr>
        <w:t xml:space="preserve"> </w:t>
      </w:r>
      <w:r w:rsidR="002A7431">
        <w:rPr>
          <w:bCs/>
          <w:snapToGrid/>
          <w:kern w:val="0"/>
          <w:szCs w:val="22"/>
        </w:rPr>
        <w:t xml:space="preserve">could accelerate broadband </w:t>
      </w:r>
      <w:r w:rsidR="00947E35">
        <w:rPr>
          <w:bCs/>
          <w:snapToGrid/>
          <w:kern w:val="0"/>
          <w:szCs w:val="22"/>
        </w:rPr>
        <w:t>deployment</w:t>
      </w:r>
      <w:r w:rsidR="002A7431">
        <w:rPr>
          <w:bCs/>
          <w:snapToGrid/>
          <w:kern w:val="0"/>
          <w:szCs w:val="22"/>
        </w:rPr>
        <w:t xml:space="preserve"> </w:t>
      </w:r>
      <w:r w:rsidR="00E93E3E">
        <w:rPr>
          <w:bCs/>
          <w:snapToGrid/>
          <w:kern w:val="0"/>
          <w:szCs w:val="22"/>
        </w:rPr>
        <w:t xml:space="preserve">so that CableSouth can </w:t>
      </w:r>
      <w:r w:rsidR="002A7431">
        <w:rPr>
          <w:bCs/>
          <w:snapToGrid/>
          <w:kern w:val="0"/>
          <w:szCs w:val="22"/>
        </w:rPr>
        <w:t xml:space="preserve">expand service </w:t>
      </w:r>
      <w:r w:rsidR="00246575">
        <w:rPr>
          <w:bCs/>
          <w:snapToGrid/>
          <w:kern w:val="0"/>
          <w:szCs w:val="22"/>
        </w:rPr>
        <w:t>offerings</w:t>
      </w:r>
      <w:r w:rsidR="008178AF">
        <w:rPr>
          <w:bCs/>
          <w:snapToGrid/>
          <w:kern w:val="0"/>
          <w:szCs w:val="22"/>
        </w:rPr>
        <w:t xml:space="preserve"> more quickly</w:t>
      </w:r>
      <w:r w:rsidR="00246575">
        <w:rPr>
          <w:bCs/>
          <w:snapToGrid/>
          <w:kern w:val="0"/>
          <w:szCs w:val="22"/>
        </w:rPr>
        <w:t xml:space="preserve"> and better compete</w:t>
      </w:r>
      <w:r w:rsidR="00682D96">
        <w:rPr>
          <w:bCs/>
          <w:snapToGrid/>
          <w:kern w:val="0"/>
          <w:szCs w:val="22"/>
        </w:rPr>
        <w:t xml:space="preserve">.  </w:t>
      </w:r>
      <w:r w:rsidR="00682D96">
        <w:rPr>
          <w:snapToGrid/>
          <w:kern w:val="0"/>
          <w:szCs w:val="22"/>
        </w:rPr>
        <w:t>Absent any potential harms, and c</w:t>
      </w:r>
      <w:r w:rsidRPr="00585EC7" w:rsidR="00682D96">
        <w:rPr>
          <w:snapToGrid/>
          <w:kern w:val="0"/>
          <w:szCs w:val="22"/>
        </w:rPr>
        <w:t>onsidering that the proposed transaction is likely to yield some benefits, we find</w:t>
      </w:r>
      <w:r w:rsidR="00682D96">
        <w:rPr>
          <w:snapToGrid/>
          <w:kern w:val="0"/>
          <w:szCs w:val="22"/>
        </w:rPr>
        <w:t>,</w:t>
      </w:r>
      <w:r w:rsidRPr="00585EC7" w:rsidR="00682D96">
        <w:rPr>
          <w:snapToGrid/>
          <w:kern w:val="0"/>
          <w:szCs w:val="22"/>
        </w:rPr>
        <w:t xml:space="preserve"> on balance</w:t>
      </w:r>
      <w:r w:rsidR="00682D96">
        <w:rPr>
          <w:snapToGrid/>
          <w:kern w:val="0"/>
          <w:szCs w:val="22"/>
        </w:rPr>
        <w:t>,</w:t>
      </w:r>
      <w:r w:rsidRPr="00585EC7" w:rsidR="00682D96">
        <w:rPr>
          <w:snapToGrid/>
          <w:kern w:val="0"/>
          <w:szCs w:val="22"/>
        </w:rPr>
        <w:t xml:space="preserve"> that the proposed transaction serves the public interest.</w:t>
      </w:r>
    </w:p>
    <w:p w:rsidR="0091436D" w:rsidRPr="00502B7C" w:rsidP="0091436D" w14:paraId="1D4C0C2E" w14:textId="663651B0">
      <w:pPr>
        <w:widowControl/>
        <w:autoSpaceDE w:val="0"/>
        <w:autoSpaceDN w:val="0"/>
        <w:adjustRightInd w:val="0"/>
        <w:spacing w:after="120"/>
        <w:rPr>
          <w:b/>
          <w:bCs/>
          <w:snapToGrid/>
          <w:kern w:val="0"/>
          <w:szCs w:val="22"/>
          <w:u w:val="single"/>
        </w:rPr>
      </w:pPr>
      <w:r w:rsidRPr="00502B7C">
        <w:rPr>
          <w:b/>
          <w:bCs/>
          <w:snapToGrid/>
          <w:kern w:val="0"/>
          <w:szCs w:val="22"/>
          <w:u w:val="single"/>
        </w:rPr>
        <w:t>Grant Subject to Condition</w:t>
      </w:r>
    </w:p>
    <w:p w:rsidR="0091436D" w:rsidRPr="00A37769" w:rsidP="0091436D" w14:paraId="41301B00" w14:textId="01A17A68">
      <w:pPr>
        <w:widowControl/>
        <w:autoSpaceDE w:val="0"/>
        <w:autoSpaceDN w:val="0"/>
        <w:adjustRightInd w:val="0"/>
        <w:spacing w:after="120"/>
        <w:ind w:firstLine="720"/>
        <w:rPr>
          <w:snapToGrid/>
          <w:kern w:val="0"/>
          <w:szCs w:val="22"/>
        </w:rPr>
      </w:pPr>
      <w:r w:rsidRPr="00A37769">
        <w:rPr>
          <w:snapToGrid/>
          <w:kern w:val="0"/>
          <w:szCs w:val="22"/>
        </w:rPr>
        <w:t xml:space="preserve">The Applicants request approval to consummate </w:t>
      </w:r>
      <w:r w:rsidR="007B70C6">
        <w:rPr>
          <w:snapToGrid/>
          <w:kern w:val="0"/>
          <w:szCs w:val="22"/>
        </w:rPr>
        <w:t xml:space="preserve">a </w:t>
      </w:r>
      <w:r w:rsidRPr="00A37769">
        <w:rPr>
          <w:snapToGrid/>
          <w:kern w:val="0"/>
          <w:szCs w:val="22"/>
        </w:rPr>
        <w:t>transaction involving companies that receive high-cost universal service support under the different support mechanisms of fixed model-based support and cost-based support (a mixed support transaction).  The Commission has found that this type of transaction could result in potential harm to its goal of ensuring that limited universal service funding is distributed efficiently and effectively.</w:t>
      </w:r>
      <w:r>
        <w:rPr>
          <w:snapToGrid/>
          <w:kern w:val="0"/>
          <w:szCs w:val="22"/>
          <w:vertAlign w:val="superscript"/>
        </w:rPr>
        <w:footnoteReference w:id="46"/>
      </w:r>
      <w:r w:rsidRPr="00A37769">
        <w:rPr>
          <w:snapToGrid/>
          <w:kern w:val="0"/>
          <w:szCs w:val="22"/>
        </w:rPr>
        <w:t xml:space="preserve">  When a company receiving a fixed level of support acquires or is acquired by a company receiving support based on its costs, the combined companies could, and in some instances might have an economic incentive to, shift certain shared or common costs from the </w:t>
      </w:r>
      <w:r w:rsidR="00626672">
        <w:rPr>
          <w:snapToGrid/>
          <w:kern w:val="0"/>
          <w:szCs w:val="22"/>
        </w:rPr>
        <w:t xml:space="preserve">fixed </w:t>
      </w:r>
      <w:r w:rsidRPr="00A37769">
        <w:rPr>
          <w:snapToGrid/>
          <w:kern w:val="0"/>
          <w:szCs w:val="22"/>
        </w:rPr>
        <w:t>model-based support company to the cost-based support company.</w:t>
      </w:r>
      <w:r>
        <w:rPr>
          <w:snapToGrid/>
          <w:kern w:val="0"/>
          <w:szCs w:val="22"/>
          <w:vertAlign w:val="superscript"/>
        </w:rPr>
        <w:footnoteReference w:id="47"/>
      </w:r>
      <w:r w:rsidRPr="00A37769">
        <w:rPr>
          <w:snapToGrid/>
          <w:kern w:val="0"/>
          <w:szCs w:val="22"/>
        </w:rPr>
        <w:t xml:space="preserve">  If cost shifting were to occur, the combined company, post-transaction, could obtain more high cost universal service support than the two companies did as separate entities, not because of any new investment, expense, or buildout, but rather solely because of the application of accounting procedures.</w:t>
      </w:r>
      <w:r>
        <w:rPr>
          <w:snapToGrid/>
          <w:kern w:val="0"/>
          <w:szCs w:val="22"/>
          <w:vertAlign w:val="superscript"/>
        </w:rPr>
        <w:footnoteReference w:id="48"/>
      </w:r>
      <w:r w:rsidRPr="00A37769">
        <w:rPr>
          <w:snapToGrid/>
          <w:kern w:val="0"/>
          <w:szCs w:val="22"/>
        </w:rPr>
        <w:t xml:space="preserve">  Such an outcome is inconsistent with the Commission’s general expectation that transactions generate efficiencies that reduce the combined company’s costs.</w:t>
      </w:r>
      <w:r>
        <w:rPr>
          <w:snapToGrid/>
          <w:kern w:val="0"/>
          <w:szCs w:val="22"/>
          <w:vertAlign w:val="superscript"/>
        </w:rPr>
        <w:footnoteReference w:id="49"/>
      </w:r>
      <w:r w:rsidRPr="00A37769">
        <w:rPr>
          <w:snapToGrid/>
          <w:kern w:val="0"/>
          <w:szCs w:val="22"/>
        </w:rPr>
        <w:t xml:space="preserve">  Moreover, providing additional universal service support to a company as a result of cost shifting solely because it acquired or merged with another company is not an efficient use of limited universal service resources.</w:t>
      </w:r>
      <w:r>
        <w:rPr>
          <w:snapToGrid/>
          <w:kern w:val="0"/>
          <w:szCs w:val="22"/>
          <w:vertAlign w:val="superscript"/>
        </w:rPr>
        <w:footnoteReference w:id="50"/>
      </w:r>
    </w:p>
    <w:p w:rsidR="0091436D" w:rsidRPr="00A37769" w:rsidP="0091436D" w14:paraId="6D88A2EB" w14:textId="77777777">
      <w:pPr>
        <w:widowControl/>
        <w:autoSpaceDE w:val="0"/>
        <w:autoSpaceDN w:val="0"/>
        <w:adjustRightInd w:val="0"/>
        <w:spacing w:after="120"/>
        <w:ind w:firstLine="720"/>
        <w:rPr>
          <w:snapToGrid/>
          <w:kern w:val="0"/>
          <w:szCs w:val="22"/>
        </w:rPr>
      </w:pPr>
      <w:r w:rsidRPr="00A37769">
        <w:rPr>
          <w:snapToGrid/>
          <w:kern w:val="0"/>
          <w:szCs w:val="22"/>
        </w:rPr>
        <w:t xml:space="preserve">In the </w:t>
      </w:r>
      <w:r w:rsidRPr="00A37769">
        <w:rPr>
          <w:i/>
          <w:snapToGrid/>
          <w:kern w:val="0"/>
          <w:szCs w:val="22"/>
        </w:rPr>
        <w:t>Hargray/ComSouth Order</w:t>
      </w:r>
      <w:r w:rsidRPr="00A37769">
        <w:rPr>
          <w:snapToGrid/>
          <w:kern w:val="0"/>
          <w:szCs w:val="22"/>
        </w:rPr>
        <w:t>, in which the Commission approved a mixed support transaction, it sought to prevent cost shifting and to protect the finite resources of the high-cost universal service fund by imposing a limited condition that capped high-cost universal service support based on the operating expenses of the entity receiving cost-based support.</w:t>
      </w:r>
      <w:r>
        <w:rPr>
          <w:snapToGrid/>
          <w:kern w:val="0"/>
          <w:szCs w:val="22"/>
          <w:vertAlign w:val="superscript"/>
        </w:rPr>
        <w:footnoteReference w:id="51"/>
      </w:r>
      <w:r w:rsidRPr="00A37769">
        <w:rPr>
          <w:snapToGrid/>
          <w:kern w:val="0"/>
          <w:szCs w:val="22"/>
        </w:rPr>
        <w:t xml:space="preserve">  The Commission also directed the Bureau to impose the same limited condition on future transactions between parties receiving different types of high-cost universal service support.</w:t>
      </w:r>
      <w:r>
        <w:rPr>
          <w:snapToGrid/>
          <w:kern w:val="0"/>
          <w:szCs w:val="22"/>
          <w:vertAlign w:val="superscript"/>
        </w:rPr>
        <w:footnoteReference w:id="52"/>
      </w:r>
      <w:r w:rsidRPr="00A37769">
        <w:rPr>
          <w:snapToGrid/>
          <w:kern w:val="0"/>
          <w:szCs w:val="22"/>
        </w:rPr>
        <w:t xml:space="preserve">  </w:t>
      </w:r>
    </w:p>
    <w:p w:rsidR="0091436D" w:rsidRPr="00A37769" w:rsidP="0091436D" w14:paraId="2DDEFBFF" w14:textId="6E0143C4">
      <w:pPr>
        <w:widowControl/>
        <w:autoSpaceDE w:val="0"/>
        <w:autoSpaceDN w:val="0"/>
        <w:adjustRightInd w:val="0"/>
        <w:spacing w:after="120"/>
        <w:ind w:firstLine="720"/>
        <w:rPr>
          <w:snapToGrid/>
          <w:kern w:val="0"/>
          <w:szCs w:val="22"/>
        </w:rPr>
      </w:pPr>
      <w:r w:rsidRPr="00A37769">
        <w:rPr>
          <w:snapToGrid/>
          <w:kern w:val="0"/>
          <w:szCs w:val="22"/>
        </w:rPr>
        <w:t xml:space="preserve">Because </w:t>
      </w:r>
      <w:r w:rsidR="00D509F8">
        <w:rPr>
          <w:snapToGrid/>
          <w:kern w:val="0"/>
          <w:szCs w:val="22"/>
        </w:rPr>
        <w:t>ITC Holdings’ affiliates, Waverly</w:t>
      </w:r>
      <w:r w:rsidR="000439AB">
        <w:rPr>
          <w:snapToGrid/>
          <w:kern w:val="0"/>
          <w:szCs w:val="22"/>
        </w:rPr>
        <w:t xml:space="preserve"> Hall Telephone and Livingston</w:t>
      </w:r>
      <w:r w:rsidR="00D509F8">
        <w:rPr>
          <w:snapToGrid/>
          <w:kern w:val="0"/>
          <w:szCs w:val="22"/>
        </w:rPr>
        <w:t>,</w:t>
      </w:r>
      <w:r w:rsidRPr="00A37769">
        <w:rPr>
          <w:snapToGrid/>
          <w:kern w:val="0"/>
          <w:szCs w:val="22"/>
        </w:rPr>
        <w:t xml:space="preserve"> receive</w:t>
      </w:r>
      <w:r w:rsidR="00D509F8">
        <w:rPr>
          <w:snapToGrid/>
          <w:kern w:val="0"/>
          <w:szCs w:val="22"/>
        </w:rPr>
        <w:t xml:space="preserve"> cost-based support, and ITC Holdings will acquire a controlling ownership interest in CableSouth, which </w:t>
      </w:r>
      <w:r w:rsidR="00004C56">
        <w:rPr>
          <w:snapToGrid/>
          <w:kern w:val="0"/>
          <w:szCs w:val="22"/>
        </w:rPr>
        <w:t>will receive</w:t>
      </w:r>
      <w:r w:rsidR="00D509F8">
        <w:rPr>
          <w:snapToGrid/>
          <w:kern w:val="0"/>
          <w:szCs w:val="22"/>
        </w:rPr>
        <w:t xml:space="preserve"> fixed </w:t>
      </w:r>
      <w:r w:rsidR="00502B7C">
        <w:rPr>
          <w:snapToGrid/>
          <w:kern w:val="0"/>
          <w:szCs w:val="22"/>
        </w:rPr>
        <w:t>support as an Auction 904 recipient</w:t>
      </w:r>
      <w:r w:rsidR="00D509F8">
        <w:rPr>
          <w:snapToGrid/>
          <w:kern w:val="0"/>
          <w:szCs w:val="22"/>
        </w:rPr>
        <w:t xml:space="preserve">, </w:t>
      </w:r>
      <w:r w:rsidRPr="00A37769">
        <w:rPr>
          <w:snapToGrid/>
          <w:kern w:val="0"/>
          <w:szCs w:val="22"/>
        </w:rPr>
        <w:t>the potential for harm caused by cost-shifting is specific to the transaction.</w:t>
      </w:r>
      <w:r>
        <w:rPr>
          <w:rStyle w:val="FootnoteReference"/>
          <w:snapToGrid/>
          <w:kern w:val="0"/>
          <w:szCs w:val="22"/>
        </w:rPr>
        <w:footnoteReference w:id="53"/>
      </w:r>
      <w:r w:rsidRPr="00A37769">
        <w:rPr>
          <w:snapToGrid/>
          <w:kern w:val="0"/>
          <w:szCs w:val="22"/>
        </w:rPr>
        <w:t xml:space="preserve">  Accordingly, to mitigate the potential for cost shifting, we grant the Application subject to the condition adopted in the </w:t>
      </w:r>
      <w:r w:rsidRPr="00A37769">
        <w:rPr>
          <w:i/>
          <w:snapToGrid/>
          <w:kern w:val="0"/>
          <w:szCs w:val="22"/>
        </w:rPr>
        <w:t>Hargray/ComSouth Order</w:t>
      </w:r>
      <w:r w:rsidRPr="00A37769">
        <w:rPr>
          <w:snapToGrid/>
          <w:kern w:val="0"/>
          <w:szCs w:val="22"/>
        </w:rPr>
        <w:t>.</w:t>
      </w:r>
      <w:r>
        <w:rPr>
          <w:snapToGrid/>
          <w:kern w:val="0"/>
          <w:szCs w:val="22"/>
          <w:vertAlign w:val="superscript"/>
        </w:rPr>
        <w:footnoteReference w:id="54"/>
      </w:r>
      <w:r w:rsidRPr="00A37769">
        <w:rPr>
          <w:snapToGrid/>
          <w:kern w:val="0"/>
          <w:szCs w:val="22"/>
        </w:rPr>
        <w:t xml:space="preserve">  The combined operating expenses of </w:t>
      </w:r>
      <w:r w:rsidR="00502B7C">
        <w:rPr>
          <w:snapToGrid/>
          <w:kern w:val="0"/>
          <w:szCs w:val="22"/>
        </w:rPr>
        <w:t>the</w:t>
      </w:r>
      <w:r w:rsidRPr="00A37769">
        <w:rPr>
          <w:snapToGrid/>
          <w:kern w:val="0"/>
          <w:szCs w:val="22"/>
        </w:rPr>
        <w:t xml:space="preserve"> post-</w:t>
      </w:r>
      <w:r w:rsidRPr="00A37769">
        <w:rPr>
          <w:snapToGrid/>
          <w:kern w:val="0"/>
          <w:szCs w:val="22"/>
        </w:rPr>
        <w:t>consummation company’s rate-of-return affiliates</w:t>
      </w:r>
      <w:r>
        <w:rPr>
          <w:snapToGrid/>
          <w:kern w:val="0"/>
          <w:szCs w:val="22"/>
          <w:vertAlign w:val="superscript"/>
        </w:rPr>
        <w:footnoteReference w:id="55"/>
      </w:r>
      <w:r w:rsidRPr="00A37769">
        <w:rPr>
          <w:snapToGrid/>
          <w:kern w:val="0"/>
          <w:szCs w:val="22"/>
        </w:rPr>
        <w:t xml:space="preserve"> shall be capped at the averaged combined operating expenses of the three calendar years preceding the transaction</w:t>
      </w:r>
      <w:r w:rsidR="00502B7C">
        <w:rPr>
          <w:snapToGrid/>
          <w:kern w:val="0"/>
          <w:szCs w:val="22"/>
        </w:rPr>
        <w:t>’</w:t>
      </w:r>
      <w:r w:rsidRPr="00A37769">
        <w:rPr>
          <w:snapToGrid/>
          <w:kern w:val="0"/>
          <w:szCs w:val="22"/>
        </w:rPr>
        <w:t>s closing date for which the operating expense data are available.</w:t>
      </w:r>
      <w:r>
        <w:rPr>
          <w:snapToGrid/>
          <w:kern w:val="0"/>
          <w:szCs w:val="22"/>
          <w:vertAlign w:val="superscript"/>
        </w:rPr>
        <w:footnoteReference w:id="56"/>
      </w:r>
      <w:r w:rsidRPr="00A37769">
        <w:rPr>
          <w:snapToGrid/>
          <w:kern w:val="0"/>
          <w:szCs w:val="22"/>
        </w:rPr>
        <w:t xml:space="preserve">  </w:t>
      </w:r>
    </w:p>
    <w:p w:rsidR="0091436D" w:rsidRPr="00A37769" w:rsidP="0091436D" w14:paraId="5E762B65" w14:textId="77777777">
      <w:pPr>
        <w:widowControl/>
        <w:autoSpaceDE w:val="0"/>
        <w:autoSpaceDN w:val="0"/>
        <w:adjustRightInd w:val="0"/>
        <w:spacing w:after="120"/>
        <w:ind w:firstLine="720"/>
        <w:rPr>
          <w:snapToGrid/>
          <w:kern w:val="0"/>
          <w:szCs w:val="22"/>
        </w:rPr>
      </w:pPr>
      <w:r w:rsidRPr="00A37769">
        <w:rPr>
          <w:snapToGrid/>
          <w:kern w:val="0"/>
          <w:szCs w:val="22"/>
        </w:rPr>
        <w:t>The cap will apply to cost recovery under both HCLS and CAF-BLS and will be applied proportionately to each affiliate’s accounts used to determine the affiliate’s eligible operating expense for HCLS and CAF-BLS.</w:t>
      </w:r>
      <w:r>
        <w:rPr>
          <w:snapToGrid/>
          <w:kern w:val="0"/>
          <w:szCs w:val="22"/>
          <w:vertAlign w:val="superscript"/>
        </w:rPr>
        <w:footnoteReference w:id="57"/>
      </w:r>
      <w:r w:rsidRPr="00A37769">
        <w:rPr>
          <w:snapToGrid/>
          <w:kern w:val="0"/>
          <w:szCs w:val="22"/>
        </w:rPr>
        <w:t xml:space="preserve">  For example, if the cap requires that a post-consummation company’s eligible operating expense be reduced by 10%, then each account used to determine each rate-of-return affiliate’s eligible operating expenses shall be reduced by 10%.</w:t>
      </w:r>
      <w:r>
        <w:rPr>
          <w:snapToGrid/>
          <w:kern w:val="0"/>
          <w:szCs w:val="22"/>
          <w:vertAlign w:val="superscript"/>
        </w:rPr>
        <w:footnoteReference w:id="58"/>
      </w:r>
      <w:r w:rsidRPr="00A37769">
        <w:rPr>
          <w:snapToGrid/>
          <w:kern w:val="0"/>
          <w:szCs w:val="22"/>
        </w:rPr>
        <w:t xml:space="preserve">  For purposes of this cap, operating expenses shall include maintenance, network support/network operations/general, benefits, rent expenses, and corporate operations, while depreciation, return on investment, and taxes shall be excluded.</w:t>
      </w:r>
      <w:r>
        <w:rPr>
          <w:snapToGrid/>
          <w:kern w:val="0"/>
          <w:szCs w:val="22"/>
          <w:vertAlign w:val="superscript"/>
        </w:rPr>
        <w:footnoteReference w:id="59"/>
      </w:r>
    </w:p>
    <w:p w:rsidR="0091436D" w:rsidRPr="00A37769" w:rsidP="0091436D" w14:paraId="766B9FA6" w14:textId="77777777">
      <w:pPr>
        <w:widowControl/>
        <w:autoSpaceDE w:val="0"/>
        <w:autoSpaceDN w:val="0"/>
        <w:adjustRightInd w:val="0"/>
        <w:spacing w:after="120"/>
        <w:ind w:firstLine="720"/>
        <w:rPr>
          <w:snapToGrid/>
          <w:kern w:val="0"/>
          <w:szCs w:val="22"/>
        </w:rPr>
      </w:pPr>
      <w:r w:rsidRPr="00A37769">
        <w:rPr>
          <w:snapToGrid/>
          <w:kern w:val="0"/>
          <w:szCs w:val="22"/>
        </w:rPr>
        <w:t>For all covered entities, the new cap shall also include an annual adjustment for inflation based on the Gross Domestic Product-Channel Price Index (GDP-CPI) for the years in which the new cap remains in effect.</w:t>
      </w:r>
      <w:r>
        <w:rPr>
          <w:snapToGrid/>
          <w:kern w:val="0"/>
          <w:szCs w:val="22"/>
          <w:vertAlign w:val="superscript"/>
        </w:rPr>
        <w:footnoteReference w:id="60"/>
      </w:r>
      <w:r w:rsidRPr="00A37769">
        <w:rPr>
          <w:snapToGrid/>
          <w:kern w:val="0"/>
          <w:szCs w:val="22"/>
        </w:rPr>
        <w:t xml:space="preserve">  This cap shall remain in effect for seven years from the consummation of the transactions.</w:t>
      </w:r>
      <w:r>
        <w:rPr>
          <w:snapToGrid/>
          <w:kern w:val="0"/>
          <w:szCs w:val="22"/>
          <w:vertAlign w:val="superscript"/>
        </w:rPr>
        <w:footnoteReference w:id="61"/>
      </w:r>
      <w:r w:rsidRPr="00A37769">
        <w:rPr>
          <w:snapToGrid/>
          <w:kern w:val="0"/>
          <w:szCs w:val="22"/>
        </w:rPr>
        <w:t xml:space="preserve">  The condition will also sunset if all of a post-consummation company’s rate-of-return affiliates become model-based support companies at any point during the seven-year period.</w:t>
      </w:r>
      <w:r>
        <w:rPr>
          <w:snapToGrid/>
          <w:kern w:val="0"/>
          <w:szCs w:val="22"/>
          <w:vertAlign w:val="superscript"/>
        </w:rPr>
        <w:footnoteReference w:id="62"/>
      </w:r>
    </w:p>
    <w:p w:rsidR="00D06F09" w:rsidP="00D0137A" w14:paraId="588EC071" w14:textId="01C6A963">
      <w:pPr>
        <w:widowControl/>
        <w:autoSpaceDE w:val="0"/>
        <w:autoSpaceDN w:val="0"/>
        <w:adjustRightInd w:val="0"/>
        <w:spacing w:after="120"/>
        <w:ind w:firstLine="720"/>
        <w:rPr>
          <w:szCs w:val="22"/>
        </w:rPr>
      </w:pPr>
      <w:r>
        <w:rPr>
          <w:szCs w:val="22"/>
        </w:rPr>
        <w:t>P</w:t>
      </w:r>
      <w:r w:rsidRPr="00B02A93" w:rsidR="00203A09">
        <w:rPr>
          <w:szCs w:val="22"/>
        </w:rPr>
        <w:t xml:space="preserve">ursuant to section 214 of the Act, 47 U.S.C. § 214, and sections 0.91, 0.291, </w:t>
      </w:r>
      <w:r w:rsidRPr="00B02A93" w:rsidR="00203A09">
        <w:rPr>
          <w:snapToGrid/>
          <w:kern w:val="0"/>
          <w:szCs w:val="22"/>
        </w:rPr>
        <w:t>63.03, and 63.04</w:t>
      </w:r>
      <w:r w:rsidRPr="00B02A93" w:rsidR="00203A09">
        <w:rPr>
          <w:szCs w:val="22"/>
        </w:rPr>
        <w:t xml:space="preserve"> of the Commission’s rules, 47 CFR §§ 0.91, 0.291, 63.03, and 63.04, the Bureau hereby grants the </w:t>
      </w:r>
      <w:r w:rsidRPr="00D0137A" w:rsidR="00203A09">
        <w:t>Application</w:t>
      </w:r>
      <w:r w:rsidRPr="00B02A93" w:rsidR="00203A09">
        <w:rPr>
          <w:szCs w:val="22"/>
        </w:rPr>
        <w:t xml:space="preserve"> discussed in this Public </w:t>
      </w:r>
      <w:r w:rsidR="0044229E">
        <w:rPr>
          <w:szCs w:val="22"/>
        </w:rPr>
        <w:t>Notice</w:t>
      </w:r>
      <w:r w:rsidR="009821B1">
        <w:rPr>
          <w:szCs w:val="22"/>
        </w:rPr>
        <w:t xml:space="preserve">, subject to compliance by ITC Holdings and CableSouth with all applicable </w:t>
      </w:r>
      <w:r>
        <w:rPr>
          <w:szCs w:val="22"/>
        </w:rPr>
        <w:t xml:space="preserve">RDOF </w:t>
      </w:r>
      <w:r w:rsidR="009821B1">
        <w:rPr>
          <w:szCs w:val="22"/>
        </w:rPr>
        <w:t>obligations</w:t>
      </w:r>
      <w:r>
        <w:rPr>
          <w:szCs w:val="22"/>
        </w:rPr>
        <w:t>,</w:t>
      </w:r>
      <w:r>
        <w:rPr>
          <w:rStyle w:val="FootnoteReference"/>
          <w:szCs w:val="22"/>
        </w:rPr>
        <w:footnoteReference w:id="63"/>
      </w:r>
      <w:r>
        <w:rPr>
          <w:szCs w:val="22"/>
        </w:rPr>
        <w:t xml:space="preserve"> and subject to the </w:t>
      </w:r>
      <w:r>
        <w:rPr>
          <w:i/>
          <w:iCs/>
          <w:szCs w:val="22"/>
        </w:rPr>
        <w:t xml:space="preserve">Hargray/ComSouth </w:t>
      </w:r>
      <w:r>
        <w:rPr>
          <w:szCs w:val="22"/>
        </w:rPr>
        <w:t>condition described above.</w:t>
      </w:r>
    </w:p>
    <w:p w:rsidR="002D7CCE" w:rsidRPr="00B02A93" w:rsidP="00D0137A" w14:paraId="110330C6" w14:textId="00DCCB16">
      <w:pPr>
        <w:widowControl/>
        <w:autoSpaceDE w:val="0"/>
        <w:autoSpaceDN w:val="0"/>
        <w:adjustRightInd w:val="0"/>
        <w:spacing w:after="120"/>
        <w:ind w:firstLine="720"/>
        <w:rPr>
          <w:szCs w:val="22"/>
        </w:rPr>
      </w:pPr>
      <w:r w:rsidRPr="00B02A93">
        <w:rPr>
          <w:szCs w:val="22"/>
        </w:rPr>
        <w:t>Pursuant to section 1.103 of the Commission</w:t>
      </w:r>
      <w:r w:rsidR="00BC1F26">
        <w:rPr>
          <w:szCs w:val="22"/>
        </w:rPr>
        <w:t>’</w:t>
      </w:r>
      <w:r w:rsidRPr="00B02A93">
        <w:rPr>
          <w:szCs w:val="22"/>
        </w:rPr>
        <w:t xml:space="preserve">s rules, 47 </w:t>
      </w:r>
      <w:r w:rsidRPr="00931D6F" w:rsidR="00931D6F">
        <w:rPr>
          <w:szCs w:val="22"/>
        </w:rPr>
        <w:t xml:space="preserve">CFR </w:t>
      </w:r>
      <w:r w:rsidRPr="00B02A93">
        <w:rPr>
          <w:szCs w:val="22"/>
        </w:rPr>
        <w:t>§ 1.103, the grant is effective upon release of this Public Notice.</w:t>
      </w:r>
      <w:r>
        <w:rPr>
          <w:szCs w:val="22"/>
          <w:vertAlign w:val="superscript"/>
        </w:rPr>
        <w:footnoteReference w:id="64"/>
      </w:r>
      <w:r w:rsidRPr="00B02A93">
        <w:rPr>
          <w:szCs w:val="22"/>
        </w:rPr>
        <w:t xml:space="preserve">  Petitions for reconsideration under section 1.106 or applications for review under section 1.115 of the Commission</w:t>
      </w:r>
      <w:r w:rsidR="00033AD2">
        <w:rPr>
          <w:szCs w:val="22"/>
        </w:rPr>
        <w:t>’</w:t>
      </w:r>
      <w:r w:rsidRPr="00B02A93">
        <w:rPr>
          <w:szCs w:val="22"/>
        </w:rPr>
        <w:t xml:space="preserve">s rules, 47 </w:t>
      </w:r>
      <w:r w:rsidRPr="00931D6F" w:rsidR="00931D6F">
        <w:rPr>
          <w:szCs w:val="22"/>
        </w:rPr>
        <w:t xml:space="preserve">CFR </w:t>
      </w:r>
      <w:r w:rsidRPr="00B02A93">
        <w:rPr>
          <w:szCs w:val="22"/>
        </w:rPr>
        <w:t>§§ 1.106, 1.115, may be filed within 30 days of the date of this Public Notice.</w:t>
      </w:r>
      <w:bookmarkStart w:id="10" w:name="FN[FN9]"/>
      <w:bookmarkStart w:id="11" w:name="sp_999_1"/>
      <w:bookmarkStart w:id="12" w:name="SDU_1"/>
      <w:bookmarkEnd w:id="10"/>
      <w:bookmarkEnd w:id="11"/>
      <w:bookmarkEnd w:id="12"/>
    </w:p>
    <w:p w:rsidR="002D7CCE" w:rsidRPr="00B02A93" w:rsidP="00986B91" w14:paraId="4272D04E" w14:textId="140B06CC">
      <w:pPr>
        <w:ind w:firstLine="720"/>
        <w:rPr>
          <w:szCs w:val="22"/>
        </w:rPr>
      </w:pPr>
      <w:bookmarkStart w:id="13" w:name="sp_999_2"/>
      <w:bookmarkStart w:id="14" w:name="SDU_2"/>
      <w:bookmarkEnd w:id="13"/>
      <w:bookmarkEnd w:id="14"/>
      <w:r w:rsidRPr="00B02A93">
        <w:rPr>
          <w:szCs w:val="22"/>
        </w:rPr>
        <w:t xml:space="preserve">For further information, please contact </w:t>
      </w:r>
      <w:r w:rsidR="0044229E">
        <w:rPr>
          <w:szCs w:val="22"/>
        </w:rPr>
        <w:t>Jodie May</w:t>
      </w:r>
      <w:r w:rsidRPr="00B02A93">
        <w:rPr>
          <w:szCs w:val="22"/>
        </w:rPr>
        <w:t>, Wireline Competition Bureau, Competition Policy Division, (202) 418-</w:t>
      </w:r>
      <w:r w:rsidR="0044229E">
        <w:rPr>
          <w:szCs w:val="22"/>
        </w:rPr>
        <w:t>0913</w:t>
      </w:r>
      <w:r w:rsidRPr="00B02A93">
        <w:rPr>
          <w:szCs w:val="22"/>
        </w:rPr>
        <w:t>.</w:t>
      </w:r>
    </w:p>
    <w:p w:rsidR="002D7CCE" w:rsidRPr="00B02A93" w:rsidP="002D7CCE" w14:paraId="49AE18E7" w14:textId="77777777">
      <w:pPr>
        <w:pStyle w:val="Default"/>
        <w:rPr>
          <w:color w:val="auto"/>
          <w:sz w:val="22"/>
          <w:szCs w:val="22"/>
        </w:rPr>
      </w:pPr>
    </w:p>
    <w:p w:rsidR="00B17B13" w:rsidRPr="004D7F00" w:rsidP="004D7F00" w14:paraId="1C186417" w14:textId="017E35B5">
      <w:pPr>
        <w:pStyle w:val="Default"/>
        <w:jc w:val="center"/>
        <w:rPr>
          <w:b/>
          <w:bCs/>
          <w:color w:val="auto"/>
          <w:sz w:val="22"/>
          <w:szCs w:val="22"/>
        </w:rPr>
      </w:pPr>
      <w:r w:rsidRPr="00B02A93">
        <w:rPr>
          <w:b/>
          <w:bCs/>
          <w:color w:val="auto"/>
          <w:sz w:val="22"/>
          <w:szCs w:val="22"/>
        </w:rPr>
        <w:t>-FCC-</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P="0055614C" w14:paraId="02F7F1A9" w14:textId="77777777">
    <w:pPr>
      <w:pStyle w:val="Footer"/>
      <w:framePr w:wrap="around" w:vAnchor="text" w:hAnchor="margin" w:xAlign="center" w:y="1"/>
    </w:pPr>
    <w:r>
      <w:fldChar w:fldCharType="begin"/>
    </w:r>
    <w:r>
      <w:instrText xml:space="preserve">PAGE  </w:instrText>
    </w:r>
    <w:r>
      <w:fldChar w:fldCharType="separate"/>
    </w:r>
    <w:r>
      <w:fldChar w:fldCharType="end"/>
    </w:r>
  </w:p>
  <w:p w:rsidR="00475AE7" w14:paraId="7CFEA2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P="00910F12" w14:paraId="7385F844" w14:textId="77777777">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14:paraId="7AE8A7D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6008" w14:paraId="51295D63" w14:textId="77777777">
      <w:r>
        <w:separator/>
      </w:r>
    </w:p>
  </w:footnote>
  <w:footnote w:type="continuationSeparator" w:id="1">
    <w:p w:rsidR="009B6008" w14:paraId="39DB0008" w14:textId="77777777">
      <w:pPr>
        <w:rPr>
          <w:sz w:val="20"/>
        </w:rPr>
      </w:pPr>
      <w:r>
        <w:rPr>
          <w:sz w:val="20"/>
        </w:rPr>
        <w:t xml:space="preserve">(Continued from previous page)  </w:t>
      </w:r>
      <w:r>
        <w:rPr>
          <w:sz w:val="20"/>
        </w:rPr>
        <w:separator/>
      </w:r>
    </w:p>
  </w:footnote>
  <w:footnote w:type="continuationNotice" w:id="2">
    <w:p w:rsidR="009B6008" w:rsidP="00910F12" w14:paraId="1D589718" w14:textId="77777777">
      <w:pPr>
        <w:jc w:val="right"/>
        <w:rPr>
          <w:sz w:val="20"/>
        </w:rPr>
      </w:pPr>
      <w:r>
        <w:rPr>
          <w:sz w:val="20"/>
        </w:rPr>
        <w:t>(continued….)</w:t>
      </w:r>
    </w:p>
  </w:footnote>
  <w:footnote w:id="3">
    <w:p w:rsidR="006979A7" w:rsidRPr="000344DA" w:rsidP="006979A7" w14:paraId="22AA675D" w14:textId="72131D39">
      <w:pPr>
        <w:spacing w:after="120"/>
        <w:rPr>
          <w:bCs/>
          <w:sz w:val="20"/>
        </w:rPr>
      </w:pPr>
      <w:r w:rsidRPr="00D354C2">
        <w:rPr>
          <w:rStyle w:val="FootnoteReference"/>
          <w:sz w:val="20"/>
        </w:rPr>
        <w:footnoteRef/>
      </w:r>
      <w:r w:rsidRPr="00D354C2">
        <w:rPr>
          <w:sz w:val="20"/>
        </w:rPr>
        <w:t xml:space="preserve"> </w:t>
      </w:r>
      <w:r w:rsidRPr="000344DA">
        <w:rPr>
          <w:i/>
          <w:sz w:val="20"/>
        </w:rPr>
        <w:t>See</w:t>
      </w:r>
      <w:r w:rsidRPr="000344DA">
        <w:rPr>
          <w:sz w:val="20"/>
        </w:rPr>
        <w:t xml:space="preserve"> 47 U.S.C. § 214; 47 CFR §§ 63.03-04; Application</w:t>
      </w:r>
      <w:r>
        <w:rPr>
          <w:sz w:val="20"/>
        </w:rPr>
        <w:t xml:space="preserve"> of Hunt Land Holdings, LLC and ITC Broadband Holdings, LLC</w:t>
      </w:r>
      <w:r w:rsidRPr="000344DA">
        <w:rPr>
          <w:sz w:val="20"/>
        </w:rPr>
        <w:t xml:space="preserve"> for Consent to Transfer Control of Domestic Authority Pursuant to Section 214 of the Communications Act of 1934, as Amended, WC Docket No. 22-11 (filed Jan. 5, 2022) (Application).  On January 26, 2022, Applicants filed a supplement to th</w:t>
      </w:r>
      <w:r>
        <w:rPr>
          <w:sz w:val="20"/>
        </w:rPr>
        <w:t>eir</w:t>
      </w:r>
      <w:r w:rsidRPr="000344DA">
        <w:rPr>
          <w:sz w:val="20"/>
        </w:rPr>
        <w:t xml:space="preserve"> Application.  </w:t>
      </w:r>
      <w:bookmarkStart w:id="6" w:name="_Hlk99435084"/>
      <w:r w:rsidRPr="000344DA">
        <w:rPr>
          <w:sz w:val="20"/>
        </w:rPr>
        <w:t>Letter from Leon Nowalsky, Counsel for Hunt Land Holdings and CableSouth, and John Beahn and Dana Zelman, Counsel for ITC Holdings, to Marlene H. Dortch, Secretary, FCC, WC Docket No. 22-11 (filed Jan. 26, 2022) (</w:t>
      </w:r>
      <w:r>
        <w:rPr>
          <w:sz w:val="20"/>
        </w:rPr>
        <w:t>S</w:t>
      </w:r>
      <w:r w:rsidRPr="000344DA">
        <w:rPr>
          <w:sz w:val="20"/>
        </w:rPr>
        <w:t>upplement)</w:t>
      </w:r>
      <w:bookmarkEnd w:id="6"/>
      <w:r w:rsidRPr="000344DA">
        <w:rPr>
          <w:sz w:val="20"/>
        </w:rPr>
        <w:t xml:space="preserve">.  </w:t>
      </w:r>
      <w:r w:rsidR="006F7850">
        <w:rPr>
          <w:sz w:val="20"/>
        </w:rPr>
        <w:t xml:space="preserve">On March 2, 2022, Applicants filed a further supplement.  </w:t>
      </w:r>
      <w:r w:rsidRPr="000344DA" w:rsidR="006F7850">
        <w:rPr>
          <w:sz w:val="20"/>
        </w:rPr>
        <w:t xml:space="preserve">Letter from Leon Nowalsky, Counsel for Hunt Land Holdings and CableSouth, and John Beahn and Dana Zelman, Counsel for ITC Holdings, to Marlene H. Dortch, Secretary, FCC, WC Docket No. 22-11 (filed </w:t>
      </w:r>
      <w:r w:rsidR="006F7850">
        <w:rPr>
          <w:sz w:val="20"/>
        </w:rPr>
        <w:t>Mar. 2</w:t>
      </w:r>
      <w:r w:rsidRPr="000344DA" w:rsidR="006F7850">
        <w:rPr>
          <w:sz w:val="20"/>
        </w:rPr>
        <w:t>, 2022) (</w:t>
      </w:r>
      <w:r w:rsidR="006F7850">
        <w:rPr>
          <w:sz w:val="20"/>
        </w:rPr>
        <w:t>Further S</w:t>
      </w:r>
      <w:r w:rsidRPr="000344DA" w:rsidR="006F7850">
        <w:rPr>
          <w:sz w:val="20"/>
        </w:rPr>
        <w:t>upplement)</w:t>
      </w:r>
      <w:r w:rsidR="006F7850">
        <w:rPr>
          <w:sz w:val="20"/>
        </w:rPr>
        <w:t xml:space="preserve">.  </w:t>
      </w:r>
      <w:r w:rsidRPr="000344DA">
        <w:rPr>
          <w:sz w:val="20"/>
        </w:rPr>
        <w:t xml:space="preserve">Any action on this domestic section 214 application is without prejudice to Commission action on </w:t>
      </w:r>
      <w:r w:rsidR="00861C96">
        <w:rPr>
          <w:sz w:val="20"/>
        </w:rPr>
        <w:t xml:space="preserve">any </w:t>
      </w:r>
      <w:r w:rsidRPr="000344DA">
        <w:rPr>
          <w:sz w:val="20"/>
        </w:rPr>
        <w:t xml:space="preserve">other pending applications.  </w:t>
      </w:r>
    </w:p>
  </w:footnote>
  <w:footnote w:id="4">
    <w:p w:rsidR="008774D9" w:rsidRPr="00395DC5" w:rsidP="00DF448D" w14:paraId="45CA48F1" w14:textId="4EF90F0C">
      <w:pPr>
        <w:spacing w:after="120"/>
        <w:rPr>
          <w:rFonts w:eastAsia="Calibri"/>
          <w:b/>
          <w:bCs/>
          <w:i/>
          <w:iCs/>
          <w:sz w:val="20"/>
        </w:rPr>
      </w:pPr>
      <w:r>
        <w:rPr>
          <w:rStyle w:val="FootnoteReference"/>
        </w:rPr>
        <w:footnoteRef/>
      </w:r>
      <w:r>
        <w:t xml:space="preserve"> </w:t>
      </w:r>
      <w:bookmarkStart w:id="7" w:name="_Hlk519509475"/>
      <w:bookmarkStart w:id="8" w:name="_Hlk502044717"/>
      <w:bookmarkStart w:id="9" w:name="_Hlk516578398"/>
      <w:r w:rsidRPr="00395DC5" w:rsidR="00395DC5">
        <w:rPr>
          <w:rFonts w:eastAsia="Calibri"/>
          <w:i/>
          <w:iCs/>
          <w:sz w:val="20"/>
        </w:rPr>
        <w:t xml:space="preserve">Domestic Section 214 Application Filed </w:t>
      </w:r>
      <w:r w:rsidR="00395DC5">
        <w:rPr>
          <w:rFonts w:eastAsia="Calibri"/>
          <w:i/>
          <w:iCs/>
          <w:sz w:val="20"/>
        </w:rPr>
        <w:t>f</w:t>
      </w:r>
      <w:r w:rsidRPr="00395DC5" w:rsidR="00395DC5">
        <w:rPr>
          <w:rFonts w:eastAsia="Calibri"/>
          <w:i/>
          <w:iCs/>
          <w:sz w:val="20"/>
        </w:rPr>
        <w:t xml:space="preserve">or </w:t>
      </w:r>
      <w:r w:rsidR="00395DC5">
        <w:rPr>
          <w:rFonts w:eastAsia="Calibri"/>
          <w:i/>
          <w:iCs/>
          <w:sz w:val="20"/>
        </w:rPr>
        <w:t>t</w:t>
      </w:r>
      <w:r w:rsidRPr="00395DC5" w:rsidR="00395DC5">
        <w:rPr>
          <w:rFonts w:eastAsia="Calibri"/>
          <w:i/>
          <w:iCs/>
          <w:sz w:val="20"/>
        </w:rPr>
        <w:t xml:space="preserve">he Transfer </w:t>
      </w:r>
      <w:r w:rsidR="00123D57">
        <w:rPr>
          <w:rFonts w:eastAsia="Calibri"/>
          <w:i/>
          <w:iCs/>
          <w:sz w:val="20"/>
        </w:rPr>
        <w:t>o</w:t>
      </w:r>
      <w:r w:rsidRPr="00395DC5" w:rsidR="00395DC5">
        <w:rPr>
          <w:rFonts w:eastAsia="Calibri"/>
          <w:i/>
          <w:iCs/>
          <w:sz w:val="20"/>
        </w:rPr>
        <w:t xml:space="preserve">f </w:t>
      </w:r>
      <w:r w:rsidR="006979A7">
        <w:rPr>
          <w:rFonts w:eastAsia="Calibri"/>
          <w:i/>
          <w:iCs/>
          <w:sz w:val="20"/>
        </w:rPr>
        <w:t xml:space="preserve">Control of CableSouth Media III, LLC to ITC Broadband Holdings, </w:t>
      </w:r>
      <w:r w:rsidRPr="006979A7" w:rsidR="006979A7">
        <w:rPr>
          <w:rFonts w:eastAsia="Calibri"/>
          <w:sz w:val="20"/>
        </w:rPr>
        <w:t>LLC</w:t>
      </w:r>
      <w:r w:rsidR="006979A7">
        <w:rPr>
          <w:rFonts w:eastAsia="Calibri"/>
          <w:sz w:val="20"/>
        </w:rPr>
        <w:t>, WC Docket No. 22-11, Public Notice, DA 22-99 (WCB 2022</w:t>
      </w:r>
      <w:bookmarkEnd w:id="7"/>
      <w:bookmarkEnd w:id="8"/>
      <w:bookmarkEnd w:id="9"/>
      <w:r w:rsidR="006979A7">
        <w:rPr>
          <w:rFonts w:eastAsia="Calibri"/>
          <w:sz w:val="20"/>
        </w:rPr>
        <w:t>).</w:t>
      </w:r>
      <w:r w:rsidRPr="005F5D60">
        <w:rPr>
          <w:rFonts w:eastAsia="Calibri"/>
          <w:sz w:val="20"/>
        </w:rPr>
        <w:t xml:space="preserve"> </w:t>
      </w:r>
    </w:p>
  </w:footnote>
  <w:footnote w:id="5">
    <w:p w:rsidR="006979A7" w:rsidRPr="000344DA" w:rsidP="006979A7" w14:paraId="2C8B2131" w14:textId="77777777">
      <w:pPr>
        <w:spacing w:after="120"/>
        <w:rPr>
          <w:sz w:val="20"/>
        </w:rPr>
      </w:pPr>
      <w:r w:rsidRPr="000344DA">
        <w:rPr>
          <w:rStyle w:val="FootnoteReference"/>
          <w:sz w:val="20"/>
        </w:rPr>
        <w:footnoteRef/>
      </w:r>
      <w:r w:rsidRPr="000344DA">
        <w:rPr>
          <w:sz w:val="20"/>
        </w:rPr>
        <w:t xml:space="preserve"> Application at 2, 8.  Hunt Land Holdings is owned by several U.S. citizens and U.S-based family trusts.  Supplement at Exh. B (Management and Ownership for Hunt Land Holdings, LLC).</w:t>
      </w:r>
      <w:r>
        <w:rPr>
          <w:sz w:val="20"/>
        </w:rPr>
        <w:t xml:space="preserve">  </w:t>
      </w:r>
    </w:p>
  </w:footnote>
  <w:footnote w:id="6">
    <w:p w:rsidR="006979A7" w:rsidRPr="00806538" w:rsidP="006979A7" w14:paraId="70851011" w14:textId="7B26519D">
      <w:pPr>
        <w:pStyle w:val="FootnoteText"/>
      </w:pPr>
      <w:r w:rsidRPr="00806538">
        <w:rPr>
          <w:rStyle w:val="FootnoteReference"/>
        </w:rPr>
        <w:footnoteRef/>
      </w:r>
      <w:r w:rsidRPr="00806538">
        <w:t xml:space="preserve"> Application at 2</w:t>
      </w:r>
      <w:r>
        <w:t>-3</w:t>
      </w:r>
      <w:r w:rsidRPr="00806538">
        <w:t xml:space="preserve"> and n.</w:t>
      </w:r>
      <w:r>
        <w:t>2; Supplement at n.3 (stating that CableSouth was awarded $152,854,440.70 over a 10 year period)</w:t>
      </w:r>
      <w:r w:rsidRPr="00806538">
        <w:t xml:space="preserve">.  </w:t>
      </w:r>
      <w:r w:rsidRPr="00806538">
        <w:rPr>
          <w:i/>
          <w:iCs/>
        </w:rPr>
        <w:t xml:space="preserve">See Rural Digital Opportunity Fund Phase I Auction (Auction 904) Closes; Winning Bidders Announced, </w:t>
      </w:r>
      <w:r w:rsidRPr="00806538">
        <w:t xml:space="preserve">AU Docket No. 20-34, WC Docket No. 19-126, WC Docket No. 10-90, Public Notice, 35 FCC Rcd 13888, Attach. A (Winning Bidder Summary) (2020); </w:t>
      </w:r>
      <w:r w:rsidRPr="00806538">
        <w:rPr>
          <w:i/>
          <w:iCs/>
        </w:rPr>
        <w:t xml:space="preserve">Rural Digital Opportunity Fund Support for </w:t>
      </w:r>
      <w:r>
        <w:rPr>
          <w:i/>
          <w:iCs/>
        </w:rPr>
        <w:t>7,608</w:t>
      </w:r>
      <w:r w:rsidRPr="00806538">
        <w:rPr>
          <w:i/>
          <w:iCs/>
        </w:rPr>
        <w:t xml:space="preserve"> Winning Bids Ready to be Authorized</w:t>
      </w:r>
      <w:r w:rsidRPr="00806538">
        <w:t xml:space="preserve">, </w:t>
      </w:r>
      <w:r w:rsidRPr="000518C8">
        <w:rPr>
          <w:i/>
          <w:iCs/>
        </w:rPr>
        <w:t>Bid Defaults Announced</w:t>
      </w:r>
      <w:r>
        <w:t xml:space="preserve">, </w:t>
      </w:r>
      <w:r w:rsidRPr="00806538">
        <w:t>AU Docket No. 20-34, WC Docket Nos. 19-126, 10-90, Public Notice, DA 21-</w:t>
      </w:r>
      <w:r>
        <w:t>1582</w:t>
      </w:r>
      <w:r w:rsidRPr="00806538">
        <w:t xml:space="preserve">, Attach. A (Ready to Authorize Long-Form Applicants and Winning Bids) (WCB 2021). </w:t>
      </w:r>
    </w:p>
  </w:footnote>
  <w:footnote w:id="7">
    <w:p w:rsidR="006979A7" w:rsidRPr="00662D4F" w:rsidP="006979A7" w14:paraId="3BC65004" w14:textId="55B31E39">
      <w:pPr>
        <w:spacing w:after="120"/>
        <w:rPr>
          <w:sz w:val="20"/>
        </w:rPr>
      </w:pPr>
      <w:r w:rsidRPr="00806538">
        <w:rPr>
          <w:rStyle w:val="FootnoteReference"/>
          <w:sz w:val="20"/>
        </w:rPr>
        <w:footnoteRef/>
      </w:r>
      <w:r w:rsidRPr="00806538">
        <w:rPr>
          <w:sz w:val="20"/>
        </w:rPr>
        <w:t xml:space="preserve"> </w:t>
      </w:r>
      <w:r w:rsidRPr="00E86AB5">
        <w:rPr>
          <w:sz w:val="20"/>
        </w:rPr>
        <w:t>Application at 2.</w:t>
      </w:r>
      <w:r>
        <w:rPr>
          <w:sz w:val="20"/>
        </w:rPr>
        <w:t xml:space="preserve">  </w:t>
      </w:r>
    </w:p>
  </w:footnote>
  <w:footnote w:id="8">
    <w:p w:rsidR="00530724" w14:paraId="25AE740C" w14:textId="63B21163">
      <w:pPr>
        <w:pStyle w:val="FootnoteText"/>
      </w:pPr>
      <w:r>
        <w:rPr>
          <w:rStyle w:val="FootnoteReference"/>
        </w:rPr>
        <w:footnoteRef/>
      </w:r>
      <w:r>
        <w:t xml:space="preserve"> </w:t>
      </w:r>
      <w:r w:rsidRPr="00806538">
        <w:rPr>
          <w:i/>
          <w:iCs/>
        </w:rPr>
        <w:t xml:space="preserve">Rural Digital Opportunity Fund Support </w:t>
      </w:r>
      <w:r>
        <w:rPr>
          <w:i/>
          <w:iCs/>
        </w:rPr>
        <w:t>Authorized for 5,657 Winning Bids</w:t>
      </w:r>
      <w:r>
        <w:t xml:space="preserve">, </w:t>
      </w:r>
      <w:r w:rsidRPr="00806538">
        <w:t xml:space="preserve">AU Docket No. 20-34, WC Docket Nos. 19-126, 10-90, Public Notice, DA </w:t>
      </w:r>
      <w:r>
        <w:t>22-280</w:t>
      </w:r>
      <w:r w:rsidRPr="00806538">
        <w:t>, Attach. A (Authorize</w:t>
      </w:r>
      <w:r>
        <w:t>d</w:t>
      </w:r>
      <w:r w:rsidRPr="00806538">
        <w:t xml:space="preserve"> Long-Form Applicants and Winning Bids) (WCB 202</w:t>
      </w:r>
      <w:r>
        <w:t>2</w:t>
      </w:r>
      <w:r w:rsidRPr="00806538">
        <w:t>)</w:t>
      </w:r>
      <w:r w:rsidR="008E1A67">
        <w:t xml:space="preserve"> (RDOF Authorization Public Notice)</w:t>
      </w:r>
      <w:r>
        <w:t>.</w:t>
      </w:r>
      <w:r w:rsidR="007D26FF">
        <w:t xml:space="preserve">  Applicants state that authorization of RDOF support is a condition to closing the proposed transaction.  Application at 4, 10.</w:t>
      </w:r>
    </w:p>
  </w:footnote>
  <w:footnote w:id="9">
    <w:p w:rsidR="006979A7" w:rsidRPr="00E86AB5" w:rsidP="006979A7" w14:paraId="41F87C66" w14:textId="7F5C4094">
      <w:pPr>
        <w:spacing w:after="120"/>
        <w:rPr>
          <w:sz w:val="20"/>
        </w:rPr>
      </w:pPr>
      <w:r w:rsidRPr="00E86AB5">
        <w:rPr>
          <w:rStyle w:val="FootnoteReference"/>
          <w:sz w:val="20"/>
        </w:rPr>
        <w:footnoteRef/>
      </w:r>
      <w:r w:rsidRPr="00E86AB5">
        <w:rPr>
          <w:sz w:val="20"/>
        </w:rPr>
        <w:t xml:space="preserve"> </w:t>
      </w:r>
      <w:r w:rsidR="002830E0">
        <w:rPr>
          <w:sz w:val="20"/>
        </w:rPr>
        <w:t>Application</w:t>
      </w:r>
      <w:r w:rsidRPr="00E86AB5">
        <w:rPr>
          <w:sz w:val="20"/>
        </w:rPr>
        <w:t xml:space="preserve"> at 2-3 (citing Arkansas Public Service Commission, Docket No. 21-037-U, Order No. 3 (May 25, 2021); Order, Louisiana Public Service Commission Docket No. S-35904 (May 25, 2021); Order, Mississippi Public Service Commission, Docket 21-UA-39 (May 17, 2021))</w:t>
      </w:r>
      <w:r>
        <w:rPr>
          <w:sz w:val="20"/>
        </w:rPr>
        <w:t>; Supplement at 2</w:t>
      </w:r>
      <w:r w:rsidRPr="00E86AB5">
        <w:rPr>
          <w:sz w:val="20"/>
        </w:rPr>
        <w:t>.</w:t>
      </w:r>
    </w:p>
  </w:footnote>
  <w:footnote w:id="10">
    <w:p w:rsidR="006979A7" w:rsidRPr="00E86AB5" w:rsidP="006979A7" w14:paraId="74C931D0" w14:textId="77777777">
      <w:pPr>
        <w:spacing w:after="120"/>
        <w:rPr>
          <w:sz w:val="20"/>
        </w:rPr>
      </w:pPr>
      <w:r w:rsidRPr="00E86AB5">
        <w:rPr>
          <w:rStyle w:val="FootnoteReference"/>
          <w:sz w:val="20"/>
        </w:rPr>
        <w:footnoteRef/>
      </w:r>
      <w:r w:rsidRPr="00E86AB5">
        <w:rPr>
          <w:sz w:val="20"/>
        </w:rPr>
        <w:t xml:space="preserve"> Application at 2; Supplement at 1.</w:t>
      </w:r>
      <w:r>
        <w:rPr>
          <w:sz w:val="20"/>
        </w:rPr>
        <w:t xml:space="preserve">  Applicants state that CableSouth is not affiliated with any ETCs through its existing ownership.  Supplement at n.2.</w:t>
      </w:r>
    </w:p>
  </w:footnote>
  <w:footnote w:id="11">
    <w:p w:rsidR="006979A7" w:rsidRPr="00E86AB5" w:rsidP="006979A7" w14:paraId="6588F3D1" w14:textId="6B2D2930">
      <w:pPr>
        <w:spacing w:after="120"/>
        <w:rPr>
          <w:sz w:val="20"/>
        </w:rPr>
      </w:pPr>
      <w:r w:rsidRPr="00E86AB5">
        <w:rPr>
          <w:rStyle w:val="FootnoteReference"/>
          <w:sz w:val="20"/>
        </w:rPr>
        <w:footnoteRef/>
      </w:r>
      <w:r w:rsidRPr="00E86AB5">
        <w:rPr>
          <w:sz w:val="20"/>
        </w:rPr>
        <w:t xml:space="preserve"> </w:t>
      </w:r>
      <w:r>
        <w:rPr>
          <w:sz w:val="20"/>
        </w:rPr>
        <w:t xml:space="preserve">Application at </w:t>
      </w:r>
      <w:r w:rsidRPr="00E86AB5">
        <w:rPr>
          <w:sz w:val="20"/>
        </w:rPr>
        <w:t>2-3; Supplement at n.2.  On December 15, 2021, the Bureau granted the domestic section 214 application of ITC Broadband Operating, LLC, wholly</w:t>
      </w:r>
      <w:r w:rsidR="00D02EE8">
        <w:rPr>
          <w:sz w:val="20"/>
        </w:rPr>
        <w:t>-</w:t>
      </w:r>
      <w:r w:rsidRPr="00E86AB5">
        <w:rPr>
          <w:sz w:val="20"/>
        </w:rPr>
        <w:t xml:space="preserve">owned by ITC Holdings, to acquire </w:t>
      </w:r>
      <w:r w:rsidR="000D5F04">
        <w:rPr>
          <w:sz w:val="20"/>
        </w:rPr>
        <w:t xml:space="preserve">control of </w:t>
      </w:r>
      <w:r w:rsidRPr="00E86AB5">
        <w:rPr>
          <w:sz w:val="20"/>
        </w:rPr>
        <w:t xml:space="preserve">Aspire Networks 1, LLC, a competitive LEC and RDOF recipient in Michigan.  </w:t>
      </w:r>
      <w:r w:rsidRPr="00E86AB5">
        <w:rPr>
          <w:i/>
          <w:iCs/>
          <w:sz w:val="20"/>
        </w:rPr>
        <w:t>Domestic Section 214 Application Granted for the Transfer of Control of Aspire Networks 1, LLC to ITC Broadband Operating, LLC</w:t>
      </w:r>
      <w:r w:rsidRPr="00E86AB5">
        <w:rPr>
          <w:sz w:val="20"/>
        </w:rPr>
        <w:t>, WC Docket No. 21-415, Public Notice 21-1574 (WCB 2021)</w:t>
      </w:r>
      <w:r w:rsidR="00C03D01">
        <w:rPr>
          <w:sz w:val="20"/>
        </w:rPr>
        <w:t xml:space="preserve"> (</w:t>
      </w:r>
      <w:r w:rsidRPr="00C03D01" w:rsidR="00C03D01">
        <w:rPr>
          <w:i/>
          <w:iCs/>
          <w:sz w:val="20"/>
        </w:rPr>
        <w:t>Aspire/ITC Public Notice</w:t>
      </w:r>
      <w:r w:rsidR="00C03D01">
        <w:rPr>
          <w:sz w:val="20"/>
        </w:rPr>
        <w:t>)</w:t>
      </w:r>
      <w:r w:rsidRPr="00E86AB5">
        <w:rPr>
          <w:sz w:val="20"/>
        </w:rPr>
        <w:t xml:space="preserve">.  </w:t>
      </w:r>
      <w:r w:rsidR="00E73185">
        <w:rPr>
          <w:sz w:val="20"/>
        </w:rPr>
        <w:t>ITC Broadband Operating, LLC consummated that transaction on December 21, 2021.  Notice of Consummation, WC Docket No. 21-415 (filed Jan. 4, 2022).</w:t>
      </w:r>
    </w:p>
  </w:footnote>
  <w:footnote w:id="12">
    <w:p w:rsidR="00114ACC" w:rsidP="00E9462D" w14:paraId="427F031C" w14:textId="7CE34114">
      <w:pPr>
        <w:spacing w:after="120"/>
      </w:pPr>
      <w:r>
        <w:rPr>
          <w:rStyle w:val="FootnoteReference"/>
        </w:rPr>
        <w:footnoteRef/>
      </w:r>
      <w:r>
        <w:t xml:space="preserve"> </w:t>
      </w:r>
      <w:r w:rsidRPr="00E9462D" w:rsidR="000518F5">
        <w:rPr>
          <w:i/>
          <w:iCs/>
          <w:sz w:val="20"/>
        </w:rPr>
        <w:t>Notice of Domestic Section 214 Authorizations Granted</w:t>
      </w:r>
      <w:r w:rsidRPr="00E9462D" w:rsidR="000518F5">
        <w:rPr>
          <w:sz w:val="20"/>
        </w:rPr>
        <w:t>, WC Docket Nos. 21-229 and 21-262, Public Notice, DA 21-903 (WCB 2021); Notice of Con</w:t>
      </w:r>
      <w:r w:rsidRPr="00E9462D" w:rsidR="00E9462D">
        <w:rPr>
          <w:sz w:val="20"/>
        </w:rPr>
        <w:t>s</w:t>
      </w:r>
      <w:r w:rsidRPr="00E9462D" w:rsidR="000518F5">
        <w:rPr>
          <w:sz w:val="20"/>
        </w:rPr>
        <w:t>ummation, WC Docket No. 21-229</w:t>
      </w:r>
      <w:r w:rsidRPr="00E9462D" w:rsidR="00E9462D">
        <w:rPr>
          <w:sz w:val="20"/>
        </w:rPr>
        <w:t xml:space="preserve"> (filed Nov. 15, 2021).</w:t>
      </w:r>
      <w:r w:rsidR="00E9462D">
        <w:t xml:space="preserve"> </w:t>
      </w:r>
      <w:r w:rsidR="000518F5">
        <w:t xml:space="preserve"> </w:t>
      </w:r>
      <w:r w:rsidRPr="00114ACC">
        <w:rPr>
          <w:snapToGrid/>
          <w:kern w:val="0"/>
          <w:sz w:val="20"/>
        </w:rPr>
        <w:t xml:space="preserve">The </w:t>
      </w:r>
      <w:r w:rsidRPr="00114ACC">
        <w:rPr>
          <w:snapToGrid/>
          <w:kern w:val="0"/>
          <w:sz w:val="20"/>
        </w:rPr>
        <w:t>US Connect Holdings, Inc. operating l</w:t>
      </w:r>
      <w:r w:rsidRPr="00114ACC">
        <w:rPr>
          <w:snapToGrid/>
          <w:kern w:val="0"/>
          <w:sz w:val="20"/>
        </w:rPr>
        <w:t>icensees are:  (1) The Livingston Telephone Company (Livingston); (2) Telecom Supply, Inc. (Telecom Supply); (3) Waverly Hall Communications, Inc. (Waverly Hall Comm); (4) Waverly Hall Telephone LLC (Waverly Hall Telephone); (5) S&amp;A Telephone Company, Inc. (S&amp;A Telephone); (6) S&amp;A</w:t>
      </w:r>
      <w:r w:rsidRPr="00114ACC">
        <w:rPr>
          <w:snapToGrid/>
          <w:kern w:val="0"/>
          <w:sz w:val="20"/>
        </w:rPr>
        <w:t xml:space="preserve"> </w:t>
      </w:r>
      <w:r w:rsidRPr="00B76960">
        <w:rPr>
          <w:snapToGrid/>
          <w:kern w:val="0"/>
          <w:sz w:val="20"/>
        </w:rPr>
        <w:t>Communications, Inc. (S&amp;A Communications); (7) South Park LLC d/b/a South Park Telephone Company (South Park); (8) The Rye Telephone Company (Rye); (9) CableCo, LLC (CableCo); (10) Dalton</w:t>
      </w:r>
      <w:r w:rsidRPr="00114ACC">
        <w:rPr>
          <w:snapToGrid/>
          <w:kern w:val="0"/>
          <w:sz w:val="20"/>
        </w:rPr>
        <w:t xml:space="preserve"> </w:t>
      </w:r>
      <w:r w:rsidRPr="00114ACC">
        <w:rPr>
          <w:sz w:val="20"/>
        </w:rPr>
        <w:t>Telephone Company, Inc. (Dalton Telephone); (11) Dalton Communications, Inc. (DTI); (12) Elsie Communications, Inc. (Elsie)</w:t>
      </w:r>
      <w:r w:rsidRPr="00114ACC">
        <w:rPr>
          <w:sz w:val="20"/>
        </w:rPr>
        <w:t>.</w:t>
      </w:r>
      <w:r w:rsidR="00E9462D">
        <w:rPr>
          <w:sz w:val="20"/>
        </w:rPr>
        <w:t xml:space="preserve">  Joint Application of USConnect Holdings, Inc. and ITC Broadband Holdings, LLC, WC Docket No. 21-229, at 1-2 (filed May 21, 2021).</w:t>
      </w:r>
    </w:p>
  </w:footnote>
  <w:footnote w:id="13">
    <w:p w:rsidR="00114ACC" w:rsidRPr="00502B7C" w:rsidP="00114ACC" w14:paraId="4CCD5556" w14:textId="28011C6E">
      <w:pPr>
        <w:pStyle w:val="FootnoteText"/>
      </w:pPr>
      <w:r w:rsidRPr="00494109">
        <w:rPr>
          <w:rStyle w:val="FootnoteReference"/>
          <w:sz w:val="20"/>
        </w:rPr>
        <w:footnoteRef/>
      </w:r>
      <w:r w:rsidRPr="00494109">
        <w:t xml:space="preserve"> </w:t>
      </w:r>
      <w:r w:rsidRPr="00494109" w:rsidR="00502B7C">
        <w:t>Universal Service Administrative Co., Tools, “ACAM, ACAM II and CAF</w:t>
      </w:r>
      <w:r w:rsidR="00502B7C">
        <w:t xml:space="preserve"> </w:t>
      </w:r>
      <w:r w:rsidRPr="00494109" w:rsidR="00502B7C">
        <w:t xml:space="preserve">BLS Buildout Requirements,” </w:t>
      </w:r>
      <w:hyperlink r:id="rId1" w:history="1">
        <w:r w:rsidRPr="00494109" w:rsidR="00502B7C">
          <w:rPr>
            <w:snapToGrid w:val="0"/>
            <w:color w:val="0000FF"/>
            <w:kern w:val="28"/>
            <w:u w:val="single"/>
          </w:rPr>
          <w:t>https://www.usac.org/high-cost/resources/tools/</w:t>
        </w:r>
      </w:hyperlink>
      <w:r w:rsidRPr="00494109" w:rsidR="00502B7C">
        <w:t>.</w:t>
      </w:r>
    </w:p>
  </w:footnote>
  <w:footnote w:id="14">
    <w:p w:rsidR="00B76960" w:rsidRPr="0091436D" w:rsidP="00B76960" w14:paraId="38338EE3" w14:textId="42D97D4A">
      <w:pPr>
        <w:pStyle w:val="FootnoteText"/>
      </w:pPr>
      <w:r w:rsidRPr="00494109">
        <w:rPr>
          <w:rStyle w:val="FootnoteReference"/>
          <w:sz w:val="20"/>
        </w:rPr>
        <w:footnoteRef/>
      </w:r>
      <w:r>
        <w:t xml:space="preserve"> </w:t>
      </w:r>
      <w:r w:rsidRPr="00494109">
        <w:t>Universal Service Administrative Co., Tools, “ACAM, ACAM II and CAF</w:t>
      </w:r>
      <w:r>
        <w:t xml:space="preserve"> </w:t>
      </w:r>
      <w:r w:rsidRPr="00494109">
        <w:t xml:space="preserve">BLS Buildout Requirements,” </w:t>
      </w:r>
      <w:hyperlink r:id="rId1" w:history="1">
        <w:r w:rsidRPr="00494109">
          <w:rPr>
            <w:snapToGrid w:val="0"/>
            <w:color w:val="0000FF"/>
            <w:kern w:val="28"/>
            <w:u w:val="single"/>
          </w:rPr>
          <w:t>https://www.usac.org/high-cost/resources/tools/</w:t>
        </w:r>
      </w:hyperlink>
      <w:r w:rsidRPr="00494109">
        <w:t>.</w:t>
      </w:r>
      <w:r w:rsidR="0091436D">
        <w:t xml:space="preserve">  Livingston receives cost-based support as an average schedule company.  </w:t>
      </w:r>
      <w:r w:rsidR="0091436D">
        <w:rPr>
          <w:i/>
          <w:iCs/>
        </w:rPr>
        <w:t>Id</w:t>
      </w:r>
      <w:r w:rsidR="0091436D">
        <w:t>.</w:t>
      </w:r>
    </w:p>
  </w:footnote>
  <w:footnote w:id="15">
    <w:p w:rsidR="006979A7" w:rsidRPr="00E86AB5" w:rsidP="006979A7" w14:paraId="51FE917C" w14:textId="69B5915A">
      <w:pPr>
        <w:spacing w:after="120"/>
        <w:rPr>
          <w:sz w:val="20"/>
        </w:rPr>
      </w:pPr>
      <w:r w:rsidRPr="00E86AB5">
        <w:rPr>
          <w:rStyle w:val="FootnoteReference"/>
          <w:sz w:val="20"/>
        </w:rPr>
        <w:footnoteRef/>
      </w:r>
      <w:r w:rsidRPr="00E86AB5">
        <w:rPr>
          <w:sz w:val="20"/>
        </w:rPr>
        <w:t xml:space="preserve"> Application at 6-8</w:t>
      </w:r>
      <w:r>
        <w:rPr>
          <w:sz w:val="20"/>
        </w:rPr>
        <w:t xml:space="preserve">; </w:t>
      </w:r>
      <w:r w:rsidRPr="00E86AB5">
        <w:rPr>
          <w:sz w:val="20"/>
        </w:rPr>
        <w:t>Supplement at 2-3 and Exh. C</w:t>
      </w:r>
      <w:r>
        <w:rPr>
          <w:sz w:val="20"/>
        </w:rPr>
        <w:t xml:space="preserve"> (Pre- and Post-Transaction Ownership Charts)</w:t>
      </w:r>
      <w:r w:rsidRPr="00E86AB5">
        <w:rPr>
          <w:sz w:val="20"/>
        </w:rPr>
        <w:t xml:space="preserve">.  All individual members and majority owners of ITC </w:t>
      </w:r>
      <w:r>
        <w:rPr>
          <w:sz w:val="20"/>
        </w:rPr>
        <w:t>Holdings</w:t>
      </w:r>
      <w:r w:rsidRPr="00E86AB5">
        <w:rPr>
          <w:sz w:val="20"/>
        </w:rPr>
        <w:t>, who are identified in the Supplement, are U.S. citizens.  Supplement at 2-3 and Exh. A (Senior Management Team of ITC Broadband Holdings, LLC)..</w:t>
      </w:r>
    </w:p>
  </w:footnote>
  <w:footnote w:id="16">
    <w:p w:rsidR="006979A7" w:rsidRPr="00E86AB5" w:rsidP="006979A7" w14:paraId="2E2025DA" w14:textId="77777777">
      <w:pPr>
        <w:spacing w:after="120"/>
        <w:rPr>
          <w:sz w:val="20"/>
        </w:rPr>
      </w:pPr>
      <w:r w:rsidRPr="00E86AB5">
        <w:rPr>
          <w:rStyle w:val="FootnoteReference"/>
          <w:sz w:val="20"/>
        </w:rPr>
        <w:footnoteRef/>
      </w:r>
      <w:r w:rsidRPr="00E86AB5">
        <w:rPr>
          <w:sz w:val="20"/>
        </w:rPr>
        <w:t xml:space="preserve"> </w:t>
      </w:r>
      <w:r>
        <w:rPr>
          <w:sz w:val="20"/>
        </w:rPr>
        <w:t>Application at</w:t>
      </w:r>
      <w:r w:rsidRPr="00E86AB5">
        <w:rPr>
          <w:sz w:val="20"/>
        </w:rPr>
        <w:t xml:space="preserve"> </w:t>
      </w:r>
      <w:r>
        <w:rPr>
          <w:sz w:val="20"/>
        </w:rPr>
        <w:t>8.</w:t>
      </w:r>
      <w:r w:rsidRPr="00E86AB5">
        <w:rPr>
          <w:sz w:val="20"/>
        </w:rPr>
        <w:t xml:space="preserve"> </w:t>
      </w:r>
    </w:p>
  </w:footnote>
  <w:footnote w:id="17">
    <w:p w:rsidR="006979A7" w:rsidRPr="00E86AB5" w:rsidP="006979A7" w14:paraId="2258F3F0" w14:textId="77777777">
      <w:pPr>
        <w:spacing w:after="120"/>
        <w:rPr>
          <w:sz w:val="20"/>
        </w:rPr>
      </w:pPr>
      <w:r w:rsidRPr="00E86AB5">
        <w:rPr>
          <w:rStyle w:val="FootnoteReference"/>
          <w:sz w:val="20"/>
        </w:rPr>
        <w:footnoteRef/>
      </w:r>
      <w:r w:rsidRPr="00E86AB5">
        <w:rPr>
          <w:sz w:val="20"/>
        </w:rPr>
        <w:t xml:space="preserve"> </w:t>
      </w:r>
      <w:r w:rsidRPr="005A6DB6">
        <w:rPr>
          <w:i/>
          <w:iCs/>
          <w:sz w:val="20"/>
        </w:rPr>
        <w:t>Id</w:t>
      </w:r>
      <w:r>
        <w:rPr>
          <w:sz w:val="20"/>
        </w:rPr>
        <w:t>.</w:t>
      </w:r>
      <w:r w:rsidRPr="00E86AB5">
        <w:rPr>
          <w:sz w:val="20"/>
        </w:rPr>
        <w:t xml:space="preserve"> at 3-4.</w:t>
      </w:r>
    </w:p>
  </w:footnote>
  <w:footnote w:id="18">
    <w:p w:rsidR="006979A7" w:rsidRPr="00E86AB5" w:rsidP="006979A7" w14:paraId="49930C90" w14:textId="77777777">
      <w:pPr>
        <w:pStyle w:val="FootnoteText"/>
      </w:pPr>
      <w:r w:rsidRPr="00E86AB5">
        <w:rPr>
          <w:rStyle w:val="FootnoteReference"/>
        </w:rPr>
        <w:footnoteRef/>
      </w:r>
      <w:r w:rsidRPr="00E86AB5">
        <w:t xml:space="preserve"> Supplement at 2.</w:t>
      </w:r>
    </w:p>
  </w:footnote>
  <w:footnote w:id="19">
    <w:p w:rsidR="006979A7" w:rsidRPr="00E86AB5" w:rsidP="006979A7" w14:paraId="2955CA01" w14:textId="77777777">
      <w:pPr>
        <w:spacing w:after="120"/>
        <w:rPr>
          <w:sz w:val="20"/>
        </w:rPr>
      </w:pPr>
      <w:r w:rsidRPr="00E86AB5">
        <w:rPr>
          <w:rStyle w:val="FootnoteReference"/>
          <w:sz w:val="20"/>
        </w:rPr>
        <w:footnoteRef/>
      </w:r>
      <w:r w:rsidRPr="00E86AB5">
        <w:rPr>
          <w:sz w:val="20"/>
        </w:rPr>
        <w:t xml:space="preserve"> Application at n.7; Supplement at 2.</w:t>
      </w:r>
    </w:p>
  </w:footnote>
  <w:footnote w:id="20">
    <w:p w:rsidR="006979A7" w:rsidRPr="00E86AB5" w:rsidP="006979A7" w14:paraId="5B334C19" w14:textId="77777777">
      <w:pPr>
        <w:spacing w:after="120"/>
        <w:rPr>
          <w:sz w:val="20"/>
        </w:rPr>
      </w:pPr>
      <w:r w:rsidRPr="00E86AB5">
        <w:rPr>
          <w:rStyle w:val="FootnoteReference"/>
          <w:sz w:val="20"/>
        </w:rPr>
        <w:footnoteRef/>
      </w:r>
      <w:r w:rsidRPr="00E86AB5">
        <w:rPr>
          <w:sz w:val="20"/>
        </w:rPr>
        <w:t xml:space="preserve"> Application at 4; Supplement at 2.</w:t>
      </w:r>
    </w:p>
  </w:footnote>
  <w:footnote w:id="21">
    <w:p w:rsidR="004612D9" w:rsidRPr="00E86AB5" w:rsidP="004612D9" w14:paraId="703DB209" w14:textId="77777777">
      <w:pPr>
        <w:spacing w:after="120"/>
        <w:rPr>
          <w:sz w:val="20"/>
        </w:rPr>
      </w:pPr>
      <w:r w:rsidRPr="00E86AB5">
        <w:rPr>
          <w:rStyle w:val="FootnoteReference"/>
          <w:sz w:val="20"/>
        </w:rPr>
        <w:footnoteRef/>
      </w:r>
      <w:r w:rsidRPr="00E86AB5">
        <w:rPr>
          <w:sz w:val="20"/>
        </w:rPr>
        <w:t xml:space="preserve"> </w:t>
      </w:r>
      <w:r>
        <w:rPr>
          <w:sz w:val="20"/>
        </w:rPr>
        <w:t xml:space="preserve">Application </w:t>
      </w:r>
      <w:r w:rsidRPr="00E86AB5">
        <w:rPr>
          <w:sz w:val="20"/>
        </w:rPr>
        <w:t>at 9-11; Supplement at 3.</w:t>
      </w:r>
    </w:p>
  </w:footnote>
  <w:footnote w:id="22">
    <w:p w:rsidR="003318D2" w14:paraId="43B57218" w14:textId="3F86A33F">
      <w:pPr>
        <w:pStyle w:val="FootnoteText"/>
      </w:pPr>
      <w:r>
        <w:rPr>
          <w:rStyle w:val="FootnoteReference"/>
        </w:rPr>
        <w:footnoteRef/>
      </w:r>
      <w:r>
        <w:t xml:space="preserve"> </w:t>
      </w:r>
      <w:r w:rsidR="00AF13C3">
        <w:t>Application at 10; Supplement at 2.</w:t>
      </w:r>
    </w:p>
  </w:footnote>
  <w:footnote w:id="23">
    <w:p w:rsidR="004612D9" w:rsidRPr="00E86AB5" w:rsidP="004612D9" w14:paraId="09E40978" w14:textId="34A9C79C">
      <w:pPr>
        <w:spacing w:after="120"/>
        <w:rPr>
          <w:sz w:val="20"/>
        </w:rPr>
      </w:pPr>
      <w:r w:rsidRPr="00E86AB5">
        <w:rPr>
          <w:rStyle w:val="FootnoteReference"/>
          <w:sz w:val="20"/>
        </w:rPr>
        <w:footnoteRef/>
      </w:r>
      <w:r w:rsidRPr="00E86AB5">
        <w:rPr>
          <w:sz w:val="20"/>
        </w:rPr>
        <w:t xml:space="preserve"> Application at </w:t>
      </w:r>
      <w:r w:rsidR="00FF5FE3">
        <w:rPr>
          <w:sz w:val="20"/>
        </w:rPr>
        <w:t>10.</w:t>
      </w:r>
    </w:p>
  </w:footnote>
  <w:footnote w:id="24">
    <w:p w:rsidR="004612D9" w:rsidRPr="00E86AB5" w:rsidP="004612D9" w14:paraId="0C4C005C" w14:textId="7EDF09A2">
      <w:pPr>
        <w:spacing w:after="120"/>
        <w:rPr>
          <w:sz w:val="20"/>
        </w:rPr>
      </w:pPr>
      <w:r w:rsidRPr="00E86AB5">
        <w:rPr>
          <w:rStyle w:val="FootnoteReference"/>
          <w:sz w:val="20"/>
        </w:rPr>
        <w:footnoteRef/>
      </w:r>
      <w:r w:rsidRPr="00E86AB5">
        <w:rPr>
          <w:sz w:val="20"/>
        </w:rPr>
        <w:t xml:space="preserve"> </w:t>
      </w:r>
      <w:r w:rsidRPr="009229EE" w:rsidR="001C2FC4">
        <w:rPr>
          <w:i/>
          <w:iCs/>
          <w:sz w:val="20"/>
        </w:rPr>
        <w:t>Id.</w:t>
      </w:r>
      <w:r w:rsidRPr="00E86AB5">
        <w:rPr>
          <w:sz w:val="20"/>
        </w:rPr>
        <w:t xml:space="preserve"> at 8.</w:t>
      </w:r>
    </w:p>
  </w:footnote>
  <w:footnote w:id="25">
    <w:p w:rsidR="004612D9" w:rsidRPr="00E86AB5" w:rsidP="004612D9" w14:paraId="5AB69300" w14:textId="77777777">
      <w:pPr>
        <w:spacing w:after="120"/>
        <w:rPr>
          <w:sz w:val="20"/>
        </w:rPr>
      </w:pPr>
      <w:r w:rsidRPr="00E86AB5">
        <w:rPr>
          <w:rStyle w:val="FootnoteReference"/>
          <w:sz w:val="20"/>
        </w:rPr>
        <w:footnoteRef/>
      </w:r>
      <w:r w:rsidRPr="00E86AB5">
        <w:rPr>
          <w:sz w:val="20"/>
        </w:rPr>
        <w:t xml:space="preserve"> Supplement at 1.</w:t>
      </w:r>
    </w:p>
  </w:footnote>
  <w:footnote w:id="26">
    <w:p w:rsidR="00DC13C6" w14:paraId="7D94EBC2" w14:textId="3C242AE1">
      <w:pPr>
        <w:pStyle w:val="FootnoteText"/>
      </w:pPr>
      <w:r>
        <w:rPr>
          <w:rStyle w:val="FootnoteReference"/>
        </w:rPr>
        <w:footnoteRef/>
      </w:r>
      <w:r>
        <w:t xml:space="preserve"> Application at 5, 11.</w:t>
      </w:r>
    </w:p>
  </w:footnote>
  <w:footnote w:id="27">
    <w:p w:rsidR="00CB52EB" w:rsidP="00CB52EB" w14:paraId="471B9C11" w14:textId="693253E9">
      <w:pPr>
        <w:pStyle w:val="FootnoteText"/>
      </w:pPr>
      <w:r>
        <w:rPr>
          <w:rStyle w:val="FootnoteReference"/>
        </w:rPr>
        <w:footnoteRef/>
      </w:r>
      <w:r>
        <w:t xml:space="preserve"> 47 U.S.C. § 214(a); 47 C</w:t>
      </w:r>
      <w:r w:rsidR="00D64012">
        <w:t>.</w:t>
      </w:r>
      <w:r>
        <w:t>F</w:t>
      </w:r>
      <w:r w:rsidR="00D64012">
        <w:t>.</w:t>
      </w:r>
      <w:r>
        <w:t>R</w:t>
      </w:r>
      <w:r w:rsidR="00D64012">
        <w:t>.</w:t>
      </w:r>
      <w:r>
        <w:t xml:space="preserve"> § 63.03</w:t>
      </w:r>
      <w:r w:rsidR="00855DB1">
        <w:t xml:space="preserve">; </w:t>
      </w:r>
      <w:r w:rsidR="00070000">
        <w:rPr>
          <w:i/>
          <w:iCs/>
        </w:rPr>
        <w:t>Telecommunications Carriers Eligible for Universal Service Support</w:t>
      </w:r>
      <w:r w:rsidR="00070000">
        <w:t xml:space="preserve">, WC Docket No. 09-197, </w:t>
      </w:r>
      <w:r w:rsidR="00070000">
        <w:rPr>
          <w:i/>
          <w:iCs/>
        </w:rPr>
        <w:t>Connect America Fund</w:t>
      </w:r>
      <w:r w:rsidR="00070000">
        <w:t xml:space="preserve">, WC Docket No. 10-90, Order, </w:t>
      </w:r>
      <w:r w:rsidR="008E1D65">
        <w:rPr>
          <w:rStyle w:val="item-value"/>
        </w:rPr>
        <w:t>36 FCC Rcd 9384</w:t>
      </w:r>
      <w:r w:rsidR="00070000">
        <w:t>, para. 30 (WCB 2021)</w:t>
      </w:r>
      <w:r w:rsidR="00DC13C6">
        <w:t xml:space="preserve"> ) (requiring ETCs to receive approval from the Commission prior to undertaking a transfer of control or assets)</w:t>
      </w:r>
      <w:r w:rsidR="002D1435">
        <w:t>.</w:t>
      </w:r>
    </w:p>
  </w:footnote>
  <w:footnote w:id="28">
    <w:p w:rsidR="00A901ED" w:rsidRPr="00C37B71" w:rsidP="00A901ED" w14:paraId="38FAE2BC" w14:textId="2CF7DBFD">
      <w:pPr>
        <w:pStyle w:val="FootnoteText"/>
        <w:widowControl w:val="0"/>
      </w:pPr>
      <w:r w:rsidRPr="00C37B71">
        <w:rPr>
          <w:rStyle w:val="FootnoteReference"/>
        </w:rPr>
        <w:footnoteRef/>
      </w:r>
      <w:r w:rsidRPr="00C37B71">
        <w:t xml:space="preserve"> </w:t>
      </w:r>
      <w:r w:rsidRPr="006E3ED7">
        <w:rPr>
          <w:i/>
        </w:rPr>
        <w:t>See, e.g.</w:t>
      </w:r>
      <w:r w:rsidRPr="006E3ED7">
        <w:t xml:space="preserve">, </w:t>
      </w:r>
      <w:r w:rsidRPr="006E3ED7">
        <w:rPr>
          <w:i/>
          <w:iCs/>
        </w:rPr>
        <w:t>Application of Verizon Communications Inc. and América Móvil S.A.B. de C.V for Consent to Transfer Control of International Section 214 Authorization</w:t>
      </w:r>
      <w:r w:rsidRPr="006E3ED7">
        <w:t>, GN Docket No. 21-112; IBFS File No. ITC-T/C-20200930-00173, Memorandum Opinion and Order, FCC 21-121, at para. 21 (rel. Nov. 22, 2021) (</w:t>
      </w:r>
      <w:r w:rsidRPr="00C37B71">
        <w:rPr>
          <w:i/>
          <w:iCs/>
        </w:rPr>
        <w:t>Verizon-TracFone Order</w:t>
      </w:r>
      <w:r w:rsidRPr="00C37B71">
        <w:t>)</w:t>
      </w:r>
      <w:r w:rsidRPr="00C37B71">
        <w:rPr>
          <w:sz w:val="28"/>
          <w:szCs w:val="28"/>
        </w:rPr>
        <w:t xml:space="preserve"> </w:t>
      </w:r>
      <w:r w:rsidRPr="00C37B71">
        <w:t xml:space="preserve">(citing </w:t>
      </w:r>
      <w:r w:rsidRPr="00C37B71">
        <w:rPr>
          <w:i/>
        </w:rPr>
        <w:t>China Mobile International (USA) Inc., Application for Global Facilities-Based and Global Resale International Telecommunications Authority Pursuant to Section 214 of the Communications Act of 1934, as Amended</w:t>
      </w:r>
      <w:r w:rsidRPr="00C37B71">
        <w:t xml:space="preserve">, Memorandum Opinion and Order, 34 FCC Rcd 3361, 3366, para. 9 (2019); </w:t>
      </w:r>
      <w:r w:rsidRPr="00C37B71">
        <w:rPr>
          <w:i/>
        </w:rPr>
        <w:t>Applications for Consent to the Assignment and/or Transfer of Control of Licenses, Adelphia Communications Corporation (and subsidiaries, debtors-in-possession), Assignors, to Time Warner Cable Inc. (subsidiaries), Assignees; Adelphia Communications Corporation, (and subsidiaries, debtors-in-possession), Assignors and Transferors et al</w:t>
      </w:r>
      <w:r w:rsidRPr="00C37B71">
        <w:t>., MB Docket No. 05-192, Memorandum Opinion and Order, 21 FCC Rcd 8203, 8219-21, paras. 27-28 (2006) (</w:t>
      </w:r>
      <w:r w:rsidRPr="00C37B71">
        <w:rPr>
          <w:i/>
          <w:iCs/>
        </w:rPr>
        <w:t>Adelphia-TWC Order</w:t>
      </w:r>
      <w:r w:rsidRPr="00C37B71">
        <w:t>))</w:t>
      </w:r>
      <w:r>
        <w:t>.</w:t>
      </w:r>
    </w:p>
  </w:footnote>
  <w:footnote w:id="29">
    <w:p w:rsidR="00A901ED" w:rsidRPr="00B83976" w:rsidP="00A901ED" w14:paraId="0BD928E8" w14:textId="77777777">
      <w:pPr>
        <w:pStyle w:val="FootnoteText"/>
      </w:pPr>
      <w:r w:rsidRPr="00C37B71">
        <w:rPr>
          <w:rStyle w:val="FootnoteReference"/>
        </w:rPr>
        <w:footnoteRef/>
      </w:r>
      <w:r w:rsidRPr="00C37B71">
        <w:t xml:space="preserve"> </w:t>
      </w:r>
      <w:r w:rsidRPr="00C37B71">
        <w:rPr>
          <w:i/>
        </w:rPr>
        <w:t>See Verizon-TracFone Order</w:t>
      </w:r>
      <w:r w:rsidRPr="00C37B71">
        <w:rPr>
          <w:iCs/>
        </w:rPr>
        <w:t xml:space="preserve"> at para. 21 (citing </w:t>
      </w:r>
      <w:r w:rsidRPr="00C37B71">
        <w:rPr>
          <w:i/>
        </w:rPr>
        <w:t xml:space="preserve">Applications of </w:t>
      </w:r>
      <w:r w:rsidRPr="00C37B71">
        <w:rPr>
          <w:i/>
          <w:iCs/>
        </w:rPr>
        <w:t>AT&amp;T</w:t>
      </w:r>
      <w:r w:rsidRPr="00C37B71">
        <w:rPr>
          <w:i/>
        </w:rPr>
        <w:t xml:space="preserve"> Inc. and </w:t>
      </w:r>
      <w:r w:rsidRPr="00C37B71">
        <w:rPr>
          <w:i/>
          <w:iCs/>
        </w:rPr>
        <w:t xml:space="preserve">DIRECTV </w:t>
      </w:r>
      <w:r w:rsidRPr="00C37B71">
        <w:rPr>
          <w:i/>
        </w:rPr>
        <w:t>for Consent to Assign or Transfer Control of Licenses and Authorizations</w:t>
      </w:r>
      <w:r w:rsidRPr="00C37B71">
        <w:t xml:space="preserve">, MB Docket No. 14-90, Memorandum Opinion and Order, 30 </w:t>
      </w:r>
      <w:r w:rsidRPr="00C37B71">
        <w:rPr>
          <w:iCs/>
        </w:rPr>
        <w:t xml:space="preserve">FCC Rcd </w:t>
      </w:r>
      <w:r w:rsidRPr="00C37B71">
        <w:t>9131,</w:t>
      </w:r>
      <w:r w:rsidRPr="00C37B71">
        <w:rPr>
          <w:iCs/>
        </w:rPr>
        <w:t xml:space="preserve"> 9140, para. 18</w:t>
      </w:r>
      <w:r w:rsidRPr="00C37B71">
        <w:t xml:space="preserve"> (2015) (</w:t>
      </w:r>
      <w:r w:rsidRPr="00C37B71">
        <w:rPr>
          <w:i/>
          <w:iCs/>
        </w:rPr>
        <w:t>AT&amp;T-DIRECTV Order</w:t>
      </w:r>
      <w:r w:rsidRPr="00C37B71">
        <w:rPr>
          <w:iCs/>
        </w:rPr>
        <w:t>)</w:t>
      </w:r>
      <w:r>
        <w:rPr>
          <w:iCs/>
        </w:rPr>
        <w:t xml:space="preserve"> (further internal citations omitted).</w:t>
      </w:r>
    </w:p>
  </w:footnote>
  <w:footnote w:id="30">
    <w:p w:rsidR="00A901ED" w:rsidRPr="00B83976" w:rsidP="00A901ED" w14:paraId="25030142" w14:textId="77777777">
      <w:pPr>
        <w:pStyle w:val="FootnoteText"/>
      </w:pPr>
      <w:r w:rsidRPr="00B83976">
        <w:rPr>
          <w:rStyle w:val="FootnoteReference"/>
        </w:rPr>
        <w:footnoteRef/>
      </w:r>
      <w:r w:rsidRPr="00B83976">
        <w:t xml:space="preserve"> </w:t>
      </w:r>
      <w:r>
        <w:rPr>
          <w:i/>
        </w:rPr>
        <w:t>See Verizon-TracFone Order</w:t>
      </w:r>
      <w:r>
        <w:rPr>
          <w:iCs/>
        </w:rPr>
        <w:t xml:space="preserve"> at para. 21 (citing</w:t>
      </w:r>
      <w:r w:rsidRPr="003A6B1D">
        <w:t xml:space="preserve"> </w:t>
      </w:r>
      <w:r w:rsidRPr="00B83976">
        <w:rPr>
          <w:i/>
          <w:iCs/>
        </w:rPr>
        <w:t>AT&amp;T-DIRECTV Order</w:t>
      </w:r>
      <w:r w:rsidRPr="00B83976">
        <w:rPr>
          <w:iCs/>
        </w:rPr>
        <w:t xml:space="preserve">, </w:t>
      </w:r>
      <w:r w:rsidRPr="00B83976">
        <w:t xml:space="preserve">30 </w:t>
      </w:r>
      <w:r w:rsidRPr="00B83976">
        <w:rPr>
          <w:iCs/>
        </w:rPr>
        <w:t xml:space="preserve">FCC Rcd at 9140, para. 18; </w:t>
      </w:r>
      <w:r w:rsidRPr="00B83976">
        <w:rPr>
          <w:i/>
        </w:rPr>
        <w:t>Adelphia-TWC Order</w:t>
      </w:r>
      <w:r w:rsidRPr="00B83976">
        <w:t xml:space="preserve">, 21 FCC Rcd at 8217, para. 23; </w:t>
      </w:r>
      <w:r>
        <w:rPr>
          <w:i/>
        </w:rPr>
        <w:t xml:space="preserve">Application of </w:t>
      </w:r>
      <w:r w:rsidRPr="00B83976">
        <w:rPr>
          <w:i/>
        </w:rPr>
        <w:t>EchoStar</w:t>
      </w:r>
      <w:r>
        <w:rPr>
          <w:i/>
        </w:rPr>
        <w:t xml:space="preserve"> Communications Corp., General Motors Corp., and Hughes Electronics Corp., Transferors, and EchoStar Communications Corp., Transferee</w:t>
      </w:r>
      <w:r>
        <w:t xml:space="preserve">, CS Docket No. 01-348, Hearing Designation Order, 17 FCC Rcd 20559, </w:t>
      </w:r>
      <w:r>
        <w:rPr>
          <w:snapToGrid w:val="0"/>
        </w:rPr>
        <w:t>20574, para.</w:t>
      </w:r>
      <w:r>
        <w:t xml:space="preserve"> 25 (2002) (</w:t>
      </w:r>
      <w:r w:rsidRPr="00B83976">
        <w:rPr>
          <w:i/>
        </w:rPr>
        <w:t>EchoStar-DIRECTV HDO</w:t>
      </w:r>
      <w:r>
        <w:rPr>
          <w:iCs/>
        </w:rPr>
        <w:t>) (further internal citations omitted)</w:t>
      </w:r>
      <w:r w:rsidRPr="00B83976">
        <w:t>.</w:t>
      </w:r>
    </w:p>
  </w:footnote>
  <w:footnote w:id="31">
    <w:p w:rsidR="005B420F" w14:paraId="00CD26D6" w14:textId="188F038F">
      <w:pPr>
        <w:pStyle w:val="FootnoteText"/>
      </w:pPr>
      <w:r>
        <w:rPr>
          <w:rStyle w:val="FootnoteReference"/>
        </w:rPr>
        <w:footnoteRef/>
      </w:r>
      <w:r>
        <w:t xml:space="preserve"> Application at </w:t>
      </w:r>
      <w:r w:rsidR="008622FE">
        <w:t>11</w:t>
      </w:r>
      <w:r>
        <w:t>.</w:t>
      </w:r>
    </w:p>
  </w:footnote>
  <w:footnote w:id="32">
    <w:p w:rsidR="00025905" w14:paraId="35BCCDFE" w14:textId="4B7FAE08">
      <w:pPr>
        <w:pStyle w:val="FootnoteText"/>
      </w:pPr>
      <w:r>
        <w:rPr>
          <w:rStyle w:val="FootnoteReference"/>
        </w:rPr>
        <w:footnoteRef/>
      </w:r>
      <w:r>
        <w:t xml:space="preserve"> </w:t>
      </w:r>
      <w:r w:rsidRPr="005B420F" w:rsidR="005B420F">
        <w:rPr>
          <w:i/>
          <w:iCs/>
        </w:rPr>
        <w:t>Id.</w:t>
      </w:r>
      <w:r w:rsidR="00337CCE">
        <w:t xml:space="preserve"> </w:t>
      </w:r>
      <w:r w:rsidR="008622FE">
        <w:t>at 5, 11.</w:t>
      </w:r>
    </w:p>
  </w:footnote>
  <w:footnote w:id="33">
    <w:p w:rsidR="00E93E3E" w:rsidP="00E93E3E" w14:paraId="4198994B" w14:textId="77777777">
      <w:pPr>
        <w:pStyle w:val="FootnoteText"/>
      </w:pPr>
      <w:r>
        <w:rPr>
          <w:rStyle w:val="FootnoteReference"/>
        </w:rPr>
        <w:footnoteRef/>
      </w:r>
      <w:r>
        <w:t xml:space="preserve"> </w:t>
      </w:r>
      <w:r w:rsidRPr="00DE7E1C">
        <w:t>Supplement</w:t>
      </w:r>
      <w:r>
        <w:t xml:space="preserve"> at Attachs. (Certification of Robert Mills, Chief Financial Officer, ITC Holdings; Certification of Robert Leithman, Manager, Hunt Land Holdings). </w:t>
      </w:r>
    </w:p>
  </w:footnote>
  <w:footnote w:id="34">
    <w:p w:rsidR="00E93E3E" w14:paraId="6D8A860D" w14:textId="691E229C">
      <w:pPr>
        <w:pStyle w:val="FootnoteText"/>
      </w:pPr>
      <w:r>
        <w:rPr>
          <w:rStyle w:val="FootnoteReference"/>
        </w:rPr>
        <w:footnoteRef/>
      </w:r>
      <w:r>
        <w:t xml:space="preserve"> </w:t>
      </w:r>
      <w:r w:rsidRPr="00DE7E1C">
        <w:rPr>
          <w:i/>
          <w:iCs/>
        </w:rPr>
        <w:t>Id</w:t>
      </w:r>
      <w:r>
        <w:t>. at 4-5.</w:t>
      </w:r>
    </w:p>
  </w:footnote>
  <w:footnote w:id="35">
    <w:p w:rsidR="0067126E" w14:paraId="396DCE03" w14:textId="69B0A071">
      <w:pPr>
        <w:pStyle w:val="FootnoteText"/>
      </w:pPr>
      <w:r>
        <w:rPr>
          <w:rStyle w:val="FootnoteReference"/>
        </w:rPr>
        <w:footnoteRef/>
      </w:r>
      <w:r>
        <w:t xml:space="preserve"> Application at 10</w:t>
      </w:r>
      <w:r w:rsidR="00120E3D">
        <w:t>; Supplement at 2</w:t>
      </w:r>
      <w:r w:rsidR="00C03D01">
        <w:t>.</w:t>
      </w:r>
    </w:p>
  </w:footnote>
  <w:footnote w:id="36">
    <w:p w:rsidR="008D29A6" w:rsidRPr="00C03D01" w14:paraId="6E1C0584" w14:textId="39FA1A85">
      <w:pPr>
        <w:pStyle w:val="FootnoteText"/>
      </w:pPr>
      <w:r>
        <w:rPr>
          <w:rStyle w:val="FootnoteReference"/>
        </w:rPr>
        <w:footnoteRef/>
      </w:r>
      <w:r>
        <w:t xml:space="preserve"> Supplement at </w:t>
      </w:r>
      <w:r w:rsidR="00C03D01">
        <w:t xml:space="preserve">2 </w:t>
      </w:r>
      <w:r w:rsidR="007008FC">
        <w:t xml:space="preserve">and Exh. A </w:t>
      </w:r>
      <w:r w:rsidR="00975007">
        <w:t xml:space="preserve">(confirming that the existing owners of </w:t>
      </w:r>
      <w:r w:rsidR="007008FC">
        <w:t>Hunt Land Holdings</w:t>
      </w:r>
      <w:r w:rsidR="00975007">
        <w:t xml:space="preserve"> will remain majority beneficial owners and tha</w:t>
      </w:r>
      <w:r w:rsidR="007008FC">
        <w:t>t there are no</w:t>
      </w:r>
      <w:r w:rsidR="00975007">
        <w:t xml:space="preserve"> plans to change th</w:t>
      </w:r>
      <w:r w:rsidR="00A961E1">
        <w:t>at</w:t>
      </w:r>
      <w:r w:rsidR="00975007">
        <w:t xml:space="preserve"> existing </w:t>
      </w:r>
      <w:r w:rsidR="007008FC">
        <w:t>m</w:t>
      </w:r>
      <w:r w:rsidR="00975007">
        <w:t>anagement</w:t>
      </w:r>
      <w:r w:rsidR="007008FC">
        <w:t xml:space="preserve">, and providing information </w:t>
      </w:r>
      <w:r w:rsidR="0044229E">
        <w:t>about t</w:t>
      </w:r>
      <w:r w:rsidR="007008FC">
        <w:t>he ITC Holdings’ manage</w:t>
      </w:r>
      <w:r w:rsidR="0044229E">
        <w:t>rs</w:t>
      </w:r>
      <w:r w:rsidR="007008FC">
        <w:t>)</w:t>
      </w:r>
      <w:r w:rsidR="00C03D01">
        <w:t xml:space="preserve">; </w:t>
      </w:r>
      <w:r w:rsidR="00C03D01">
        <w:rPr>
          <w:i/>
          <w:iCs/>
        </w:rPr>
        <w:t xml:space="preserve">see </w:t>
      </w:r>
      <w:r w:rsidR="007008FC">
        <w:rPr>
          <w:i/>
          <w:iCs/>
        </w:rPr>
        <w:t xml:space="preserve">also </w:t>
      </w:r>
      <w:r w:rsidRPr="00C03D01" w:rsidR="00C03D01">
        <w:rPr>
          <w:i/>
          <w:iCs/>
        </w:rPr>
        <w:t>Aspire/ITC Public Notice</w:t>
      </w:r>
      <w:r w:rsidR="00C03D01">
        <w:t xml:space="preserve"> at 3-4 (referencing the senior management team of ITC Holdings).</w:t>
      </w:r>
    </w:p>
  </w:footnote>
  <w:footnote w:id="37">
    <w:p w:rsidR="00120E3D" w14:paraId="288E7EAA" w14:textId="5FB952FC">
      <w:pPr>
        <w:pStyle w:val="FootnoteText"/>
      </w:pPr>
      <w:r>
        <w:rPr>
          <w:rStyle w:val="FootnoteReference"/>
        </w:rPr>
        <w:footnoteRef/>
      </w:r>
      <w:r>
        <w:t xml:space="preserve"> </w:t>
      </w:r>
      <w:r w:rsidR="00A63044">
        <w:rPr>
          <w:i/>
          <w:iCs/>
        </w:rPr>
        <w:t xml:space="preserve">See </w:t>
      </w:r>
      <w:r>
        <w:t>Further Supplement at 1-2</w:t>
      </w:r>
      <w:r w:rsidR="00A63044">
        <w:t xml:space="preserve"> and Attach. B (credit agreement)</w:t>
      </w:r>
      <w:r>
        <w:t>.</w:t>
      </w:r>
    </w:p>
  </w:footnote>
  <w:footnote w:id="38">
    <w:p w:rsidR="008E1A67" w14:paraId="33006D1B" w14:textId="667BF14F">
      <w:pPr>
        <w:pStyle w:val="FootnoteText"/>
      </w:pPr>
      <w:r>
        <w:rPr>
          <w:rStyle w:val="FootnoteReference"/>
        </w:rPr>
        <w:footnoteRef/>
      </w:r>
      <w:r>
        <w:t xml:space="preserve"> </w:t>
      </w:r>
      <w:r w:rsidR="0044229E">
        <w:rPr>
          <w:i/>
          <w:iCs/>
        </w:rPr>
        <w:t xml:space="preserve">See </w:t>
      </w:r>
      <w:r w:rsidRPr="008E1A67">
        <w:rPr>
          <w:i/>
          <w:iCs/>
        </w:rPr>
        <w:t>RDOF Authorization Public Notice</w:t>
      </w:r>
      <w:r>
        <w:t xml:space="preserve"> at 1-8.</w:t>
      </w:r>
    </w:p>
  </w:footnote>
  <w:footnote w:id="39">
    <w:p w:rsidR="00A901ED" w:rsidP="00A901ED" w14:paraId="54A939C7" w14:textId="182292E9">
      <w:pPr>
        <w:pStyle w:val="FootnoteText"/>
      </w:pPr>
      <w:r>
        <w:rPr>
          <w:rStyle w:val="FootnoteReference"/>
        </w:rPr>
        <w:footnoteRef/>
      </w:r>
      <w:r>
        <w:t xml:space="preserve"> </w:t>
      </w:r>
      <w:r w:rsidRPr="001005A4">
        <w:rPr>
          <w:i/>
          <w:iCs/>
        </w:rPr>
        <w:t>See AT&amp;T/DIRECTV Order</w:t>
      </w:r>
      <w:r>
        <w:t>, 30 FCC Rcd at 9237, para. 273-74.</w:t>
      </w:r>
    </w:p>
  </w:footnote>
  <w:footnote w:id="40">
    <w:p w:rsidR="00A901ED" w:rsidP="00A901ED" w14:paraId="7B1A5EA8" w14:textId="77777777">
      <w:pPr>
        <w:pStyle w:val="FootnoteText"/>
      </w:pPr>
      <w:r>
        <w:rPr>
          <w:rStyle w:val="FootnoteReference"/>
        </w:rPr>
        <w:footnoteRef/>
      </w:r>
      <w:r>
        <w:t xml:space="preserve"> </w:t>
      </w:r>
      <w:r w:rsidRPr="00907911">
        <w:rPr>
          <w:i/>
          <w:iCs/>
        </w:rPr>
        <w:t>See id</w:t>
      </w:r>
      <w:r>
        <w:t xml:space="preserve">. </w:t>
      </w:r>
      <w:r w:rsidRPr="00907911">
        <w:t>at</w:t>
      </w:r>
      <w:r>
        <w:t xml:space="preserve"> 9237-38, paras. 275-76.</w:t>
      </w:r>
    </w:p>
  </w:footnote>
  <w:footnote w:id="41">
    <w:p w:rsidR="00A901ED" w:rsidP="00A901ED" w14:paraId="3DAE4B4B" w14:textId="77777777">
      <w:pPr>
        <w:pStyle w:val="FootnoteText"/>
      </w:pPr>
      <w:r>
        <w:rPr>
          <w:rStyle w:val="FootnoteReference"/>
        </w:rPr>
        <w:footnoteRef/>
      </w:r>
      <w:r>
        <w:t xml:space="preserve"> </w:t>
      </w:r>
      <w:r w:rsidRPr="001005A4">
        <w:rPr>
          <w:i/>
          <w:iCs/>
        </w:rPr>
        <w:t xml:space="preserve">See </w:t>
      </w:r>
      <w:r>
        <w:rPr>
          <w:i/>
          <w:iCs/>
        </w:rPr>
        <w:t>id</w:t>
      </w:r>
      <w:r>
        <w:t>.</w:t>
      </w:r>
    </w:p>
  </w:footnote>
  <w:footnote w:id="42">
    <w:p w:rsidR="006566D0" w14:paraId="72070B9B" w14:textId="3080B58B">
      <w:pPr>
        <w:pStyle w:val="FootnoteText"/>
      </w:pPr>
      <w:r>
        <w:rPr>
          <w:rStyle w:val="FootnoteReference"/>
        </w:rPr>
        <w:footnoteRef/>
      </w:r>
      <w:r>
        <w:t xml:space="preserve"> Application at 8, 10.</w:t>
      </w:r>
      <w:r w:rsidR="002A7431">
        <w:t xml:space="preserve">  </w:t>
      </w:r>
    </w:p>
  </w:footnote>
  <w:footnote w:id="43">
    <w:p w:rsidR="0076309F" w:rsidP="0076309F" w14:paraId="0BC73B88" w14:textId="77777777">
      <w:pPr>
        <w:pStyle w:val="FootnoteText"/>
      </w:pPr>
      <w:r>
        <w:rPr>
          <w:rStyle w:val="FootnoteReference"/>
        </w:rPr>
        <w:footnoteRef/>
      </w:r>
      <w:r>
        <w:t xml:space="preserve"> </w:t>
      </w:r>
      <w:r w:rsidRPr="00B83976">
        <w:rPr>
          <w:i/>
          <w:iCs/>
        </w:rPr>
        <w:t>See</w:t>
      </w:r>
      <w:r>
        <w:rPr>
          <w:i/>
          <w:iCs/>
        </w:rPr>
        <w:t>, e.g.</w:t>
      </w:r>
      <w:r w:rsidRPr="003A6B1D">
        <w:t xml:space="preserve">, </w:t>
      </w:r>
      <w:r w:rsidRPr="00B83976">
        <w:rPr>
          <w:i/>
          <w:iCs/>
        </w:rPr>
        <w:t>AT&amp;T-DIRECTV Order</w:t>
      </w:r>
      <w:r w:rsidRPr="00B83976">
        <w:rPr>
          <w:iCs/>
        </w:rPr>
        <w:t xml:space="preserve">, </w:t>
      </w:r>
      <w:r w:rsidRPr="00B83976">
        <w:t xml:space="preserve">30 </w:t>
      </w:r>
      <w:r w:rsidRPr="00B83976">
        <w:rPr>
          <w:iCs/>
        </w:rPr>
        <w:t>FCC Rcd at 9140, para. 19</w:t>
      </w:r>
      <w:r>
        <w:rPr>
          <w:iCs/>
        </w:rPr>
        <w:t>.</w:t>
      </w:r>
    </w:p>
  </w:footnote>
  <w:footnote w:id="44">
    <w:p w:rsidR="0076309F" w:rsidRPr="00B83976" w:rsidP="0076309F" w14:paraId="754390EB" w14:textId="7F331CAF">
      <w:pPr>
        <w:pStyle w:val="FootnoteText"/>
      </w:pPr>
      <w:r w:rsidRPr="00B83976">
        <w:rPr>
          <w:rStyle w:val="FootnoteReference"/>
        </w:rPr>
        <w:footnoteRef/>
      </w:r>
      <w:r w:rsidRPr="00B83976">
        <w:t xml:space="preserve"> </w:t>
      </w:r>
      <w:r>
        <w:rPr>
          <w:i/>
        </w:rPr>
        <w:t>See Verizon-TracFone Order</w:t>
      </w:r>
      <w:r>
        <w:rPr>
          <w:iCs/>
        </w:rPr>
        <w:t xml:space="preserve"> at para. 22 (citing </w:t>
      </w:r>
      <w:r w:rsidRPr="00B83976">
        <w:t>47 U.S.C. §§ 254, 332(c)(7), 1302; Telecommunications Act of 1996, Preamble, Pub. L. No. 104-104, 110 Stat. 56 (1996) (one purpose of the Act is to “accelerate rapidly private sector deployment of advanced telecommunications and information technologies and services</w:t>
      </w:r>
      <w:r w:rsidR="0015483D">
        <w:t>”))</w:t>
      </w:r>
      <w:r w:rsidR="00252BFB">
        <w:t>.</w:t>
      </w:r>
      <w:r w:rsidR="00FE16FD">
        <w:t xml:space="preserve">  </w:t>
      </w:r>
    </w:p>
  </w:footnote>
  <w:footnote w:id="45">
    <w:p w:rsidR="002A7431" w14:paraId="56D299B8" w14:textId="7516A84B">
      <w:pPr>
        <w:pStyle w:val="FootnoteText"/>
      </w:pPr>
      <w:r>
        <w:rPr>
          <w:rStyle w:val="FootnoteReference"/>
        </w:rPr>
        <w:footnoteRef/>
      </w:r>
      <w:r>
        <w:t xml:space="preserve"> Applicants state that ITC Holding</w:t>
      </w:r>
      <w:r w:rsidR="009821B1">
        <w:t>s</w:t>
      </w:r>
      <w:r w:rsidR="0044229E">
        <w:t xml:space="preserve"> has</w:t>
      </w:r>
      <w:r>
        <w:t xml:space="preserve"> made </w:t>
      </w:r>
      <w:r w:rsidR="0044229E">
        <w:t xml:space="preserve">a </w:t>
      </w:r>
      <w:r>
        <w:t xml:space="preserve">$50 million </w:t>
      </w:r>
      <w:r w:rsidR="0044229E">
        <w:t xml:space="preserve">additional </w:t>
      </w:r>
      <w:r>
        <w:t>funding commitment</w:t>
      </w:r>
      <w:r w:rsidR="0044229E">
        <w:t xml:space="preserve"> to CableSouth</w:t>
      </w:r>
      <w:r>
        <w:t xml:space="preserve">.  </w:t>
      </w:r>
      <w:r w:rsidR="0044229E">
        <w:t xml:space="preserve">Further </w:t>
      </w:r>
      <w:r>
        <w:t xml:space="preserve">Supplement at 1.  </w:t>
      </w:r>
      <w:r w:rsidR="0044229E">
        <w:t>They state</w:t>
      </w:r>
      <w:r w:rsidR="00A961E1">
        <w:t xml:space="preserve"> that</w:t>
      </w:r>
      <w:r w:rsidR="0044229E">
        <w:t xml:space="preserve"> they are “developing a strategy for accelerating network deployment but no timeline has been established.”  Supplement at 1.</w:t>
      </w:r>
    </w:p>
  </w:footnote>
  <w:footnote w:id="46">
    <w:p w:rsidR="0091436D" w:rsidRPr="00494109" w:rsidP="0091436D" w14:paraId="19D89AF8" w14:textId="77777777">
      <w:pPr>
        <w:pStyle w:val="FootnoteText"/>
      </w:pPr>
      <w:r w:rsidRPr="00494109">
        <w:rPr>
          <w:rStyle w:val="FootnoteReference"/>
          <w:sz w:val="20"/>
        </w:rPr>
        <w:footnoteRef/>
      </w:r>
      <w:r w:rsidRPr="00494109">
        <w:t xml:space="preserve"> </w:t>
      </w:r>
      <w:r w:rsidRPr="00494109">
        <w:rPr>
          <w:i/>
        </w:rPr>
        <w:t>Joint Application of W. Mansfield Jennings Limited Partnership and Hargray Communications Group, Inc. for Consent to the Transfer of Control of ComSouth Corporation Pursuant to Section 214 of the Communications Act of 1934</w:t>
      </w:r>
      <w:r w:rsidRPr="00494109">
        <w:t>, WC Docket 18-52, Memorandum Opinion and Order, 33 FCC Rcd 4780, 4784, para. 19 (2018). (</w:t>
      </w:r>
      <w:r w:rsidRPr="00494109">
        <w:rPr>
          <w:i/>
        </w:rPr>
        <w:t>Hargray/ComSouth Order</w:t>
      </w:r>
      <w:r w:rsidRPr="00494109">
        <w:t>).</w:t>
      </w:r>
    </w:p>
  </w:footnote>
  <w:footnote w:id="47">
    <w:p w:rsidR="0091436D" w:rsidRPr="00494109" w:rsidP="0091436D" w14:paraId="25BDD2B8" w14:textId="77777777">
      <w:pPr>
        <w:pStyle w:val="FootnoteText"/>
      </w:pPr>
      <w:r w:rsidRPr="00494109">
        <w:rPr>
          <w:rStyle w:val="FootnoteReference"/>
          <w:sz w:val="20"/>
        </w:rPr>
        <w:footnoteRef/>
      </w:r>
      <w:r w:rsidRPr="00494109">
        <w:t xml:space="preserve"> </w:t>
      </w:r>
      <w:r w:rsidRPr="00494109">
        <w:rPr>
          <w:i/>
        </w:rPr>
        <w:t>Id</w:t>
      </w:r>
      <w:r w:rsidRPr="00494109">
        <w:t>. at 4785-86, para. 20.</w:t>
      </w:r>
    </w:p>
  </w:footnote>
  <w:footnote w:id="48">
    <w:p w:rsidR="0091436D" w:rsidRPr="00494109" w:rsidP="0091436D" w14:paraId="7E49A047" w14:textId="77777777">
      <w:pPr>
        <w:pStyle w:val="FootnoteText"/>
      </w:pPr>
      <w:r w:rsidRPr="00494109">
        <w:rPr>
          <w:rStyle w:val="FootnoteReference"/>
          <w:sz w:val="20"/>
        </w:rPr>
        <w:footnoteRef/>
      </w:r>
      <w:r w:rsidRPr="00494109">
        <w:t xml:space="preserve"> </w:t>
      </w:r>
      <w:r w:rsidRPr="00494109">
        <w:rPr>
          <w:i/>
        </w:rPr>
        <w:t>Id</w:t>
      </w:r>
      <w:r w:rsidRPr="00494109">
        <w:t>.</w:t>
      </w:r>
    </w:p>
  </w:footnote>
  <w:footnote w:id="49">
    <w:p w:rsidR="0091436D" w:rsidRPr="00494109" w:rsidP="0091436D" w14:paraId="6996AFEA" w14:textId="77777777">
      <w:pPr>
        <w:pStyle w:val="FootnoteText"/>
      </w:pPr>
      <w:r w:rsidRPr="00494109">
        <w:rPr>
          <w:rStyle w:val="FootnoteReference"/>
          <w:sz w:val="20"/>
        </w:rPr>
        <w:footnoteRef/>
      </w:r>
      <w:r w:rsidRPr="00494109">
        <w:t xml:space="preserve"> </w:t>
      </w:r>
      <w:r w:rsidRPr="00494109">
        <w:rPr>
          <w:i/>
        </w:rPr>
        <w:t>Id</w:t>
      </w:r>
      <w:r w:rsidRPr="00494109">
        <w:t>.</w:t>
      </w:r>
    </w:p>
  </w:footnote>
  <w:footnote w:id="50">
    <w:p w:rsidR="0091436D" w:rsidRPr="00494109" w:rsidP="0091436D" w14:paraId="54E7820B" w14:textId="77777777">
      <w:pPr>
        <w:pStyle w:val="FootnoteText"/>
      </w:pPr>
      <w:r w:rsidRPr="00494109">
        <w:rPr>
          <w:rStyle w:val="FootnoteReference"/>
          <w:sz w:val="20"/>
        </w:rPr>
        <w:footnoteRef/>
      </w:r>
      <w:r w:rsidRPr="00494109">
        <w:t xml:space="preserve"> </w:t>
      </w:r>
      <w:r w:rsidRPr="00494109">
        <w:rPr>
          <w:i/>
        </w:rPr>
        <w:t>Id</w:t>
      </w:r>
      <w:r w:rsidRPr="00494109">
        <w:t>. at 4786, para. 21.</w:t>
      </w:r>
    </w:p>
  </w:footnote>
  <w:footnote w:id="51">
    <w:p w:rsidR="0091436D" w:rsidRPr="00494109" w:rsidP="0091436D" w14:paraId="5074B843" w14:textId="77777777">
      <w:pPr>
        <w:pStyle w:val="FootnoteText"/>
      </w:pPr>
      <w:r w:rsidRPr="00494109">
        <w:rPr>
          <w:rStyle w:val="FootnoteReference"/>
          <w:sz w:val="20"/>
        </w:rPr>
        <w:footnoteRef/>
      </w:r>
      <w:r w:rsidRPr="00494109">
        <w:t xml:space="preserve"> </w:t>
      </w:r>
      <w:r w:rsidRPr="00494109">
        <w:rPr>
          <w:i/>
        </w:rPr>
        <w:t>Id</w:t>
      </w:r>
      <w:r w:rsidRPr="00494109">
        <w:t>. at 4788-90, paras. 26-31.</w:t>
      </w:r>
    </w:p>
  </w:footnote>
  <w:footnote w:id="52">
    <w:p w:rsidR="0091436D" w:rsidRPr="00494109" w:rsidP="0091436D" w14:paraId="28CDBB22" w14:textId="0C7E6A2F">
      <w:pPr>
        <w:pStyle w:val="FootnoteText"/>
      </w:pPr>
      <w:r w:rsidRPr="00494109">
        <w:rPr>
          <w:rStyle w:val="FootnoteReference"/>
          <w:sz w:val="20"/>
        </w:rPr>
        <w:footnoteRef/>
      </w:r>
      <w:r w:rsidRPr="00494109">
        <w:t xml:space="preserve"> </w:t>
      </w:r>
      <w:r w:rsidRPr="00494109">
        <w:rPr>
          <w:i/>
        </w:rPr>
        <w:t>Id</w:t>
      </w:r>
      <w:r w:rsidRPr="00494109">
        <w:t>. at 4789, para. 27, n.72.</w:t>
      </w:r>
      <w:r w:rsidR="00626672">
        <w:t xml:space="preserve">  </w:t>
      </w:r>
      <w:r w:rsidR="00626672">
        <w:rPr>
          <w:i/>
          <w:iCs/>
        </w:rPr>
        <w:t>See also</w:t>
      </w:r>
      <w:r w:rsidR="009F30BE">
        <w:rPr>
          <w:i/>
          <w:iCs/>
        </w:rPr>
        <w:t xml:space="preserve"> Domestic Section 214 Application for the Transfer of Control of Lavaca Telephone Company, Inc. to Dobson Technologies Inc.</w:t>
      </w:r>
      <w:r w:rsidR="009F30BE">
        <w:t>, WC Docket No. 20-389, Order on Reconsideration, FCC 21-63, para. 14 (2021) (reaffirming the Commission’s delegation to the Bureau to continue to apply the mixed support condition where necessary).</w:t>
      </w:r>
      <w:r w:rsidR="00626672">
        <w:t xml:space="preserve"> </w:t>
      </w:r>
      <w:r w:rsidRPr="00494109">
        <w:t xml:space="preserve">   </w:t>
      </w:r>
    </w:p>
  </w:footnote>
  <w:footnote w:id="53">
    <w:p w:rsidR="00D509F8" w14:paraId="4C6BD7DB" w14:textId="76ABCFB0">
      <w:pPr>
        <w:pStyle w:val="FootnoteText"/>
      </w:pPr>
      <w:r>
        <w:rPr>
          <w:rStyle w:val="FootnoteReference"/>
        </w:rPr>
        <w:footnoteRef/>
      </w:r>
      <w:r>
        <w:t xml:space="preserve"> ITC Holdings has also </w:t>
      </w:r>
      <w:r w:rsidR="009477C2">
        <w:t xml:space="preserve">acquired Aspire Networks 1, LLC, which receives RDOF support.  </w:t>
      </w:r>
      <w:r w:rsidRPr="009477C2" w:rsidR="009477C2">
        <w:rPr>
          <w:i/>
          <w:iCs/>
        </w:rPr>
        <w:t>See infra</w:t>
      </w:r>
      <w:r w:rsidR="009477C2">
        <w:t xml:space="preserve"> n.9.</w:t>
      </w:r>
      <w:r>
        <w:t xml:space="preserve"> </w:t>
      </w:r>
    </w:p>
  </w:footnote>
  <w:footnote w:id="54">
    <w:p w:rsidR="0091436D" w:rsidRPr="00494109" w:rsidP="0091436D" w14:paraId="7790C431" w14:textId="2BCC5040">
      <w:pPr>
        <w:pStyle w:val="FootnoteText"/>
      </w:pPr>
      <w:r w:rsidRPr="00494109">
        <w:rPr>
          <w:rStyle w:val="FootnoteReference"/>
          <w:sz w:val="20"/>
        </w:rPr>
        <w:footnoteRef/>
      </w:r>
      <w:r w:rsidRPr="00494109">
        <w:t xml:space="preserve"> </w:t>
      </w:r>
      <w:r w:rsidRPr="00494109" w:rsidR="00502B7C">
        <w:rPr>
          <w:i/>
        </w:rPr>
        <w:t xml:space="preserve">Hargray/ComSouth </w:t>
      </w:r>
      <w:r w:rsidRPr="00502B7C" w:rsidR="00502B7C">
        <w:rPr>
          <w:iCs/>
        </w:rPr>
        <w:t>Order</w:t>
      </w:r>
      <w:r w:rsidR="00502B7C">
        <w:rPr>
          <w:iCs/>
        </w:rPr>
        <w:t xml:space="preserve">, 33 FCC Rcd </w:t>
      </w:r>
      <w:r w:rsidRPr="00502B7C">
        <w:rPr>
          <w:iCs/>
        </w:rPr>
        <w:t>at</w:t>
      </w:r>
      <w:r w:rsidRPr="00494109">
        <w:t xml:space="preserve"> 4788-90, paras. 26-31.</w:t>
      </w:r>
    </w:p>
  </w:footnote>
  <w:footnote w:id="55">
    <w:p w:rsidR="0091436D" w:rsidRPr="00494109" w:rsidP="0091436D" w14:paraId="07C37887" w14:textId="77777777">
      <w:pPr>
        <w:pStyle w:val="FootnoteText"/>
      </w:pPr>
      <w:r w:rsidRPr="00494109">
        <w:rPr>
          <w:rStyle w:val="FootnoteReference"/>
          <w:sz w:val="20"/>
        </w:rPr>
        <w:footnoteRef/>
      </w:r>
      <w:r w:rsidRPr="00494109">
        <w:t xml:space="preserve"> </w:t>
      </w:r>
      <w:r w:rsidRPr="00494109">
        <w:rPr>
          <w:i/>
        </w:rPr>
        <w:t>See</w:t>
      </w:r>
      <w:r w:rsidRPr="00494109">
        <w:t xml:space="preserve"> 47 U.S.C. § 153(2).</w:t>
      </w:r>
    </w:p>
  </w:footnote>
  <w:footnote w:id="56">
    <w:p w:rsidR="0091436D" w:rsidRPr="00494109" w:rsidP="0091436D" w14:paraId="70F375BB" w14:textId="6E4B65A1">
      <w:pPr>
        <w:pStyle w:val="FootnoteText"/>
      </w:pPr>
      <w:r w:rsidRPr="00494109">
        <w:rPr>
          <w:rStyle w:val="FootnoteReference"/>
          <w:sz w:val="20"/>
        </w:rPr>
        <w:footnoteRef/>
      </w:r>
      <w:r w:rsidRPr="00494109">
        <w:t xml:space="preserve"> </w:t>
      </w:r>
      <w:r w:rsidRPr="00494109">
        <w:rPr>
          <w:i/>
        </w:rPr>
        <w:t>Hargray/ComSouth Order</w:t>
      </w:r>
      <w:r w:rsidR="00B42361">
        <w:rPr>
          <w:iCs/>
        </w:rPr>
        <w:t>, 33 FCC Rcd</w:t>
      </w:r>
      <w:r w:rsidRPr="00494109">
        <w:rPr>
          <w:i/>
        </w:rPr>
        <w:t xml:space="preserve"> </w:t>
      </w:r>
      <w:r w:rsidRPr="00494109">
        <w:t xml:space="preserve">at 4788-89, para. 27.  The cap will apply to the combined operating expenses of the post-consummation companies and any other existing rate-of-return affiliates that they may acquire during the time in which the condition is in effect (together, covered entities).  To monitor compliance with the condition adopted herein, to the extent it does not already do so, </w:t>
      </w:r>
      <w:r w:rsidRPr="00494109">
        <w:rPr>
          <w:color w:val="000000"/>
        </w:rPr>
        <w:t xml:space="preserve">we direct the covered entities </w:t>
      </w:r>
      <w:r w:rsidRPr="00494109">
        <w:t xml:space="preserve">to submit their relevant cost data to the National Exchange Carrier Association (NECA).  We direct NECA to provide the dollar amount of the operating expense costs that will be capped pursuant to this Public Notice to the Universal Service Administrative Company (USAC) within 30 days following submission of any covered entity’s cost data.  We further direct NECA to provide USAC with the reductions in High-Cost Loop Support (HCLS) and Connect America Fund-Broadband Loop Support (CAF-BLS) for any covered entity pursuant to this Public Notice for each year following the effective date of this Public Notice.  USAC shall validate all calculations received from NECA before making disbursements subject to any such support reductions.  We also direct all covered entities to provide USAC with an annual certification of compliance on or before December 31 of each year for the duration of the condition.  With the certification, each covered entity must also submit its latest audited financial statements to USAC, including all notes and consolidating statements, on an annual basis, by December 31 of each year.  </w:t>
      </w:r>
      <w:r w:rsidRPr="00494109">
        <w:rPr>
          <w:i/>
        </w:rPr>
        <w:t>Id</w:t>
      </w:r>
      <w:r w:rsidRPr="00494109">
        <w:t xml:space="preserve">. at 4790, para. 31.       </w:t>
      </w:r>
    </w:p>
  </w:footnote>
  <w:footnote w:id="57">
    <w:p w:rsidR="0091436D" w:rsidRPr="00B42361" w:rsidP="0091436D" w14:paraId="46F88AF5" w14:textId="77D9FCE4">
      <w:pPr>
        <w:pStyle w:val="FootnoteText"/>
      </w:pPr>
      <w:r w:rsidRPr="00494109">
        <w:rPr>
          <w:rStyle w:val="FootnoteReference"/>
          <w:sz w:val="20"/>
        </w:rPr>
        <w:footnoteRef/>
      </w:r>
      <w:r w:rsidRPr="00494109">
        <w:t xml:space="preserve"> </w:t>
      </w:r>
      <w:r w:rsidRPr="00B42361">
        <w:rPr>
          <w:i/>
          <w:iCs/>
        </w:rPr>
        <w:t>Id</w:t>
      </w:r>
      <w:r w:rsidRPr="00B42361">
        <w:t>. at 4789, para. 28.</w:t>
      </w:r>
      <w:r w:rsidRPr="00B42361" w:rsidR="00A061B4">
        <w:t xml:space="preserve">  </w:t>
      </w:r>
      <w:r w:rsidRPr="00B42361" w:rsidR="00A061B4">
        <w:rPr>
          <w:snapToGrid w:val="0"/>
          <w:color w:val="3D3D3D"/>
          <w:kern w:val="28"/>
          <w:shd w:val="clear" w:color="auto" w:fill="FFFFFF"/>
        </w:rPr>
        <w:t>The potential for a transaction-specific harm exists if Livingston converts from an </w:t>
      </w:r>
      <w:r w:rsidRPr="00B42361" w:rsidR="00A061B4">
        <w:t xml:space="preserve">average schedule company to a cost company, thereby triggering an incentive to shift costs from affiliated companies receiving </w:t>
      </w:r>
      <w:r w:rsidR="00626672">
        <w:t>fixed model-based</w:t>
      </w:r>
      <w:r w:rsidRPr="00B42361" w:rsidR="00A061B4">
        <w:t xml:space="preserve"> support to Livingston.  If Livingston converts to a non-average schedule cost company, that conversion will trigger application of the condition and associated requirements established in the </w:t>
      </w:r>
      <w:r w:rsidRPr="00B42361" w:rsidR="00A061B4">
        <w:rPr>
          <w:i/>
          <w:iCs/>
        </w:rPr>
        <w:t>Hargray/ComSouth Order</w:t>
      </w:r>
      <w:r w:rsidRPr="00B42361" w:rsidR="00A061B4">
        <w:t xml:space="preserve">, to which </w:t>
      </w:r>
      <w:r w:rsidRPr="00B42361" w:rsidR="00B42361">
        <w:t>ITC Holdings will be subject</w:t>
      </w:r>
      <w:r w:rsidRPr="00B42361" w:rsidR="00A061B4">
        <w:t>, and as discussed in</w:t>
      </w:r>
      <w:r w:rsidR="00B42361">
        <w:t xml:space="preserve"> </w:t>
      </w:r>
      <w:r w:rsidRPr="00B42361" w:rsidR="00A061B4">
        <w:t>the Average Schedule Grant Public Notice.  </w:t>
      </w:r>
      <w:r w:rsidRPr="00B42361" w:rsidR="00A061B4">
        <w:rPr>
          <w:i/>
          <w:iCs/>
        </w:rPr>
        <w:t>Domestic Section 214 Applications Granted Subject to Condition</w:t>
      </w:r>
      <w:r w:rsidRPr="00B42361" w:rsidR="00A061B4">
        <w:t>, WC Docket Nos. 17-101, 17-365, 18-68, 18-94, 18-95, 18-177, Public Notice, 33 FCC Rcd 6784 (WCB 2018) (Average Schedule Grant Public Notice) (granting, subject to the Hargray/ComSouth condition, transfers of control involving average schedule</w:t>
      </w:r>
      <w:r w:rsidRPr="00B42361" w:rsidR="00A061B4">
        <w:rPr>
          <w:snapToGrid w:val="0"/>
          <w:color w:val="3D3D3D"/>
          <w:kern w:val="28"/>
          <w:shd w:val="clear" w:color="auto" w:fill="FFFFFF"/>
        </w:rPr>
        <w:t xml:space="preserve"> companies and </w:t>
      </w:r>
      <w:r w:rsidR="00626672">
        <w:rPr>
          <w:snapToGrid w:val="0"/>
          <w:color w:val="3D3D3D"/>
          <w:kern w:val="28"/>
          <w:shd w:val="clear" w:color="auto" w:fill="FFFFFF"/>
        </w:rPr>
        <w:t xml:space="preserve">fixed </w:t>
      </w:r>
      <w:r w:rsidRPr="00B42361" w:rsidR="00A061B4">
        <w:rPr>
          <w:snapToGrid w:val="0"/>
          <w:color w:val="3D3D3D"/>
          <w:kern w:val="28"/>
          <w:shd w:val="clear" w:color="auto" w:fill="FFFFFF"/>
        </w:rPr>
        <w:t>model-based support companies)</w:t>
      </w:r>
      <w:r w:rsidRPr="00B42361" w:rsidR="00B42361">
        <w:rPr>
          <w:snapToGrid w:val="0"/>
          <w:color w:val="3D3D3D"/>
          <w:kern w:val="28"/>
          <w:shd w:val="clear" w:color="auto" w:fill="FFFFFF"/>
        </w:rPr>
        <w:t>.</w:t>
      </w:r>
    </w:p>
  </w:footnote>
  <w:footnote w:id="58">
    <w:p w:rsidR="0091436D" w:rsidRPr="00494109" w:rsidP="0091436D" w14:paraId="47F7B4F1" w14:textId="2090E939">
      <w:pPr>
        <w:pStyle w:val="FootnoteText"/>
      </w:pPr>
      <w:r w:rsidRPr="00494109">
        <w:rPr>
          <w:rStyle w:val="FootnoteReference"/>
          <w:sz w:val="20"/>
        </w:rPr>
        <w:footnoteRef/>
      </w:r>
      <w:r w:rsidRPr="00494109">
        <w:t xml:space="preserve"> </w:t>
      </w:r>
      <w:r w:rsidRPr="00494109" w:rsidR="00B42361">
        <w:rPr>
          <w:i/>
        </w:rPr>
        <w:t>Hargray/ComSouth Order</w:t>
      </w:r>
      <w:r w:rsidR="00B42361">
        <w:rPr>
          <w:iCs/>
        </w:rPr>
        <w:t>, 33 FCC Rcd</w:t>
      </w:r>
      <w:r w:rsidRPr="00494109" w:rsidR="00B42361">
        <w:rPr>
          <w:i/>
        </w:rPr>
        <w:t xml:space="preserve"> </w:t>
      </w:r>
      <w:r w:rsidRPr="00494109" w:rsidR="00B42361">
        <w:t>at 4789, para. 2</w:t>
      </w:r>
      <w:r w:rsidR="0041267F">
        <w:t>8.</w:t>
      </w:r>
      <w:r w:rsidRPr="00494109">
        <w:t xml:space="preserve"> </w:t>
      </w:r>
    </w:p>
  </w:footnote>
  <w:footnote w:id="59">
    <w:p w:rsidR="0091436D" w:rsidRPr="00494109" w:rsidP="0091436D" w14:paraId="04E55686" w14:textId="77777777">
      <w:pPr>
        <w:pStyle w:val="FootnoteText"/>
      </w:pPr>
      <w:r w:rsidRPr="00494109">
        <w:rPr>
          <w:rStyle w:val="FootnoteReference"/>
          <w:sz w:val="20"/>
        </w:rPr>
        <w:footnoteRef/>
      </w:r>
      <w:r w:rsidRPr="00494109">
        <w:t xml:space="preserve"> </w:t>
      </w:r>
      <w:r w:rsidRPr="00494109">
        <w:rPr>
          <w:i/>
        </w:rPr>
        <w:t>Id.</w:t>
      </w:r>
    </w:p>
  </w:footnote>
  <w:footnote w:id="60">
    <w:p w:rsidR="0091436D" w:rsidRPr="00494109" w:rsidP="0091436D" w14:paraId="6D350567" w14:textId="77777777">
      <w:pPr>
        <w:pStyle w:val="FootnoteText"/>
      </w:pPr>
      <w:r w:rsidRPr="00494109">
        <w:rPr>
          <w:rStyle w:val="FootnoteReference"/>
          <w:sz w:val="20"/>
        </w:rPr>
        <w:footnoteRef/>
      </w:r>
      <w:r w:rsidRPr="00494109">
        <w:t xml:space="preserve"> </w:t>
      </w:r>
      <w:r w:rsidRPr="00494109">
        <w:rPr>
          <w:i/>
        </w:rPr>
        <w:t>Id.</w:t>
      </w:r>
      <w:r w:rsidRPr="00494109">
        <w:t xml:space="preserve"> at 4790, para. 30.</w:t>
      </w:r>
    </w:p>
  </w:footnote>
  <w:footnote w:id="61">
    <w:p w:rsidR="0091436D" w:rsidRPr="00494109" w:rsidP="0091436D" w14:paraId="261D3F80" w14:textId="0A50D36D">
      <w:pPr>
        <w:pStyle w:val="FootnoteText"/>
      </w:pPr>
      <w:r w:rsidRPr="00494109">
        <w:rPr>
          <w:rStyle w:val="FootnoteReference"/>
          <w:sz w:val="20"/>
        </w:rPr>
        <w:footnoteRef/>
      </w:r>
      <w:r w:rsidRPr="00494109">
        <w:t xml:space="preserve"> The Commission has found seven years to be an appropriate period over which to monitor enforcement of the condition and to ensure that the combined entity, which will continue to receive support, does not shift costs from year-to-year.  </w:t>
      </w:r>
      <w:r w:rsidRPr="00494109">
        <w:rPr>
          <w:i/>
        </w:rPr>
        <w:t>Id</w:t>
      </w:r>
      <w:r w:rsidRPr="00494109">
        <w:t>. at 4789-90, para. 29, fn.78.  The cap will not apply if the parties do not consummate the proposed transaction.</w:t>
      </w:r>
    </w:p>
  </w:footnote>
  <w:footnote w:id="62">
    <w:p w:rsidR="0091436D" w:rsidRPr="00494109" w:rsidP="0091436D" w14:paraId="4B19C760" w14:textId="77777777">
      <w:pPr>
        <w:pStyle w:val="FootnoteText"/>
      </w:pPr>
      <w:r w:rsidRPr="00494109">
        <w:rPr>
          <w:rStyle w:val="FootnoteReference"/>
          <w:sz w:val="20"/>
        </w:rPr>
        <w:footnoteRef/>
      </w:r>
      <w:r w:rsidRPr="00494109">
        <w:t xml:space="preserve"> </w:t>
      </w:r>
      <w:r w:rsidRPr="00494109">
        <w:rPr>
          <w:i/>
        </w:rPr>
        <w:t>Id</w:t>
      </w:r>
      <w:r w:rsidRPr="00494109">
        <w:t>. at 4789-90, para. 29.</w:t>
      </w:r>
    </w:p>
  </w:footnote>
  <w:footnote w:id="63">
    <w:p w:rsidR="009821B1" w14:paraId="6F74346D" w14:textId="6D0BB474">
      <w:pPr>
        <w:pStyle w:val="FootnoteText"/>
      </w:pPr>
      <w:r>
        <w:rPr>
          <w:rStyle w:val="FootnoteReference"/>
        </w:rPr>
        <w:footnoteRef/>
      </w:r>
      <w:r>
        <w:t xml:space="preserve"> </w:t>
      </w:r>
      <w:r>
        <w:rPr>
          <w:i/>
          <w:iCs/>
        </w:rPr>
        <w:t xml:space="preserve">See </w:t>
      </w:r>
      <w:r w:rsidRPr="008E1A67">
        <w:rPr>
          <w:i/>
          <w:iCs/>
        </w:rPr>
        <w:t>RDOF Authorization Public Notice</w:t>
      </w:r>
      <w:r>
        <w:t xml:space="preserve"> at 1-8 (listing </w:t>
      </w:r>
      <w:r w:rsidRPr="00077C10">
        <w:t>obligations of authorized Auction 90</w:t>
      </w:r>
      <w:r>
        <w:t>4</w:t>
      </w:r>
      <w:r w:rsidRPr="00077C10">
        <w:t xml:space="preserve"> support recipients</w:t>
      </w:r>
      <w:r>
        <w:t>).</w:t>
      </w:r>
    </w:p>
  </w:footnote>
  <w:footnote w:id="64">
    <w:p w:rsidR="00BF1B2A" w:rsidP="000B01F0" w14:paraId="03CB71F8" w14:textId="5A5A2BC4">
      <w:pPr>
        <w:rPr>
          <w:snapToGrid/>
          <w:kern w:val="0"/>
          <w:sz w:val="20"/>
        </w:rPr>
      </w:pPr>
      <w:r w:rsidRPr="00F4366C">
        <w:rPr>
          <w:rStyle w:val="FootnoteReference"/>
          <w:sz w:val="20"/>
        </w:rPr>
        <w:footnoteRef/>
      </w:r>
      <w:r w:rsidR="006813E7">
        <w:rPr>
          <w:color w:val="000000" w:themeColor="text1"/>
        </w:rPr>
        <w:t xml:space="preserve"> </w:t>
      </w:r>
      <w:r w:rsidRPr="006813E7" w:rsidR="006813E7">
        <w:rPr>
          <w:snapToGrid/>
          <w:kern w:val="0"/>
          <w:sz w:val="20"/>
        </w:rPr>
        <w:t>W</w:t>
      </w:r>
      <w:r w:rsidRPr="006813E7">
        <w:rPr>
          <w:snapToGrid/>
          <w:kern w:val="0"/>
          <w:sz w:val="20"/>
        </w:rPr>
        <w:t>e direct Applicants to submit</w:t>
      </w:r>
      <w:r w:rsidRPr="006813E7" w:rsidR="006813E7">
        <w:rPr>
          <w:snapToGrid/>
          <w:kern w:val="0"/>
          <w:sz w:val="20"/>
        </w:rPr>
        <w:t>,</w:t>
      </w:r>
      <w:r w:rsidRPr="006813E7">
        <w:rPr>
          <w:snapToGrid/>
          <w:kern w:val="0"/>
          <w:sz w:val="20"/>
        </w:rPr>
        <w:t xml:space="preserve"> </w:t>
      </w:r>
      <w:r w:rsidRPr="006813E7" w:rsidR="006813E7">
        <w:rPr>
          <w:snapToGrid/>
          <w:kern w:val="0"/>
          <w:sz w:val="20"/>
        </w:rPr>
        <w:t xml:space="preserve">within 30 days of closing the proposed transaction, </w:t>
      </w:r>
      <w:r w:rsidRPr="006813E7">
        <w:rPr>
          <w:snapToGrid/>
          <w:kern w:val="0"/>
          <w:sz w:val="20"/>
        </w:rPr>
        <w:t xml:space="preserve">a notice </w:t>
      </w:r>
      <w:r w:rsidRPr="006813E7" w:rsidR="006813E7">
        <w:rPr>
          <w:snapToGrid/>
          <w:kern w:val="0"/>
          <w:sz w:val="20"/>
        </w:rPr>
        <w:t xml:space="preserve">in WC Docket No. </w:t>
      </w:r>
      <w:r w:rsidR="004E4E7F">
        <w:rPr>
          <w:snapToGrid/>
          <w:kern w:val="0"/>
          <w:sz w:val="20"/>
        </w:rPr>
        <w:t>22-</w:t>
      </w:r>
      <w:r w:rsidR="0044229E">
        <w:rPr>
          <w:snapToGrid/>
          <w:kern w:val="0"/>
          <w:sz w:val="20"/>
        </w:rPr>
        <w:t>11</w:t>
      </w:r>
      <w:r w:rsidRPr="006813E7" w:rsidR="006813E7">
        <w:rPr>
          <w:snapToGrid/>
          <w:kern w:val="0"/>
          <w:sz w:val="20"/>
        </w:rPr>
        <w:t xml:space="preserve"> </w:t>
      </w:r>
      <w:r w:rsidRPr="006813E7">
        <w:rPr>
          <w:snapToGrid/>
          <w:kern w:val="0"/>
          <w:sz w:val="20"/>
        </w:rPr>
        <w:t>that the proposed transaction has closed with the consummation date, and also provide a courtesy copy of the notice to</w:t>
      </w:r>
      <w:r>
        <w:rPr>
          <w:snapToGrid/>
          <w:kern w:val="0"/>
          <w:sz w:val="20"/>
        </w:rPr>
        <w:t xml:space="preserve"> </w:t>
      </w:r>
      <w:hyperlink r:id="rId2" w:history="1">
        <w:r w:rsidRPr="00F84201">
          <w:rPr>
            <w:rStyle w:val="Hyperlink"/>
            <w:snapToGrid/>
            <w:kern w:val="0"/>
            <w:sz w:val="20"/>
          </w:rPr>
          <w:t>hcinfo@usac.org</w:t>
        </w:r>
      </w:hyperlink>
      <w:r w:rsidRPr="006813E7">
        <w:rPr>
          <w:snapToGrid/>
          <w:kern w:val="0"/>
          <w:sz w:val="20"/>
        </w:rPr>
        <w:t>.</w:t>
      </w:r>
    </w:p>
    <w:p w:rsidR="00023EE2" w:rsidRPr="000B01F0" w:rsidP="000B01F0" w14:paraId="6236ADB7" w14:textId="42459E01">
      <w:pPr>
        <w:rPr>
          <w:snapToGrid/>
          <w:kern w:val="0"/>
        </w:rPr>
      </w:pPr>
      <w:r w:rsidRPr="006813E7">
        <w:rPr>
          <w:snapToGrid/>
          <w:kern w:val="0"/>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RPr="009838BC" w:rsidP="009838BC" w14:paraId="091CA6E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RPr="00A866AC" w:rsidP="009838BC" w14:paraId="0520FF58"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475AE7" w:rsidP="009838BC" w14:textId="77777777">
                          <w:pPr>
                            <w:rPr>
                              <w:rFonts w:ascii="Arial" w:hAnsi="Arial"/>
                              <w:b/>
                            </w:rPr>
                          </w:pPr>
                          <w:r>
                            <w:rPr>
                              <w:rFonts w:ascii="Arial" w:hAnsi="Arial"/>
                              <w:b/>
                            </w:rPr>
                            <w:t>Federal Communications Commission</w:t>
                          </w:r>
                        </w:p>
                        <w:p w:rsidR="00475AE7" w:rsidP="009838BC" w14:textId="77777777">
                          <w:pPr>
                            <w:rPr>
                              <w:rFonts w:ascii="Arial" w:hAnsi="Arial"/>
                              <w:b/>
                            </w:rPr>
                          </w:pPr>
                          <w:r>
                            <w:rPr>
                              <w:rFonts w:ascii="Arial" w:hAnsi="Arial"/>
                              <w:b/>
                            </w:rPr>
                            <w:t>45 L St., N.E.</w:t>
                          </w:r>
                        </w:p>
                        <w:p w:rsidR="00475AE7"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475AE7" w:rsidP="009838BC" w14:paraId="21A4A4CD" w14:textId="77777777">
                    <w:pPr>
                      <w:rPr>
                        <w:rFonts w:ascii="Arial" w:hAnsi="Arial"/>
                        <w:b/>
                      </w:rPr>
                    </w:pPr>
                    <w:r>
                      <w:rPr>
                        <w:rFonts w:ascii="Arial" w:hAnsi="Arial"/>
                        <w:b/>
                      </w:rPr>
                      <w:t>Federal Communications Commission</w:t>
                    </w:r>
                  </w:p>
                  <w:p w:rsidR="00475AE7" w:rsidP="009838BC" w14:paraId="4453238A" w14:textId="77777777">
                    <w:pPr>
                      <w:rPr>
                        <w:rFonts w:ascii="Arial" w:hAnsi="Arial"/>
                        <w:b/>
                      </w:rPr>
                    </w:pPr>
                    <w:r>
                      <w:rPr>
                        <w:rFonts w:ascii="Arial" w:hAnsi="Arial"/>
                        <w:b/>
                      </w:rPr>
                      <w:t>45 L St., N.E.</w:t>
                    </w:r>
                  </w:p>
                  <w:p w:rsidR="00475AE7" w:rsidP="009838BC" w14:paraId="4487418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75796D0F" w:rsidR="0085777F">
      <w:rPr>
        <w:rFonts w:ascii="Arial" w:hAnsi="Arial" w:cs="Arial"/>
        <w:b/>
        <w:bCs/>
        <w:sz w:val="96"/>
        <w:szCs w:val="96"/>
      </w:rPr>
      <w:t>PUBLIC NOTICE</w:t>
    </w:r>
  </w:p>
  <w:p w:rsidR="00475AE7" w:rsidRPr="00357D50" w:rsidP="009838BC" w14:paraId="5DF084F2"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475AE7" w:rsidP="009838BC" w14:textId="77777777">
                          <w:pPr>
                            <w:spacing w:before="40"/>
                            <w:jc w:val="right"/>
                            <w:rPr>
                              <w:rFonts w:ascii="Arial" w:hAnsi="Arial"/>
                              <w:b/>
                              <w:sz w:val="16"/>
                            </w:rPr>
                          </w:pPr>
                          <w:r>
                            <w:rPr>
                              <w:rFonts w:ascii="Arial" w:hAnsi="Arial"/>
                              <w:b/>
                              <w:sz w:val="16"/>
                            </w:rPr>
                            <w:t>News Media Information 202 / 418-0500</w:t>
                          </w:r>
                        </w:p>
                        <w:p w:rsidR="00475AE7" w:rsidP="009838BC" w14:textId="77777777">
                          <w:pPr>
                            <w:jc w:val="right"/>
                            <w:rPr>
                              <w:rFonts w:ascii="Arial" w:hAnsi="Arial"/>
                              <w:b/>
                              <w:sz w:val="16"/>
                            </w:rPr>
                          </w:pPr>
                          <w:r>
                            <w:rPr>
                              <w:rFonts w:ascii="Arial" w:hAnsi="Arial"/>
                              <w:b/>
                              <w:sz w:val="16"/>
                            </w:rPr>
                            <w:t xml:space="preserve">Internet: </w:t>
                          </w:r>
                          <w:bookmarkStart w:id="15" w:name="_Hlt233824"/>
                          <w:hyperlink r:id="rId2" w:history="1">
                            <w:r w:rsidRPr="00D216CD">
                              <w:rPr>
                                <w:rStyle w:val="Hyperlink"/>
                                <w:rFonts w:ascii="Arial" w:hAnsi="Arial"/>
                                <w:b/>
                                <w:sz w:val="16"/>
                              </w:rPr>
                              <w:t>h</w:t>
                            </w:r>
                            <w:bookmarkEnd w:id="15"/>
                            <w:r w:rsidRPr="00D216CD">
                              <w:rPr>
                                <w:rStyle w:val="Hyperlink"/>
                                <w:rFonts w:ascii="Arial" w:hAnsi="Arial"/>
                                <w:b/>
                                <w:sz w:val="16"/>
                              </w:rPr>
                              <w:t>ttps://www.fcc.gov</w:t>
                            </w:r>
                          </w:hyperlink>
                        </w:p>
                        <w:p w:rsidR="00475AE7" w:rsidP="009838B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475AE7" w:rsidP="009838BC" w14:paraId="7BA3E3A8" w14:textId="77777777">
                    <w:pPr>
                      <w:spacing w:before="40"/>
                      <w:jc w:val="right"/>
                      <w:rPr>
                        <w:rFonts w:ascii="Arial" w:hAnsi="Arial"/>
                        <w:b/>
                        <w:sz w:val="16"/>
                      </w:rPr>
                    </w:pPr>
                    <w:r>
                      <w:rPr>
                        <w:rFonts w:ascii="Arial" w:hAnsi="Arial"/>
                        <w:b/>
                        <w:sz w:val="16"/>
                      </w:rPr>
                      <w:t>News Media Information 202 / 418-0500</w:t>
                    </w:r>
                  </w:p>
                  <w:p w:rsidR="00475AE7" w:rsidP="009838BC" w14:paraId="5961A55B" w14:textId="77777777">
                    <w:pPr>
                      <w:jc w:val="right"/>
                      <w:rPr>
                        <w:rFonts w:ascii="Arial" w:hAnsi="Arial"/>
                        <w:b/>
                        <w:sz w:val="16"/>
                      </w:rPr>
                    </w:pPr>
                    <w:r>
                      <w:rPr>
                        <w:rFonts w:ascii="Arial" w:hAnsi="Arial"/>
                        <w:b/>
                        <w:sz w:val="16"/>
                      </w:rPr>
                      <w:t xml:space="preserve">Internet: </w:t>
                    </w:r>
                    <w:bookmarkStart w:id="15" w:name="_Hlt233824"/>
                    <w:hyperlink r:id="rId2" w:history="1">
                      <w:r w:rsidRPr="00D216CD">
                        <w:rPr>
                          <w:rStyle w:val="Hyperlink"/>
                          <w:rFonts w:ascii="Arial" w:hAnsi="Arial"/>
                          <w:b/>
                          <w:sz w:val="16"/>
                        </w:rPr>
                        <w:t>h</w:t>
                      </w:r>
                      <w:bookmarkEnd w:id="15"/>
                      <w:r w:rsidRPr="00D216CD">
                        <w:rPr>
                          <w:rStyle w:val="Hyperlink"/>
                          <w:rFonts w:ascii="Arial" w:hAnsi="Arial"/>
                          <w:b/>
                          <w:sz w:val="16"/>
                        </w:rPr>
                        <w:t>ttps://www.fcc.gov</w:t>
                      </w:r>
                    </w:hyperlink>
                  </w:p>
                  <w:p w:rsidR="00475AE7" w:rsidP="009838BC" w14:paraId="121181AF" w14:textId="77777777">
                    <w:pPr>
                      <w:jc w:val="right"/>
                    </w:pPr>
                  </w:p>
                </w:txbxContent>
              </v:textbox>
            </v:shape>
          </w:pict>
        </mc:Fallback>
      </mc:AlternateContent>
    </w:r>
  </w:p>
  <w:p w:rsidR="00475AE7" w:rsidRPr="009838BC" w:rsidP="009838BC" w14:paraId="6F2917A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FA"/>
    <w:rsid w:val="000009A3"/>
    <w:rsid w:val="000025FE"/>
    <w:rsid w:val="00003905"/>
    <w:rsid w:val="00004C56"/>
    <w:rsid w:val="00005C82"/>
    <w:rsid w:val="000072CE"/>
    <w:rsid w:val="000109B1"/>
    <w:rsid w:val="00011ED7"/>
    <w:rsid w:val="00013A8B"/>
    <w:rsid w:val="000157A9"/>
    <w:rsid w:val="00016BF1"/>
    <w:rsid w:val="00021252"/>
    <w:rsid w:val="00021445"/>
    <w:rsid w:val="00023E9D"/>
    <w:rsid w:val="00023EE2"/>
    <w:rsid w:val="0002579D"/>
    <w:rsid w:val="00025905"/>
    <w:rsid w:val="0003142A"/>
    <w:rsid w:val="000326B7"/>
    <w:rsid w:val="00033AD2"/>
    <w:rsid w:val="000344DA"/>
    <w:rsid w:val="00036039"/>
    <w:rsid w:val="00037F90"/>
    <w:rsid w:val="00040D06"/>
    <w:rsid w:val="000418EE"/>
    <w:rsid w:val="000439AB"/>
    <w:rsid w:val="00043FF5"/>
    <w:rsid w:val="00044FC2"/>
    <w:rsid w:val="0004637E"/>
    <w:rsid w:val="000505D6"/>
    <w:rsid w:val="000518C8"/>
    <w:rsid w:val="000518F5"/>
    <w:rsid w:val="00052C36"/>
    <w:rsid w:val="00052D7C"/>
    <w:rsid w:val="000578D9"/>
    <w:rsid w:val="000630A2"/>
    <w:rsid w:val="0006453A"/>
    <w:rsid w:val="000654FE"/>
    <w:rsid w:val="00065885"/>
    <w:rsid w:val="00070000"/>
    <w:rsid w:val="0007304F"/>
    <w:rsid w:val="000778AF"/>
    <w:rsid w:val="00077C10"/>
    <w:rsid w:val="000875BF"/>
    <w:rsid w:val="00090879"/>
    <w:rsid w:val="000929A6"/>
    <w:rsid w:val="00093575"/>
    <w:rsid w:val="00095E72"/>
    <w:rsid w:val="00096D8C"/>
    <w:rsid w:val="000A0AF8"/>
    <w:rsid w:val="000A15E0"/>
    <w:rsid w:val="000A177B"/>
    <w:rsid w:val="000A43AA"/>
    <w:rsid w:val="000A715F"/>
    <w:rsid w:val="000A719C"/>
    <w:rsid w:val="000B01F0"/>
    <w:rsid w:val="000B1EFD"/>
    <w:rsid w:val="000B206F"/>
    <w:rsid w:val="000B2E86"/>
    <w:rsid w:val="000B3A1F"/>
    <w:rsid w:val="000B5082"/>
    <w:rsid w:val="000B5D03"/>
    <w:rsid w:val="000B6581"/>
    <w:rsid w:val="000B7562"/>
    <w:rsid w:val="000C0B65"/>
    <w:rsid w:val="000C0E52"/>
    <w:rsid w:val="000C1F0A"/>
    <w:rsid w:val="000C43BA"/>
    <w:rsid w:val="000C5DEF"/>
    <w:rsid w:val="000C67E7"/>
    <w:rsid w:val="000D50EB"/>
    <w:rsid w:val="000D5BC1"/>
    <w:rsid w:val="000D5F04"/>
    <w:rsid w:val="000D7CAA"/>
    <w:rsid w:val="000E1A64"/>
    <w:rsid w:val="000E1C72"/>
    <w:rsid w:val="000E340C"/>
    <w:rsid w:val="000E3D42"/>
    <w:rsid w:val="000E5884"/>
    <w:rsid w:val="000E6601"/>
    <w:rsid w:val="000F248A"/>
    <w:rsid w:val="000F3EAA"/>
    <w:rsid w:val="000F4C4E"/>
    <w:rsid w:val="000F652F"/>
    <w:rsid w:val="000F70F5"/>
    <w:rsid w:val="000F7336"/>
    <w:rsid w:val="000F7AFB"/>
    <w:rsid w:val="001005A4"/>
    <w:rsid w:val="001005D1"/>
    <w:rsid w:val="00103CFD"/>
    <w:rsid w:val="001050B1"/>
    <w:rsid w:val="00106048"/>
    <w:rsid w:val="001073A5"/>
    <w:rsid w:val="00107713"/>
    <w:rsid w:val="001137A6"/>
    <w:rsid w:val="00114ACC"/>
    <w:rsid w:val="00114C73"/>
    <w:rsid w:val="00114E09"/>
    <w:rsid w:val="00116C3F"/>
    <w:rsid w:val="00120E3D"/>
    <w:rsid w:val="00122BD5"/>
    <w:rsid w:val="0012361D"/>
    <w:rsid w:val="00123D57"/>
    <w:rsid w:val="00125C60"/>
    <w:rsid w:val="001265C3"/>
    <w:rsid w:val="00131DFC"/>
    <w:rsid w:val="00132378"/>
    <w:rsid w:val="0013301F"/>
    <w:rsid w:val="001330FF"/>
    <w:rsid w:val="00135F54"/>
    <w:rsid w:val="00136137"/>
    <w:rsid w:val="001415BA"/>
    <w:rsid w:val="00143076"/>
    <w:rsid w:val="00144A2D"/>
    <w:rsid w:val="001539F3"/>
    <w:rsid w:val="001541A8"/>
    <w:rsid w:val="0015483D"/>
    <w:rsid w:val="00154EB8"/>
    <w:rsid w:val="00161259"/>
    <w:rsid w:val="00164F1D"/>
    <w:rsid w:val="00164FFA"/>
    <w:rsid w:val="00165642"/>
    <w:rsid w:val="00170F41"/>
    <w:rsid w:val="00171F2B"/>
    <w:rsid w:val="0017768A"/>
    <w:rsid w:val="001807A4"/>
    <w:rsid w:val="00181174"/>
    <w:rsid w:val="00181795"/>
    <w:rsid w:val="00183949"/>
    <w:rsid w:val="00184CC8"/>
    <w:rsid w:val="001856A8"/>
    <w:rsid w:val="001975FA"/>
    <w:rsid w:val="001979D9"/>
    <w:rsid w:val="001A0E9C"/>
    <w:rsid w:val="001A312A"/>
    <w:rsid w:val="001A3A79"/>
    <w:rsid w:val="001A6361"/>
    <w:rsid w:val="001A7655"/>
    <w:rsid w:val="001B158F"/>
    <w:rsid w:val="001B4D74"/>
    <w:rsid w:val="001B7D51"/>
    <w:rsid w:val="001C2FC4"/>
    <w:rsid w:val="001C4655"/>
    <w:rsid w:val="001C6F20"/>
    <w:rsid w:val="001D052E"/>
    <w:rsid w:val="001D0A43"/>
    <w:rsid w:val="001D6BCF"/>
    <w:rsid w:val="001E01CA"/>
    <w:rsid w:val="001E3645"/>
    <w:rsid w:val="001E397D"/>
    <w:rsid w:val="001E410D"/>
    <w:rsid w:val="001E68E0"/>
    <w:rsid w:val="001F1CB2"/>
    <w:rsid w:val="001F1FC6"/>
    <w:rsid w:val="001F1FF1"/>
    <w:rsid w:val="001F3582"/>
    <w:rsid w:val="001F5903"/>
    <w:rsid w:val="001F731B"/>
    <w:rsid w:val="001F795B"/>
    <w:rsid w:val="002025E9"/>
    <w:rsid w:val="002027F0"/>
    <w:rsid w:val="00203604"/>
    <w:rsid w:val="00203A09"/>
    <w:rsid w:val="002049B9"/>
    <w:rsid w:val="00204D99"/>
    <w:rsid w:val="002060D9"/>
    <w:rsid w:val="00206137"/>
    <w:rsid w:val="002078DE"/>
    <w:rsid w:val="00207939"/>
    <w:rsid w:val="00215AF2"/>
    <w:rsid w:val="0021655B"/>
    <w:rsid w:val="0022403B"/>
    <w:rsid w:val="00224DB8"/>
    <w:rsid w:val="0022664E"/>
    <w:rsid w:val="00226822"/>
    <w:rsid w:val="00227E61"/>
    <w:rsid w:val="00230331"/>
    <w:rsid w:val="002334CD"/>
    <w:rsid w:val="00237BCE"/>
    <w:rsid w:val="00240A9F"/>
    <w:rsid w:val="00241A9B"/>
    <w:rsid w:val="00242F44"/>
    <w:rsid w:val="00243092"/>
    <w:rsid w:val="00245087"/>
    <w:rsid w:val="002456F6"/>
    <w:rsid w:val="00246575"/>
    <w:rsid w:val="0025072B"/>
    <w:rsid w:val="0025082C"/>
    <w:rsid w:val="00252AB1"/>
    <w:rsid w:val="00252BFB"/>
    <w:rsid w:val="00253923"/>
    <w:rsid w:val="00254E19"/>
    <w:rsid w:val="002557CC"/>
    <w:rsid w:val="00256D48"/>
    <w:rsid w:val="00256F99"/>
    <w:rsid w:val="002572DC"/>
    <w:rsid w:val="00260594"/>
    <w:rsid w:val="002610EC"/>
    <w:rsid w:val="00264313"/>
    <w:rsid w:val="00265992"/>
    <w:rsid w:val="0027209C"/>
    <w:rsid w:val="00273BAD"/>
    <w:rsid w:val="00276C04"/>
    <w:rsid w:val="00280975"/>
    <w:rsid w:val="00281B21"/>
    <w:rsid w:val="002830E0"/>
    <w:rsid w:val="002832E8"/>
    <w:rsid w:val="00285017"/>
    <w:rsid w:val="00286468"/>
    <w:rsid w:val="00290BBA"/>
    <w:rsid w:val="002979E3"/>
    <w:rsid w:val="002A03DD"/>
    <w:rsid w:val="002A11B4"/>
    <w:rsid w:val="002A2D2E"/>
    <w:rsid w:val="002A6D6A"/>
    <w:rsid w:val="002A7431"/>
    <w:rsid w:val="002B0207"/>
    <w:rsid w:val="002B0351"/>
    <w:rsid w:val="002B17EE"/>
    <w:rsid w:val="002B3776"/>
    <w:rsid w:val="002B4C9C"/>
    <w:rsid w:val="002B54FB"/>
    <w:rsid w:val="002B7763"/>
    <w:rsid w:val="002C1AF9"/>
    <w:rsid w:val="002C3ECE"/>
    <w:rsid w:val="002C5846"/>
    <w:rsid w:val="002D1435"/>
    <w:rsid w:val="002D2146"/>
    <w:rsid w:val="002D447E"/>
    <w:rsid w:val="002D6286"/>
    <w:rsid w:val="002D62DD"/>
    <w:rsid w:val="002D7A48"/>
    <w:rsid w:val="002D7CCE"/>
    <w:rsid w:val="002E5941"/>
    <w:rsid w:val="002F2339"/>
    <w:rsid w:val="002F4819"/>
    <w:rsid w:val="002F7221"/>
    <w:rsid w:val="00306D00"/>
    <w:rsid w:val="00307030"/>
    <w:rsid w:val="0031328E"/>
    <w:rsid w:val="003231F8"/>
    <w:rsid w:val="0032799C"/>
    <w:rsid w:val="00327A84"/>
    <w:rsid w:val="003318D2"/>
    <w:rsid w:val="00333030"/>
    <w:rsid w:val="0033308B"/>
    <w:rsid w:val="00334D34"/>
    <w:rsid w:val="00337CCE"/>
    <w:rsid w:val="00337EDD"/>
    <w:rsid w:val="00343749"/>
    <w:rsid w:val="00344102"/>
    <w:rsid w:val="00351B89"/>
    <w:rsid w:val="00351E93"/>
    <w:rsid w:val="00353A57"/>
    <w:rsid w:val="00353EAF"/>
    <w:rsid w:val="00357D50"/>
    <w:rsid w:val="003602FC"/>
    <w:rsid w:val="003609F7"/>
    <w:rsid w:val="00366291"/>
    <w:rsid w:val="003720B5"/>
    <w:rsid w:val="00376E27"/>
    <w:rsid w:val="00377C00"/>
    <w:rsid w:val="00377F86"/>
    <w:rsid w:val="003816CE"/>
    <w:rsid w:val="00381FE8"/>
    <w:rsid w:val="00385229"/>
    <w:rsid w:val="0038758C"/>
    <w:rsid w:val="00387EAB"/>
    <w:rsid w:val="003925DC"/>
    <w:rsid w:val="003942C1"/>
    <w:rsid w:val="00395CFE"/>
    <w:rsid w:val="00395DC5"/>
    <w:rsid w:val="00395F38"/>
    <w:rsid w:val="0039668F"/>
    <w:rsid w:val="00396E41"/>
    <w:rsid w:val="003A1093"/>
    <w:rsid w:val="003A2F1B"/>
    <w:rsid w:val="003A3B46"/>
    <w:rsid w:val="003A3FC6"/>
    <w:rsid w:val="003A49D1"/>
    <w:rsid w:val="003A67F6"/>
    <w:rsid w:val="003A6B1D"/>
    <w:rsid w:val="003B0550"/>
    <w:rsid w:val="003B06B7"/>
    <w:rsid w:val="003B18C4"/>
    <w:rsid w:val="003B28FF"/>
    <w:rsid w:val="003B366F"/>
    <w:rsid w:val="003B694F"/>
    <w:rsid w:val="003B7D0E"/>
    <w:rsid w:val="003C2436"/>
    <w:rsid w:val="003C47B1"/>
    <w:rsid w:val="003C48AB"/>
    <w:rsid w:val="003C589A"/>
    <w:rsid w:val="003C5A19"/>
    <w:rsid w:val="003C77F1"/>
    <w:rsid w:val="003C7931"/>
    <w:rsid w:val="003D2256"/>
    <w:rsid w:val="003E34D5"/>
    <w:rsid w:val="003E5ACA"/>
    <w:rsid w:val="003E5F74"/>
    <w:rsid w:val="003E7B6C"/>
    <w:rsid w:val="003F0EF2"/>
    <w:rsid w:val="003F171C"/>
    <w:rsid w:val="003F1EE9"/>
    <w:rsid w:val="004004AF"/>
    <w:rsid w:val="00402A03"/>
    <w:rsid w:val="00403231"/>
    <w:rsid w:val="00412582"/>
    <w:rsid w:val="0041267F"/>
    <w:rsid w:val="00412FC5"/>
    <w:rsid w:val="00413423"/>
    <w:rsid w:val="00414EAD"/>
    <w:rsid w:val="00415EFC"/>
    <w:rsid w:val="00420182"/>
    <w:rsid w:val="00422276"/>
    <w:rsid w:val="00422B9A"/>
    <w:rsid w:val="004242F1"/>
    <w:rsid w:val="004243FE"/>
    <w:rsid w:val="00425639"/>
    <w:rsid w:val="00432406"/>
    <w:rsid w:val="0043254C"/>
    <w:rsid w:val="00432569"/>
    <w:rsid w:val="00433A96"/>
    <w:rsid w:val="00437716"/>
    <w:rsid w:val="00441312"/>
    <w:rsid w:val="0044229E"/>
    <w:rsid w:val="00445A00"/>
    <w:rsid w:val="00451B0F"/>
    <w:rsid w:val="00456CBE"/>
    <w:rsid w:val="004570A3"/>
    <w:rsid w:val="0046125F"/>
    <w:rsid w:val="004612D9"/>
    <w:rsid w:val="00462520"/>
    <w:rsid w:val="00466B8E"/>
    <w:rsid w:val="0046783E"/>
    <w:rsid w:val="00467C77"/>
    <w:rsid w:val="00470E9D"/>
    <w:rsid w:val="00471CE2"/>
    <w:rsid w:val="00475591"/>
    <w:rsid w:val="00475AE7"/>
    <w:rsid w:val="00476CA4"/>
    <w:rsid w:val="004805A1"/>
    <w:rsid w:val="004806FB"/>
    <w:rsid w:val="004872D0"/>
    <w:rsid w:val="00487524"/>
    <w:rsid w:val="004876D1"/>
    <w:rsid w:val="004903BF"/>
    <w:rsid w:val="0049112B"/>
    <w:rsid w:val="004928F5"/>
    <w:rsid w:val="00494109"/>
    <w:rsid w:val="004943CA"/>
    <w:rsid w:val="0049488B"/>
    <w:rsid w:val="00495252"/>
    <w:rsid w:val="00496106"/>
    <w:rsid w:val="00496949"/>
    <w:rsid w:val="004A660E"/>
    <w:rsid w:val="004B088F"/>
    <w:rsid w:val="004B091D"/>
    <w:rsid w:val="004B34FF"/>
    <w:rsid w:val="004B6492"/>
    <w:rsid w:val="004C12D0"/>
    <w:rsid w:val="004C2EE3"/>
    <w:rsid w:val="004C3FFB"/>
    <w:rsid w:val="004C70FB"/>
    <w:rsid w:val="004D22C3"/>
    <w:rsid w:val="004D362E"/>
    <w:rsid w:val="004D5869"/>
    <w:rsid w:val="004D6C60"/>
    <w:rsid w:val="004D7F00"/>
    <w:rsid w:val="004E4A22"/>
    <w:rsid w:val="004E4E7F"/>
    <w:rsid w:val="004E72B7"/>
    <w:rsid w:val="004F35CA"/>
    <w:rsid w:val="004F4239"/>
    <w:rsid w:val="004F60EC"/>
    <w:rsid w:val="004F737A"/>
    <w:rsid w:val="00502B7C"/>
    <w:rsid w:val="005053A7"/>
    <w:rsid w:val="00506C61"/>
    <w:rsid w:val="005076F7"/>
    <w:rsid w:val="005106C5"/>
    <w:rsid w:val="00511968"/>
    <w:rsid w:val="005123BE"/>
    <w:rsid w:val="00516819"/>
    <w:rsid w:val="00516C98"/>
    <w:rsid w:val="0052214B"/>
    <w:rsid w:val="00523F0D"/>
    <w:rsid w:val="00524B7D"/>
    <w:rsid w:val="00525F91"/>
    <w:rsid w:val="00530724"/>
    <w:rsid w:val="00532BEA"/>
    <w:rsid w:val="005357B8"/>
    <w:rsid w:val="00536CF8"/>
    <w:rsid w:val="0054043D"/>
    <w:rsid w:val="00545A19"/>
    <w:rsid w:val="0054650E"/>
    <w:rsid w:val="00547B1A"/>
    <w:rsid w:val="00550354"/>
    <w:rsid w:val="00552A15"/>
    <w:rsid w:val="0055614C"/>
    <w:rsid w:val="005614FA"/>
    <w:rsid w:val="00563C1F"/>
    <w:rsid w:val="00564FFA"/>
    <w:rsid w:val="00577322"/>
    <w:rsid w:val="00577BFF"/>
    <w:rsid w:val="00581C61"/>
    <w:rsid w:val="00582BAF"/>
    <w:rsid w:val="00584B7F"/>
    <w:rsid w:val="00585A53"/>
    <w:rsid w:val="00585EC7"/>
    <w:rsid w:val="00595381"/>
    <w:rsid w:val="005967C9"/>
    <w:rsid w:val="0059746C"/>
    <w:rsid w:val="005A0BF4"/>
    <w:rsid w:val="005A0C4F"/>
    <w:rsid w:val="005A3062"/>
    <w:rsid w:val="005A31B2"/>
    <w:rsid w:val="005A3ADF"/>
    <w:rsid w:val="005A445D"/>
    <w:rsid w:val="005A4610"/>
    <w:rsid w:val="005A5663"/>
    <w:rsid w:val="005A6DB6"/>
    <w:rsid w:val="005A7365"/>
    <w:rsid w:val="005B3EC2"/>
    <w:rsid w:val="005B420F"/>
    <w:rsid w:val="005B5B7B"/>
    <w:rsid w:val="005C187C"/>
    <w:rsid w:val="005C24D8"/>
    <w:rsid w:val="005C680A"/>
    <w:rsid w:val="005C7EF4"/>
    <w:rsid w:val="005D0403"/>
    <w:rsid w:val="005D092D"/>
    <w:rsid w:val="005D0A49"/>
    <w:rsid w:val="005D1FDC"/>
    <w:rsid w:val="005D3464"/>
    <w:rsid w:val="005D7816"/>
    <w:rsid w:val="005E347C"/>
    <w:rsid w:val="005E5BA2"/>
    <w:rsid w:val="005E5F6A"/>
    <w:rsid w:val="005E74A9"/>
    <w:rsid w:val="005F0449"/>
    <w:rsid w:val="005F4263"/>
    <w:rsid w:val="005F5D60"/>
    <w:rsid w:val="00603CBE"/>
    <w:rsid w:val="00607BA5"/>
    <w:rsid w:val="00610AE4"/>
    <w:rsid w:val="006126AF"/>
    <w:rsid w:val="00615C48"/>
    <w:rsid w:val="00620DBB"/>
    <w:rsid w:val="00620F82"/>
    <w:rsid w:val="00621457"/>
    <w:rsid w:val="00625270"/>
    <w:rsid w:val="00626672"/>
    <w:rsid w:val="00626EB6"/>
    <w:rsid w:val="006275B0"/>
    <w:rsid w:val="00631B71"/>
    <w:rsid w:val="006353A3"/>
    <w:rsid w:val="00637E27"/>
    <w:rsid w:val="00642E7B"/>
    <w:rsid w:val="00643878"/>
    <w:rsid w:val="006439DA"/>
    <w:rsid w:val="00644B2C"/>
    <w:rsid w:val="006548AC"/>
    <w:rsid w:val="00655D03"/>
    <w:rsid w:val="006566D0"/>
    <w:rsid w:val="00660386"/>
    <w:rsid w:val="00660750"/>
    <w:rsid w:val="00661BB1"/>
    <w:rsid w:val="00662D4F"/>
    <w:rsid w:val="00664AB4"/>
    <w:rsid w:val="006650A4"/>
    <w:rsid w:val="006665E6"/>
    <w:rsid w:val="0067126E"/>
    <w:rsid w:val="00675E8A"/>
    <w:rsid w:val="0068023C"/>
    <w:rsid w:val="006813E7"/>
    <w:rsid w:val="00682D96"/>
    <w:rsid w:val="00683F84"/>
    <w:rsid w:val="00684738"/>
    <w:rsid w:val="0068763E"/>
    <w:rsid w:val="006901C6"/>
    <w:rsid w:val="00694196"/>
    <w:rsid w:val="00694C92"/>
    <w:rsid w:val="006953EE"/>
    <w:rsid w:val="0069577D"/>
    <w:rsid w:val="006972E8"/>
    <w:rsid w:val="006979A7"/>
    <w:rsid w:val="006A35D1"/>
    <w:rsid w:val="006A467F"/>
    <w:rsid w:val="006A6A81"/>
    <w:rsid w:val="006B2F55"/>
    <w:rsid w:val="006B3518"/>
    <w:rsid w:val="006B5D0A"/>
    <w:rsid w:val="006B68F8"/>
    <w:rsid w:val="006B6F46"/>
    <w:rsid w:val="006C16E6"/>
    <w:rsid w:val="006C1880"/>
    <w:rsid w:val="006C28BB"/>
    <w:rsid w:val="006C47FA"/>
    <w:rsid w:val="006C7A94"/>
    <w:rsid w:val="006D0FAA"/>
    <w:rsid w:val="006D40DD"/>
    <w:rsid w:val="006D660A"/>
    <w:rsid w:val="006D6AFD"/>
    <w:rsid w:val="006D760F"/>
    <w:rsid w:val="006D7B2B"/>
    <w:rsid w:val="006E1C9A"/>
    <w:rsid w:val="006E26AF"/>
    <w:rsid w:val="006E3ED7"/>
    <w:rsid w:val="006E57B3"/>
    <w:rsid w:val="006F1183"/>
    <w:rsid w:val="006F3559"/>
    <w:rsid w:val="006F4636"/>
    <w:rsid w:val="006F7393"/>
    <w:rsid w:val="006F7850"/>
    <w:rsid w:val="007008FC"/>
    <w:rsid w:val="00701094"/>
    <w:rsid w:val="007019B6"/>
    <w:rsid w:val="007019FF"/>
    <w:rsid w:val="0070224F"/>
    <w:rsid w:val="00703BB5"/>
    <w:rsid w:val="0070486C"/>
    <w:rsid w:val="007056A4"/>
    <w:rsid w:val="007115F7"/>
    <w:rsid w:val="007178B4"/>
    <w:rsid w:val="00717B01"/>
    <w:rsid w:val="00717B07"/>
    <w:rsid w:val="00725674"/>
    <w:rsid w:val="0072578B"/>
    <w:rsid w:val="00726F80"/>
    <w:rsid w:val="00731C3E"/>
    <w:rsid w:val="00731D5F"/>
    <w:rsid w:val="00735B84"/>
    <w:rsid w:val="00736AD6"/>
    <w:rsid w:val="00740AD9"/>
    <w:rsid w:val="00742221"/>
    <w:rsid w:val="00744F93"/>
    <w:rsid w:val="00746759"/>
    <w:rsid w:val="00746770"/>
    <w:rsid w:val="00747C64"/>
    <w:rsid w:val="007525C3"/>
    <w:rsid w:val="00762FC4"/>
    <w:rsid w:val="0076309F"/>
    <w:rsid w:val="007668C8"/>
    <w:rsid w:val="00770F47"/>
    <w:rsid w:val="00780E7D"/>
    <w:rsid w:val="00785689"/>
    <w:rsid w:val="00792664"/>
    <w:rsid w:val="00793903"/>
    <w:rsid w:val="0079754B"/>
    <w:rsid w:val="007A0B06"/>
    <w:rsid w:val="007A1E6D"/>
    <w:rsid w:val="007A29A0"/>
    <w:rsid w:val="007A555E"/>
    <w:rsid w:val="007A5C29"/>
    <w:rsid w:val="007B1170"/>
    <w:rsid w:val="007B1F0E"/>
    <w:rsid w:val="007B607F"/>
    <w:rsid w:val="007B70C6"/>
    <w:rsid w:val="007B72F9"/>
    <w:rsid w:val="007B7C16"/>
    <w:rsid w:val="007C179B"/>
    <w:rsid w:val="007C2228"/>
    <w:rsid w:val="007C4371"/>
    <w:rsid w:val="007C5078"/>
    <w:rsid w:val="007C53B3"/>
    <w:rsid w:val="007C674D"/>
    <w:rsid w:val="007D26FF"/>
    <w:rsid w:val="007D3761"/>
    <w:rsid w:val="007D4842"/>
    <w:rsid w:val="007D4DB7"/>
    <w:rsid w:val="007D6054"/>
    <w:rsid w:val="007D6AEB"/>
    <w:rsid w:val="007E32AB"/>
    <w:rsid w:val="007E4A79"/>
    <w:rsid w:val="007F0701"/>
    <w:rsid w:val="007F0DBB"/>
    <w:rsid w:val="007F1D7C"/>
    <w:rsid w:val="007F29ED"/>
    <w:rsid w:val="007F2E5D"/>
    <w:rsid w:val="007F3CD0"/>
    <w:rsid w:val="007F400A"/>
    <w:rsid w:val="007F40C5"/>
    <w:rsid w:val="007F5818"/>
    <w:rsid w:val="007F5C59"/>
    <w:rsid w:val="00800267"/>
    <w:rsid w:val="00801AAA"/>
    <w:rsid w:val="00801DFE"/>
    <w:rsid w:val="00801FDC"/>
    <w:rsid w:val="00805401"/>
    <w:rsid w:val="00806538"/>
    <w:rsid w:val="008068FD"/>
    <w:rsid w:val="008178AF"/>
    <w:rsid w:val="00822CE0"/>
    <w:rsid w:val="00825E7D"/>
    <w:rsid w:val="008271E2"/>
    <w:rsid w:val="008275B8"/>
    <w:rsid w:val="0083155B"/>
    <w:rsid w:val="008338CE"/>
    <w:rsid w:val="0083451B"/>
    <w:rsid w:val="00837C62"/>
    <w:rsid w:val="00841404"/>
    <w:rsid w:val="00841AB1"/>
    <w:rsid w:val="00844109"/>
    <w:rsid w:val="0084412A"/>
    <w:rsid w:val="00845944"/>
    <w:rsid w:val="00851E64"/>
    <w:rsid w:val="008550B5"/>
    <w:rsid w:val="00855DB1"/>
    <w:rsid w:val="0085777F"/>
    <w:rsid w:val="0086068D"/>
    <w:rsid w:val="00861958"/>
    <w:rsid w:val="00861C96"/>
    <w:rsid w:val="008622FE"/>
    <w:rsid w:val="0086597B"/>
    <w:rsid w:val="008670A1"/>
    <w:rsid w:val="00872701"/>
    <w:rsid w:val="008759A0"/>
    <w:rsid w:val="008774D9"/>
    <w:rsid w:val="00880549"/>
    <w:rsid w:val="00880961"/>
    <w:rsid w:val="008823A6"/>
    <w:rsid w:val="00885346"/>
    <w:rsid w:val="008860DF"/>
    <w:rsid w:val="008865BD"/>
    <w:rsid w:val="00887C2E"/>
    <w:rsid w:val="00890537"/>
    <w:rsid w:val="008928B0"/>
    <w:rsid w:val="00892BEE"/>
    <w:rsid w:val="00893955"/>
    <w:rsid w:val="008965D6"/>
    <w:rsid w:val="008969B3"/>
    <w:rsid w:val="0089722C"/>
    <w:rsid w:val="008A5F0D"/>
    <w:rsid w:val="008A6865"/>
    <w:rsid w:val="008A72A2"/>
    <w:rsid w:val="008B3790"/>
    <w:rsid w:val="008B3951"/>
    <w:rsid w:val="008B3DC7"/>
    <w:rsid w:val="008B4D33"/>
    <w:rsid w:val="008B51AD"/>
    <w:rsid w:val="008C0043"/>
    <w:rsid w:val="008C09B2"/>
    <w:rsid w:val="008C12CA"/>
    <w:rsid w:val="008C1A0F"/>
    <w:rsid w:val="008C1DAA"/>
    <w:rsid w:val="008C22FD"/>
    <w:rsid w:val="008C2513"/>
    <w:rsid w:val="008C5059"/>
    <w:rsid w:val="008C5AED"/>
    <w:rsid w:val="008C78F0"/>
    <w:rsid w:val="008D29A6"/>
    <w:rsid w:val="008D327D"/>
    <w:rsid w:val="008D5B54"/>
    <w:rsid w:val="008D5EA0"/>
    <w:rsid w:val="008D5EB1"/>
    <w:rsid w:val="008D6240"/>
    <w:rsid w:val="008E1A67"/>
    <w:rsid w:val="008E1D65"/>
    <w:rsid w:val="008E5631"/>
    <w:rsid w:val="008E5D2B"/>
    <w:rsid w:val="008F52F1"/>
    <w:rsid w:val="008F58CF"/>
    <w:rsid w:val="008F7481"/>
    <w:rsid w:val="009014E5"/>
    <w:rsid w:val="00902F76"/>
    <w:rsid w:val="0090545D"/>
    <w:rsid w:val="00907362"/>
    <w:rsid w:val="00907911"/>
    <w:rsid w:val="00910F12"/>
    <w:rsid w:val="00913041"/>
    <w:rsid w:val="0091436D"/>
    <w:rsid w:val="009145C5"/>
    <w:rsid w:val="0091539A"/>
    <w:rsid w:val="00915DB4"/>
    <w:rsid w:val="0091650F"/>
    <w:rsid w:val="00922696"/>
    <w:rsid w:val="009229EE"/>
    <w:rsid w:val="00923F59"/>
    <w:rsid w:val="00925ACF"/>
    <w:rsid w:val="00926397"/>
    <w:rsid w:val="00926503"/>
    <w:rsid w:val="0092692D"/>
    <w:rsid w:val="00926C1D"/>
    <w:rsid w:val="009308A2"/>
    <w:rsid w:val="00930ECF"/>
    <w:rsid w:val="0093162D"/>
    <w:rsid w:val="00931CEB"/>
    <w:rsid w:val="00931D6F"/>
    <w:rsid w:val="0093267F"/>
    <w:rsid w:val="009432A3"/>
    <w:rsid w:val="00943407"/>
    <w:rsid w:val="00943B23"/>
    <w:rsid w:val="00946DF9"/>
    <w:rsid w:val="009477C2"/>
    <w:rsid w:val="00947E35"/>
    <w:rsid w:val="0095053C"/>
    <w:rsid w:val="0095057C"/>
    <w:rsid w:val="009556CA"/>
    <w:rsid w:val="0096037E"/>
    <w:rsid w:val="00960B05"/>
    <w:rsid w:val="00967271"/>
    <w:rsid w:val="00970A34"/>
    <w:rsid w:val="009713DD"/>
    <w:rsid w:val="00975007"/>
    <w:rsid w:val="0097544A"/>
    <w:rsid w:val="00976129"/>
    <w:rsid w:val="00976938"/>
    <w:rsid w:val="009801F8"/>
    <w:rsid w:val="009821B1"/>
    <w:rsid w:val="00982A15"/>
    <w:rsid w:val="009838BC"/>
    <w:rsid w:val="00983A14"/>
    <w:rsid w:val="00983EE2"/>
    <w:rsid w:val="00986B91"/>
    <w:rsid w:val="00987966"/>
    <w:rsid w:val="00987A27"/>
    <w:rsid w:val="009901F7"/>
    <w:rsid w:val="009929EC"/>
    <w:rsid w:val="00994CBF"/>
    <w:rsid w:val="0099637A"/>
    <w:rsid w:val="0099720B"/>
    <w:rsid w:val="009A382B"/>
    <w:rsid w:val="009A4C45"/>
    <w:rsid w:val="009A65B8"/>
    <w:rsid w:val="009A685A"/>
    <w:rsid w:val="009B2979"/>
    <w:rsid w:val="009B3988"/>
    <w:rsid w:val="009B6008"/>
    <w:rsid w:val="009B63B0"/>
    <w:rsid w:val="009C2EC9"/>
    <w:rsid w:val="009C448A"/>
    <w:rsid w:val="009C73EF"/>
    <w:rsid w:val="009D175D"/>
    <w:rsid w:val="009D36AB"/>
    <w:rsid w:val="009D4B75"/>
    <w:rsid w:val="009D708B"/>
    <w:rsid w:val="009E0A80"/>
    <w:rsid w:val="009F1761"/>
    <w:rsid w:val="009F30BE"/>
    <w:rsid w:val="009F47F3"/>
    <w:rsid w:val="009F71A2"/>
    <w:rsid w:val="00A011D2"/>
    <w:rsid w:val="00A029B6"/>
    <w:rsid w:val="00A03FAC"/>
    <w:rsid w:val="00A061B4"/>
    <w:rsid w:val="00A06E7E"/>
    <w:rsid w:val="00A1015E"/>
    <w:rsid w:val="00A13DDC"/>
    <w:rsid w:val="00A1615A"/>
    <w:rsid w:val="00A164EA"/>
    <w:rsid w:val="00A17B4C"/>
    <w:rsid w:val="00A212D1"/>
    <w:rsid w:val="00A22D46"/>
    <w:rsid w:val="00A239D2"/>
    <w:rsid w:val="00A30968"/>
    <w:rsid w:val="00A32C6E"/>
    <w:rsid w:val="00A351CE"/>
    <w:rsid w:val="00A37769"/>
    <w:rsid w:val="00A40309"/>
    <w:rsid w:val="00A42060"/>
    <w:rsid w:val="00A422EA"/>
    <w:rsid w:val="00A45F4F"/>
    <w:rsid w:val="00A5137A"/>
    <w:rsid w:val="00A51758"/>
    <w:rsid w:val="00A554EE"/>
    <w:rsid w:val="00A600A9"/>
    <w:rsid w:val="00A61146"/>
    <w:rsid w:val="00A61E25"/>
    <w:rsid w:val="00A6263A"/>
    <w:rsid w:val="00A63044"/>
    <w:rsid w:val="00A6329B"/>
    <w:rsid w:val="00A6538C"/>
    <w:rsid w:val="00A663DB"/>
    <w:rsid w:val="00A7048D"/>
    <w:rsid w:val="00A7404D"/>
    <w:rsid w:val="00A7407D"/>
    <w:rsid w:val="00A77268"/>
    <w:rsid w:val="00A84BCC"/>
    <w:rsid w:val="00A8620D"/>
    <w:rsid w:val="00A86681"/>
    <w:rsid w:val="00A866AC"/>
    <w:rsid w:val="00A86C45"/>
    <w:rsid w:val="00A901ED"/>
    <w:rsid w:val="00A90ABC"/>
    <w:rsid w:val="00A922E8"/>
    <w:rsid w:val="00A92712"/>
    <w:rsid w:val="00A92F17"/>
    <w:rsid w:val="00A950E2"/>
    <w:rsid w:val="00A95C94"/>
    <w:rsid w:val="00A961E1"/>
    <w:rsid w:val="00AA020D"/>
    <w:rsid w:val="00AA412A"/>
    <w:rsid w:val="00AA52F2"/>
    <w:rsid w:val="00AA55B7"/>
    <w:rsid w:val="00AA5B7F"/>
    <w:rsid w:val="00AA5B9E"/>
    <w:rsid w:val="00AB2109"/>
    <w:rsid w:val="00AB2407"/>
    <w:rsid w:val="00AB3596"/>
    <w:rsid w:val="00AB5112"/>
    <w:rsid w:val="00AB53DF"/>
    <w:rsid w:val="00AB61ED"/>
    <w:rsid w:val="00AB7889"/>
    <w:rsid w:val="00AB7E37"/>
    <w:rsid w:val="00AC4DB3"/>
    <w:rsid w:val="00AC669A"/>
    <w:rsid w:val="00AD1DA5"/>
    <w:rsid w:val="00AD3257"/>
    <w:rsid w:val="00AD50D4"/>
    <w:rsid w:val="00AD62E9"/>
    <w:rsid w:val="00AE1813"/>
    <w:rsid w:val="00AE3C92"/>
    <w:rsid w:val="00AE47E9"/>
    <w:rsid w:val="00AE522A"/>
    <w:rsid w:val="00AF13C3"/>
    <w:rsid w:val="00AF2B5C"/>
    <w:rsid w:val="00B01FC8"/>
    <w:rsid w:val="00B021EE"/>
    <w:rsid w:val="00B02A93"/>
    <w:rsid w:val="00B07E5C"/>
    <w:rsid w:val="00B10A35"/>
    <w:rsid w:val="00B11D8C"/>
    <w:rsid w:val="00B158C7"/>
    <w:rsid w:val="00B17836"/>
    <w:rsid w:val="00B17B13"/>
    <w:rsid w:val="00B238E7"/>
    <w:rsid w:val="00B31B86"/>
    <w:rsid w:val="00B326E3"/>
    <w:rsid w:val="00B334D7"/>
    <w:rsid w:val="00B3351F"/>
    <w:rsid w:val="00B33C83"/>
    <w:rsid w:val="00B368CC"/>
    <w:rsid w:val="00B36901"/>
    <w:rsid w:val="00B402F4"/>
    <w:rsid w:val="00B40543"/>
    <w:rsid w:val="00B4215C"/>
    <w:rsid w:val="00B42361"/>
    <w:rsid w:val="00B43169"/>
    <w:rsid w:val="00B44339"/>
    <w:rsid w:val="00B47261"/>
    <w:rsid w:val="00B5389B"/>
    <w:rsid w:val="00B61C60"/>
    <w:rsid w:val="00B6638D"/>
    <w:rsid w:val="00B7124D"/>
    <w:rsid w:val="00B721C8"/>
    <w:rsid w:val="00B73C0C"/>
    <w:rsid w:val="00B74EB4"/>
    <w:rsid w:val="00B76960"/>
    <w:rsid w:val="00B811F7"/>
    <w:rsid w:val="00B82285"/>
    <w:rsid w:val="00B82754"/>
    <w:rsid w:val="00B83976"/>
    <w:rsid w:val="00B848FE"/>
    <w:rsid w:val="00B84BD2"/>
    <w:rsid w:val="00B84CD9"/>
    <w:rsid w:val="00B852E5"/>
    <w:rsid w:val="00B905AA"/>
    <w:rsid w:val="00B90BD1"/>
    <w:rsid w:val="00B959E6"/>
    <w:rsid w:val="00B97BD5"/>
    <w:rsid w:val="00BA1134"/>
    <w:rsid w:val="00BA1383"/>
    <w:rsid w:val="00BA196F"/>
    <w:rsid w:val="00BA4A23"/>
    <w:rsid w:val="00BA5DC6"/>
    <w:rsid w:val="00BA6196"/>
    <w:rsid w:val="00BA7043"/>
    <w:rsid w:val="00BB0D65"/>
    <w:rsid w:val="00BB2051"/>
    <w:rsid w:val="00BB2DCC"/>
    <w:rsid w:val="00BB4022"/>
    <w:rsid w:val="00BB4B5B"/>
    <w:rsid w:val="00BB6496"/>
    <w:rsid w:val="00BB6DCE"/>
    <w:rsid w:val="00BC1F26"/>
    <w:rsid w:val="00BC6BB5"/>
    <w:rsid w:val="00BC6D8C"/>
    <w:rsid w:val="00BC6FB9"/>
    <w:rsid w:val="00BC76BB"/>
    <w:rsid w:val="00BD0A9B"/>
    <w:rsid w:val="00BD1F31"/>
    <w:rsid w:val="00BD332E"/>
    <w:rsid w:val="00BD38DB"/>
    <w:rsid w:val="00BD41D9"/>
    <w:rsid w:val="00BD4B59"/>
    <w:rsid w:val="00BD50BA"/>
    <w:rsid w:val="00BD5994"/>
    <w:rsid w:val="00BE1AA3"/>
    <w:rsid w:val="00BF1B2A"/>
    <w:rsid w:val="00BF43CF"/>
    <w:rsid w:val="00BF4EC4"/>
    <w:rsid w:val="00BF7678"/>
    <w:rsid w:val="00C004D7"/>
    <w:rsid w:val="00C00B2A"/>
    <w:rsid w:val="00C01B19"/>
    <w:rsid w:val="00C03D01"/>
    <w:rsid w:val="00C0633C"/>
    <w:rsid w:val="00C07140"/>
    <w:rsid w:val="00C077E1"/>
    <w:rsid w:val="00C07BDE"/>
    <w:rsid w:val="00C10E83"/>
    <w:rsid w:val="00C1189E"/>
    <w:rsid w:val="00C14E8F"/>
    <w:rsid w:val="00C16AF2"/>
    <w:rsid w:val="00C21646"/>
    <w:rsid w:val="00C2261D"/>
    <w:rsid w:val="00C22BA8"/>
    <w:rsid w:val="00C2475E"/>
    <w:rsid w:val="00C24DD2"/>
    <w:rsid w:val="00C25D5E"/>
    <w:rsid w:val="00C27664"/>
    <w:rsid w:val="00C27859"/>
    <w:rsid w:val="00C27EA3"/>
    <w:rsid w:val="00C31891"/>
    <w:rsid w:val="00C33898"/>
    <w:rsid w:val="00C34006"/>
    <w:rsid w:val="00C35272"/>
    <w:rsid w:val="00C360F5"/>
    <w:rsid w:val="00C367FB"/>
    <w:rsid w:val="00C37B71"/>
    <w:rsid w:val="00C41A27"/>
    <w:rsid w:val="00C426B1"/>
    <w:rsid w:val="00C43525"/>
    <w:rsid w:val="00C4665E"/>
    <w:rsid w:val="00C47E32"/>
    <w:rsid w:val="00C47FF8"/>
    <w:rsid w:val="00C509AC"/>
    <w:rsid w:val="00C50A2E"/>
    <w:rsid w:val="00C5129F"/>
    <w:rsid w:val="00C61BB7"/>
    <w:rsid w:val="00C621EC"/>
    <w:rsid w:val="00C70F5B"/>
    <w:rsid w:val="00C71544"/>
    <w:rsid w:val="00C7200D"/>
    <w:rsid w:val="00C7218A"/>
    <w:rsid w:val="00C7222F"/>
    <w:rsid w:val="00C7392A"/>
    <w:rsid w:val="00C744AA"/>
    <w:rsid w:val="00C80924"/>
    <w:rsid w:val="00C82B6B"/>
    <w:rsid w:val="00C850D8"/>
    <w:rsid w:val="00C86386"/>
    <w:rsid w:val="00C90D6A"/>
    <w:rsid w:val="00C947F9"/>
    <w:rsid w:val="00C96CB6"/>
    <w:rsid w:val="00CA0799"/>
    <w:rsid w:val="00CA1A11"/>
    <w:rsid w:val="00CA23D7"/>
    <w:rsid w:val="00CA5E0B"/>
    <w:rsid w:val="00CA63AF"/>
    <w:rsid w:val="00CB14D4"/>
    <w:rsid w:val="00CB4801"/>
    <w:rsid w:val="00CB52EB"/>
    <w:rsid w:val="00CB5B3E"/>
    <w:rsid w:val="00CC3745"/>
    <w:rsid w:val="00CC4904"/>
    <w:rsid w:val="00CC60EB"/>
    <w:rsid w:val="00CC6A10"/>
    <w:rsid w:val="00CC72B6"/>
    <w:rsid w:val="00CD1437"/>
    <w:rsid w:val="00CD1447"/>
    <w:rsid w:val="00CD2FA0"/>
    <w:rsid w:val="00CD30B5"/>
    <w:rsid w:val="00CD5655"/>
    <w:rsid w:val="00CE1A4B"/>
    <w:rsid w:val="00CE359D"/>
    <w:rsid w:val="00CE3C68"/>
    <w:rsid w:val="00CE6E0B"/>
    <w:rsid w:val="00CF1A56"/>
    <w:rsid w:val="00CF4923"/>
    <w:rsid w:val="00CF6523"/>
    <w:rsid w:val="00CF7B63"/>
    <w:rsid w:val="00D0137A"/>
    <w:rsid w:val="00D0218D"/>
    <w:rsid w:val="00D02EE8"/>
    <w:rsid w:val="00D03809"/>
    <w:rsid w:val="00D04868"/>
    <w:rsid w:val="00D05C17"/>
    <w:rsid w:val="00D06F09"/>
    <w:rsid w:val="00D06FA2"/>
    <w:rsid w:val="00D12B3C"/>
    <w:rsid w:val="00D13707"/>
    <w:rsid w:val="00D216CD"/>
    <w:rsid w:val="00D22B78"/>
    <w:rsid w:val="00D238CC"/>
    <w:rsid w:val="00D2624D"/>
    <w:rsid w:val="00D26EF4"/>
    <w:rsid w:val="00D351CC"/>
    <w:rsid w:val="00D354C2"/>
    <w:rsid w:val="00D3650B"/>
    <w:rsid w:val="00D41B3B"/>
    <w:rsid w:val="00D45A14"/>
    <w:rsid w:val="00D5095E"/>
    <w:rsid w:val="00D509F8"/>
    <w:rsid w:val="00D51481"/>
    <w:rsid w:val="00D53ADF"/>
    <w:rsid w:val="00D64012"/>
    <w:rsid w:val="00D64A59"/>
    <w:rsid w:val="00D6557E"/>
    <w:rsid w:val="00D6581B"/>
    <w:rsid w:val="00D74AEC"/>
    <w:rsid w:val="00D76953"/>
    <w:rsid w:val="00D806AA"/>
    <w:rsid w:val="00D8081B"/>
    <w:rsid w:val="00D81F91"/>
    <w:rsid w:val="00D8472B"/>
    <w:rsid w:val="00D84C22"/>
    <w:rsid w:val="00D851AB"/>
    <w:rsid w:val="00D85EF5"/>
    <w:rsid w:val="00D87B6E"/>
    <w:rsid w:val="00D90DAC"/>
    <w:rsid w:val="00DA07AA"/>
    <w:rsid w:val="00DA2529"/>
    <w:rsid w:val="00DA455F"/>
    <w:rsid w:val="00DA63CD"/>
    <w:rsid w:val="00DA77F0"/>
    <w:rsid w:val="00DB130A"/>
    <w:rsid w:val="00DB36BF"/>
    <w:rsid w:val="00DB54CA"/>
    <w:rsid w:val="00DB5AC1"/>
    <w:rsid w:val="00DB6527"/>
    <w:rsid w:val="00DC09FC"/>
    <w:rsid w:val="00DC10A1"/>
    <w:rsid w:val="00DC13C6"/>
    <w:rsid w:val="00DC1A63"/>
    <w:rsid w:val="00DC44DE"/>
    <w:rsid w:val="00DC4D66"/>
    <w:rsid w:val="00DC53B1"/>
    <w:rsid w:val="00DC56D1"/>
    <w:rsid w:val="00DC655F"/>
    <w:rsid w:val="00DC73A3"/>
    <w:rsid w:val="00DC7BAE"/>
    <w:rsid w:val="00DC7C75"/>
    <w:rsid w:val="00DD0336"/>
    <w:rsid w:val="00DD0F22"/>
    <w:rsid w:val="00DD6C7F"/>
    <w:rsid w:val="00DD7CEF"/>
    <w:rsid w:val="00DD7EBD"/>
    <w:rsid w:val="00DE070F"/>
    <w:rsid w:val="00DE0D04"/>
    <w:rsid w:val="00DE4B07"/>
    <w:rsid w:val="00DE7E1C"/>
    <w:rsid w:val="00DF02FA"/>
    <w:rsid w:val="00DF1626"/>
    <w:rsid w:val="00DF1B24"/>
    <w:rsid w:val="00DF43F4"/>
    <w:rsid w:val="00DF448D"/>
    <w:rsid w:val="00DF4E87"/>
    <w:rsid w:val="00DF62B6"/>
    <w:rsid w:val="00E02416"/>
    <w:rsid w:val="00E04D5A"/>
    <w:rsid w:val="00E07225"/>
    <w:rsid w:val="00E155B7"/>
    <w:rsid w:val="00E15AD6"/>
    <w:rsid w:val="00E15F88"/>
    <w:rsid w:val="00E16803"/>
    <w:rsid w:val="00E169CC"/>
    <w:rsid w:val="00E17865"/>
    <w:rsid w:val="00E21870"/>
    <w:rsid w:val="00E24342"/>
    <w:rsid w:val="00E262F3"/>
    <w:rsid w:val="00E27214"/>
    <w:rsid w:val="00E313A3"/>
    <w:rsid w:val="00E3399D"/>
    <w:rsid w:val="00E361F5"/>
    <w:rsid w:val="00E4245C"/>
    <w:rsid w:val="00E50130"/>
    <w:rsid w:val="00E504A8"/>
    <w:rsid w:val="00E50F11"/>
    <w:rsid w:val="00E5409F"/>
    <w:rsid w:val="00E61137"/>
    <w:rsid w:val="00E63E9C"/>
    <w:rsid w:val="00E65904"/>
    <w:rsid w:val="00E70C9B"/>
    <w:rsid w:val="00E71983"/>
    <w:rsid w:val="00E72298"/>
    <w:rsid w:val="00E73185"/>
    <w:rsid w:val="00E73463"/>
    <w:rsid w:val="00E743F2"/>
    <w:rsid w:val="00E74F67"/>
    <w:rsid w:val="00E77864"/>
    <w:rsid w:val="00E85276"/>
    <w:rsid w:val="00E85BD5"/>
    <w:rsid w:val="00E86AB5"/>
    <w:rsid w:val="00E87847"/>
    <w:rsid w:val="00E93E3E"/>
    <w:rsid w:val="00E9462D"/>
    <w:rsid w:val="00E96AC2"/>
    <w:rsid w:val="00E96B4B"/>
    <w:rsid w:val="00E9794F"/>
    <w:rsid w:val="00EA003B"/>
    <w:rsid w:val="00EA1D70"/>
    <w:rsid w:val="00EA57D7"/>
    <w:rsid w:val="00EA5DC5"/>
    <w:rsid w:val="00EB08CE"/>
    <w:rsid w:val="00EB17F9"/>
    <w:rsid w:val="00EB2C44"/>
    <w:rsid w:val="00EC0185"/>
    <w:rsid w:val="00EC0BF7"/>
    <w:rsid w:val="00EC195C"/>
    <w:rsid w:val="00EC2DFD"/>
    <w:rsid w:val="00EC68BF"/>
    <w:rsid w:val="00ED05B6"/>
    <w:rsid w:val="00ED11B3"/>
    <w:rsid w:val="00ED33DB"/>
    <w:rsid w:val="00ED3D49"/>
    <w:rsid w:val="00ED61CE"/>
    <w:rsid w:val="00ED6F96"/>
    <w:rsid w:val="00EE0028"/>
    <w:rsid w:val="00EE2A38"/>
    <w:rsid w:val="00EE3BE2"/>
    <w:rsid w:val="00EE6ADD"/>
    <w:rsid w:val="00EF064F"/>
    <w:rsid w:val="00EF41BD"/>
    <w:rsid w:val="00EF5C69"/>
    <w:rsid w:val="00EF5E4D"/>
    <w:rsid w:val="00F021FA"/>
    <w:rsid w:val="00F03EE6"/>
    <w:rsid w:val="00F051B1"/>
    <w:rsid w:val="00F10131"/>
    <w:rsid w:val="00F10428"/>
    <w:rsid w:val="00F116C4"/>
    <w:rsid w:val="00F11F96"/>
    <w:rsid w:val="00F13114"/>
    <w:rsid w:val="00F13E8E"/>
    <w:rsid w:val="00F14D69"/>
    <w:rsid w:val="00F159B2"/>
    <w:rsid w:val="00F1632C"/>
    <w:rsid w:val="00F23750"/>
    <w:rsid w:val="00F243B7"/>
    <w:rsid w:val="00F304C0"/>
    <w:rsid w:val="00F311FC"/>
    <w:rsid w:val="00F322CA"/>
    <w:rsid w:val="00F367F9"/>
    <w:rsid w:val="00F37BD3"/>
    <w:rsid w:val="00F40476"/>
    <w:rsid w:val="00F432AC"/>
    <w:rsid w:val="00F4366C"/>
    <w:rsid w:val="00F43E3B"/>
    <w:rsid w:val="00F446CC"/>
    <w:rsid w:val="00F46420"/>
    <w:rsid w:val="00F5088D"/>
    <w:rsid w:val="00F5223B"/>
    <w:rsid w:val="00F5736F"/>
    <w:rsid w:val="00F57ACA"/>
    <w:rsid w:val="00F61F48"/>
    <w:rsid w:val="00F62E97"/>
    <w:rsid w:val="00F64209"/>
    <w:rsid w:val="00F656F4"/>
    <w:rsid w:val="00F65711"/>
    <w:rsid w:val="00F66D37"/>
    <w:rsid w:val="00F67726"/>
    <w:rsid w:val="00F67BF1"/>
    <w:rsid w:val="00F72B31"/>
    <w:rsid w:val="00F73399"/>
    <w:rsid w:val="00F7410E"/>
    <w:rsid w:val="00F76515"/>
    <w:rsid w:val="00F84201"/>
    <w:rsid w:val="00F84F68"/>
    <w:rsid w:val="00F90BC3"/>
    <w:rsid w:val="00F93BF5"/>
    <w:rsid w:val="00F96438"/>
    <w:rsid w:val="00F96F63"/>
    <w:rsid w:val="00F9742C"/>
    <w:rsid w:val="00FA3284"/>
    <w:rsid w:val="00FB0C37"/>
    <w:rsid w:val="00FB0DCC"/>
    <w:rsid w:val="00FB1102"/>
    <w:rsid w:val="00FB2F91"/>
    <w:rsid w:val="00FB3EDD"/>
    <w:rsid w:val="00FB5472"/>
    <w:rsid w:val="00FB6AC1"/>
    <w:rsid w:val="00FC392C"/>
    <w:rsid w:val="00FC565D"/>
    <w:rsid w:val="00FC734F"/>
    <w:rsid w:val="00FC7C2A"/>
    <w:rsid w:val="00FE1675"/>
    <w:rsid w:val="00FE16FD"/>
    <w:rsid w:val="00FE28E0"/>
    <w:rsid w:val="00FE56A1"/>
    <w:rsid w:val="00FE56C4"/>
    <w:rsid w:val="00FE583B"/>
    <w:rsid w:val="00FE6E90"/>
    <w:rsid w:val="00FF4199"/>
    <w:rsid w:val="00FF5FE3"/>
    <w:rsid w:val="00FF6278"/>
    <w:rsid w:val="00FF682A"/>
    <w:rsid w:val="00FF7A37"/>
    <w:rsid w:val="75796D0F"/>
    <w:rsid w:val="7AC21DF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964AAE2"/>
  <w15:chartTrackingRefBased/>
  <w15:docId w15:val="{781F4A31-8D49-4320-B192-22E1A735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lang w:eastAsia="en-US"/>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rsid w:val="000E3D42"/>
    <w:pPr>
      <w:spacing w:after="120"/>
    </w:pPr>
    <w:rPr>
      <w:lang w:eastAsia="en-US"/>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semiHidden/>
    <w:unhideWhenUsed/>
    <w:rsid w:val="00642E7B"/>
    <w:rPr>
      <w:sz w:val="20"/>
    </w:rPr>
  </w:style>
  <w:style w:type="character" w:customStyle="1" w:styleId="CommentTextChar">
    <w:name w:val="Comment Text Char"/>
    <w:link w:val="CommentText"/>
    <w:uiPriority w:val="99"/>
    <w:semiHidden/>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character" w:styleId="PlaceholderText">
    <w:name w:val="Placeholder Text"/>
    <w:uiPriority w:val="99"/>
    <w:semiHidden/>
    <w:rsid w:val="00377C00"/>
    <w:rPr>
      <w:color w:val="808080"/>
    </w:rPr>
  </w:style>
  <w:style w:type="paragraph" w:customStyle="1" w:styleId="Default">
    <w:name w:val="Default"/>
    <w:rsid w:val="000D50EB"/>
    <w:pPr>
      <w:autoSpaceDE w:val="0"/>
      <w:autoSpaceDN w:val="0"/>
      <w:adjustRightInd w:val="0"/>
    </w:pPr>
    <w:rPr>
      <w:color w:val="000000"/>
      <w:sz w:val="24"/>
      <w:szCs w:val="24"/>
      <w:lang w:eastAsia="en-US"/>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9901F7"/>
  </w:style>
  <w:style w:type="paragraph" w:styleId="Revision">
    <w:name w:val="Revision"/>
    <w:hidden/>
    <w:uiPriority w:val="99"/>
    <w:semiHidden/>
    <w:rsid w:val="007019FF"/>
    <w:rPr>
      <w:snapToGrid w:val="0"/>
      <w:kern w:val="28"/>
      <w:sz w:val="22"/>
      <w:lang w:eastAsia="en-US"/>
    </w:rPr>
  </w:style>
  <w:style w:type="character" w:styleId="Emphasis">
    <w:name w:val="Emphasis"/>
    <w:uiPriority w:val="20"/>
    <w:qFormat/>
    <w:rsid w:val="002049B9"/>
    <w:rPr>
      <w:i/>
      <w:iCs/>
    </w:rPr>
  </w:style>
  <w:style w:type="character" w:customStyle="1" w:styleId="cosearchterm">
    <w:name w:val="co_searchterm"/>
    <w:basedOn w:val="DefaultParagraphFont"/>
    <w:rsid w:val="002049B9"/>
  </w:style>
  <w:style w:type="character" w:customStyle="1" w:styleId="copinpointicon">
    <w:name w:val="co_pinpointicon"/>
    <w:basedOn w:val="DefaultParagraphFont"/>
    <w:rsid w:val="005B5B7B"/>
  </w:style>
  <w:style w:type="character" w:customStyle="1" w:styleId="UnresolvedMention1">
    <w:name w:val="Unresolved Mention1"/>
    <w:uiPriority w:val="99"/>
    <w:rsid w:val="00432569"/>
    <w:rPr>
      <w:color w:val="605E5C"/>
      <w:shd w:val="clear" w:color="auto" w:fill="E1DFDD"/>
    </w:rPr>
  </w:style>
  <w:style w:type="character" w:styleId="FollowedHyperlink">
    <w:name w:val="FollowedHyperlink"/>
    <w:uiPriority w:val="99"/>
    <w:semiHidden/>
    <w:unhideWhenUsed/>
    <w:rsid w:val="00432569"/>
    <w:rPr>
      <w:color w:val="954F72"/>
      <w:u w:val="single"/>
    </w:rPr>
  </w:style>
  <w:style w:type="paragraph" w:customStyle="1" w:styleId="xmsonormal">
    <w:name w:val="x_msonormal"/>
    <w:basedOn w:val="Normal"/>
    <w:rsid w:val="00EC68BF"/>
    <w:pPr>
      <w:widowControl/>
    </w:pPr>
    <w:rPr>
      <w:rFonts w:ascii="Calibri" w:hAnsi="Calibri" w:eastAsiaTheme="minorHAnsi" w:cs="Calibri"/>
      <w:snapToGrid/>
      <w:kern w:val="0"/>
      <w:szCs w:val="22"/>
    </w:rPr>
  </w:style>
  <w:style w:type="character" w:customStyle="1" w:styleId="UnresolvedMention">
    <w:name w:val="Unresolved Mention"/>
    <w:basedOn w:val="DefaultParagraphFont"/>
    <w:uiPriority w:val="99"/>
    <w:rsid w:val="006813E7"/>
    <w:rPr>
      <w:color w:val="605E5C"/>
      <w:shd w:val="clear" w:color="auto" w:fill="E1DFDD"/>
    </w:rPr>
  </w:style>
  <w:style w:type="character" w:customStyle="1" w:styleId="ALTSFOOTNOTEChar">
    <w:name w:val="ALTS FOOTNOTE Char"/>
    <w:aliases w:val="ALTS FOOTNOTE Char1 Char,Footnote Text Char Char Char,Footnote Text Char2 Char1 Char1 Char Char Char,Footnote Text Char3 Char1 Char Char Char,f Char"/>
    <w:rsid w:val="007E4A79"/>
  </w:style>
  <w:style w:type="character" w:customStyle="1" w:styleId="item-value">
    <w:name w:val="item-value"/>
    <w:basedOn w:val="DefaultParagraphFont"/>
    <w:rsid w:val="008E1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high-cost/resources/tools/" TargetMode="External" /><Relationship Id="rId2" Type="http://schemas.openxmlformats.org/officeDocument/2006/relationships/hyperlink" Target="mailto:hcinfo@usac.org"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