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E5884" w:rsidRPr="00B02A93" w:rsidP="75796D0F" w14:paraId="488ACC90" w14:textId="77777777">
      <w:pPr>
        <w:jc w:val="right"/>
        <w:rPr>
          <w:sz w:val="24"/>
          <w:szCs w:val="24"/>
        </w:rPr>
      </w:pPr>
      <w:r w:rsidRPr="00B02A93">
        <w:rPr>
          <w:sz w:val="24"/>
          <w:szCs w:val="24"/>
        </w:rPr>
        <w:t xml:space="preserve"> </w:t>
      </w:r>
    </w:p>
    <w:p w:rsidR="005614FA" w:rsidRPr="00B02A93" w:rsidP="005614FA" w14:paraId="0FD68AC1" w14:textId="347D7392">
      <w:pPr>
        <w:widowControl/>
        <w:suppressAutoHyphens/>
        <w:jc w:val="right"/>
        <w:rPr>
          <w:b/>
        </w:rPr>
      </w:pPr>
      <w:r w:rsidRPr="00B02A93">
        <w:rPr>
          <w:b/>
        </w:rPr>
        <w:t xml:space="preserve">DA </w:t>
      </w:r>
      <w:r w:rsidR="00AF0EFB">
        <w:rPr>
          <w:b/>
        </w:rPr>
        <w:t>2</w:t>
      </w:r>
      <w:r w:rsidR="00EB64DF">
        <w:rPr>
          <w:b/>
        </w:rPr>
        <w:t>2</w:t>
      </w:r>
      <w:r w:rsidR="00F70890">
        <w:rPr>
          <w:b/>
        </w:rPr>
        <w:t>-</w:t>
      </w:r>
      <w:r w:rsidR="00A143B2">
        <w:rPr>
          <w:b/>
        </w:rPr>
        <w:t>390</w:t>
      </w:r>
    </w:p>
    <w:p w:rsidR="005614FA" w:rsidRPr="00B02A93" w:rsidP="005614FA" w14:paraId="3495CACE" w14:textId="78CAD08F">
      <w:pPr>
        <w:widowControl/>
        <w:suppressAutoHyphens/>
        <w:spacing w:after="240"/>
        <w:jc w:val="right"/>
        <w:rPr>
          <w:b/>
        </w:rPr>
      </w:pPr>
      <w:r w:rsidRPr="00B02A93">
        <w:rPr>
          <w:b/>
        </w:rPr>
        <w:t xml:space="preserve">Released:  </w:t>
      </w:r>
      <w:r w:rsidR="00412D50">
        <w:rPr>
          <w:b/>
        </w:rPr>
        <w:t xml:space="preserve">April </w:t>
      </w:r>
      <w:r w:rsidR="00A143B2">
        <w:rPr>
          <w:b/>
        </w:rPr>
        <w:t>8</w:t>
      </w:r>
      <w:r w:rsidR="009C21B4">
        <w:rPr>
          <w:b/>
        </w:rPr>
        <w:t>, 202</w:t>
      </w:r>
      <w:r w:rsidR="00BB1F6B">
        <w:rPr>
          <w:b/>
        </w:rPr>
        <w:t>2</w:t>
      </w:r>
    </w:p>
    <w:p w:rsidR="00242F44" w:rsidRPr="00B02A93" w:rsidP="005614FA" w14:paraId="71921F9E" w14:textId="77777777">
      <w:pPr>
        <w:autoSpaceDE w:val="0"/>
        <w:autoSpaceDN w:val="0"/>
        <w:adjustRightInd w:val="0"/>
        <w:jc w:val="center"/>
        <w:rPr>
          <w:b/>
          <w:szCs w:val="22"/>
        </w:rPr>
      </w:pPr>
      <w:r w:rsidRPr="00B02A93">
        <w:rPr>
          <w:b/>
          <w:szCs w:val="22"/>
        </w:rPr>
        <w:t xml:space="preserve">DOMESTIC </w:t>
      </w:r>
      <w:r w:rsidR="003A2225">
        <w:rPr>
          <w:b/>
          <w:szCs w:val="22"/>
        </w:rPr>
        <w:t xml:space="preserve">SECTION </w:t>
      </w:r>
      <w:r w:rsidRPr="00B02A93">
        <w:rPr>
          <w:b/>
          <w:szCs w:val="22"/>
        </w:rPr>
        <w:t xml:space="preserve">214 </w:t>
      </w:r>
      <w:r w:rsidRPr="00B02A93" w:rsidR="00C31891">
        <w:rPr>
          <w:b/>
          <w:szCs w:val="22"/>
        </w:rPr>
        <w:t>APPLICATION</w:t>
      </w:r>
      <w:r w:rsidRPr="00B02A93" w:rsidR="0054043D">
        <w:rPr>
          <w:b/>
          <w:szCs w:val="22"/>
        </w:rPr>
        <w:t xml:space="preserve"> G</w:t>
      </w:r>
      <w:r w:rsidRPr="00B02A93" w:rsidR="00C31891">
        <w:rPr>
          <w:b/>
          <w:szCs w:val="22"/>
        </w:rPr>
        <w:t xml:space="preserve">RANTED FOR </w:t>
      </w:r>
    </w:p>
    <w:p w:rsidR="00C84CB7" w:rsidP="00A21F33" w14:paraId="1577847E" w14:textId="356D9A8C">
      <w:pPr>
        <w:jc w:val="center"/>
        <w:rPr>
          <w:b/>
          <w:bCs/>
          <w:szCs w:val="22"/>
        </w:rPr>
      </w:pPr>
      <w:r w:rsidRPr="00B02A93">
        <w:rPr>
          <w:b/>
          <w:szCs w:val="22"/>
        </w:rPr>
        <w:t xml:space="preserve">THE TRANSFER OF CONTROL OF </w:t>
      </w:r>
      <w:r w:rsidR="002868B5">
        <w:rPr>
          <w:b/>
          <w:szCs w:val="22"/>
        </w:rPr>
        <w:t>NTS COMMUNICATIONS, LLC D/B/A VEXUS FIBER</w:t>
      </w:r>
      <w:r>
        <w:rPr>
          <w:b/>
          <w:bCs/>
          <w:szCs w:val="22"/>
        </w:rPr>
        <w:t xml:space="preserve"> TO </w:t>
      </w:r>
      <w:r w:rsidR="002868B5">
        <w:rPr>
          <w:b/>
          <w:bCs/>
          <w:szCs w:val="22"/>
        </w:rPr>
        <w:t>Q-COMM PYTHON CORPORATION</w:t>
      </w:r>
    </w:p>
    <w:p w:rsidR="005614FA" w:rsidRPr="00B02A93" w:rsidP="0084412A" w14:paraId="2522965D" w14:textId="77777777">
      <w:pPr>
        <w:autoSpaceDE w:val="0"/>
        <w:autoSpaceDN w:val="0"/>
        <w:adjustRightInd w:val="0"/>
        <w:rPr>
          <w:b/>
          <w:szCs w:val="22"/>
        </w:rPr>
      </w:pPr>
    </w:p>
    <w:p w:rsidR="005614FA" w:rsidRPr="00B02A93" w:rsidP="005614FA" w14:paraId="3AEF374A" w14:textId="47472171">
      <w:pPr>
        <w:autoSpaceDE w:val="0"/>
        <w:autoSpaceDN w:val="0"/>
        <w:adjustRightInd w:val="0"/>
        <w:jc w:val="center"/>
        <w:rPr>
          <w:b/>
          <w:szCs w:val="22"/>
        </w:rPr>
      </w:pPr>
      <w:r w:rsidRPr="00B02A93">
        <w:rPr>
          <w:b/>
          <w:szCs w:val="22"/>
        </w:rPr>
        <w:t xml:space="preserve">WC Docket No. </w:t>
      </w:r>
      <w:r w:rsidRPr="00B02A93" w:rsidR="00207939">
        <w:rPr>
          <w:b/>
          <w:szCs w:val="22"/>
        </w:rPr>
        <w:t>2</w:t>
      </w:r>
      <w:r w:rsidR="008D53AB">
        <w:rPr>
          <w:b/>
          <w:szCs w:val="22"/>
        </w:rPr>
        <w:t>2</w:t>
      </w:r>
      <w:r w:rsidRPr="00B02A93" w:rsidR="001E397D">
        <w:rPr>
          <w:b/>
          <w:szCs w:val="22"/>
        </w:rPr>
        <w:t>-</w:t>
      </w:r>
      <w:r w:rsidR="00F70890">
        <w:rPr>
          <w:b/>
          <w:szCs w:val="22"/>
        </w:rPr>
        <w:t>5</w:t>
      </w:r>
      <w:r w:rsidR="008D53AB">
        <w:rPr>
          <w:b/>
          <w:szCs w:val="22"/>
        </w:rPr>
        <w:t>8</w:t>
      </w:r>
    </w:p>
    <w:p w:rsidR="005614FA" w:rsidRPr="00B02A93" w:rsidP="005614FA" w14:paraId="0628F2FE" w14:textId="77777777">
      <w:pPr>
        <w:widowControl/>
        <w:suppressAutoHyphens/>
        <w:rPr>
          <w:b/>
        </w:rPr>
      </w:pPr>
    </w:p>
    <w:p w:rsidR="00BC1B9F" w:rsidP="00C543F9" w14:paraId="31D23C11" w14:textId="033193FC">
      <w:pPr>
        <w:widowControl/>
        <w:autoSpaceDE w:val="0"/>
        <w:autoSpaceDN w:val="0"/>
        <w:adjustRightInd w:val="0"/>
        <w:spacing w:after="120"/>
        <w:ind w:firstLine="720"/>
        <w:rPr>
          <w:snapToGrid/>
          <w:kern w:val="0"/>
          <w:szCs w:val="22"/>
        </w:rPr>
      </w:pPr>
      <w:r w:rsidRPr="00B02A93">
        <w:rPr>
          <w:snapToGrid/>
          <w:kern w:val="0"/>
          <w:szCs w:val="22"/>
        </w:rPr>
        <w:t>By this Public Notice, the Wireline Competition Bureau</w:t>
      </w:r>
      <w:r w:rsidR="00756EBC">
        <w:rPr>
          <w:snapToGrid/>
          <w:kern w:val="0"/>
          <w:szCs w:val="22"/>
        </w:rPr>
        <w:t xml:space="preserve"> </w:t>
      </w:r>
      <w:r w:rsidR="002958B1">
        <w:rPr>
          <w:snapToGrid/>
          <w:kern w:val="0"/>
          <w:szCs w:val="22"/>
        </w:rPr>
        <w:t xml:space="preserve">(Bureau) </w:t>
      </w:r>
      <w:r w:rsidRPr="00B02A93">
        <w:rPr>
          <w:snapToGrid/>
          <w:kern w:val="0"/>
          <w:szCs w:val="22"/>
        </w:rPr>
        <w:t>grant</w:t>
      </w:r>
      <w:r w:rsidR="00257E30">
        <w:rPr>
          <w:snapToGrid/>
          <w:kern w:val="0"/>
          <w:szCs w:val="22"/>
        </w:rPr>
        <w:t>s</w:t>
      </w:r>
      <w:r w:rsidRPr="00B02A93">
        <w:rPr>
          <w:snapToGrid/>
          <w:kern w:val="0"/>
          <w:szCs w:val="22"/>
        </w:rPr>
        <w:t xml:space="preserve"> </w:t>
      </w:r>
      <w:r w:rsidRPr="00B02A93" w:rsidR="008774D9">
        <w:rPr>
          <w:snapToGrid/>
          <w:kern w:val="0"/>
          <w:szCs w:val="22"/>
        </w:rPr>
        <w:t>a</w:t>
      </w:r>
      <w:r w:rsidR="00135644">
        <w:rPr>
          <w:snapToGrid/>
          <w:kern w:val="0"/>
          <w:szCs w:val="22"/>
        </w:rPr>
        <w:t>n</w:t>
      </w:r>
      <w:r w:rsidR="00C84CB7">
        <w:rPr>
          <w:snapToGrid/>
          <w:kern w:val="0"/>
          <w:szCs w:val="22"/>
        </w:rPr>
        <w:t xml:space="preserve"> </w:t>
      </w:r>
      <w:r w:rsidRPr="00B02A93" w:rsidR="008774D9">
        <w:rPr>
          <w:snapToGrid/>
          <w:kern w:val="0"/>
          <w:szCs w:val="22"/>
        </w:rPr>
        <w:t>application</w:t>
      </w:r>
      <w:r w:rsidR="00213050">
        <w:rPr>
          <w:snapToGrid/>
          <w:kern w:val="0"/>
          <w:szCs w:val="22"/>
        </w:rPr>
        <w:t>,</w:t>
      </w:r>
      <w:r w:rsidRPr="00B02A93" w:rsidR="008774D9">
        <w:rPr>
          <w:snapToGrid/>
          <w:kern w:val="0"/>
          <w:szCs w:val="22"/>
        </w:rPr>
        <w:t xml:space="preserve"> </w:t>
      </w:r>
      <w:r w:rsidRPr="00BC1B9F">
        <w:rPr>
          <w:snapToGrid/>
          <w:kern w:val="0"/>
          <w:szCs w:val="22"/>
        </w:rPr>
        <w:t xml:space="preserve">filed by </w:t>
      </w:r>
      <w:bookmarkStart w:id="0" w:name="_Hlk87961388"/>
      <w:bookmarkStart w:id="1" w:name="_Hlk73713070"/>
      <w:bookmarkStart w:id="2" w:name="_Hlk67917977"/>
      <w:r w:rsidRPr="00BC1B9F">
        <w:rPr>
          <w:snapToGrid/>
          <w:kern w:val="0"/>
          <w:szCs w:val="22"/>
        </w:rPr>
        <w:t xml:space="preserve">Python Holdings GP, LLC (Python Holdings), NTS Communications, LLC d/b/a Vexus Fiber (Vexus), and Q-Comm Python Corporation (Q-Comm) </w:t>
      </w:r>
      <w:bookmarkEnd w:id="0"/>
      <w:r w:rsidRPr="00BC1B9F">
        <w:rPr>
          <w:snapToGrid/>
          <w:kern w:val="0"/>
          <w:szCs w:val="22"/>
        </w:rPr>
        <w:t>(collectively, Applicants), pursuant to section 214 of the Communications Act of 1934, as amended, and sections 63.03-04 of the Commission’s rules, requesting consent to consummate a transaction through which Q-Comm will acquire all of the equity of Vexus</w:t>
      </w:r>
      <w:r w:rsidR="006E2DB5">
        <w:rPr>
          <w:snapToGrid/>
          <w:kern w:val="0"/>
          <w:szCs w:val="22"/>
        </w:rPr>
        <w:t>’</w:t>
      </w:r>
      <w:r w:rsidRPr="00BC1B9F">
        <w:rPr>
          <w:snapToGrid/>
          <w:kern w:val="0"/>
          <w:szCs w:val="22"/>
        </w:rPr>
        <w:t xml:space="preserve"> indirect parent company.</w:t>
      </w:r>
      <w:bookmarkStart w:id="3" w:name="_Hlk72758776"/>
      <w:bookmarkEnd w:id="1"/>
      <w:bookmarkEnd w:id="2"/>
      <w:r>
        <w:rPr>
          <w:snapToGrid/>
          <w:kern w:val="0"/>
          <w:szCs w:val="22"/>
          <w:vertAlign w:val="superscript"/>
        </w:rPr>
        <w:footnoteReference w:id="3"/>
      </w:r>
      <w:bookmarkEnd w:id="3"/>
      <w:r w:rsidRPr="00BC1B9F">
        <w:rPr>
          <w:snapToGrid/>
          <w:kern w:val="0"/>
          <w:szCs w:val="22"/>
        </w:rPr>
        <w:t xml:space="preserve">  </w:t>
      </w:r>
    </w:p>
    <w:p w:rsidR="005614FA" w:rsidRPr="00B02A93" w:rsidP="00C543F9" w14:paraId="26B25586" w14:textId="46CA8869">
      <w:pPr>
        <w:widowControl/>
        <w:autoSpaceDE w:val="0"/>
        <w:autoSpaceDN w:val="0"/>
        <w:adjustRightInd w:val="0"/>
        <w:spacing w:after="120"/>
        <w:ind w:firstLine="720"/>
        <w:rPr>
          <w:snapToGrid/>
          <w:kern w:val="0"/>
          <w:szCs w:val="22"/>
        </w:rPr>
      </w:pPr>
      <w:r w:rsidRPr="00B02A93">
        <w:rPr>
          <w:szCs w:val="22"/>
        </w:rPr>
        <w:t xml:space="preserve">On </w:t>
      </w:r>
      <w:r w:rsidR="00BB1F6B">
        <w:rPr>
          <w:szCs w:val="22"/>
        </w:rPr>
        <w:t>February 25, 2022,</w:t>
      </w:r>
      <w:r w:rsidRPr="00B02A93">
        <w:rPr>
          <w:szCs w:val="22"/>
        </w:rPr>
        <w:t xml:space="preserve"> the Bureau released a public notice seeking comment on the Application.</w:t>
      </w:r>
      <w:r>
        <w:rPr>
          <w:rStyle w:val="FootnoteReference"/>
          <w:szCs w:val="22"/>
        </w:rPr>
        <w:footnoteReference w:id="4"/>
      </w:r>
      <w:r w:rsidRPr="00B02A93">
        <w:rPr>
          <w:szCs w:val="22"/>
        </w:rPr>
        <w:t xml:space="preserve">  </w:t>
      </w:r>
      <w:r w:rsidRPr="00B02A93" w:rsidR="00AB3596">
        <w:rPr>
          <w:szCs w:val="22"/>
        </w:rPr>
        <w:t xml:space="preserve"> The Bureau </w:t>
      </w:r>
      <w:r w:rsidRPr="00B02A93">
        <w:rPr>
          <w:szCs w:val="22"/>
        </w:rPr>
        <w:t>did not receive comments or petitions in opposition</w:t>
      </w:r>
      <w:r w:rsidR="002F7521">
        <w:rPr>
          <w:szCs w:val="22"/>
        </w:rPr>
        <w:t xml:space="preserve"> to </w:t>
      </w:r>
      <w:r w:rsidR="002078B3">
        <w:rPr>
          <w:szCs w:val="22"/>
        </w:rPr>
        <w:t xml:space="preserve">the </w:t>
      </w:r>
      <w:r w:rsidRPr="00B02A93">
        <w:rPr>
          <w:szCs w:val="22"/>
        </w:rPr>
        <w:t>Application.</w:t>
      </w:r>
      <w:r w:rsidRPr="00B02A93" w:rsidR="0085777F">
        <w:rPr>
          <w:snapToGrid/>
          <w:kern w:val="0"/>
          <w:szCs w:val="22"/>
        </w:rPr>
        <w:t xml:space="preserve"> </w:t>
      </w:r>
    </w:p>
    <w:p w:rsidR="008D5B54" w:rsidRPr="00B02A93" w:rsidP="00132378" w14:paraId="2287C209" w14:textId="77777777">
      <w:pPr>
        <w:widowControl/>
        <w:autoSpaceDE w:val="0"/>
        <w:autoSpaceDN w:val="0"/>
        <w:adjustRightInd w:val="0"/>
        <w:spacing w:after="120"/>
        <w:rPr>
          <w:b/>
          <w:bCs/>
          <w:snapToGrid/>
          <w:kern w:val="0"/>
          <w:szCs w:val="22"/>
          <w:u w:val="single"/>
        </w:rPr>
      </w:pPr>
      <w:r w:rsidRPr="00B02A93">
        <w:rPr>
          <w:b/>
          <w:bCs/>
          <w:snapToGrid/>
          <w:kern w:val="0"/>
          <w:szCs w:val="22"/>
          <w:u w:val="single"/>
        </w:rPr>
        <w:t>Applicants and Description of Transaction</w:t>
      </w:r>
    </w:p>
    <w:p w:rsidR="00BA3B64" w:rsidP="00BA3B64" w14:paraId="207E5842" w14:textId="55B33AD5">
      <w:pPr>
        <w:widowControl/>
        <w:autoSpaceDE w:val="0"/>
        <w:autoSpaceDN w:val="0"/>
        <w:adjustRightInd w:val="0"/>
        <w:spacing w:after="120"/>
        <w:ind w:firstLine="720"/>
        <w:rPr>
          <w:szCs w:val="22"/>
        </w:rPr>
      </w:pPr>
      <w:r w:rsidRPr="00317210">
        <w:rPr>
          <w:snapToGrid/>
          <w:kern w:val="0"/>
          <w:szCs w:val="22"/>
        </w:rPr>
        <w:t>Python Holdings is a holding company and the 100% general partner of Python Holdings, L.P. (Parent), a Delaware limited partnership.</w:t>
      </w:r>
      <w:r>
        <w:rPr>
          <w:snapToGrid/>
          <w:kern w:val="0"/>
          <w:szCs w:val="22"/>
          <w:vertAlign w:val="superscript"/>
        </w:rPr>
        <w:footnoteReference w:id="5"/>
      </w:r>
      <w:r w:rsidRPr="00317210">
        <w:rPr>
          <w:snapToGrid/>
          <w:kern w:val="0"/>
          <w:szCs w:val="22"/>
        </w:rPr>
        <w:t xml:space="preserve">  Parent wholly</w:t>
      </w:r>
      <w:r w:rsidR="00826ECA">
        <w:rPr>
          <w:snapToGrid/>
          <w:kern w:val="0"/>
          <w:szCs w:val="22"/>
        </w:rPr>
        <w:t>-</w:t>
      </w:r>
      <w:r w:rsidRPr="00317210">
        <w:rPr>
          <w:snapToGrid/>
          <w:kern w:val="0"/>
          <w:szCs w:val="22"/>
        </w:rPr>
        <w:t xml:space="preserve">owns NTS Communications Holdings, LLC, a </w:t>
      </w:r>
      <w:r w:rsidRPr="00317210">
        <w:rPr>
          <w:snapToGrid/>
          <w:kern w:val="0"/>
          <w:szCs w:val="22"/>
        </w:rPr>
        <w:t>Delaware holding company, which wholly</w:t>
      </w:r>
      <w:r w:rsidR="00826ECA">
        <w:rPr>
          <w:snapToGrid/>
          <w:kern w:val="0"/>
          <w:szCs w:val="22"/>
        </w:rPr>
        <w:t>-</w:t>
      </w:r>
      <w:r w:rsidRPr="00317210">
        <w:rPr>
          <w:snapToGrid/>
          <w:kern w:val="0"/>
          <w:szCs w:val="22"/>
        </w:rPr>
        <w:t>owns Vexus, a Delaware limited liability company.</w:t>
      </w:r>
      <w:r>
        <w:rPr>
          <w:snapToGrid/>
          <w:kern w:val="0"/>
          <w:szCs w:val="22"/>
          <w:vertAlign w:val="superscript"/>
        </w:rPr>
        <w:footnoteReference w:id="6"/>
      </w:r>
      <w:r w:rsidRPr="00317210">
        <w:rPr>
          <w:snapToGrid/>
          <w:kern w:val="0"/>
          <w:szCs w:val="22"/>
        </w:rPr>
        <w:t xml:space="preserve">  Python Holdings does not provide telecommunications services.</w:t>
      </w:r>
      <w:r>
        <w:rPr>
          <w:snapToGrid/>
          <w:kern w:val="0"/>
          <w:szCs w:val="22"/>
          <w:vertAlign w:val="superscript"/>
        </w:rPr>
        <w:footnoteReference w:id="7"/>
      </w:r>
      <w:r w:rsidRPr="00317210">
        <w:rPr>
          <w:snapToGrid/>
          <w:kern w:val="0"/>
          <w:szCs w:val="22"/>
        </w:rPr>
        <w:t xml:space="preserve"> </w:t>
      </w:r>
      <w:r w:rsidRPr="00BB5D60" w:rsidR="00CF0F77">
        <w:rPr>
          <w:snapToGrid/>
          <w:kern w:val="0"/>
          <w:szCs w:val="22"/>
          <w:highlight w:val="yellow"/>
        </w:rPr>
        <w:t xml:space="preserve">  </w:t>
      </w:r>
      <w:r w:rsidR="00CF0F77">
        <w:rPr>
          <w:szCs w:val="22"/>
        </w:rPr>
        <w:t xml:space="preserve"> </w:t>
      </w:r>
    </w:p>
    <w:p w:rsidR="00BA3B64" w:rsidRPr="00BA3B64" w:rsidP="00BA3B64" w14:paraId="63F3248C" w14:textId="0D3DA36E">
      <w:pPr>
        <w:widowControl/>
        <w:autoSpaceDE w:val="0"/>
        <w:autoSpaceDN w:val="0"/>
        <w:adjustRightInd w:val="0"/>
        <w:spacing w:after="120"/>
        <w:ind w:firstLine="720"/>
        <w:rPr>
          <w:snapToGrid/>
          <w:kern w:val="0"/>
          <w:szCs w:val="22"/>
        </w:rPr>
      </w:pPr>
      <w:r w:rsidRPr="0067296B">
        <w:rPr>
          <w:snapToGrid/>
          <w:color w:val="000000"/>
          <w:kern w:val="0"/>
          <w:szCs w:val="22"/>
        </w:rPr>
        <w:t>Vexus</w:t>
      </w:r>
      <w:r w:rsidR="00BB1F6B">
        <w:rPr>
          <w:snapToGrid/>
          <w:color w:val="000000"/>
          <w:kern w:val="0"/>
          <w:szCs w:val="22"/>
        </w:rPr>
        <w:t xml:space="preserve"> is</w:t>
      </w:r>
      <w:r w:rsidRPr="0067296B">
        <w:rPr>
          <w:snapToGrid/>
          <w:color w:val="000000"/>
          <w:kern w:val="0"/>
          <w:szCs w:val="22"/>
        </w:rPr>
        <w:t xml:space="preserve"> a competitive local exchange carrier (LEC) authorized</w:t>
      </w:r>
      <w:r w:rsidR="00C7652B">
        <w:rPr>
          <w:snapToGrid/>
          <w:color w:val="000000"/>
          <w:kern w:val="0"/>
          <w:szCs w:val="22"/>
        </w:rPr>
        <w:t xml:space="preserve"> to provide service</w:t>
      </w:r>
      <w:r w:rsidRPr="0067296B">
        <w:rPr>
          <w:snapToGrid/>
          <w:color w:val="000000"/>
          <w:kern w:val="0"/>
          <w:szCs w:val="22"/>
        </w:rPr>
        <w:t xml:space="preserve"> in Texas and Louisiana.</w:t>
      </w:r>
      <w:r>
        <w:rPr>
          <w:snapToGrid/>
          <w:color w:val="000000"/>
          <w:kern w:val="0"/>
          <w:szCs w:val="22"/>
          <w:vertAlign w:val="superscript"/>
        </w:rPr>
        <w:footnoteReference w:id="8"/>
      </w:r>
      <w:r w:rsidRPr="0067296B">
        <w:rPr>
          <w:snapToGrid/>
          <w:color w:val="000000"/>
          <w:kern w:val="0"/>
          <w:szCs w:val="22"/>
        </w:rPr>
        <w:t xml:space="preserve"> </w:t>
      </w:r>
      <w:r w:rsidR="004F2948">
        <w:rPr>
          <w:snapToGrid/>
          <w:color w:val="000000"/>
          <w:kern w:val="0"/>
          <w:szCs w:val="22"/>
        </w:rPr>
        <w:t xml:space="preserve"> </w:t>
      </w:r>
      <w:r w:rsidR="00BB1F6B">
        <w:rPr>
          <w:snapToGrid/>
          <w:color w:val="000000"/>
          <w:kern w:val="0"/>
          <w:szCs w:val="22"/>
        </w:rPr>
        <w:t>It</w:t>
      </w:r>
      <w:r w:rsidRPr="0067296B">
        <w:rPr>
          <w:snapToGrid/>
          <w:color w:val="000000"/>
          <w:kern w:val="0"/>
          <w:szCs w:val="22"/>
        </w:rPr>
        <w:t xml:space="preserve"> also provides interexchange services and other services in Texas, Louisiana, New Mexico, and Arizona (Vexus Operating States).</w:t>
      </w:r>
      <w:r>
        <w:rPr>
          <w:snapToGrid/>
          <w:color w:val="000000"/>
          <w:kern w:val="0"/>
          <w:szCs w:val="22"/>
          <w:vertAlign w:val="superscript"/>
        </w:rPr>
        <w:footnoteReference w:id="9"/>
      </w:r>
      <w:r w:rsidRPr="0067296B">
        <w:rPr>
          <w:snapToGrid/>
          <w:color w:val="000000"/>
          <w:kern w:val="0"/>
          <w:szCs w:val="22"/>
        </w:rPr>
        <w:t xml:space="preserve">  Vexus is an eligible telecommunications carrier (ETC) in Louisiana and Texas.</w:t>
      </w:r>
      <w:r>
        <w:rPr>
          <w:snapToGrid/>
          <w:color w:val="000000"/>
          <w:kern w:val="0"/>
          <w:szCs w:val="22"/>
          <w:vertAlign w:val="superscript"/>
        </w:rPr>
        <w:footnoteReference w:id="10"/>
      </w:r>
      <w:r w:rsidRPr="0067296B">
        <w:rPr>
          <w:snapToGrid/>
          <w:color w:val="000000"/>
          <w:kern w:val="0"/>
          <w:szCs w:val="22"/>
        </w:rPr>
        <w:t xml:space="preserve">  </w:t>
      </w:r>
      <w:r w:rsidR="00BB1F6B">
        <w:rPr>
          <w:snapToGrid/>
          <w:color w:val="000000"/>
          <w:kern w:val="0"/>
          <w:szCs w:val="22"/>
        </w:rPr>
        <w:t>It</w:t>
      </w:r>
      <w:r w:rsidRPr="0067296B">
        <w:rPr>
          <w:snapToGrid/>
          <w:color w:val="000000"/>
          <w:kern w:val="0"/>
          <w:szCs w:val="22"/>
        </w:rPr>
        <w:t xml:space="preserve"> is a recipient of frozen high-cost Universal Service Fund support in Texas, and provides Lifeline and Emergency Broadband Benefit</w:t>
      </w:r>
      <w:r w:rsidR="00E14896">
        <w:rPr>
          <w:snapToGrid/>
          <w:color w:val="000000"/>
          <w:kern w:val="0"/>
          <w:szCs w:val="22"/>
        </w:rPr>
        <w:t xml:space="preserve"> (EBB)</w:t>
      </w:r>
      <w:r w:rsidRPr="0067296B">
        <w:rPr>
          <w:snapToGrid/>
          <w:color w:val="000000"/>
          <w:kern w:val="0"/>
          <w:szCs w:val="22"/>
        </w:rPr>
        <w:t xml:space="preserve"> </w:t>
      </w:r>
      <w:r w:rsidR="005B421A">
        <w:rPr>
          <w:snapToGrid/>
          <w:color w:val="000000"/>
          <w:kern w:val="0"/>
          <w:szCs w:val="22"/>
        </w:rPr>
        <w:t xml:space="preserve">/Affordable Connectivity Program (ACP) </w:t>
      </w:r>
      <w:r w:rsidRPr="0067296B">
        <w:rPr>
          <w:snapToGrid/>
          <w:color w:val="000000"/>
          <w:kern w:val="0"/>
          <w:szCs w:val="22"/>
        </w:rPr>
        <w:t>services to customers in Texas and Louisiana.</w:t>
      </w:r>
      <w:r>
        <w:rPr>
          <w:snapToGrid/>
          <w:color w:val="000000"/>
          <w:kern w:val="0"/>
          <w:szCs w:val="22"/>
          <w:vertAlign w:val="superscript"/>
        </w:rPr>
        <w:footnoteReference w:id="11"/>
      </w:r>
      <w:r w:rsidRPr="0067296B">
        <w:rPr>
          <w:snapToGrid/>
          <w:color w:val="000000"/>
          <w:kern w:val="0"/>
          <w:szCs w:val="22"/>
        </w:rPr>
        <w:t xml:space="preserve">  Vexus participated in</w:t>
      </w:r>
      <w:r w:rsidR="002867ED">
        <w:rPr>
          <w:snapToGrid/>
          <w:color w:val="000000"/>
          <w:kern w:val="0"/>
          <w:szCs w:val="22"/>
        </w:rPr>
        <w:t>,</w:t>
      </w:r>
      <w:r w:rsidRPr="0067296B">
        <w:rPr>
          <w:snapToGrid/>
          <w:color w:val="000000"/>
          <w:kern w:val="0"/>
          <w:szCs w:val="22"/>
        </w:rPr>
        <w:t xml:space="preserve"> and won</w:t>
      </w:r>
      <w:r w:rsidR="002867ED">
        <w:rPr>
          <w:snapToGrid/>
          <w:color w:val="000000"/>
          <w:kern w:val="0"/>
          <w:szCs w:val="22"/>
        </w:rPr>
        <w:t>,</w:t>
      </w:r>
      <w:r w:rsidRPr="0067296B">
        <w:rPr>
          <w:snapToGrid/>
          <w:color w:val="000000"/>
          <w:kern w:val="0"/>
          <w:szCs w:val="22"/>
        </w:rPr>
        <w:t xml:space="preserve"> the rights to provide service to 13 locations in Texas</w:t>
      </w:r>
      <w:r w:rsidR="0084449D">
        <w:rPr>
          <w:snapToGrid/>
          <w:color w:val="000000"/>
          <w:kern w:val="0"/>
          <w:szCs w:val="22"/>
        </w:rPr>
        <w:t xml:space="preserve"> </w:t>
      </w:r>
      <w:r w:rsidRPr="0067296B">
        <w:rPr>
          <w:snapToGrid/>
          <w:color w:val="000000"/>
          <w:kern w:val="0"/>
          <w:szCs w:val="22"/>
        </w:rPr>
        <w:t>through Phase I of the Rural Digital Opportunity Fund (RDOF) Auction.</w:t>
      </w:r>
      <w:r>
        <w:rPr>
          <w:snapToGrid/>
          <w:color w:val="000000"/>
          <w:kern w:val="0"/>
          <w:szCs w:val="22"/>
          <w:vertAlign w:val="superscript"/>
        </w:rPr>
        <w:footnoteReference w:id="12"/>
      </w:r>
    </w:p>
    <w:p w:rsidR="00C84CB7" w:rsidP="00BA3B64" w14:paraId="1A6438FC" w14:textId="1E088B4B">
      <w:pPr>
        <w:widowControl/>
        <w:autoSpaceDE w:val="0"/>
        <w:autoSpaceDN w:val="0"/>
        <w:adjustRightInd w:val="0"/>
        <w:ind w:firstLine="720"/>
        <w:rPr>
          <w:snapToGrid/>
          <w:kern w:val="0"/>
          <w:szCs w:val="22"/>
        </w:rPr>
      </w:pPr>
      <w:r w:rsidRPr="0067296B">
        <w:rPr>
          <w:snapToGrid/>
          <w:kern w:val="0"/>
          <w:szCs w:val="22"/>
        </w:rPr>
        <w:t>Q-Comm, a Delaware holding company, is an indirect, wholly</w:t>
      </w:r>
      <w:r w:rsidR="00826ECA">
        <w:rPr>
          <w:snapToGrid/>
          <w:kern w:val="0"/>
          <w:szCs w:val="22"/>
        </w:rPr>
        <w:t>-</w:t>
      </w:r>
      <w:r w:rsidRPr="0067296B">
        <w:rPr>
          <w:snapToGrid/>
          <w:kern w:val="0"/>
          <w:szCs w:val="22"/>
        </w:rPr>
        <w:t>owned subsidiary of MetroNet Holdings, LLC (MetroNet Holdings).</w:t>
      </w:r>
      <w:r>
        <w:rPr>
          <w:snapToGrid/>
          <w:kern w:val="0"/>
          <w:szCs w:val="22"/>
          <w:vertAlign w:val="superscript"/>
        </w:rPr>
        <w:footnoteReference w:id="13"/>
      </w:r>
      <w:r w:rsidRPr="0067296B">
        <w:rPr>
          <w:snapToGrid/>
          <w:kern w:val="0"/>
          <w:szCs w:val="22"/>
        </w:rPr>
        <w:t xml:space="preserve">  MetroNet Holdings, a Delaware corporation, provides, through its direct and indirect, wholly</w:t>
      </w:r>
      <w:r w:rsidR="00826ECA">
        <w:rPr>
          <w:snapToGrid/>
          <w:kern w:val="0"/>
          <w:szCs w:val="22"/>
        </w:rPr>
        <w:t>-</w:t>
      </w:r>
      <w:r w:rsidRPr="0067296B">
        <w:rPr>
          <w:snapToGrid/>
          <w:kern w:val="0"/>
          <w:szCs w:val="22"/>
        </w:rPr>
        <w:t>owned subsidiaries domestic telecommunications services, VoIP services, broadband services, and multichannel video programming services in certain portions of Florida, Illinois, Indiana, Iowa, Kentucky, Michigan, Minnesota, North Carolina, Ohio and Wisconsin.</w:t>
      </w:r>
      <w:r>
        <w:rPr>
          <w:snapToGrid/>
          <w:kern w:val="0"/>
          <w:szCs w:val="22"/>
          <w:vertAlign w:val="superscript"/>
        </w:rPr>
        <w:footnoteReference w:id="14"/>
      </w:r>
      <w:r w:rsidRPr="0067296B">
        <w:rPr>
          <w:snapToGrid/>
          <w:kern w:val="0"/>
          <w:szCs w:val="22"/>
        </w:rPr>
        <w:t xml:space="preserve">  Through its MetroNet Holdings ownership, Q-Comm is affiliated with </w:t>
      </w:r>
      <w:r w:rsidRPr="0067296B">
        <w:rPr>
          <w:szCs w:val="22"/>
        </w:rPr>
        <w:t>the following U.S.-based entities:  Climax, an incumbent LEC and competitive LEC in Michigan; CMN-RUS, Inc., a competitive LEC and interexchange carrier in Indiana and Kentucky; Jaguar Communications, Inc., a competitive LEC and interexchange provider in Minnesota;</w:t>
      </w:r>
      <w:r w:rsidRPr="0067296B">
        <w:rPr>
          <w:snapToGrid/>
          <w:kern w:val="0"/>
          <w:szCs w:val="22"/>
          <w:vertAlign w:val="superscript"/>
        </w:rPr>
        <w:t xml:space="preserve"> </w:t>
      </w:r>
      <w:r w:rsidRPr="0067296B">
        <w:rPr>
          <w:szCs w:val="22"/>
        </w:rPr>
        <w:t>and Metro FiberNet, LLC (MFN), a competitive LEC and interexchange provider in Florida, Illinois, Indiana, Iowa, Kentucky, Michigan, Minnesota, Missouri, North Carolina, Texas, Wisconsin, and Virginia.</w:t>
      </w:r>
      <w:r>
        <w:rPr>
          <w:szCs w:val="22"/>
          <w:vertAlign w:val="superscript"/>
        </w:rPr>
        <w:footnoteReference w:id="15"/>
      </w:r>
      <w:r w:rsidRPr="0067296B">
        <w:rPr>
          <w:szCs w:val="22"/>
        </w:rPr>
        <w:t xml:space="preserve">  </w:t>
      </w:r>
      <w:bookmarkStart w:id="10" w:name="_Hlk98924238"/>
      <w:r w:rsidRPr="0067296B">
        <w:rPr>
          <w:snapToGrid/>
          <w:kern w:val="0"/>
          <w:szCs w:val="22"/>
        </w:rPr>
        <w:t>The operating areas of MetroNet Holdings’ subsidiaries do not currently overlap with the areas in which Vexus operates.</w:t>
      </w:r>
      <w:r>
        <w:rPr>
          <w:snapToGrid/>
          <w:kern w:val="0"/>
          <w:szCs w:val="22"/>
          <w:vertAlign w:val="superscript"/>
        </w:rPr>
        <w:footnoteReference w:id="16"/>
      </w:r>
      <w:r w:rsidRPr="0067296B">
        <w:rPr>
          <w:snapToGrid/>
          <w:kern w:val="0"/>
          <w:szCs w:val="22"/>
        </w:rPr>
        <w:t xml:space="preserve">  </w:t>
      </w:r>
      <w:bookmarkEnd w:id="10"/>
      <w:r w:rsidRPr="0067296B">
        <w:rPr>
          <w:szCs w:val="22"/>
        </w:rPr>
        <w:t>The following entities</w:t>
      </w:r>
      <w:r w:rsidR="0018645C">
        <w:rPr>
          <w:szCs w:val="22"/>
        </w:rPr>
        <w:t xml:space="preserve"> </w:t>
      </w:r>
      <w:r w:rsidRPr="0067296B">
        <w:rPr>
          <w:szCs w:val="22"/>
        </w:rPr>
        <w:t>hold a 10% or greater interest in Holdings:  the Oak Hill Investors;</w:t>
      </w:r>
      <w:r>
        <w:rPr>
          <w:snapToGrid/>
          <w:kern w:val="0"/>
          <w:szCs w:val="22"/>
          <w:vertAlign w:val="superscript"/>
        </w:rPr>
        <w:footnoteReference w:id="17"/>
      </w:r>
      <w:r w:rsidRPr="0067296B">
        <w:rPr>
          <w:szCs w:val="22"/>
        </w:rPr>
        <w:t xml:space="preserve"> the Cinelli Investors;</w:t>
      </w:r>
      <w:r>
        <w:rPr>
          <w:snapToGrid/>
          <w:kern w:val="0"/>
          <w:szCs w:val="22"/>
          <w:vertAlign w:val="superscript"/>
        </w:rPr>
        <w:footnoteReference w:id="18"/>
      </w:r>
      <w:r w:rsidRPr="0067296B">
        <w:rPr>
          <w:szCs w:val="22"/>
        </w:rPr>
        <w:t xml:space="preserve"> and funds advised and/or managed by indirect subsidiaries of KKR &amp; Co. Inc. (KKR).</w:t>
      </w:r>
      <w:r>
        <w:rPr>
          <w:szCs w:val="22"/>
          <w:vertAlign w:val="superscript"/>
        </w:rPr>
        <w:footnoteReference w:id="19"/>
      </w:r>
      <w:r w:rsidRPr="0067296B">
        <w:rPr>
          <w:szCs w:val="22"/>
        </w:rPr>
        <w:t xml:space="preserve">  Applicants state that t</w:t>
      </w:r>
      <w:r w:rsidRPr="0067296B">
        <w:rPr>
          <w:snapToGrid/>
          <w:kern w:val="0"/>
          <w:szCs w:val="22"/>
        </w:rPr>
        <w:t xml:space="preserve">he Oak Hill Investors and the Cinelli Investors each have negative </w:t>
      </w:r>
      <w:r w:rsidRPr="0067296B">
        <w:rPr>
          <w:i/>
          <w:iCs/>
          <w:snapToGrid/>
          <w:kern w:val="0"/>
          <w:szCs w:val="22"/>
        </w:rPr>
        <w:t xml:space="preserve">de facto </w:t>
      </w:r>
      <w:r w:rsidRPr="0067296B">
        <w:rPr>
          <w:snapToGrid/>
          <w:kern w:val="0"/>
          <w:szCs w:val="22"/>
        </w:rPr>
        <w:t>control of Holdings.</w:t>
      </w:r>
      <w:r>
        <w:rPr>
          <w:snapToGrid/>
          <w:kern w:val="0"/>
          <w:szCs w:val="22"/>
          <w:vertAlign w:val="superscript"/>
        </w:rPr>
        <w:footnoteReference w:id="20"/>
      </w:r>
      <w:r w:rsidRPr="0067296B">
        <w:rPr>
          <w:snapToGrid/>
          <w:kern w:val="0"/>
          <w:szCs w:val="22"/>
        </w:rPr>
        <w:t xml:space="preserve"> </w:t>
      </w:r>
      <w:r w:rsidR="004F2948">
        <w:rPr>
          <w:snapToGrid/>
          <w:kern w:val="0"/>
          <w:szCs w:val="22"/>
        </w:rPr>
        <w:t xml:space="preserve"> </w:t>
      </w:r>
    </w:p>
    <w:p w:rsidR="00601EEB" w:rsidRPr="00BA3B64" w:rsidP="00BA3B64" w14:paraId="5E5B6E68" w14:textId="77777777">
      <w:pPr>
        <w:widowControl/>
        <w:autoSpaceDE w:val="0"/>
        <w:autoSpaceDN w:val="0"/>
        <w:adjustRightInd w:val="0"/>
        <w:ind w:firstLine="720"/>
        <w:rPr>
          <w:snapToGrid/>
          <w:color w:val="000000"/>
          <w:kern w:val="0"/>
          <w:szCs w:val="22"/>
        </w:rPr>
      </w:pPr>
    </w:p>
    <w:p w:rsidR="0067296B" w:rsidP="0018645C" w14:paraId="56523800" w14:textId="4C4A5777">
      <w:pPr>
        <w:widowControl/>
        <w:autoSpaceDE w:val="0"/>
        <w:autoSpaceDN w:val="0"/>
        <w:adjustRightInd w:val="0"/>
        <w:spacing w:after="120"/>
        <w:ind w:firstLine="720"/>
        <w:rPr>
          <w:snapToGrid/>
          <w:kern w:val="0"/>
          <w:szCs w:val="22"/>
        </w:rPr>
      </w:pPr>
      <w:r w:rsidRPr="0067296B">
        <w:rPr>
          <w:snapToGrid/>
          <w:kern w:val="0"/>
          <w:szCs w:val="22"/>
        </w:rPr>
        <w:t>Pursuant to the terms of the proposed transaction, the Applicants and certain related parties entered into an Agreement and Plan of Merger pursuant to which MetroNet Python Merger Sub, LLC, a wholly</w:t>
      </w:r>
      <w:r w:rsidR="00826ECA">
        <w:rPr>
          <w:snapToGrid/>
          <w:kern w:val="0"/>
          <w:szCs w:val="22"/>
        </w:rPr>
        <w:t>-</w:t>
      </w:r>
      <w:r w:rsidRPr="0067296B">
        <w:rPr>
          <w:snapToGrid/>
          <w:kern w:val="0"/>
          <w:szCs w:val="22"/>
        </w:rPr>
        <w:t>owned subsidiary of Q-Comm, will merge with and into Parent with Parent as the surviving entity.</w:t>
      </w:r>
      <w:r>
        <w:rPr>
          <w:snapToGrid/>
          <w:kern w:val="0"/>
          <w:szCs w:val="22"/>
          <w:vertAlign w:val="superscript"/>
        </w:rPr>
        <w:footnoteReference w:id="21"/>
      </w:r>
      <w:r w:rsidRPr="0067296B">
        <w:rPr>
          <w:snapToGrid/>
          <w:kern w:val="0"/>
          <w:szCs w:val="22"/>
        </w:rPr>
        <w:t xml:space="preserve">  As a result of this proposed merger, Vexus will become a wholly</w:t>
      </w:r>
      <w:r w:rsidR="00826ECA">
        <w:rPr>
          <w:snapToGrid/>
          <w:kern w:val="0"/>
          <w:szCs w:val="22"/>
        </w:rPr>
        <w:t>-</w:t>
      </w:r>
      <w:r w:rsidRPr="0067296B">
        <w:rPr>
          <w:snapToGrid/>
          <w:kern w:val="0"/>
          <w:szCs w:val="22"/>
        </w:rPr>
        <w:t>owned, indirect subsidiary of Q-Comm.</w:t>
      </w:r>
      <w:r>
        <w:rPr>
          <w:snapToGrid/>
          <w:kern w:val="0"/>
          <w:szCs w:val="22"/>
          <w:vertAlign w:val="superscript"/>
        </w:rPr>
        <w:footnoteReference w:id="22"/>
      </w:r>
      <w:r w:rsidRPr="0067296B">
        <w:rPr>
          <w:snapToGrid/>
          <w:kern w:val="0"/>
          <w:szCs w:val="22"/>
        </w:rPr>
        <w:t xml:space="preserve">  </w:t>
      </w:r>
    </w:p>
    <w:p w:rsidR="00B376D4" w:rsidRPr="00B376D4" w:rsidP="00B376D4" w14:paraId="6E5D58BF" w14:textId="77777777">
      <w:pPr>
        <w:widowControl/>
        <w:autoSpaceDE w:val="0"/>
        <w:autoSpaceDN w:val="0"/>
        <w:adjustRightInd w:val="0"/>
        <w:ind w:firstLine="720"/>
        <w:rPr>
          <w:snapToGrid/>
          <w:kern w:val="0"/>
          <w:szCs w:val="22"/>
        </w:rPr>
      </w:pPr>
      <w:r w:rsidRPr="00B376D4">
        <w:rPr>
          <w:snapToGrid/>
          <w:kern w:val="0"/>
          <w:szCs w:val="22"/>
        </w:rPr>
        <w:t>Applicants assert that a grant of the Application would serve the public interest, convenience, and necessity.</w:t>
      </w:r>
      <w:r>
        <w:rPr>
          <w:snapToGrid/>
          <w:kern w:val="0"/>
          <w:szCs w:val="22"/>
          <w:vertAlign w:val="superscript"/>
        </w:rPr>
        <w:footnoteReference w:id="23"/>
      </w:r>
      <w:r w:rsidRPr="00B376D4">
        <w:rPr>
          <w:snapToGrid/>
          <w:kern w:val="0"/>
          <w:szCs w:val="22"/>
        </w:rPr>
        <w:t xml:space="preserve">  Applicants state that the proposed transaction “will not result in any changes that would compromise Vexus’ ability to meet its current RDOF, Lifeline, or </w:t>
      </w:r>
      <w:r w:rsidRPr="00213DB1">
        <w:rPr>
          <w:snapToGrid/>
          <w:kern w:val="0"/>
          <w:szCs w:val="22"/>
        </w:rPr>
        <w:t>EBB/ACP</w:t>
      </w:r>
      <w:r w:rsidRPr="00B376D4">
        <w:rPr>
          <w:snapToGrid/>
          <w:kern w:val="0"/>
          <w:szCs w:val="22"/>
        </w:rPr>
        <w:t xml:space="preserve"> service obligations.”</w:t>
      </w:r>
      <w:r>
        <w:rPr>
          <w:snapToGrid/>
          <w:kern w:val="0"/>
          <w:szCs w:val="22"/>
          <w:vertAlign w:val="superscript"/>
        </w:rPr>
        <w:footnoteReference w:id="24"/>
      </w:r>
      <w:r w:rsidRPr="00B376D4">
        <w:rPr>
          <w:snapToGrid/>
          <w:kern w:val="0"/>
          <w:szCs w:val="22"/>
        </w:rPr>
        <w:t xml:space="preserve">  Specifically, Applicants certify that Q-Comm “does not contemplate any changes to Vexus’ buildout plans presented in its RDOF long form application.”</w:t>
      </w:r>
      <w:r>
        <w:rPr>
          <w:snapToGrid/>
          <w:kern w:val="0"/>
          <w:szCs w:val="22"/>
          <w:vertAlign w:val="superscript"/>
        </w:rPr>
        <w:footnoteReference w:id="25"/>
      </w:r>
      <w:r w:rsidRPr="00B376D4">
        <w:rPr>
          <w:snapToGrid/>
          <w:kern w:val="0"/>
          <w:szCs w:val="22"/>
        </w:rPr>
        <w:t xml:space="preserve">  Vexus and Q-Comm further confirm that “Vexus will continue to fulfill the relevant service obligations attaching to those build-out plans.”</w:t>
      </w:r>
      <w:r>
        <w:rPr>
          <w:snapToGrid/>
          <w:kern w:val="0"/>
          <w:szCs w:val="22"/>
          <w:vertAlign w:val="superscript"/>
        </w:rPr>
        <w:footnoteReference w:id="26"/>
      </w:r>
      <w:r w:rsidRPr="00B376D4">
        <w:rPr>
          <w:snapToGrid/>
          <w:kern w:val="0"/>
          <w:szCs w:val="22"/>
        </w:rPr>
        <w:t xml:space="preserve">  They state that the proposed transaction would be entirely seamless to customers and will have no impact on Vexus’ day-to-day operations and service offerings.</w:t>
      </w:r>
      <w:r>
        <w:rPr>
          <w:snapToGrid/>
          <w:kern w:val="0"/>
          <w:szCs w:val="22"/>
          <w:vertAlign w:val="superscript"/>
        </w:rPr>
        <w:footnoteReference w:id="27"/>
      </w:r>
      <w:r w:rsidRPr="00B376D4">
        <w:rPr>
          <w:snapToGrid/>
          <w:kern w:val="0"/>
          <w:szCs w:val="22"/>
        </w:rPr>
        <w:t xml:space="preserve">  Vexus will continue to provide service to its customers at the same rates, terms, and conditions without interruption.</w:t>
      </w:r>
      <w:r>
        <w:rPr>
          <w:snapToGrid/>
          <w:kern w:val="0"/>
          <w:szCs w:val="22"/>
          <w:vertAlign w:val="superscript"/>
        </w:rPr>
        <w:footnoteReference w:id="28"/>
      </w:r>
      <w:r w:rsidRPr="00B376D4">
        <w:rPr>
          <w:snapToGrid/>
          <w:kern w:val="0"/>
          <w:szCs w:val="22"/>
        </w:rPr>
        <w:t xml:space="preserve">  Applicants further contend that the proposed transaction will provide access to additional funding and management expertise, which will enhance Vexus’ ability to: 1) accelerate investment and service expansion in its network in the Vexus Operating States; and 2) better compete for customers.</w:t>
      </w:r>
      <w:r>
        <w:rPr>
          <w:snapToGrid/>
          <w:kern w:val="0"/>
          <w:szCs w:val="22"/>
          <w:vertAlign w:val="superscript"/>
        </w:rPr>
        <w:footnoteReference w:id="29"/>
      </w:r>
      <w:r w:rsidRPr="00B376D4">
        <w:rPr>
          <w:snapToGrid/>
          <w:kern w:val="0"/>
          <w:szCs w:val="22"/>
        </w:rPr>
        <w:t xml:space="preserve">    </w:t>
      </w:r>
    </w:p>
    <w:p w:rsidR="008D5B54" w:rsidRPr="00B02A93" w:rsidP="00132378" w14:paraId="77BBCEDC" w14:textId="77777777">
      <w:pPr>
        <w:widowControl/>
        <w:autoSpaceDE w:val="0"/>
        <w:autoSpaceDN w:val="0"/>
        <w:adjustRightInd w:val="0"/>
        <w:spacing w:after="120"/>
        <w:rPr>
          <w:b/>
          <w:bCs/>
          <w:szCs w:val="22"/>
          <w:u w:val="single"/>
        </w:rPr>
      </w:pPr>
      <w:r w:rsidRPr="00B02A93">
        <w:rPr>
          <w:b/>
          <w:bCs/>
          <w:szCs w:val="22"/>
          <w:u w:val="single"/>
        </w:rPr>
        <w:t>Discussion</w:t>
      </w:r>
    </w:p>
    <w:p w:rsidR="009D31FB" w:rsidP="00EF3D8E" w14:paraId="7AFBB3F9" w14:textId="11E56DFF">
      <w:pPr>
        <w:widowControl/>
        <w:autoSpaceDE w:val="0"/>
        <w:autoSpaceDN w:val="0"/>
        <w:adjustRightInd w:val="0"/>
        <w:spacing w:after="120"/>
        <w:ind w:firstLine="720"/>
        <w:rPr>
          <w:color w:val="000000"/>
        </w:rPr>
      </w:pPr>
      <w:r w:rsidRPr="00B02A93">
        <w:rPr>
          <w:szCs w:val="22"/>
        </w:rPr>
        <w:t xml:space="preserve">We find, upon </w:t>
      </w:r>
      <w:r w:rsidRPr="001A7655">
        <w:rPr>
          <w:szCs w:val="22"/>
        </w:rPr>
        <w:t xml:space="preserve">consideration </w:t>
      </w:r>
      <w:r w:rsidRPr="00B02A93">
        <w:rPr>
          <w:szCs w:val="22"/>
        </w:rPr>
        <w:t xml:space="preserve">of the record, that </w:t>
      </w:r>
      <w:r>
        <w:rPr>
          <w:szCs w:val="22"/>
        </w:rPr>
        <w:t xml:space="preserve">a </w:t>
      </w:r>
      <w:r w:rsidRPr="00B02A93">
        <w:rPr>
          <w:szCs w:val="22"/>
        </w:rPr>
        <w:t>grant of the Application will serve the public interest, convenience, and necessity.</w:t>
      </w:r>
      <w:r>
        <w:rPr>
          <w:rStyle w:val="FootnoteReference"/>
          <w:szCs w:val="22"/>
        </w:rPr>
        <w:footnoteReference w:id="30"/>
      </w:r>
      <w:r w:rsidRPr="00B02A93">
        <w:rPr>
          <w:szCs w:val="22"/>
        </w:rPr>
        <w:t xml:space="preserve"> </w:t>
      </w:r>
      <w:r w:rsidR="00760F76">
        <w:rPr>
          <w:szCs w:val="22"/>
        </w:rPr>
        <w:t xml:space="preserve"> </w:t>
      </w:r>
      <w:r>
        <w:rPr>
          <w:szCs w:val="22"/>
        </w:rPr>
        <w:t xml:space="preserve">To make this determination under Commission precedent, </w:t>
      </w:r>
      <w:r w:rsidRPr="00B72D84">
        <w:t xml:space="preserve">we </w:t>
      </w:r>
      <w:r w:rsidR="0036214D">
        <w:t xml:space="preserve">first </w:t>
      </w:r>
      <w:r w:rsidRPr="00B72D84">
        <w:t xml:space="preserve">consider whether the </w:t>
      </w:r>
      <w:r>
        <w:t xml:space="preserve">proposed </w:t>
      </w:r>
      <w:r w:rsidRPr="00B72D84">
        <w:t xml:space="preserve">transaction could result in public interest harms by substantially frustrating or impairing the objectives or implementation of the </w:t>
      </w:r>
      <w:r>
        <w:t xml:space="preserve">Act </w:t>
      </w:r>
      <w:r w:rsidRPr="00B72D84">
        <w:t>or related statutes.</w:t>
      </w:r>
      <w:r>
        <w:rPr>
          <w:sz w:val="20"/>
          <w:vertAlign w:val="superscript"/>
        </w:rPr>
        <w:footnoteReference w:id="31"/>
      </w:r>
      <w:r w:rsidRPr="00B72D84">
        <w:t xml:space="preserve">  </w:t>
      </w:r>
      <w:r w:rsidRPr="002F2C9E">
        <w:rPr>
          <w:color w:val="000000"/>
        </w:rPr>
        <w:t>We then employ a balancing test weighing any potential public interest harms of the proposed transaction against any potential public interest benefits.</w:t>
      </w:r>
      <w:r>
        <w:rPr>
          <w:color w:val="000000"/>
          <w:sz w:val="20"/>
          <w:vertAlign w:val="superscript"/>
        </w:rPr>
        <w:footnoteReference w:id="32"/>
      </w:r>
      <w:r w:rsidRPr="002F2C9E">
        <w:rPr>
          <w:color w:val="000000"/>
        </w:rPr>
        <w:t xml:space="preserve">  The Applicants bear the burden of proving, by a preponderance of the evidence, that the proposed transaction, on balance, serves the public interest.</w:t>
      </w:r>
      <w:r>
        <w:rPr>
          <w:color w:val="000000"/>
          <w:sz w:val="20"/>
          <w:vertAlign w:val="superscript"/>
        </w:rPr>
        <w:footnoteReference w:id="33"/>
      </w:r>
    </w:p>
    <w:p w:rsidR="002408E5" w:rsidP="002B4A33" w14:paraId="65C30AFA" w14:textId="1A1FCEA1">
      <w:pPr>
        <w:widowControl/>
        <w:autoSpaceDE w:val="0"/>
        <w:autoSpaceDN w:val="0"/>
        <w:adjustRightInd w:val="0"/>
        <w:spacing w:after="120"/>
        <w:ind w:firstLine="720"/>
        <w:rPr>
          <w:snapToGrid/>
          <w:kern w:val="0"/>
          <w:szCs w:val="22"/>
        </w:rPr>
      </w:pPr>
      <w:r w:rsidRPr="00622C85">
        <w:rPr>
          <w:snapToGrid/>
          <w:kern w:val="0"/>
          <w:szCs w:val="22"/>
        </w:rPr>
        <w:t xml:space="preserve">We find that there are no potential public interest harms identified in the record.  </w:t>
      </w:r>
      <w:r>
        <w:rPr>
          <w:snapToGrid/>
          <w:kern w:val="0"/>
          <w:szCs w:val="22"/>
        </w:rPr>
        <w:t>First, t</w:t>
      </w:r>
      <w:r w:rsidRPr="00622C85" w:rsidR="008B1C48">
        <w:rPr>
          <w:snapToGrid/>
          <w:kern w:val="0"/>
          <w:szCs w:val="22"/>
        </w:rPr>
        <w:t xml:space="preserve">he proposed transaction will not result in a significant reduction in competition because </w:t>
      </w:r>
      <w:r w:rsidR="00FD2E93">
        <w:rPr>
          <w:snapToGrid/>
          <w:kern w:val="0"/>
          <w:szCs w:val="22"/>
        </w:rPr>
        <w:t>t</w:t>
      </w:r>
      <w:r w:rsidRPr="0067296B" w:rsidR="00FD2E93">
        <w:rPr>
          <w:snapToGrid/>
          <w:kern w:val="0"/>
          <w:szCs w:val="22"/>
        </w:rPr>
        <w:t>he operating areas of MetroNet Holdings’ subsidiaries do not overlap with the areas in which Vexus operates.</w:t>
      </w:r>
      <w:r>
        <w:rPr>
          <w:snapToGrid/>
          <w:kern w:val="0"/>
          <w:szCs w:val="22"/>
          <w:vertAlign w:val="superscript"/>
        </w:rPr>
        <w:footnoteReference w:id="34"/>
      </w:r>
      <w:r w:rsidRPr="0067296B" w:rsidR="00FD2E93">
        <w:rPr>
          <w:snapToGrid/>
          <w:kern w:val="0"/>
          <w:szCs w:val="22"/>
        </w:rPr>
        <w:t xml:space="preserve"> </w:t>
      </w:r>
      <w:r w:rsidR="00E14896">
        <w:rPr>
          <w:snapToGrid/>
          <w:kern w:val="0"/>
          <w:szCs w:val="22"/>
        </w:rPr>
        <w:t xml:space="preserve"> </w:t>
      </w:r>
      <w:r>
        <w:rPr>
          <w:snapToGrid/>
          <w:kern w:val="0"/>
          <w:szCs w:val="22"/>
        </w:rPr>
        <w:t>Applicants</w:t>
      </w:r>
      <w:r w:rsidRPr="00956EF9">
        <w:rPr>
          <w:snapToGrid/>
          <w:kern w:val="0"/>
          <w:szCs w:val="22"/>
        </w:rPr>
        <w:t xml:space="preserve"> </w:t>
      </w:r>
      <w:r>
        <w:rPr>
          <w:snapToGrid/>
          <w:kern w:val="0"/>
          <w:szCs w:val="22"/>
        </w:rPr>
        <w:t xml:space="preserve">further </w:t>
      </w:r>
      <w:r w:rsidRPr="00956EF9">
        <w:rPr>
          <w:snapToGrid/>
          <w:kern w:val="0"/>
          <w:szCs w:val="22"/>
        </w:rPr>
        <w:t>state that the proposed transaction would be entirely seamless to customers and will have no impact on Vexus’ day-to-day operations and service offerings.</w:t>
      </w:r>
      <w:r>
        <w:rPr>
          <w:snapToGrid/>
          <w:kern w:val="0"/>
          <w:szCs w:val="22"/>
          <w:vertAlign w:val="superscript"/>
        </w:rPr>
        <w:footnoteReference w:id="35"/>
      </w:r>
      <w:r>
        <w:rPr>
          <w:snapToGrid/>
          <w:kern w:val="0"/>
          <w:szCs w:val="22"/>
        </w:rPr>
        <w:t xml:space="preserve">  </w:t>
      </w:r>
      <w:r>
        <w:rPr>
          <w:color w:val="000000"/>
        </w:rPr>
        <w:t>Applicants have also stated on the record that</w:t>
      </w:r>
      <w:r w:rsidRPr="00956EF9">
        <w:rPr>
          <w:snapToGrid/>
          <w:kern w:val="0"/>
          <w:szCs w:val="22"/>
        </w:rPr>
        <w:t xml:space="preserve"> Vexus will continue to provide service to its customers at the same rates, terms, and conditions without interruption.</w:t>
      </w:r>
      <w:r>
        <w:rPr>
          <w:snapToGrid/>
          <w:kern w:val="0"/>
          <w:szCs w:val="22"/>
          <w:vertAlign w:val="superscript"/>
        </w:rPr>
        <w:footnoteReference w:id="36"/>
      </w:r>
      <w:r>
        <w:rPr>
          <w:snapToGrid/>
          <w:kern w:val="0"/>
          <w:szCs w:val="22"/>
        </w:rPr>
        <w:t xml:space="preserve"> </w:t>
      </w:r>
    </w:p>
    <w:p w:rsidR="00956EF9" w:rsidRPr="002B4A33" w:rsidP="002B4A33" w14:paraId="58B2A955" w14:textId="6B5AA0C0">
      <w:pPr>
        <w:widowControl/>
        <w:autoSpaceDE w:val="0"/>
        <w:autoSpaceDN w:val="0"/>
        <w:adjustRightInd w:val="0"/>
        <w:spacing w:after="120"/>
        <w:ind w:firstLine="720"/>
        <w:rPr>
          <w:color w:val="000000"/>
        </w:rPr>
      </w:pPr>
      <w:r>
        <w:rPr>
          <w:snapToGrid/>
          <w:kern w:val="0"/>
          <w:szCs w:val="22"/>
        </w:rPr>
        <w:t>Second</w:t>
      </w:r>
      <w:r w:rsidRPr="00622C85" w:rsidR="00A75E4C">
        <w:rPr>
          <w:snapToGrid/>
          <w:kern w:val="0"/>
          <w:szCs w:val="22"/>
        </w:rPr>
        <w:t>,</w:t>
      </w:r>
      <w:r w:rsidRPr="00622C85" w:rsidR="00773F6A">
        <w:rPr>
          <w:snapToGrid/>
          <w:kern w:val="0"/>
          <w:szCs w:val="22"/>
        </w:rPr>
        <w:t xml:space="preserve"> </w:t>
      </w:r>
      <w:r w:rsidR="001E32EE">
        <w:rPr>
          <w:color w:val="000000"/>
          <w:szCs w:val="22"/>
        </w:rPr>
        <w:t>Vexus and Q-Comm certify that they will meet</w:t>
      </w:r>
      <w:r w:rsidRPr="00682D96" w:rsidR="001E32EE">
        <w:rPr>
          <w:color w:val="000000"/>
          <w:szCs w:val="22"/>
        </w:rPr>
        <w:t xml:space="preserve"> all</w:t>
      </w:r>
      <w:r w:rsidR="0034611B">
        <w:rPr>
          <w:color w:val="000000"/>
          <w:szCs w:val="22"/>
        </w:rPr>
        <w:t xml:space="preserve"> relevant RDOF support obligations</w:t>
      </w:r>
      <w:r w:rsidR="001E32EE">
        <w:rPr>
          <w:color w:val="000000"/>
          <w:szCs w:val="22"/>
        </w:rPr>
        <w:t>,</w:t>
      </w:r>
      <w:r>
        <w:rPr>
          <w:rStyle w:val="FootnoteReference"/>
          <w:szCs w:val="22"/>
        </w:rPr>
        <w:footnoteReference w:id="37"/>
      </w:r>
      <w:r w:rsidRPr="00682D96" w:rsidR="001E32EE">
        <w:rPr>
          <w:color w:val="000000"/>
          <w:szCs w:val="22"/>
        </w:rPr>
        <w:t xml:space="preserve"> and we expect that the proposed transaction will not negatively impact these obligations.</w:t>
      </w:r>
      <w:r w:rsidRPr="00682D96" w:rsidR="001E32EE">
        <w:rPr>
          <w:bCs/>
          <w:color w:val="000000"/>
          <w:szCs w:val="22"/>
        </w:rPr>
        <w:t xml:space="preserve">  </w:t>
      </w:r>
      <w:r w:rsidRPr="00956EF9">
        <w:rPr>
          <w:snapToGrid/>
          <w:kern w:val="0"/>
          <w:szCs w:val="22"/>
        </w:rPr>
        <w:t xml:space="preserve">Specifically, Applicants </w:t>
      </w:r>
      <w:r w:rsidR="00F00152">
        <w:rPr>
          <w:snapToGrid/>
          <w:kern w:val="0"/>
          <w:szCs w:val="22"/>
        </w:rPr>
        <w:t xml:space="preserve">verify </w:t>
      </w:r>
      <w:r w:rsidRPr="00956EF9">
        <w:rPr>
          <w:snapToGrid/>
          <w:kern w:val="0"/>
          <w:szCs w:val="22"/>
        </w:rPr>
        <w:t>that Q-Comm “does not contemplate any changes to Vexus’ buildout plans presented in its RDOF long form application.”</w:t>
      </w:r>
      <w:r>
        <w:rPr>
          <w:snapToGrid/>
          <w:kern w:val="0"/>
          <w:szCs w:val="22"/>
          <w:vertAlign w:val="superscript"/>
        </w:rPr>
        <w:footnoteReference w:id="38"/>
      </w:r>
      <w:r w:rsidRPr="00956EF9">
        <w:rPr>
          <w:snapToGrid/>
          <w:kern w:val="0"/>
          <w:szCs w:val="22"/>
        </w:rPr>
        <w:t xml:space="preserve">  Vexus and Q-Comm further </w:t>
      </w:r>
      <w:r w:rsidR="000B3DC0">
        <w:rPr>
          <w:snapToGrid/>
          <w:kern w:val="0"/>
          <w:szCs w:val="22"/>
        </w:rPr>
        <w:t xml:space="preserve">attest </w:t>
      </w:r>
      <w:r w:rsidRPr="00956EF9">
        <w:rPr>
          <w:snapToGrid/>
          <w:kern w:val="0"/>
          <w:szCs w:val="22"/>
        </w:rPr>
        <w:t>that “Vexus will continue to fulfill the relevant service obligations attaching to those build-out plans.”</w:t>
      </w:r>
      <w:r>
        <w:rPr>
          <w:snapToGrid/>
          <w:kern w:val="0"/>
          <w:szCs w:val="22"/>
          <w:vertAlign w:val="superscript"/>
        </w:rPr>
        <w:footnoteReference w:id="39"/>
      </w:r>
      <w:r w:rsidRPr="00956EF9">
        <w:rPr>
          <w:snapToGrid/>
          <w:kern w:val="0"/>
          <w:szCs w:val="22"/>
        </w:rPr>
        <w:t xml:space="preserve">  </w:t>
      </w:r>
      <w:r w:rsidR="00A21F33">
        <w:rPr>
          <w:snapToGrid/>
          <w:kern w:val="0"/>
          <w:szCs w:val="22"/>
        </w:rPr>
        <w:t>Additionally</w:t>
      </w:r>
      <w:r w:rsidR="009E66CB">
        <w:rPr>
          <w:snapToGrid/>
          <w:kern w:val="0"/>
          <w:szCs w:val="22"/>
        </w:rPr>
        <w:t xml:space="preserve">, Applicants state that </w:t>
      </w:r>
      <w:r w:rsidR="009E66CB">
        <w:rPr>
          <w:snapToGrid/>
          <w:kern w:val="0"/>
          <w:szCs w:val="22"/>
        </w:rPr>
        <w:t>the transaction “will not result in any additional debt” and that the “existing management team will continue to manage Vexus and its day-to-day operations.”</w:t>
      </w:r>
      <w:r>
        <w:rPr>
          <w:rStyle w:val="FootnoteReference"/>
          <w:snapToGrid/>
          <w:kern w:val="0"/>
          <w:szCs w:val="22"/>
        </w:rPr>
        <w:footnoteReference w:id="40"/>
      </w:r>
      <w:r w:rsidR="009E66CB">
        <w:rPr>
          <w:snapToGrid/>
          <w:kern w:val="0"/>
          <w:szCs w:val="22"/>
        </w:rPr>
        <w:t xml:space="preserve">  </w:t>
      </w:r>
      <w:r w:rsidR="0034611B">
        <w:rPr>
          <w:snapToGrid/>
          <w:kern w:val="0"/>
          <w:szCs w:val="22"/>
        </w:rPr>
        <w:t>Vexus</w:t>
      </w:r>
      <w:r w:rsidR="0034611B">
        <w:t xml:space="preserve"> remains financially, managerially, and technically obligated to meet all public interest and performance obligations associated with the receipt of RDOF funding in accordance with the Commission’s pre-transaction approval of its qualifications, will be s</w:t>
      </w:r>
      <w:r w:rsidRPr="007E4A79" w:rsidR="00F00152">
        <w:t>ubject to ongoing oversight</w:t>
      </w:r>
      <w:r w:rsidR="0034611B">
        <w:t>,</w:t>
      </w:r>
      <w:r w:rsidR="00F00152">
        <w:t xml:space="preserve"> and </w:t>
      </w:r>
      <w:r w:rsidRPr="007E4A79" w:rsidR="00F00152">
        <w:t>must comply with annual reporting and certification requirements</w:t>
      </w:r>
      <w:r w:rsidR="00F00152">
        <w:t>.</w:t>
      </w:r>
      <w:r>
        <w:rPr>
          <w:rStyle w:val="FootnoteReference"/>
        </w:rPr>
        <w:footnoteReference w:id="41"/>
      </w:r>
    </w:p>
    <w:p w:rsidR="00CF0B01" w:rsidRPr="005F361B" w:rsidP="005F361B" w14:paraId="40465344" w14:textId="1590BF60">
      <w:pPr>
        <w:widowControl/>
        <w:autoSpaceDE w:val="0"/>
        <w:autoSpaceDN w:val="0"/>
        <w:adjustRightInd w:val="0"/>
        <w:spacing w:after="120"/>
        <w:ind w:firstLine="720"/>
        <w:rPr>
          <w:rFonts w:ascii="TimesNewRoman" w:hAnsi="TimesNewRoman" w:cs="TimesNewRoman"/>
          <w:snapToGrid/>
          <w:kern w:val="0"/>
          <w:sz w:val="24"/>
          <w:szCs w:val="24"/>
          <w:lang w:eastAsia="ja-JP"/>
        </w:rPr>
      </w:pPr>
      <w:r>
        <w:t>W</w:t>
      </w:r>
      <w:r w:rsidR="00A75E4C">
        <w:t>e next consider whether the proposed transaction is likely to generate verifiable, transaction-specific public interest benefits.</w:t>
      </w:r>
      <w:r>
        <w:rPr>
          <w:rStyle w:val="FootnoteReference"/>
        </w:rPr>
        <w:footnoteReference w:id="42"/>
      </w:r>
      <w:r w:rsidR="00A75E4C">
        <w:t xml:space="preserve"> </w:t>
      </w:r>
      <w:r w:rsidR="0088632C">
        <w:t xml:space="preserve"> </w:t>
      </w:r>
      <w:r w:rsidR="00A75E4C">
        <w:t>Applicants must provide evidence of a claimed benefit to allow the Commission to verify its likelihood and magnitude.</w:t>
      </w:r>
      <w:r>
        <w:rPr>
          <w:rStyle w:val="FootnoteReference"/>
        </w:rPr>
        <w:footnoteReference w:id="43"/>
      </w:r>
      <w:r w:rsidR="00A75E4C">
        <w:t xml:space="preserve">  Where potential harms appear unlikely, as is the case with the Application before us here, the Commission accepts a lesser degree of magnitude and likelihood than when harms are present.</w:t>
      </w:r>
      <w:r>
        <w:rPr>
          <w:rStyle w:val="FootnoteReference"/>
        </w:rPr>
        <w:footnoteReference w:id="44"/>
      </w:r>
      <w:r w:rsidR="00A75E4C">
        <w:t xml:space="preserve">  </w:t>
      </w:r>
    </w:p>
    <w:p w:rsidR="00447D22" w:rsidRPr="008C0714" w:rsidP="008C0714" w14:paraId="176FE558" w14:textId="2DEDD366">
      <w:pPr>
        <w:widowControl/>
        <w:autoSpaceDE w:val="0"/>
        <w:autoSpaceDN w:val="0"/>
        <w:adjustRightInd w:val="0"/>
        <w:spacing w:after="120"/>
        <w:ind w:firstLine="720"/>
        <w:rPr>
          <w:color w:val="000000"/>
        </w:rPr>
      </w:pPr>
      <w:r>
        <w:t>The Commission has specified that ensuring consumers receive new or additional services is an important public interest factor</w:t>
      </w:r>
      <w:r w:rsidR="00E37785">
        <w:t>,</w:t>
      </w:r>
      <w:r>
        <w:rPr>
          <w:rStyle w:val="FootnoteReference"/>
        </w:rPr>
        <w:footnoteReference w:id="45"/>
      </w:r>
      <w:r>
        <w:t xml:space="preserve"> </w:t>
      </w:r>
      <w:r w:rsidR="00E37785">
        <w:t xml:space="preserve">and </w:t>
      </w:r>
      <w:r w:rsidRPr="002F2C9E">
        <w:rPr>
          <w:color w:val="000000"/>
        </w:rPr>
        <w:t>accelerating private sector deployment of advanced services</w:t>
      </w:r>
      <w:r w:rsidR="00E37785">
        <w:rPr>
          <w:color w:val="000000"/>
        </w:rPr>
        <w:t xml:space="preserve"> is one of the aims of the Communications Act</w:t>
      </w:r>
      <w:r>
        <w:rPr>
          <w:color w:val="000000"/>
        </w:rPr>
        <w:t>.</w:t>
      </w:r>
      <w:r>
        <w:rPr>
          <w:color w:val="000000"/>
          <w:sz w:val="20"/>
          <w:vertAlign w:val="superscript"/>
        </w:rPr>
        <w:footnoteReference w:id="46"/>
      </w:r>
      <w:r>
        <w:rPr>
          <w:color w:val="000000"/>
        </w:rPr>
        <w:t xml:space="preserve">  </w:t>
      </w:r>
      <w:r>
        <w:rPr>
          <w:bCs/>
          <w:snapToGrid/>
          <w:kern w:val="0"/>
          <w:szCs w:val="22"/>
        </w:rPr>
        <w:t xml:space="preserve">In light of the Applicants’ commitments to meet </w:t>
      </w:r>
      <w:r w:rsidR="008E1DE1">
        <w:rPr>
          <w:bCs/>
          <w:snapToGrid/>
          <w:kern w:val="0"/>
          <w:szCs w:val="22"/>
        </w:rPr>
        <w:t>Vexu</w:t>
      </w:r>
      <w:r>
        <w:rPr>
          <w:bCs/>
          <w:snapToGrid/>
          <w:kern w:val="0"/>
          <w:szCs w:val="22"/>
        </w:rPr>
        <w:t>s</w:t>
      </w:r>
      <w:r w:rsidR="008E1DE1">
        <w:rPr>
          <w:bCs/>
          <w:snapToGrid/>
          <w:kern w:val="0"/>
          <w:szCs w:val="22"/>
        </w:rPr>
        <w:t>’</w:t>
      </w:r>
      <w:r>
        <w:rPr>
          <w:bCs/>
          <w:snapToGrid/>
          <w:kern w:val="0"/>
          <w:szCs w:val="22"/>
        </w:rPr>
        <w:t xml:space="preserve"> federal high cost funding obligations and </w:t>
      </w:r>
      <w:r w:rsidR="00A42EE2">
        <w:rPr>
          <w:bCs/>
          <w:snapToGrid/>
          <w:kern w:val="0"/>
          <w:szCs w:val="22"/>
        </w:rPr>
        <w:t xml:space="preserve">their statement </w:t>
      </w:r>
      <w:r>
        <w:rPr>
          <w:bCs/>
          <w:snapToGrid/>
          <w:kern w:val="0"/>
          <w:szCs w:val="22"/>
        </w:rPr>
        <w:t xml:space="preserve">that </w:t>
      </w:r>
      <w:r w:rsidR="008E1DE1">
        <w:rPr>
          <w:bCs/>
          <w:snapToGrid/>
          <w:kern w:val="0"/>
          <w:szCs w:val="22"/>
        </w:rPr>
        <w:t>Q-Comm</w:t>
      </w:r>
      <w:r>
        <w:rPr>
          <w:bCs/>
          <w:snapToGrid/>
          <w:kern w:val="0"/>
          <w:szCs w:val="22"/>
        </w:rPr>
        <w:t xml:space="preserve"> is prepared to </w:t>
      </w:r>
      <w:r w:rsidR="003F72F9">
        <w:rPr>
          <w:bCs/>
          <w:snapToGrid/>
          <w:kern w:val="0"/>
          <w:szCs w:val="22"/>
        </w:rPr>
        <w:t>provide access to additional funding</w:t>
      </w:r>
      <w:r w:rsidR="005F361B">
        <w:rPr>
          <w:bCs/>
          <w:snapToGrid/>
          <w:kern w:val="0"/>
          <w:szCs w:val="22"/>
        </w:rPr>
        <w:t xml:space="preserve"> and management expertise</w:t>
      </w:r>
      <w:r w:rsidR="00AA5B41">
        <w:rPr>
          <w:bCs/>
          <w:snapToGrid/>
          <w:kern w:val="0"/>
          <w:szCs w:val="22"/>
        </w:rPr>
        <w:t>,</w:t>
      </w:r>
      <w:r w:rsidR="003F72F9">
        <w:rPr>
          <w:bCs/>
          <w:snapToGrid/>
          <w:kern w:val="0"/>
          <w:szCs w:val="22"/>
        </w:rPr>
        <w:t xml:space="preserve"> which will </w:t>
      </w:r>
      <w:r w:rsidRPr="00314A3A" w:rsidR="00AA5B41">
        <w:rPr>
          <w:bCs/>
          <w:snapToGrid/>
          <w:kern w:val="0"/>
          <w:szCs w:val="22"/>
        </w:rPr>
        <w:t>“</w:t>
      </w:r>
      <w:r w:rsidRPr="00314A3A" w:rsidR="003F72F9">
        <w:rPr>
          <w:bCs/>
          <w:snapToGrid/>
          <w:kern w:val="0"/>
          <w:szCs w:val="22"/>
        </w:rPr>
        <w:t>enable Vexus to accelerate investment and service expansion in its network”</w:t>
      </w:r>
      <w:r w:rsidRPr="00314A3A">
        <w:rPr>
          <w:bCs/>
          <w:snapToGrid/>
          <w:kern w:val="0"/>
          <w:szCs w:val="22"/>
        </w:rPr>
        <w:t>,</w:t>
      </w:r>
      <w:r>
        <w:rPr>
          <w:rStyle w:val="FootnoteReference"/>
          <w:bCs/>
          <w:snapToGrid/>
          <w:kern w:val="0"/>
          <w:szCs w:val="22"/>
        </w:rPr>
        <w:footnoteReference w:id="47"/>
      </w:r>
      <w:r>
        <w:rPr>
          <w:bCs/>
          <w:snapToGrid/>
          <w:kern w:val="0"/>
          <w:szCs w:val="22"/>
        </w:rPr>
        <w:t xml:space="preserve"> we find it likely that the proposed transaction would result in some public interest benefits.</w:t>
      </w:r>
      <w:r w:rsidR="0074229D">
        <w:rPr>
          <w:bCs/>
          <w:snapToGrid/>
          <w:kern w:val="0"/>
          <w:szCs w:val="22"/>
        </w:rPr>
        <w:t xml:space="preserve"> </w:t>
      </w:r>
      <w:r w:rsidR="00DB0101">
        <w:rPr>
          <w:bCs/>
          <w:snapToGrid/>
          <w:kern w:val="0"/>
          <w:szCs w:val="22"/>
        </w:rPr>
        <w:t xml:space="preserve"> </w:t>
      </w:r>
      <w:r w:rsidR="00CF0F77">
        <w:rPr>
          <w:bCs/>
          <w:snapToGrid/>
          <w:kern w:val="0"/>
          <w:szCs w:val="22"/>
        </w:rPr>
        <w:t xml:space="preserve">In addition, as the Commission has found, the </w:t>
      </w:r>
      <w:r w:rsidR="00CF0F77">
        <w:rPr>
          <w:bCs/>
          <w:color w:val="000000"/>
          <w:szCs w:val="22"/>
        </w:rPr>
        <w:t>combination of competitive providers can result in a stronger and more effective competitor against larger cable and incumbent LEC providers.</w:t>
      </w:r>
      <w:r>
        <w:rPr>
          <w:rStyle w:val="FootnoteReference"/>
          <w:bCs/>
          <w:szCs w:val="22"/>
        </w:rPr>
        <w:footnoteReference w:id="48"/>
      </w:r>
      <w:r w:rsidR="00CF0F77">
        <w:rPr>
          <w:bCs/>
          <w:color w:val="000000"/>
          <w:szCs w:val="22"/>
        </w:rPr>
        <w:t xml:space="preserve"> </w:t>
      </w:r>
      <w:r w:rsidR="0088632C">
        <w:rPr>
          <w:bCs/>
          <w:color w:val="000000"/>
          <w:szCs w:val="22"/>
        </w:rPr>
        <w:t xml:space="preserve"> </w:t>
      </w:r>
      <w:r w:rsidR="00DB0101">
        <w:rPr>
          <w:snapToGrid/>
          <w:kern w:val="0"/>
          <w:szCs w:val="22"/>
        </w:rPr>
        <w:t>Absent any potential harms, and c</w:t>
      </w:r>
      <w:r w:rsidRPr="00585EC7" w:rsidR="00DB0101">
        <w:rPr>
          <w:snapToGrid/>
          <w:kern w:val="0"/>
          <w:szCs w:val="22"/>
        </w:rPr>
        <w:t>onsidering that the proposed transaction is likely to yield some benefits, we find</w:t>
      </w:r>
      <w:r w:rsidR="00DB0101">
        <w:rPr>
          <w:snapToGrid/>
          <w:kern w:val="0"/>
          <w:szCs w:val="22"/>
        </w:rPr>
        <w:t>,</w:t>
      </w:r>
      <w:r w:rsidRPr="00585EC7" w:rsidR="00DB0101">
        <w:rPr>
          <w:snapToGrid/>
          <w:kern w:val="0"/>
          <w:szCs w:val="22"/>
        </w:rPr>
        <w:t xml:space="preserve"> on balance</w:t>
      </w:r>
      <w:r w:rsidR="00DB0101">
        <w:rPr>
          <w:snapToGrid/>
          <w:kern w:val="0"/>
          <w:szCs w:val="22"/>
        </w:rPr>
        <w:t>,</w:t>
      </w:r>
      <w:r w:rsidRPr="00585EC7" w:rsidR="00DB0101">
        <w:rPr>
          <w:snapToGrid/>
          <w:kern w:val="0"/>
          <w:szCs w:val="22"/>
        </w:rPr>
        <w:t xml:space="preserve"> that the proposed transaction serves the public interest.</w:t>
      </w:r>
      <w:r w:rsidR="00DB0101">
        <w:rPr>
          <w:snapToGrid/>
          <w:kern w:val="0"/>
          <w:szCs w:val="22"/>
        </w:rPr>
        <w:t xml:space="preserve"> </w:t>
      </w:r>
      <w:r w:rsidR="00DB0101">
        <w:rPr>
          <w:bCs/>
          <w:snapToGrid/>
          <w:kern w:val="0"/>
          <w:szCs w:val="22"/>
        </w:rPr>
        <w:t xml:space="preserve"> </w:t>
      </w:r>
    </w:p>
    <w:p w:rsidR="00D06F09" w:rsidRPr="00C95579" w:rsidP="00C95579" w14:paraId="3ABE1139" w14:textId="34D36A5A">
      <w:pPr>
        <w:widowControl/>
        <w:autoSpaceDE w:val="0"/>
        <w:autoSpaceDN w:val="0"/>
        <w:adjustRightInd w:val="0"/>
        <w:spacing w:after="120"/>
        <w:ind w:firstLine="720"/>
        <w:rPr>
          <w:szCs w:val="22"/>
        </w:rPr>
      </w:pPr>
      <w:r w:rsidRPr="00B02A93">
        <w:rPr>
          <w:szCs w:val="22"/>
        </w:rPr>
        <w:t xml:space="preserve">Therefore, pursuant to section 214 of the Act, 47 U.S.C. § 214, and sections 0.91, 0.291, </w:t>
      </w:r>
      <w:r w:rsidRPr="00B02A93">
        <w:rPr>
          <w:snapToGrid/>
          <w:kern w:val="0"/>
          <w:szCs w:val="22"/>
        </w:rPr>
        <w:t>63.03, and 63.04</w:t>
      </w:r>
      <w:r w:rsidRPr="00B02A93">
        <w:rPr>
          <w:szCs w:val="22"/>
        </w:rPr>
        <w:t xml:space="preserve"> of the Commission’s rules, 47 C</w:t>
      </w:r>
      <w:r w:rsidR="0044678A">
        <w:rPr>
          <w:szCs w:val="22"/>
        </w:rPr>
        <w:t>.</w:t>
      </w:r>
      <w:r w:rsidRPr="00B02A93">
        <w:rPr>
          <w:szCs w:val="22"/>
        </w:rPr>
        <w:t>F</w:t>
      </w:r>
      <w:r w:rsidR="0044678A">
        <w:rPr>
          <w:szCs w:val="22"/>
        </w:rPr>
        <w:t>.</w:t>
      </w:r>
      <w:r w:rsidRPr="00B02A93">
        <w:rPr>
          <w:szCs w:val="22"/>
        </w:rPr>
        <w:t>R</w:t>
      </w:r>
      <w:r w:rsidR="0044678A">
        <w:rPr>
          <w:szCs w:val="22"/>
        </w:rPr>
        <w:t>.</w:t>
      </w:r>
      <w:r w:rsidRPr="00B02A93">
        <w:rPr>
          <w:szCs w:val="22"/>
        </w:rPr>
        <w:t xml:space="preserve"> §§ 0.91, 0.291, 63.03, and 63.04, the Bureau hereby grants the Application discussed in this Public </w:t>
      </w:r>
      <w:r w:rsidR="0000222B">
        <w:rPr>
          <w:szCs w:val="22"/>
        </w:rPr>
        <w:t>Notice</w:t>
      </w:r>
      <w:r w:rsidR="00F00152">
        <w:rPr>
          <w:szCs w:val="22"/>
        </w:rPr>
        <w:t>,</w:t>
      </w:r>
      <w:r w:rsidRPr="0080584B" w:rsidR="0080584B">
        <w:rPr>
          <w:snapToGrid/>
          <w:kern w:val="0"/>
          <w:szCs w:val="22"/>
        </w:rPr>
        <w:t xml:space="preserve"> </w:t>
      </w:r>
      <w:r w:rsidR="0080584B">
        <w:rPr>
          <w:snapToGrid/>
          <w:kern w:val="0"/>
          <w:szCs w:val="22"/>
        </w:rPr>
        <w:t xml:space="preserve">subject to </w:t>
      </w:r>
      <w:r w:rsidR="00F00152">
        <w:rPr>
          <w:snapToGrid/>
          <w:kern w:val="0"/>
          <w:szCs w:val="22"/>
        </w:rPr>
        <w:t xml:space="preserve">Vexus’ and </w:t>
      </w:r>
      <w:r w:rsidR="0080584B">
        <w:rPr>
          <w:snapToGrid/>
          <w:kern w:val="0"/>
          <w:szCs w:val="22"/>
        </w:rPr>
        <w:t>Q-Comm’s compliance with all applicable obligations.</w:t>
      </w:r>
      <w:r>
        <w:rPr>
          <w:rStyle w:val="FootnoteReference"/>
          <w:snapToGrid/>
          <w:kern w:val="0"/>
          <w:szCs w:val="22"/>
        </w:rPr>
        <w:footnoteReference w:id="49"/>
      </w:r>
    </w:p>
    <w:p w:rsidR="002D7CCE" w:rsidRPr="00B02A93" w:rsidP="00D06F09" w14:paraId="28A790A6" w14:textId="77777777">
      <w:pPr>
        <w:widowControl/>
        <w:autoSpaceDE w:val="0"/>
        <w:autoSpaceDN w:val="0"/>
        <w:adjustRightInd w:val="0"/>
        <w:spacing w:after="120"/>
        <w:ind w:firstLine="720"/>
        <w:rPr>
          <w:szCs w:val="22"/>
        </w:rPr>
      </w:pPr>
      <w:r w:rsidRPr="00B02A93">
        <w:rPr>
          <w:szCs w:val="22"/>
        </w:rPr>
        <w:t>Pursuant to section 1.103 of the Commission's rules, 47 C.F.R. § 1.103, the grant is effective upon release of this Public Notice.</w:t>
      </w:r>
      <w:r>
        <w:rPr>
          <w:rStyle w:val="FootnoteReference"/>
          <w:szCs w:val="22"/>
        </w:rPr>
        <w:footnoteReference w:id="50"/>
      </w:r>
      <w:r w:rsidRPr="00B02A93">
        <w:rPr>
          <w:szCs w:val="22"/>
        </w:rPr>
        <w:t xml:space="preserve">  Petitions for reconsideration under section 1.106 or applications for review under section 1.115 of the Commission's rules, 47 C.F.R. §§ 1.106, 1.115, may be filed within 30 days of the date of this Public Notice.</w:t>
      </w:r>
      <w:bookmarkStart w:id="18" w:name="FN[FN9]"/>
      <w:bookmarkStart w:id="19" w:name="sp_999_1"/>
      <w:bookmarkStart w:id="20" w:name="SDU_1"/>
      <w:bookmarkEnd w:id="18"/>
      <w:bookmarkEnd w:id="19"/>
      <w:bookmarkEnd w:id="20"/>
    </w:p>
    <w:p w:rsidR="002D7CCE" w:rsidRPr="00B02A93" w:rsidP="00986B91" w14:paraId="3F64FB15" w14:textId="55892F88">
      <w:pPr>
        <w:ind w:firstLine="720"/>
        <w:rPr>
          <w:szCs w:val="22"/>
        </w:rPr>
      </w:pPr>
      <w:bookmarkStart w:id="21" w:name="sp_999_2"/>
      <w:bookmarkStart w:id="22" w:name="SDU_2"/>
      <w:bookmarkEnd w:id="21"/>
      <w:bookmarkEnd w:id="22"/>
      <w:r w:rsidRPr="00B02A93">
        <w:rPr>
          <w:szCs w:val="22"/>
        </w:rPr>
        <w:t xml:space="preserve">For further information, please contact </w:t>
      </w:r>
      <w:r w:rsidR="0018645C">
        <w:rPr>
          <w:szCs w:val="22"/>
        </w:rPr>
        <w:t>Dennis Johnson</w:t>
      </w:r>
      <w:r w:rsidRPr="00B02A93">
        <w:rPr>
          <w:szCs w:val="22"/>
        </w:rPr>
        <w:t>, Wireline Competition Bureau, Competition Policy Division,</w:t>
      </w:r>
      <w:r w:rsidR="00410921">
        <w:rPr>
          <w:szCs w:val="22"/>
        </w:rPr>
        <w:t xml:space="preserve"> </w:t>
      </w:r>
      <w:r w:rsidR="00FC6E66">
        <w:rPr>
          <w:szCs w:val="22"/>
        </w:rPr>
        <w:t>(202) 418-</w:t>
      </w:r>
      <w:r w:rsidR="0018645C">
        <w:rPr>
          <w:szCs w:val="22"/>
        </w:rPr>
        <w:t>0809</w:t>
      </w:r>
      <w:r w:rsidR="00CE2113">
        <w:rPr>
          <w:szCs w:val="22"/>
        </w:rPr>
        <w:t xml:space="preserve">. </w:t>
      </w:r>
    </w:p>
    <w:p w:rsidR="002D7CCE" w:rsidRPr="00B02A93" w:rsidP="002D7CCE" w14:paraId="2001391C" w14:textId="77777777">
      <w:pPr>
        <w:pStyle w:val="Default"/>
        <w:rPr>
          <w:color w:val="auto"/>
          <w:sz w:val="22"/>
          <w:szCs w:val="22"/>
        </w:rPr>
      </w:pPr>
    </w:p>
    <w:p w:rsidR="006F4636" w:rsidRPr="00B02A93" w:rsidP="00687BC4" w14:paraId="69F8B0E6" w14:textId="77777777">
      <w:pPr>
        <w:pStyle w:val="Default"/>
        <w:jc w:val="center"/>
        <w:rPr>
          <w:color w:val="auto"/>
          <w:sz w:val="22"/>
          <w:szCs w:val="22"/>
        </w:rPr>
      </w:pPr>
      <w:r w:rsidRPr="00B02A93">
        <w:rPr>
          <w:b/>
          <w:bCs/>
          <w:color w:val="auto"/>
          <w:sz w:val="22"/>
          <w:szCs w:val="22"/>
        </w:rPr>
        <w:t>-FCC-</w:t>
      </w: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5AE7" w:rsidP="0055614C" w14:paraId="61578EFA" w14:textId="77777777">
    <w:pPr>
      <w:pStyle w:val="Footer"/>
      <w:framePr w:wrap="around" w:vAnchor="text" w:hAnchor="margin" w:xAlign="center" w:y="1"/>
    </w:pPr>
    <w:r>
      <w:fldChar w:fldCharType="begin"/>
    </w:r>
    <w:r>
      <w:instrText xml:space="preserve">PAGE  </w:instrText>
    </w:r>
    <w:r>
      <w:fldChar w:fldCharType="separate"/>
    </w:r>
    <w:r>
      <w:fldChar w:fldCharType="end"/>
    </w:r>
  </w:p>
  <w:p w:rsidR="00475AE7" w14:paraId="7714F2A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5AE7" w:rsidP="00910F12" w14:paraId="14A19B39" w14:textId="77777777">
    <w:pPr>
      <w:pStyle w:val="Footer"/>
      <w:jc w:val="center"/>
    </w:pPr>
    <w:r>
      <w:fldChar w:fldCharType="begin"/>
    </w:r>
    <w:r>
      <w:instrText xml:space="preserve"> PAGE   \* MERGEFORMAT </w:instrText>
    </w:r>
    <w:r>
      <w:fldChar w:fldCharType="separate"/>
    </w:r>
    <w:r>
      <w:rPr>
        <w:noProof/>
      </w:rPr>
      <w:t>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5AE7" w14:paraId="152ECF9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5774B" w14:paraId="3F362EE0" w14:textId="77777777">
      <w:r>
        <w:separator/>
      </w:r>
    </w:p>
  </w:footnote>
  <w:footnote w:type="continuationSeparator" w:id="1">
    <w:p w:rsidR="00B5774B" w14:paraId="5368003C" w14:textId="77777777">
      <w:pPr>
        <w:rPr>
          <w:sz w:val="20"/>
        </w:rPr>
      </w:pPr>
      <w:r>
        <w:rPr>
          <w:sz w:val="20"/>
        </w:rPr>
        <w:t xml:space="preserve">(Continued from previous page)  </w:t>
      </w:r>
      <w:r>
        <w:rPr>
          <w:sz w:val="20"/>
        </w:rPr>
        <w:separator/>
      </w:r>
    </w:p>
  </w:footnote>
  <w:footnote w:type="continuationNotice" w:id="2">
    <w:p w:rsidR="00B5774B" w:rsidP="00910F12" w14:paraId="7888ED23" w14:textId="77777777">
      <w:pPr>
        <w:jc w:val="right"/>
        <w:rPr>
          <w:sz w:val="20"/>
        </w:rPr>
      </w:pPr>
      <w:r>
        <w:rPr>
          <w:sz w:val="20"/>
        </w:rPr>
        <w:t>(continued….)</w:t>
      </w:r>
    </w:p>
  </w:footnote>
  <w:footnote w:id="3">
    <w:p w:rsidR="00BC1B9F" w:rsidRPr="007342FA" w:rsidP="00BC1B9F" w14:paraId="06FB90DC" w14:textId="747E2FC6">
      <w:pPr>
        <w:spacing w:after="120"/>
        <w:rPr>
          <w:bCs/>
          <w:sz w:val="20"/>
        </w:rPr>
      </w:pPr>
      <w:r w:rsidRPr="00F14A7B">
        <w:rPr>
          <w:rStyle w:val="FootnoteReference"/>
          <w:sz w:val="20"/>
        </w:rPr>
        <w:footnoteRef/>
      </w:r>
      <w:r w:rsidRPr="00F14A7B">
        <w:rPr>
          <w:sz w:val="20"/>
        </w:rPr>
        <w:t xml:space="preserve"> </w:t>
      </w:r>
      <w:r w:rsidRPr="00F14A7B">
        <w:rPr>
          <w:i/>
          <w:sz w:val="20"/>
        </w:rPr>
        <w:t>See</w:t>
      </w:r>
      <w:r w:rsidRPr="00F14A7B">
        <w:rPr>
          <w:sz w:val="20"/>
        </w:rPr>
        <w:t xml:space="preserve"> 47 U.S.C. § 214; 47 CFR §§ 63.03-04; Application of Python Holdings GP, LLC to Q-COMM Python Corporation for Consent to Transfer Control of Domestic Authority Pursuant to Section 214 of the Communications Act of 1934, as Amended, WC Docket No. 22-58 (filed Feb. 9, 2022) (Application).  Applicants filed supplements to their application on February 16, 2022</w:t>
      </w:r>
      <w:r>
        <w:rPr>
          <w:sz w:val="20"/>
        </w:rPr>
        <w:t>,</w:t>
      </w:r>
      <w:r w:rsidRPr="00F14A7B">
        <w:rPr>
          <w:sz w:val="20"/>
        </w:rPr>
        <w:t xml:space="preserve"> February 22, 2022</w:t>
      </w:r>
      <w:r>
        <w:rPr>
          <w:sz w:val="20"/>
        </w:rPr>
        <w:t>, and February 25, 2022</w:t>
      </w:r>
      <w:r w:rsidRPr="00F14A7B">
        <w:rPr>
          <w:sz w:val="20"/>
        </w:rPr>
        <w:t xml:space="preserve">.  </w:t>
      </w:r>
      <w:bookmarkStart w:id="4" w:name="_Hlk96682554"/>
      <w:bookmarkStart w:id="5" w:name="_Hlk96524906"/>
      <w:r w:rsidRPr="00F14A7B">
        <w:rPr>
          <w:sz w:val="20"/>
        </w:rPr>
        <w:t>Letter from Catherine Wang, Brett P. Ferenchak, Stephany Fan, Counsel to Python Holdings GP, LLC and NTS Communications, LLC d/b/a Vexus Fiber, and Nancy J. Victory and Peter Shroyer, Counsel to Q-Comm Python Corporation</w:t>
      </w:r>
      <w:r>
        <w:rPr>
          <w:sz w:val="20"/>
        </w:rPr>
        <w:t>,</w:t>
      </w:r>
      <w:r w:rsidRPr="00F14A7B">
        <w:rPr>
          <w:sz w:val="20"/>
        </w:rPr>
        <w:t xml:space="preserve"> to Marlene H. Dortch, Secretary, FCC, WC Docket No. 22-58 (filed on Feb. 16, 2022);</w:t>
      </w:r>
      <w:bookmarkEnd w:id="4"/>
      <w:r w:rsidRPr="00F14A7B">
        <w:rPr>
          <w:sz w:val="20"/>
        </w:rPr>
        <w:t xml:space="preserve"> Letter from Catherine Wang, Brett P. Ferenchak, Stephany Fan, Counsel to Python Holdings GP, LLC and NTS Communications, LLC d/b/a Vexus Fiber, and Nancy J. Victory, Michael Hazzard, and Peter Shroyer, Counsel to Q-Comm Python Corporation</w:t>
      </w:r>
      <w:r>
        <w:rPr>
          <w:sz w:val="20"/>
        </w:rPr>
        <w:t>,</w:t>
      </w:r>
      <w:r w:rsidRPr="00F14A7B">
        <w:rPr>
          <w:sz w:val="20"/>
        </w:rPr>
        <w:t xml:space="preserve"> to Marlene H. Dortch, Secretary, FCC, WC Docket No. 22-58 (filed on Feb. 22, 2022)</w:t>
      </w:r>
      <w:bookmarkEnd w:id="5"/>
      <w:r w:rsidRPr="00F14A7B">
        <w:rPr>
          <w:sz w:val="20"/>
        </w:rPr>
        <w:t xml:space="preserve"> (</w:t>
      </w:r>
      <w:bookmarkStart w:id="6" w:name="_Hlk96525765"/>
      <w:r w:rsidRPr="00F14A7B">
        <w:rPr>
          <w:sz w:val="20"/>
        </w:rPr>
        <w:t>Applicants’ Feb. 22 Supplement</w:t>
      </w:r>
      <w:bookmarkEnd w:id="6"/>
      <w:r w:rsidRPr="00F14A7B">
        <w:rPr>
          <w:sz w:val="20"/>
        </w:rPr>
        <w:t>)</w:t>
      </w:r>
      <w:r>
        <w:rPr>
          <w:sz w:val="20"/>
        </w:rPr>
        <w:t xml:space="preserve">; </w:t>
      </w:r>
      <w:r w:rsidRPr="00F14A7B">
        <w:rPr>
          <w:sz w:val="20"/>
        </w:rPr>
        <w:t>Letter from Nancy J. Victory</w:t>
      </w:r>
      <w:r>
        <w:rPr>
          <w:sz w:val="20"/>
        </w:rPr>
        <w:t>, Michael Hazzard</w:t>
      </w:r>
      <w:r w:rsidRPr="00F14A7B">
        <w:rPr>
          <w:sz w:val="20"/>
        </w:rPr>
        <w:t xml:space="preserve"> and Peter Shroyer, Counsel to Q-Comm Python Corporation</w:t>
      </w:r>
      <w:r>
        <w:rPr>
          <w:sz w:val="20"/>
        </w:rPr>
        <w:t>,</w:t>
      </w:r>
      <w:r w:rsidRPr="00F14A7B">
        <w:rPr>
          <w:sz w:val="20"/>
        </w:rPr>
        <w:t xml:space="preserve"> to Marlene H. Dortch, Secretary, FCC, WC Docket No. 22-58 (filed on Feb. </w:t>
      </w:r>
      <w:r>
        <w:rPr>
          <w:sz w:val="20"/>
        </w:rPr>
        <w:t>25</w:t>
      </w:r>
      <w:r w:rsidRPr="00F14A7B">
        <w:rPr>
          <w:sz w:val="20"/>
        </w:rPr>
        <w:t xml:space="preserve">, 2022).  </w:t>
      </w:r>
      <w:r w:rsidRPr="007342FA">
        <w:rPr>
          <w:sz w:val="20"/>
        </w:rPr>
        <w:t>Applicants also filed</w:t>
      </w:r>
      <w:r>
        <w:rPr>
          <w:sz w:val="20"/>
        </w:rPr>
        <w:t xml:space="preserve"> </w:t>
      </w:r>
      <w:r w:rsidRPr="007342FA">
        <w:rPr>
          <w:sz w:val="20"/>
        </w:rPr>
        <w:t>applications for the transfer of authorizations associated with international services</w:t>
      </w:r>
      <w:r>
        <w:rPr>
          <w:sz w:val="20"/>
        </w:rPr>
        <w:t xml:space="preserve">, </w:t>
      </w:r>
      <w:r w:rsidRPr="007342FA">
        <w:rPr>
          <w:sz w:val="20"/>
        </w:rPr>
        <w:t>Cable Television Relay Services, and an earth station notice.  A</w:t>
      </w:r>
      <w:r w:rsidR="00317210">
        <w:rPr>
          <w:sz w:val="20"/>
        </w:rPr>
        <w:t xml:space="preserve"> grant of </w:t>
      </w:r>
      <w:r w:rsidRPr="007342FA">
        <w:rPr>
          <w:sz w:val="20"/>
        </w:rPr>
        <w:t xml:space="preserve">this domestic section 214 application is without prejudice to Commission action on other pending applications.  </w:t>
      </w:r>
    </w:p>
  </w:footnote>
  <w:footnote w:id="4">
    <w:p w:rsidR="008774D9" w:rsidP="008774D9" w14:paraId="73DD9390" w14:textId="50C49043">
      <w:pPr>
        <w:pStyle w:val="FootnoteText"/>
      </w:pPr>
      <w:r>
        <w:rPr>
          <w:rStyle w:val="FootnoteReference"/>
        </w:rPr>
        <w:footnoteRef/>
      </w:r>
      <w:r>
        <w:t xml:space="preserve"> </w:t>
      </w:r>
      <w:r w:rsidR="005323CE">
        <w:rPr>
          <w:i/>
          <w:iCs/>
        </w:rPr>
        <w:t>Domestic Section 214 Application Filed</w:t>
      </w:r>
      <w:r w:rsidR="00C84CB7">
        <w:rPr>
          <w:i/>
          <w:iCs/>
        </w:rPr>
        <w:t xml:space="preserve"> for the Transfer of Control of </w:t>
      </w:r>
      <w:r w:rsidR="00A95190">
        <w:rPr>
          <w:i/>
          <w:iCs/>
        </w:rPr>
        <w:t>NTS Communications, LLC D/B/A/ Vexus Fiber to Q-Comm Python Corporation</w:t>
      </w:r>
      <w:r w:rsidR="00C84CB7">
        <w:t>,</w:t>
      </w:r>
      <w:r w:rsidRPr="00207939">
        <w:t xml:space="preserve"> WC Docket No. 2</w:t>
      </w:r>
      <w:r w:rsidR="00A95190">
        <w:t>2</w:t>
      </w:r>
      <w:r w:rsidR="00C543F9">
        <w:t>-5</w:t>
      </w:r>
      <w:r w:rsidR="00A95190">
        <w:t>8</w:t>
      </w:r>
      <w:r>
        <w:t>, Public Notice, DA 2</w:t>
      </w:r>
      <w:r w:rsidR="00A95190">
        <w:t>2</w:t>
      </w:r>
      <w:r>
        <w:t>-</w:t>
      </w:r>
      <w:r w:rsidR="00C543F9">
        <w:t>19</w:t>
      </w:r>
      <w:r w:rsidR="00A95190">
        <w:t>7</w:t>
      </w:r>
      <w:r w:rsidRPr="008670A1">
        <w:t xml:space="preserve"> </w:t>
      </w:r>
      <w:r>
        <w:t>(WCB</w:t>
      </w:r>
      <w:r w:rsidR="00C543F9">
        <w:t xml:space="preserve"> </w:t>
      </w:r>
      <w:r>
        <w:t>202</w:t>
      </w:r>
      <w:r w:rsidR="00A95190">
        <w:t>2</w:t>
      </w:r>
      <w:r>
        <w:t xml:space="preserve">).     </w:t>
      </w:r>
    </w:p>
  </w:footnote>
  <w:footnote w:id="5">
    <w:p w:rsidR="00317210" w:rsidRPr="00F14A7B" w:rsidP="00317210" w14:paraId="266E3B29" w14:textId="77777777">
      <w:pPr>
        <w:pStyle w:val="FootnoteText"/>
      </w:pPr>
      <w:r w:rsidRPr="00F14A7B">
        <w:rPr>
          <w:rStyle w:val="FootnoteReference"/>
        </w:rPr>
        <w:footnoteRef/>
      </w:r>
      <w:r w:rsidRPr="00F14A7B">
        <w:t xml:space="preserve"> Application at 2.</w:t>
      </w:r>
    </w:p>
  </w:footnote>
  <w:footnote w:id="6">
    <w:p w:rsidR="00317210" w:rsidRPr="00F14A7B" w:rsidP="00317210" w14:paraId="6DE0614B" w14:textId="77777777">
      <w:pPr>
        <w:spacing w:after="120"/>
        <w:rPr>
          <w:sz w:val="20"/>
        </w:rPr>
      </w:pPr>
      <w:r w:rsidRPr="00F14A7B">
        <w:rPr>
          <w:rStyle w:val="FootnoteReference"/>
          <w:sz w:val="20"/>
        </w:rPr>
        <w:footnoteRef/>
      </w:r>
      <w:r w:rsidRPr="00F14A7B">
        <w:rPr>
          <w:sz w:val="20"/>
        </w:rPr>
        <w:t xml:space="preserve"> </w:t>
      </w:r>
      <w:bookmarkStart w:id="7" w:name="_Hlk96594937"/>
      <w:r w:rsidRPr="00F14A7B">
        <w:rPr>
          <w:i/>
          <w:iCs/>
          <w:sz w:val="20"/>
        </w:rPr>
        <w:t>Id.</w:t>
      </w:r>
      <w:bookmarkEnd w:id="7"/>
    </w:p>
  </w:footnote>
  <w:footnote w:id="7">
    <w:p w:rsidR="00317210" w:rsidRPr="00F14A7B" w:rsidP="00317210" w14:paraId="54016C70" w14:textId="77777777">
      <w:pPr>
        <w:pStyle w:val="FootnoteText"/>
      </w:pPr>
      <w:r w:rsidRPr="00F14A7B">
        <w:rPr>
          <w:rStyle w:val="FootnoteReference"/>
        </w:rPr>
        <w:footnoteRef/>
      </w:r>
      <w:r w:rsidRPr="00F14A7B">
        <w:t xml:space="preserve"> </w:t>
      </w:r>
      <w:r w:rsidRPr="00F14A7B">
        <w:rPr>
          <w:i/>
          <w:iCs/>
        </w:rPr>
        <w:t>Id.</w:t>
      </w:r>
    </w:p>
  </w:footnote>
  <w:footnote w:id="8">
    <w:p w:rsidR="0067296B" w:rsidRPr="00F14A7B" w:rsidP="0067296B" w14:paraId="11A6BB5F" w14:textId="77777777">
      <w:pPr>
        <w:spacing w:after="120"/>
        <w:rPr>
          <w:sz w:val="20"/>
        </w:rPr>
      </w:pPr>
      <w:r w:rsidRPr="00F14A7B">
        <w:rPr>
          <w:rStyle w:val="FootnoteReference"/>
          <w:sz w:val="20"/>
        </w:rPr>
        <w:footnoteRef/>
      </w:r>
      <w:r w:rsidRPr="00F14A7B">
        <w:rPr>
          <w:sz w:val="20"/>
        </w:rPr>
        <w:t xml:space="preserve"> </w:t>
      </w:r>
      <w:r w:rsidRPr="00F14A7B">
        <w:rPr>
          <w:i/>
          <w:iCs/>
          <w:sz w:val="20"/>
        </w:rPr>
        <w:t>Id</w:t>
      </w:r>
      <w:r w:rsidRPr="00F14A7B">
        <w:rPr>
          <w:sz w:val="20"/>
        </w:rPr>
        <w:t xml:space="preserve">.  Vexus also provides video service pursuant to a State-Issued Certificate of Franchise Authority for certain portions of Texas and a State Cable and Video Franchise Certificate in Louisiana.   </w:t>
      </w:r>
      <w:r w:rsidRPr="00F14A7B">
        <w:rPr>
          <w:i/>
          <w:iCs/>
          <w:sz w:val="20"/>
        </w:rPr>
        <w:t>Id.</w:t>
      </w:r>
      <w:r w:rsidRPr="00F14A7B">
        <w:rPr>
          <w:sz w:val="20"/>
        </w:rPr>
        <w:t xml:space="preserve"> at 2, n.1.</w:t>
      </w:r>
    </w:p>
  </w:footnote>
  <w:footnote w:id="9">
    <w:p w:rsidR="0067296B" w:rsidRPr="00F14A7B" w:rsidP="0067296B" w14:paraId="446EE342" w14:textId="77777777">
      <w:pPr>
        <w:spacing w:after="120"/>
        <w:rPr>
          <w:sz w:val="20"/>
        </w:rPr>
      </w:pPr>
      <w:r w:rsidRPr="00F14A7B">
        <w:rPr>
          <w:rStyle w:val="FootnoteReference"/>
          <w:sz w:val="20"/>
        </w:rPr>
        <w:footnoteRef/>
      </w:r>
      <w:r w:rsidRPr="00F14A7B">
        <w:rPr>
          <w:sz w:val="20"/>
        </w:rPr>
        <w:t xml:space="preserve"> </w:t>
      </w:r>
      <w:r w:rsidRPr="00F14A7B">
        <w:rPr>
          <w:i/>
          <w:iCs/>
          <w:sz w:val="20"/>
        </w:rPr>
        <w:t>Id.</w:t>
      </w:r>
      <w:r w:rsidRPr="00F14A7B">
        <w:rPr>
          <w:sz w:val="20"/>
        </w:rPr>
        <w:t xml:space="preserve"> at 2.</w:t>
      </w:r>
    </w:p>
  </w:footnote>
  <w:footnote w:id="10">
    <w:p w:rsidR="0067296B" w:rsidRPr="00F14A7B" w:rsidP="0067296B" w14:paraId="6D113A35" w14:textId="77777777">
      <w:pPr>
        <w:spacing w:after="120"/>
        <w:rPr>
          <w:sz w:val="20"/>
        </w:rPr>
      </w:pPr>
      <w:r w:rsidRPr="00F14A7B">
        <w:rPr>
          <w:rStyle w:val="FootnoteReference"/>
          <w:sz w:val="20"/>
        </w:rPr>
        <w:footnoteRef/>
      </w:r>
      <w:r w:rsidRPr="00F14A7B">
        <w:rPr>
          <w:sz w:val="20"/>
        </w:rPr>
        <w:t xml:space="preserve"> </w:t>
      </w:r>
      <w:r w:rsidRPr="00F14A7B">
        <w:rPr>
          <w:i/>
          <w:iCs/>
          <w:sz w:val="20"/>
        </w:rPr>
        <w:t>Id.</w:t>
      </w:r>
    </w:p>
  </w:footnote>
  <w:footnote w:id="11">
    <w:p w:rsidR="0067296B" w:rsidRPr="00F14A7B" w:rsidP="0067296B" w14:paraId="48F2FE49" w14:textId="77777777">
      <w:pPr>
        <w:spacing w:after="120"/>
        <w:rPr>
          <w:sz w:val="20"/>
        </w:rPr>
      </w:pPr>
      <w:r w:rsidRPr="00F14A7B">
        <w:rPr>
          <w:rStyle w:val="FootnoteReference"/>
          <w:sz w:val="20"/>
        </w:rPr>
        <w:footnoteRef/>
      </w:r>
      <w:r w:rsidRPr="00F14A7B">
        <w:rPr>
          <w:sz w:val="20"/>
        </w:rPr>
        <w:t xml:space="preserve"> </w:t>
      </w:r>
      <w:r w:rsidRPr="00F14A7B">
        <w:rPr>
          <w:i/>
          <w:iCs/>
          <w:sz w:val="20"/>
        </w:rPr>
        <w:t>Id.</w:t>
      </w:r>
      <w:r w:rsidRPr="00F14A7B">
        <w:rPr>
          <w:sz w:val="20"/>
        </w:rPr>
        <w:t xml:space="preserve"> at 2.</w:t>
      </w:r>
    </w:p>
  </w:footnote>
  <w:footnote w:id="12">
    <w:p w:rsidR="0067296B" w:rsidRPr="00277CD9" w:rsidP="0067296B" w14:paraId="2D121A40" w14:textId="0435540B">
      <w:pPr>
        <w:spacing w:after="120"/>
        <w:rPr>
          <w:i/>
          <w:iCs/>
          <w:sz w:val="20"/>
        </w:rPr>
      </w:pPr>
      <w:r w:rsidRPr="00F14A7B">
        <w:rPr>
          <w:rStyle w:val="FootnoteReference"/>
          <w:sz w:val="20"/>
        </w:rPr>
        <w:footnoteRef/>
      </w:r>
      <w:r w:rsidRPr="00F14A7B">
        <w:rPr>
          <w:sz w:val="20"/>
        </w:rPr>
        <w:t xml:space="preserve"> </w:t>
      </w:r>
      <w:r w:rsidRPr="00F14A7B">
        <w:rPr>
          <w:i/>
          <w:iCs/>
          <w:sz w:val="20"/>
        </w:rPr>
        <w:t>Id.</w:t>
      </w:r>
      <w:r w:rsidRPr="00F14A7B">
        <w:rPr>
          <w:sz w:val="20"/>
        </w:rPr>
        <w:t xml:space="preserve"> at 2-3; Applicants’ Feb. 22 Supplement at 1 (stating that Vexus was awarded a total RDOF support over a ten-year period of $8,923); </w:t>
      </w:r>
      <w:bookmarkStart w:id="8" w:name="_Hlk96602387"/>
      <w:r w:rsidRPr="00F14A7B">
        <w:rPr>
          <w:i/>
          <w:iCs/>
          <w:sz w:val="20"/>
        </w:rPr>
        <w:t xml:space="preserve">Rural Digital Opportunity Fund Phase I Auction (Auction 904) Closes; Winning Bidders Announced, </w:t>
      </w:r>
      <w:bookmarkStart w:id="9" w:name="_Hlk96602674"/>
      <w:r w:rsidRPr="00F14A7B">
        <w:rPr>
          <w:sz w:val="20"/>
        </w:rPr>
        <w:t xml:space="preserve">AU Docket No. 20-34, WC Docket No. 19-126, WC Docket No. 10-90, Public Notice, </w:t>
      </w:r>
      <w:bookmarkEnd w:id="9"/>
      <w:r w:rsidRPr="00F14A7B">
        <w:rPr>
          <w:sz w:val="20"/>
        </w:rPr>
        <w:t>35 FCC Rcd 13888, Attach. A (Winning Bidder Summary) (2020)</w:t>
      </w:r>
      <w:bookmarkEnd w:id="8"/>
      <w:r w:rsidRPr="00F14A7B">
        <w:rPr>
          <w:sz w:val="20"/>
        </w:rPr>
        <w:t xml:space="preserve">; </w:t>
      </w:r>
      <w:r w:rsidRPr="00F14A7B">
        <w:rPr>
          <w:i/>
          <w:iCs/>
          <w:sz w:val="20"/>
        </w:rPr>
        <w:t xml:space="preserve">See Rural Digital Opportunity </w:t>
      </w:r>
      <w:r w:rsidRPr="00277CD9">
        <w:rPr>
          <w:i/>
          <w:iCs/>
          <w:sz w:val="20"/>
        </w:rPr>
        <w:t xml:space="preserve">Fund Support Authorized For 469 Winning Bids, </w:t>
      </w:r>
      <w:r w:rsidRPr="00277CD9">
        <w:rPr>
          <w:sz w:val="20"/>
        </w:rPr>
        <w:t>AU Docket No. 20-34, WC Docket No. 19-126, WC Docket No. 10-90, Public Notice, DA 21-1287, at Attach. A (Authorized Long-Form Applicants and Winning Bids) (WCB 2021)</w:t>
      </w:r>
      <w:r w:rsidRPr="00277CD9" w:rsidR="00277CD9">
        <w:rPr>
          <w:sz w:val="20"/>
        </w:rPr>
        <w:t xml:space="preserve"> </w:t>
      </w:r>
      <w:r w:rsidRPr="00277CD9" w:rsidR="00277CD9">
        <w:rPr>
          <w:i/>
          <w:iCs/>
          <w:sz w:val="20"/>
        </w:rPr>
        <w:t>(RDOF Authorization Public Notice)</w:t>
      </w:r>
      <w:r w:rsidRPr="00277CD9">
        <w:rPr>
          <w:i/>
          <w:iCs/>
          <w:sz w:val="20"/>
        </w:rPr>
        <w:t xml:space="preserve">. </w:t>
      </w:r>
    </w:p>
  </w:footnote>
  <w:footnote w:id="13">
    <w:p w:rsidR="0067296B" w:rsidRPr="00F14A7B" w:rsidP="0067296B" w14:paraId="2A85DA06" w14:textId="77777777">
      <w:pPr>
        <w:spacing w:after="120"/>
        <w:rPr>
          <w:sz w:val="20"/>
        </w:rPr>
      </w:pPr>
      <w:r w:rsidRPr="00F14A7B">
        <w:rPr>
          <w:rStyle w:val="FootnoteReference"/>
          <w:sz w:val="20"/>
        </w:rPr>
        <w:footnoteRef/>
      </w:r>
      <w:r w:rsidRPr="00F14A7B">
        <w:rPr>
          <w:sz w:val="20"/>
        </w:rPr>
        <w:t xml:space="preserve"> Application at 3.</w:t>
      </w:r>
    </w:p>
  </w:footnote>
  <w:footnote w:id="14">
    <w:p w:rsidR="0067296B" w:rsidRPr="00F14A7B" w:rsidP="0067296B" w14:paraId="6C09EAAC" w14:textId="77777777">
      <w:pPr>
        <w:spacing w:after="120"/>
        <w:rPr>
          <w:sz w:val="20"/>
        </w:rPr>
      </w:pPr>
      <w:r w:rsidRPr="00F14A7B">
        <w:rPr>
          <w:rStyle w:val="FootnoteReference"/>
          <w:sz w:val="20"/>
        </w:rPr>
        <w:footnoteRef/>
      </w:r>
      <w:r w:rsidRPr="00F14A7B">
        <w:rPr>
          <w:sz w:val="20"/>
        </w:rPr>
        <w:t xml:space="preserve"> </w:t>
      </w:r>
      <w:r w:rsidRPr="00F14A7B">
        <w:rPr>
          <w:i/>
          <w:iCs/>
          <w:sz w:val="20"/>
        </w:rPr>
        <w:t>Id.</w:t>
      </w:r>
    </w:p>
  </w:footnote>
  <w:footnote w:id="15">
    <w:p w:rsidR="0067296B" w:rsidRPr="00F14A7B" w:rsidP="0067296B" w14:paraId="537CC829" w14:textId="77777777">
      <w:pPr>
        <w:spacing w:after="120"/>
        <w:rPr>
          <w:sz w:val="20"/>
        </w:rPr>
      </w:pPr>
      <w:r w:rsidRPr="00F14A7B">
        <w:rPr>
          <w:rStyle w:val="FootnoteReference"/>
          <w:sz w:val="20"/>
        </w:rPr>
        <w:footnoteRef/>
      </w:r>
      <w:r w:rsidRPr="00F14A7B">
        <w:rPr>
          <w:sz w:val="20"/>
        </w:rPr>
        <w:t xml:space="preserve"> </w:t>
      </w:r>
      <w:r w:rsidRPr="00F14A7B">
        <w:rPr>
          <w:i/>
          <w:iCs/>
          <w:sz w:val="20"/>
        </w:rPr>
        <w:t xml:space="preserve">Id. </w:t>
      </w:r>
      <w:r w:rsidRPr="00F14A7B">
        <w:rPr>
          <w:sz w:val="20"/>
        </w:rPr>
        <w:t>at 20-24.</w:t>
      </w:r>
      <w:r>
        <w:rPr>
          <w:sz w:val="20"/>
        </w:rPr>
        <w:t xml:space="preserve">  On February 14, 2022, the Bureau granted the domestic section 214 application for MetroNet Holdings’ indirect subsidiary, MetroNet Systems, LLC, to acquire certain competitive LEC assets in Florida of Hargray of Tallahassee, LLC and Low Country Carriers, Inc. d/b/a Hargray Long Distance.  </w:t>
      </w:r>
      <w:r w:rsidRPr="00EB181E">
        <w:rPr>
          <w:i/>
          <w:iCs/>
          <w:sz w:val="20"/>
        </w:rPr>
        <w:t>Notice of Domestic Section 214 Authorization Granted</w:t>
      </w:r>
      <w:r>
        <w:rPr>
          <w:sz w:val="20"/>
        </w:rPr>
        <w:t xml:space="preserve">, WC Docket No. 21-504, Public Notice, DA 22-150 (WCB 2022).  </w:t>
      </w:r>
    </w:p>
  </w:footnote>
  <w:footnote w:id="16">
    <w:p w:rsidR="0067296B" w:rsidRPr="009934BF" w:rsidP="0067296B" w14:paraId="7517BA83" w14:textId="580908B2">
      <w:pPr>
        <w:spacing w:after="120"/>
        <w:rPr>
          <w:sz w:val="20"/>
        </w:rPr>
      </w:pPr>
      <w:r w:rsidRPr="00F14A7B">
        <w:rPr>
          <w:rStyle w:val="FootnoteReference"/>
          <w:sz w:val="20"/>
        </w:rPr>
        <w:footnoteRef/>
      </w:r>
      <w:r w:rsidRPr="00F14A7B">
        <w:rPr>
          <w:sz w:val="20"/>
        </w:rPr>
        <w:t xml:space="preserve"> </w:t>
      </w:r>
      <w:r w:rsidRPr="00355397" w:rsidR="00355397">
        <w:rPr>
          <w:sz w:val="20"/>
        </w:rPr>
        <w:t>Application</w:t>
      </w:r>
      <w:r>
        <w:rPr>
          <w:i/>
          <w:iCs/>
          <w:sz w:val="20"/>
        </w:rPr>
        <w:t xml:space="preserve"> </w:t>
      </w:r>
      <w:r w:rsidRPr="009934BF">
        <w:rPr>
          <w:sz w:val="20"/>
        </w:rPr>
        <w:t>at 3.</w:t>
      </w:r>
    </w:p>
  </w:footnote>
  <w:footnote w:id="17">
    <w:p w:rsidR="0067296B" w:rsidRPr="00F14A7B" w:rsidP="0067296B" w14:paraId="2A5B29D4" w14:textId="5CA0E305">
      <w:pPr>
        <w:pStyle w:val="FootnoteText"/>
      </w:pPr>
      <w:r w:rsidRPr="00F14A7B">
        <w:rPr>
          <w:rStyle w:val="FootnoteReference"/>
        </w:rPr>
        <w:footnoteRef/>
      </w:r>
      <w:r w:rsidRPr="00F14A7B">
        <w:t xml:space="preserve"> </w:t>
      </w:r>
      <w:bookmarkStart w:id="11" w:name="_Hlk92458306"/>
      <w:r w:rsidRPr="00F14A7B">
        <w:t xml:space="preserve">Application at </w:t>
      </w:r>
      <w:r>
        <w:t>8</w:t>
      </w:r>
      <w:r w:rsidRPr="00F14A7B">
        <w:t>-1</w:t>
      </w:r>
      <w:r>
        <w:t>8</w:t>
      </w:r>
      <w:bookmarkStart w:id="12" w:name="_Hlk92802077"/>
      <w:r>
        <w:t>,</w:t>
      </w:r>
      <w:r w:rsidRPr="00F14A7B">
        <w:t xml:space="preserve"> </w:t>
      </w:r>
      <w:bookmarkStart w:id="13" w:name="_Hlk96608655"/>
      <w:r w:rsidRPr="00F14A7B">
        <w:t xml:space="preserve">Ex. </w:t>
      </w:r>
      <w:r>
        <w:t>C</w:t>
      </w:r>
      <w:r w:rsidRPr="00F14A7B">
        <w:t xml:space="preserve"> (Post-Transaction Ownership) </w:t>
      </w:r>
      <w:bookmarkStart w:id="14" w:name="_Hlk92802789"/>
      <w:bookmarkEnd w:id="12"/>
      <w:bookmarkEnd w:id="13"/>
      <w:r w:rsidRPr="00F14A7B">
        <w:t xml:space="preserve">describes in detail the post-transaction ownership of </w:t>
      </w:r>
      <w:bookmarkEnd w:id="14"/>
      <w:r w:rsidRPr="00F14A7B">
        <w:t>the Oak Hill Investors and MetroNet</w:t>
      </w:r>
      <w:r>
        <w:t xml:space="preserve"> Holdings</w:t>
      </w:r>
      <w:r w:rsidRPr="00F14A7B">
        <w:t xml:space="preserve">.  </w:t>
      </w:r>
      <w:bookmarkEnd w:id="11"/>
      <w:r w:rsidRPr="00F14A7B">
        <w:t>The Oak Hill Investors are affiliated with Oak Hill Capital Management, a private equity fund</w:t>
      </w:r>
      <w:r>
        <w:t xml:space="preserve"> that</w:t>
      </w:r>
      <w:r w:rsidRPr="00F14A7B">
        <w:t xml:space="preserve"> is based in the U.S. but whose funds are organized in the Cayman Islands.  Control of these funds ultimately rests in U.S. entities or citizens.  </w:t>
      </w:r>
      <w:r>
        <w:t xml:space="preserve">Applicants’ Feb. 25 Supplement at 2.  </w:t>
      </w:r>
      <w:r w:rsidRPr="00F14A7B">
        <w:t>Through the Oak Hill Investors</w:t>
      </w:r>
      <w:r>
        <w:t xml:space="preserve">, MetroNet Holdings is affiliated with </w:t>
      </w:r>
      <w:r w:rsidRPr="00F14A7B">
        <w:t>Otelco, Inc. and its subsidiaries, Ontario Telephone Company, Trumansburg Telephone Company, Inc., and Finger Lakes Communications Group, Inc., all of which provide incumbent LEC and competitive LEC services in multiple states</w:t>
      </w:r>
      <w:r>
        <w:t>, and certain other competitive providers</w:t>
      </w:r>
      <w:r w:rsidRPr="00F14A7B">
        <w:t>.</w:t>
      </w:r>
      <w:r>
        <w:t xml:space="preserve">  </w:t>
      </w:r>
      <w:r>
        <w:rPr>
          <w:i/>
          <w:iCs/>
        </w:rPr>
        <w:t>Id</w:t>
      </w:r>
      <w:r>
        <w:t>.</w:t>
      </w:r>
      <w:r>
        <w:rPr>
          <w:i/>
          <w:iCs/>
        </w:rPr>
        <w:t xml:space="preserve"> </w:t>
      </w:r>
      <w:r>
        <w:t>at 22-24.</w:t>
      </w:r>
      <w:r w:rsidRPr="00F14A7B">
        <w:t xml:space="preserve">  </w:t>
      </w:r>
      <w:r>
        <w:t>Certain Oak Hills funds, in addition to un-related investors, currently hold a 10% or greater interest in Vexus.  Application at 24 and Exh. B (Current Ownership Structure of Vexus).</w:t>
      </w:r>
    </w:p>
  </w:footnote>
  <w:footnote w:id="18">
    <w:p w:rsidR="0067296B" w:rsidRPr="00F14A7B" w:rsidP="0067296B" w14:paraId="066075C6" w14:textId="77777777">
      <w:pPr>
        <w:pStyle w:val="FootnoteText"/>
      </w:pPr>
      <w:r w:rsidRPr="00F14A7B">
        <w:rPr>
          <w:rStyle w:val="FootnoteReference"/>
        </w:rPr>
        <w:footnoteRef/>
      </w:r>
      <w:r w:rsidRPr="00F14A7B">
        <w:t xml:space="preserve"> Applicants provide information on each of the entities and individuals who are included in the Cinelli Investors in the Application at 9</w:t>
      </w:r>
      <w:r>
        <w:t xml:space="preserve">-10, </w:t>
      </w:r>
      <w:r w:rsidRPr="00F14A7B">
        <w:t xml:space="preserve">Ex. </w:t>
      </w:r>
      <w:r>
        <w:t>C</w:t>
      </w:r>
      <w:r w:rsidRPr="00F14A7B">
        <w:t xml:space="preserve"> (Post-Transaction Ownership).  Applicants state that all the Cinelli Investors are U.S. citizens, trusts, or entities.  John Cinelli and Janet Cinelli, both U.S. citizens, are the Co-Trustees and control Cinelli Investors. </w:t>
      </w:r>
      <w:r>
        <w:t xml:space="preserve"> </w:t>
      </w:r>
      <w:r>
        <w:rPr>
          <w:i/>
          <w:iCs/>
        </w:rPr>
        <w:t>Id</w:t>
      </w:r>
      <w:r>
        <w:t>.</w:t>
      </w:r>
      <w:r w:rsidRPr="00F14A7B">
        <w:t xml:space="preserve"> </w:t>
      </w:r>
    </w:p>
  </w:footnote>
  <w:footnote w:id="19">
    <w:p w:rsidR="0067296B" w:rsidRPr="00F14A7B" w:rsidP="0067296B" w14:paraId="3D92D28B" w14:textId="2CCECC8B">
      <w:pPr>
        <w:pStyle w:val="FootnoteText"/>
      </w:pPr>
      <w:r w:rsidRPr="00F14A7B">
        <w:rPr>
          <w:rStyle w:val="FootnoteReference"/>
        </w:rPr>
        <w:footnoteRef/>
      </w:r>
      <w:r w:rsidRPr="00F14A7B">
        <w:t xml:space="preserve"> Application at </w:t>
      </w:r>
      <w:r>
        <w:t>13-18</w:t>
      </w:r>
      <w:r w:rsidRPr="00F14A7B">
        <w:t xml:space="preserve">, and Ex. </w:t>
      </w:r>
      <w:r>
        <w:t>C</w:t>
      </w:r>
      <w:r w:rsidRPr="00F14A7B">
        <w:t xml:space="preserve"> (Post-Transaction Ownership) describes in detail the post-transaction ownership of the KKR investor entities.  KKR, an investment firm, and the KKR investor entities are owned by one or more funds advised and/or managed by indirect subsidiaries of KKR, a publicly traded Delaware corporation.  </w:t>
      </w:r>
      <w:r>
        <w:rPr>
          <w:i/>
          <w:iCs/>
        </w:rPr>
        <w:t>Id</w:t>
      </w:r>
      <w:r>
        <w:t>.</w:t>
      </w:r>
      <w:r w:rsidRPr="00F14A7B">
        <w:t xml:space="preserve"> </w:t>
      </w:r>
    </w:p>
  </w:footnote>
  <w:footnote w:id="20">
    <w:p w:rsidR="0067296B" w:rsidRPr="00F14A7B" w:rsidP="0067296B" w14:paraId="44A3FF61" w14:textId="25318D30">
      <w:pPr>
        <w:spacing w:after="120"/>
        <w:rPr>
          <w:sz w:val="20"/>
        </w:rPr>
      </w:pPr>
      <w:r w:rsidRPr="00F14A7B">
        <w:rPr>
          <w:rStyle w:val="FootnoteReference"/>
          <w:sz w:val="20"/>
        </w:rPr>
        <w:footnoteRef/>
      </w:r>
      <w:r w:rsidRPr="00F14A7B">
        <w:rPr>
          <w:sz w:val="20"/>
        </w:rPr>
        <w:t xml:space="preserve"> </w:t>
      </w:r>
      <w:r w:rsidRPr="00926E81" w:rsidR="00926E81">
        <w:rPr>
          <w:i/>
          <w:iCs/>
          <w:sz w:val="20"/>
        </w:rPr>
        <w:t>Id</w:t>
      </w:r>
      <w:r w:rsidR="00926E81">
        <w:rPr>
          <w:sz w:val="20"/>
        </w:rPr>
        <w:t>.</w:t>
      </w:r>
      <w:r>
        <w:rPr>
          <w:sz w:val="20"/>
        </w:rPr>
        <w:t xml:space="preserve"> at 27, Exh. C (Ownership and Control Structure of Holdings); </w:t>
      </w:r>
      <w:r w:rsidRPr="00320526">
        <w:rPr>
          <w:sz w:val="20"/>
        </w:rPr>
        <w:t>Applicants’ Feb. 25 Supplement at 2.</w:t>
      </w:r>
      <w:r>
        <w:rPr>
          <w:sz w:val="20"/>
        </w:rPr>
        <w:t xml:space="preserve"> </w:t>
      </w:r>
    </w:p>
  </w:footnote>
  <w:footnote w:id="21">
    <w:p w:rsidR="0067296B" w:rsidRPr="00F14A7B" w:rsidP="0067296B" w14:paraId="47B4CDD5" w14:textId="7590121A">
      <w:pPr>
        <w:spacing w:after="120"/>
        <w:rPr>
          <w:sz w:val="20"/>
        </w:rPr>
      </w:pPr>
      <w:r w:rsidRPr="00F14A7B">
        <w:rPr>
          <w:rStyle w:val="FootnoteReference"/>
          <w:sz w:val="20"/>
        </w:rPr>
        <w:footnoteRef/>
      </w:r>
      <w:r w:rsidRPr="00F14A7B">
        <w:rPr>
          <w:sz w:val="20"/>
        </w:rPr>
        <w:t xml:space="preserve"> </w:t>
      </w:r>
      <w:r w:rsidR="00791600">
        <w:rPr>
          <w:sz w:val="20"/>
        </w:rPr>
        <w:t>Application</w:t>
      </w:r>
      <w:r>
        <w:rPr>
          <w:sz w:val="20"/>
        </w:rPr>
        <w:t xml:space="preserve"> at 3. </w:t>
      </w:r>
    </w:p>
  </w:footnote>
  <w:footnote w:id="22">
    <w:p w:rsidR="0067296B" w:rsidRPr="00F14A7B" w:rsidP="0067296B" w14:paraId="7E493D9D" w14:textId="77777777">
      <w:pPr>
        <w:spacing w:after="120"/>
        <w:rPr>
          <w:sz w:val="20"/>
        </w:rPr>
      </w:pPr>
      <w:r w:rsidRPr="00F14A7B">
        <w:rPr>
          <w:rStyle w:val="FootnoteReference"/>
          <w:sz w:val="20"/>
        </w:rPr>
        <w:footnoteRef/>
      </w:r>
      <w:r w:rsidRPr="00F14A7B">
        <w:rPr>
          <w:sz w:val="20"/>
        </w:rPr>
        <w:t xml:space="preserve"> </w:t>
      </w:r>
      <w:r w:rsidRPr="00F46B95">
        <w:rPr>
          <w:i/>
          <w:iCs/>
          <w:sz w:val="20"/>
        </w:rPr>
        <w:t>Id.</w:t>
      </w:r>
      <w:r>
        <w:rPr>
          <w:sz w:val="20"/>
        </w:rPr>
        <w:t xml:space="preserve"> </w:t>
      </w:r>
    </w:p>
  </w:footnote>
  <w:footnote w:id="23">
    <w:p w:rsidR="00B376D4" w:rsidRPr="00F14A7B" w:rsidP="00B376D4" w14:paraId="0E2288E8" w14:textId="318EEFCA">
      <w:pPr>
        <w:spacing w:after="120"/>
        <w:rPr>
          <w:sz w:val="20"/>
        </w:rPr>
      </w:pPr>
      <w:r w:rsidRPr="00F14A7B">
        <w:rPr>
          <w:rStyle w:val="FootnoteReference"/>
          <w:sz w:val="20"/>
        </w:rPr>
        <w:footnoteRef/>
      </w:r>
      <w:r w:rsidRPr="00F14A7B">
        <w:rPr>
          <w:sz w:val="20"/>
        </w:rPr>
        <w:t xml:space="preserve"> </w:t>
      </w:r>
      <w:r w:rsidRPr="00791600" w:rsidR="00791600">
        <w:rPr>
          <w:i/>
          <w:iCs/>
          <w:sz w:val="20"/>
        </w:rPr>
        <w:t>Id</w:t>
      </w:r>
      <w:r w:rsidR="00791600">
        <w:rPr>
          <w:sz w:val="20"/>
        </w:rPr>
        <w:t xml:space="preserve">. </w:t>
      </w:r>
      <w:r w:rsidRPr="00791600">
        <w:rPr>
          <w:sz w:val="20"/>
        </w:rPr>
        <w:t>at</w:t>
      </w:r>
      <w:r w:rsidRPr="00F14A7B">
        <w:rPr>
          <w:sz w:val="20"/>
        </w:rPr>
        <w:t xml:space="preserve"> </w:t>
      </w:r>
      <w:r w:rsidR="00791600">
        <w:rPr>
          <w:sz w:val="20"/>
        </w:rPr>
        <w:t>3-5</w:t>
      </w:r>
      <w:r w:rsidRPr="00F14A7B">
        <w:rPr>
          <w:sz w:val="20"/>
        </w:rPr>
        <w:t xml:space="preserve">. </w:t>
      </w:r>
    </w:p>
  </w:footnote>
  <w:footnote w:id="24">
    <w:p w:rsidR="00B376D4" w:rsidRPr="00F14A7B" w:rsidP="00B376D4" w14:paraId="5DEAE6F3" w14:textId="77777777">
      <w:pPr>
        <w:spacing w:after="120"/>
        <w:rPr>
          <w:sz w:val="20"/>
        </w:rPr>
      </w:pPr>
      <w:r w:rsidRPr="00F14A7B">
        <w:rPr>
          <w:rStyle w:val="FootnoteReference"/>
          <w:sz w:val="20"/>
        </w:rPr>
        <w:footnoteRef/>
      </w:r>
      <w:r w:rsidRPr="00F14A7B">
        <w:rPr>
          <w:sz w:val="20"/>
        </w:rPr>
        <w:t xml:space="preserve"> Applicants’ Feb. 22 Supplement at 1.</w:t>
      </w:r>
    </w:p>
  </w:footnote>
  <w:footnote w:id="25">
    <w:p w:rsidR="00B376D4" w:rsidRPr="00F14A7B" w:rsidP="00B376D4" w14:paraId="17AADABC" w14:textId="77777777">
      <w:pPr>
        <w:spacing w:after="120"/>
        <w:rPr>
          <w:sz w:val="20"/>
        </w:rPr>
      </w:pPr>
      <w:r w:rsidRPr="00F14A7B">
        <w:rPr>
          <w:rStyle w:val="FootnoteReference"/>
          <w:sz w:val="20"/>
        </w:rPr>
        <w:footnoteRef/>
      </w:r>
      <w:r w:rsidRPr="00F14A7B">
        <w:rPr>
          <w:sz w:val="20"/>
        </w:rPr>
        <w:t xml:space="preserve"> </w:t>
      </w:r>
      <w:r w:rsidRPr="00F14A7B">
        <w:rPr>
          <w:i/>
          <w:iCs/>
          <w:sz w:val="20"/>
        </w:rPr>
        <w:t>Id.</w:t>
      </w:r>
      <w:r w:rsidRPr="00F14A7B">
        <w:rPr>
          <w:sz w:val="20"/>
        </w:rPr>
        <w:t xml:space="preserve"> at 2. </w:t>
      </w:r>
    </w:p>
  </w:footnote>
  <w:footnote w:id="26">
    <w:p w:rsidR="00B376D4" w:rsidRPr="00F14A7B" w:rsidP="00B376D4" w14:paraId="10962BB3" w14:textId="77777777">
      <w:pPr>
        <w:spacing w:after="120"/>
        <w:rPr>
          <w:sz w:val="20"/>
        </w:rPr>
      </w:pPr>
      <w:r w:rsidRPr="00F14A7B">
        <w:rPr>
          <w:rStyle w:val="FootnoteReference"/>
          <w:sz w:val="20"/>
        </w:rPr>
        <w:footnoteRef/>
      </w:r>
      <w:r w:rsidRPr="00F14A7B">
        <w:rPr>
          <w:sz w:val="20"/>
        </w:rPr>
        <w:t xml:space="preserve">  </w:t>
      </w:r>
      <w:r w:rsidRPr="00F14A7B">
        <w:rPr>
          <w:i/>
          <w:iCs/>
          <w:sz w:val="20"/>
        </w:rPr>
        <w:t>Id.</w:t>
      </w:r>
    </w:p>
  </w:footnote>
  <w:footnote w:id="27">
    <w:p w:rsidR="00B376D4" w:rsidRPr="00F14A7B" w:rsidP="00B376D4" w14:paraId="6C173DDA" w14:textId="77777777">
      <w:pPr>
        <w:spacing w:after="120"/>
        <w:rPr>
          <w:sz w:val="20"/>
        </w:rPr>
      </w:pPr>
      <w:r w:rsidRPr="00F14A7B">
        <w:rPr>
          <w:rStyle w:val="FootnoteReference"/>
          <w:sz w:val="20"/>
        </w:rPr>
        <w:footnoteRef/>
      </w:r>
      <w:r w:rsidRPr="00F14A7B">
        <w:rPr>
          <w:sz w:val="20"/>
        </w:rPr>
        <w:t xml:space="preserve"> Application at 4.</w:t>
      </w:r>
    </w:p>
  </w:footnote>
  <w:footnote w:id="28">
    <w:p w:rsidR="00B376D4" w:rsidRPr="00F14A7B" w:rsidP="00B376D4" w14:paraId="52ACCD81" w14:textId="77777777">
      <w:pPr>
        <w:spacing w:after="120"/>
        <w:rPr>
          <w:sz w:val="20"/>
        </w:rPr>
      </w:pPr>
      <w:r w:rsidRPr="00F14A7B">
        <w:rPr>
          <w:rStyle w:val="FootnoteReference"/>
          <w:sz w:val="20"/>
        </w:rPr>
        <w:footnoteRef/>
      </w:r>
      <w:r w:rsidRPr="00F14A7B">
        <w:rPr>
          <w:sz w:val="20"/>
        </w:rPr>
        <w:t xml:space="preserve"> </w:t>
      </w:r>
      <w:r w:rsidRPr="00F14A7B">
        <w:rPr>
          <w:i/>
          <w:iCs/>
          <w:sz w:val="20"/>
        </w:rPr>
        <w:t>Id.</w:t>
      </w:r>
    </w:p>
  </w:footnote>
  <w:footnote w:id="29">
    <w:p w:rsidR="00B376D4" w:rsidRPr="00F14A7B" w:rsidP="00B376D4" w14:paraId="4A54AAB3" w14:textId="77777777">
      <w:pPr>
        <w:pStyle w:val="FootnoteText"/>
      </w:pPr>
      <w:r w:rsidRPr="00F14A7B">
        <w:rPr>
          <w:rStyle w:val="FootnoteReference"/>
        </w:rPr>
        <w:footnoteRef/>
      </w:r>
      <w:r w:rsidRPr="00F14A7B">
        <w:t xml:space="preserve"> </w:t>
      </w:r>
      <w:r w:rsidRPr="00F14A7B">
        <w:rPr>
          <w:i/>
          <w:iCs/>
        </w:rPr>
        <w:t>Id</w:t>
      </w:r>
      <w:r w:rsidRPr="00F14A7B">
        <w:t>.</w:t>
      </w:r>
    </w:p>
  </w:footnote>
  <w:footnote w:id="30">
    <w:p w:rsidR="00696680" w14:paraId="29B9976B" w14:textId="067CC56A">
      <w:pPr>
        <w:pStyle w:val="FootnoteText"/>
      </w:pPr>
      <w:bookmarkStart w:id="15" w:name="_Hlk99530073"/>
      <w:r>
        <w:rPr>
          <w:rStyle w:val="FootnoteReference"/>
        </w:rPr>
        <w:footnoteRef/>
      </w:r>
      <w:r>
        <w:t xml:space="preserve"> 47 U.S.C. § 214(a); 47 C.F.R. § 63.03; </w:t>
      </w:r>
      <w:r w:rsidR="006C3F35">
        <w:rPr>
          <w:i/>
          <w:iCs/>
        </w:rPr>
        <w:t xml:space="preserve">see </w:t>
      </w:r>
      <w:r>
        <w:rPr>
          <w:i/>
          <w:iCs/>
        </w:rPr>
        <w:t>Telecommunications Carriers Eligible for Universal Service Support</w:t>
      </w:r>
      <w:r>
        <w:t xml:space="preserve">, WC Docket No. 09-197, </w:t>
      </w:r>
      <w:r>
        <w:rPr>
          <w:i/>
          <w:iCs/>
        </w:rPr>
        <w:t>Connect America Fund</w:t>
      </w:r>
      <w:r>
        <w:t>, WC Docket No. 10-90, Order, DA 21-663, para. 30 (WCB 2021)</w:t>
      </w:r>
      <w:r w:rsidR="006C3F35">
        <w:t xml:space="preserve"> (requiring ETCs to receive approval from the Commission prior to undertaking a transfer of control or assets)</w:t>
      </w:r>
      <w:r>
        <w:t>.</w:t>
      </w:r>
    </w:p>
    <w:bookmarkEnd w:id="15"/>
  </w:footnote>
  <w:footnote w:id="31">
    <w:p w:rsidR="009D31FB" w:rsidRPr="00C37B71" w:rsidP="009D31FB" w14:paraId="16A76D3D" w14:textId="77777777">
      <w:pPr>
        <w:pStyle w:val="FootnoteText"/>
        <w:widowControl w:val="0"/>
      </w:pPr>
      <w:r w:rsidRPr="00C37B71">
        <w:rPr>
          <w:rStyle w:val="FootnoteReference"/>
        </w:rPr>
        <w:footnoteRef/>
      </w:r>
      <w:r w:rsidRPr="00C37B71">
        <w:t xml:space="preserve"> </w:t>
      </w:r>
      <w:r w:rsidRPr="006E3ED7">
        <w:rPr>
          <w:i/>
        </w:rPr>
        <w:t>See, e.g.</w:t>
      </w:r>
      <w:r w:rsidRPr="006E3ED7">
        <w:t xml:space="preserve">, </w:t>
      </w:r>
      <w:r w:rsidRPr="006E3ED7">
        <w:rPr>
          <w:i/>
          <w:iCs/>
        </w:rPr>
        <w:t xml:space="preserve">Application of Verizon Communications Inc. and </w:t>
      </w:r>
      <w:r w:rsidRPr="006E3ED7">
        <w:rPr>
          <w:rStyle w:val="markedcontent"/>
          <w:i/>
          <w:iCs/>
        </w:rPr>
        <w:t>América Móvil S.A.B. de C.V for Consent to Transfer Control of International Section 214 Authorization</w:t>
      </w:r>
      <w:r w:rsidRPr="006E3ED7">
        <w:rPr>
          <w:rStyle w:val="markedcontent"/>
        </w:rPr>
        <w:t>, GN Docket No. 21-112; IBFS File No. ITC-T/C-20200930-00173, Memorandum Opinion and Order, FCC 21-121, at para. 21 (rel. Nov. 22, 2021) (</w:t>
      </w:r>
      <w:r w:rsidRPr="00C37B71">
        <w:rPr>
          <w:rStyle w:val="markedcontent"/>
          <w:i/>
          <w:iCs/>
        </w:rPr>
        <w:t>Verizon-TracFone Order</w:t>
      </w:r>
      <w:r w:rsidRPr="00C37B71">
        <w:rPr>
          <w:rStyle w:val="markedcontent"/>
        </w:rPr>
        <w:t>)</w:t>
      </w:r>
      <w:r w:rsidRPr="00C37B71">
        <w:rPr>
          <w:rStyle w:val="markedcontent"/>
          <w:sz w:val="28"/>
          <w:szCs w:val="28"/>
        </w:rPr>
        <w:t xml:space="preserve"> </w:t>
      </w:r>
      <w:r w:rsidRPr="00C37B71">
        <w:t xml:space="preserve">(citing </w:t>
      </w:r>
      <w:r w:rsidRPr="00C37B71">
        <w:rPr>
          <w:i/>
        </w:rPr>
        <w:t>China Mobile International (USA) Inc., Application for Global Facilities-Based and Global Resale International Telecommunications Authority Pursuant to Section 214 of the Communications Act of 1934, as Amended</w:t>
      </w:r>
      <w:r w:rsidRPr="00C37B71">
        <w:t xml:space="preserve">, Memorandum Opinion and Order, 34 FCC Rcd 3361, 3366, para. 9 (2019); </w:t>
      </w:r>
      <w:r w:rsidRPr="00C37B71">
        <w:rPr>
          <w:i/>
        </w:rPr>
        <w:t>Applications for Consent to the Assignment and/or Transfer of Control of Licenses, Adelphia Communications Corporation (and subsidiaries, debtors-in-possession), Assignors, to Time Warner Cable Inc. (subsidiaries), Assignees; Adelphia Communications Corporation, (and subsidiaries, debtors-in-possession), Assignors and Transferors et al</w:t>
      </w:r>
      <w:r w:rsidRPr="00C37B71">
        <w:t>., MB Docket No. 05-192, Memorandum Opinion and Order, 21 FCC Rcd 8203, 8219-21, paras. 27-28 (2006) (</w:t>
      </w:r>
      <w:r w:rsidRPr="00C37B71">
        <w:rPr>
          <w:i/>
          <w:iCs/>
        </w:rPr>
        <w:t>Adelphia-TWC Order</w:t>
      </w:r>
      <w:r w:rsidRPr="00C37B71">
        <w:t>))</w:t>
      </w:r>
      <w:r w:rsidR="00FD2ED6">
        <w:t>.</w:t>
      </w:r>
    </w:p>
  </w:footnote>
  <w:footnote w:id="32">
    <w:p w:rsidR="009D31FB" w:rsidRPr="00B83976" w:rsidP="009D31FB" w14:paraId="30167C1A" w14:textId="77777777">
      <w:pPr>
        <w:pStyle w:val="FootnoteText"/>
      </w:pPr>
      <w:r w:rsidRPr="00C37B71">
        <w:rPr>
          <w:rStyle w:val="FootnoteReference"/>
        </w:rPr>
        <w:footnoteRef/>
      </w:r>
      <w:r w:rsidRPr="00C37B71">
        <w:t xml:space="preserve"> </w:t>
      </w:r>
      <w:r w:rsidRPr="00C37B71">
        <w:rPr>
          <w:i/>
        </w:rPr>
        <w:t>See Verizon-TracFone Order</w:t>
      </w:r>
      <w:r w:rsidRPr="00C37B71">
        <w:rPr>
          <w:iCs/>
        </w:rPr>
        <w:t xml:space="preserve"> at para. 21 (citing </w:t>
      </w:r>
      <w:r w:rsidRPr="00C37B71">
        <w:rPr>
          <w:i/>
        </w:rPr>
        <w:t xml:space="preserve">Applications of </w:t>
      </w:r>
      <w:r w:rsidRPr="00C37B71">
        <w:rPr>
          <w:i/>
          <w:iCs/>
        </w:rPr>
        <w:t>AT&amp;T</w:t>
      </w:r>
      <w:r w:rsidRPr="00C37B71">
        <w:rPr>
          <w:i/>
        </w:rPr>
        <w:t xml:space="preserve"> Inc. and </w:t>
      </w:r>
      <w:r w:rsidRPr="00C37B71">
        <w:rPr>
          <w:i/>
          <w:iCs/>
        </w:rPr>
        <w:t xml:space="preserve">DIRECTV </w:t>
      </w:r>
      <w:r w:rsidRPr="00C37B71">
        <w:rPr>
          <w:i/>
        </w:rPr>
        <w:t>for Consent to Assign or Transfer Control of Licenses and Authorizations</w:t>
      </w:r>
      <w:r w:rsidRPr="00C37B71">
        <w:t xml:space="preserve">, MB Docket No. 14-90, Memorandum Opinion and Order, 30 </w:t>
      </w:r>
      <w:r w:rsidRPr="00C37B71">
        <w:rPr>
          <w:iCs/>
        </w:rPr>
        <w:t xml:space="preserve">FCC Rcd </w:t>
      </w:r>
      <w:r w:rsidRPr="00C37B71">
        <w:t>9131,</w:t>
      </w:r>
      <w:r w:rsidRPr="00C37B71">
        <w:rPr>
          <w:iCs/>
        </w:rPr>
        <w:t xml:space="preserve"> 9140, para. 18</w:t>
      </w:r>
      <w:r w:rsidRPr="00C37B71">
        <w:t xml:space="preserve"> (2015) (</w:t>
      </w:r>
      <w:r w:rsidRPr="00C37B71">
        <w:rPr>
          <w:i/>
          <w:iCs/>
        </w:rPr>
        <w:t>AT&amp;T-DIRECTV Order</w:t>
      </w:r>
      <w:r w:rsidRPr="00C37B71">
        <w:rPr>
          <w:iCs/>
        </w:rPr>
        <w:t>)</w:t>
      </w:r>
      <w:r>
        <w:rPr>
          <w:iCs/>
        </w:rPr>
        <w:t xml:space="preserve"> (further internal citations omitted)</w:t>
      </w:r>
      <w:r w:rsidR="00687BC4">
        <w:rPr>
          <w:iCs/>
        </w:rPr>
        <w:t>)</w:t>
      </w:r>
      <w:r>
        <w:rPr>
          <w:iCs/>
        </w:rPr>
        <w:t>.</w:t>
      </w:r>
    </w:p>
  </w:footnote>
  <w:footnote w:id="33">
    <w:p w:rsidR="009D31FB" w:rsidRPr="00B83976" w:rsidP="009D31FB" w14:paraId="69A3BB19" w14:textId="77777777">
      <w:pPr>
        <w:pStyle w:val="FootnoteText"/>
      </w:pPr>
      <w:r w:rsidRPr="00B83976">
        <w:rPr>
          <w:rStyle w:val="FootnoteReference"/>
        </w:rPr>
        <w:footnoteRef/>
      </w:r>
      <w:r w:rsidRPr="00B83976">
        <w:t xml:space="preserve"> </w:t>
      </w:r>
      <w:r>
        <w:rPr>
          <w:i/>
        </w:rPr>
        <w:t>See Verizon-TracFone Order</w:t>
      </w:r>
      <w:r>
        <w:rPr>
          <w:iCs/>
        </w:rPr>
        <w:t xml:space="preserve"> at para. 21 (citing</w:t>
      </w:r>
      <w:r w:rsidRPr="003A6B1D">
        <w:t xml:space="preserve"> </w:t>
      </w:r>
      <w:r w:rsidRPr="00B83976">
        <w:rPr>
          <w:i/>
          <w:iCs/>
        </w:rPr>
        <w:t>AT&amp;T-DIRECTV Order</w:t>
      </w:r>
      <w:r w:rsidRPr="00B83976">
        <w:rPr>
          <w:iCs/>
        </w:rPr>
        <w:t xml:space="preserve">, </w:t>
      </w:r>
      <w:r w:rsidRPr="00B83976">
        <w:t xml:space="preserve">30 </w:t>
      </w:r>
      <w:r w:rsidRPr="00B83976">
        <w:rPr>
          <w:iCs/>
        </w:rPr>
        <w:t xml:space="preserve">FCC Rcd at 9140, para. 18; </w:t>
      </w:r>
      <w:r w:rsidRPr="00B83976">
        <w:rPr>
          <w:i/>
        </w:rPr>
        <w:t>Adelphia-TWC Order</w:t>
      </w:r>
      <w:r w:rsidRPr="00B83976">
        <w:t xml:space="preserve">, 21 FCC Rcd at 8217, para. 23; </w:t>
      </w:r>
      <w:r>
        <w:rPr>
          <w:i/>
        </w:rPr>
        <w:t xml:space="preserve">Application of </w:t>
      </w:r>
      <w:r w:rsidRPr="00B83976">
        <w:rPr>
          <w:i/>
        </w:rPr>
        <w:t>EchoStar</w:t>
      </w:r>
      <w:r>
        <w:rPr>
          <w:i/>
        </w:rPr>
        <w:t xml:space="preserve"> Communications Corp., General Motors Corp., and Hughes Electronics Corp., Transferors, and EchoStar Communications Corp., Transferee</w:t>
      </w:r>
      <w:r>
        <w:t xml:space="preserve">, CS Docket No. 01-348, Hearing Designation Order, 17 FCC Rcd 20559, </w:t>
      </w:r>
      <w:r>
        <w:rPr>
          <w:snapToGrid w:val="0"/>
        </w:rPr>
        <w:t>20574, para.</w:t>
      </w:r>
      <w:r>
        <w:t xml:space="preserve"> 25 (2002) (</w:t>
      </w:r>
      <w:r w:rsidRPr="00B83976">
        <w:rPr>
          <w:i/>
        </w:rPr>
        <w:t>EchoStar-DIRECTV HDO</w:t>
      </w:r>
      <w:r>
        <w:rPr>
          <w:iCs/>
        </w:rPr>
        <w:t>) (further internal citations omitted)</w:t>
      </w:r>
      <w:r w:rsidR="00687BC4">
        <w:rPr>
          <w:iCs/>
        </w:rPr>
        <w:t>)</w:t>
      </w:r>
      <w:r w:rsidRPr="00B83976">
        <w:t>.</w:t>
      </w:r>
    </w:p>
  </w:footnote>
  <w:footnote w:id="34">
    <w:p w:rsidR="00FD2E93" w:rsidRPr="009934BF" w:rsidP="00FD2E93" w14:paraId="71C2E99D" w14:textId="53B94F2D">
      <w:pPr>
        <w:spacing w:after="120"/>
        <w:rPr>
          <w:sz w:val="20"/>
        </w:rPr>
      </w:pPr>
      <w:r w:rsidRPr="00F14A7B">
        <w:rPr>
          <w:rStyle w:val="FootnoteReference"/>
          <w:sz w:val="20"/>
        </w:rPr>
        <w:footnoteRef/>
      </w:r>
      <w:r w:rsidRPr="00F14A7B">
        <w:rPr>
          <w:sz w:val="20"/>
        </w:rPr>
        <w:t xml:space="preserve"> </w:t>
      </w:r>
      <w:r w:rsidR="00715BC3">
        <w:rPr>
          <w:sz w:val="20"/>
        </w:rPr>
        <w:t>Application</w:t>
      </w:r>
      <w:r>
        <w:rPr>
          <w:i/>
          <w:iCs/>
          <w:sz w:val="20"/>
        </w:rPr>
        <w:t xml:space="preserve"> </w:t>
      </w:r>
      <w:r w:rsidRPr="009934BF">
        <w:rPr>
          <w:sz w:val="20"/>
        </w:rPr>
        <w:t>at 3.</w:t>
      </w:r>
    </w:p>
  </w:footnote>
  <w:footnote w:id="35">
    <w:p w:rsidR="002408E5" w:rsidRPr="00F14A7B" w:rsidP="002408E5" w14:paraId="0D18C01A" w14:textId="609B5E7F">
      <w:pPr>
        <w:spacing w:after="120"/>
        <w:rPr>
          <w:sz w:val="20"/>
        </w:rPr>
      </w:pPr>
      <w:r w:rsidRPr="00F14A7B">
        <w:rPr>
          <w:rStyle w:val="FootnoteReference"/>
          <w:sz w:val="20"/>
        </w:rPr>
        <w:footnoteRef/>
      </w:r>
      <w:r w:rsidRPr="00F14A7B">
        <w:rPr>
          <w:sz w:val="20"/>
        </w:rPr>
        <w:t xml:space="preserve"> </w:t>
      </w:r>
      <w:r w:rsidRPr="00715BC3" w:rsidR="00715BC3">
        <w:rPr>
          <w:i/>
          <w:iCs/>
          <w:sz w:val="20"/>
        </w:rPr>
        <w:t>Id</w:t>
      </w:r>
      <w:r w:rsidR="00715BC3">
        <w:rPr>
          <w:sz w:val="20"/>
        </w:rPr>
        <w:t xml:space="preserve">. </w:t>
      </w:r>
      <w:r w:rsidRPr="00F14A7B">
        <w:rPr>
          <w:sz w:val="20"/>
        </w:rPr>
        <w:t>at 4.</w:t>
      </w:r>
    </w:p>
  </w:footnote>
  <w:footnote w:id="36">
    <w:p w:rsidR="002408E5" w:rsidRPr="002832E9" w:rsidP="002408E5" w14:paraId="098E6CEE" w14:textId="77777777">
      <w:pPr>
        <w:spacing w:after="120"/>
        <w:rPr>
          <w:sz w:val="20"/>
        </w:rPr>
      </w:pPr>
      <w:r w:rsidRPr="00F14A7B">
        <w:rPr>
          <w:rStyle w:val="FootnoteReference"/>
          <w:sz w:val="20"/>
        </w:rPr>
        <w:footnoteRef/>
      </w:r>
      <w:r w:rsidRPr="00F14A7B">
        <w:rPr>
          <w:sz w:val="20"/>
        </w:rPr>
        <w:t xml:space="preserve"> </w:t>
      </w:r>
      <w:r w:rsidRPr="00FE5E3C">
        <w:rPr>
          <w:i/>
          <w:iCs/>
          <w:sz w:val="20"/>
        </w:rPr>
        <w:t>Id.</w:t>
      </w:r>
    </w:p>
  </w:footnote>
  <w:footnote w:id="37">
    <w:p w:rsidR="001E32EE" w:rsidRPr="0034611B" w:rsidP="001E32EE" w14:paraId="2371EAD3" w14:textId="08626C01">
      <w:pPr>
        <w:pStyle w:val="FootnoteText"/>
      </w:pPr>
      <w:r>
        <w:rPr>
          <w:rStyle w:val="FootnoteReference"/>
        </w:rPr>
        <w:footnoteRef/>
      </w:r>
      <w:r>
        <w:t xml:space="preserve"> </w:t>
      </w:r>
      <w:r w:rsidRPr="00F14A7B" w:rsidR="00601EEB">
        <w:t xml:space="preserve">Applicants’ Feb. 22 Supplement at </w:t>
      </w:r>
      <w:r w:rsidR="00601EEB">
        <w:t>1-3</w:t>
      </w:r>
      <w:r w:rsidRPr="00F14A7B" w:rsidR="00601EEB">
        <w:t>.</w:t>
      </w:r>
      <w:r w:rsidR="0034611B">
        <w:t xml:space="preserve"> </w:t>
      </w:r>
    </w:p>
  </w:footnote>
  <w:footnote w:id="38">
    <w:p w:rsidR="00956EF9" w:rsidRPr="00F14A7B" w:rsidP="00956EF9" w14:paraId="783F0D4C" w14:textId="77777777">
      <w:pPr>
        <w:spacing w:after="120"/>
        <w:rPr>
          <w:sz w:val="20"/>
        </w:rPr>
      </w:pPr>
      <w:r w:rsidRPr="00F14A7B">
        <w:rPr>
          <w:rStyle w:val="FootnoteReference"/>
          <w:sz w:val="20"/>
        </w:rPr>
        <w:footnoteRef/>
      </w:r>
      <w:r w:rsidRPr="00F14A7B">
        <w:rPr>
          <w:sz w:val="20"/>
        </w:rPr>
        <w:t xml:space="preserve"> </w:t>
      </w:r>
      <w:bookmarkStart w:id="16" w:name="_Hlk96526242"/>
      <w:r w:rsidRPr="00F14A7B">
        <w:rPr>
          <w:i/>
          <w:iCs/>
          <w:sz w:val="20"/>
        </w:rPr>
        <w:t>Id.</w:t>
      </w:r>
      <w:r w:rsidRPr="00F14A7B">
        <w:rPr>
          <w:sz w:val="20"/>
        </w:rPr>
        <w:t xml:space="preserve"> </w:t>
      </w:r>
      <w:bookmarkEnd w:id="16"/>
      <w:r w:rsidRPr="00F14A7B">
        <w:rPr>
          <w:sz w:val="20"/>
        </w:rPr>
        <w:t xml:space="preserve">at 2. </w:t>
      </w:r>
    </w:p>
  </w:footnote>
  <w:footnote w:id="39">
    <w:p w:rsidR="00956EF9" w:rsidRPr="00F14A7B" w:rsidP="00956EF9" w14:paraId="25EE0E6D" w14:textId="537E8E06">
      <w:pPr>
        <w:spacing w:after="120"/>
        <w:rPr>
          <w:sz w:val="20"/>
        </w:rPr>
      </w:pPr>
      <w:r w:rsidRPr="00F14A7B">
        <w:rPr>
          <w:rStyle w:val="FootnoteReference"/>
          <w:sz w:val="20"/>
        </w:rPr>
        <w:footnoteRef/>
      </w:r>
      <w:r w:rsidRPr="00F14A7B">
        <w:rPr>
          <w:sz w:val="20"/>
        </w:rPr>
        <w:t xml:space="preserve"> </w:t>
      </w:r>
      <w:r w:rsidRPr="00F14A7B">
        <w:rPr>
          <w:i/>
          <w:iCs/>
          <w:sz w:val="20"/>
        </w:rPr>
        <w:t>Id.</w:t>
      </w:r>
    </w:p>
  </w:footnote>
  <w:footnote w:id="40">
    <w:p w:rsidR="009E66CB" w:rsidP="009E66CB" w14:paraId="7CB7FD3E" w14:textId="77777777">
      <w:pPr>
        <w:pStyle w:val="FootnoteText"/>
      </w:pPr>
      <w:r>
        <w:rPr>
          <w:rStyle w:val="FootnoteReference"/>
        </w:rPr>
        <w:footnoteRef/>
      </w:r>
      <w:r>
        <w:t xml:space="preserve"> </w:t>
      </w:r>
      <w:r w:rsidRPr="00F14A7B">
        <w:t xml:space="preserve">Applicants’ Feb. 22 Supplement at </w:t>
      </w:r>
      <w:r>
        <w:t>2</w:t>
      </w:r>
      <w:r w:rsidRPr="00F14A7B">
        <w:t>.</w:t>
      </w:r>
    </w:p>
  </w:footnote>
  <w:footnote w:id="41">
    <w:p w:rsidR="00277CD9" w:rsidRPr="00277CD9" w14:paraId="0ED5E761" w14:textId="463FB3FC">
      <w:pPr>
        <w:pStyle w:val="FootnoteText"/>
      </w:pPr>
      <w:r>
        <w:rPr>
          <w:rStyle w:val="FootnoteReference"/>
        </w:rPr>
        <w:footnoteRef/>
      </w:r>
      <w:r>
        <w:t xml:space="preserve"> </w:t>
      </w:r>
      <w:r w:rsidRPr="00277CD9">
        <w:rPr>
          <w:i/>
          <w:iCs/>
        </w:rPr>
        <w:t>RDOF Authorization Public Notice</w:t>
      </w:r>
      <w:r>
        <w:t xml:space="preserve"> at 2-8.</w:t>
      </w:r>
    </w:p>
  </w:footnote>
  <w:footnote w:id="42">
    <w:p w:rsidR="00A75E4C" w:rsidP="00A75E4C" w14:paraId="06925102" w14:textId="77777777">
      <w:pPr>
        <w:pStyle w:val="FootnoteText"/>
      </w:pPr>
      <w:r>
        <w:rPr>
          <w:rStyle w:val="FootnoteReference"/>
        </w:rPr>
        <w:footnoteRef/>
      </w:r>
      <w:r>
        <w:t xml:space="preserve"> </w:t>
      </w:r>
      <w:r w:rsidRPr="001005A4">
        <w:rPr>
          <w:i/>
          <w:iCs/>
        </w:rPr>
        <w:t>See AT&amp;T/DIRECTV Order</w:t>
      </w:r>
      <w:r>
        <w:t>, 30 FCC Rcd at 9237, para. 273-274.</w:t>
      </w:r>
    </w:p>
  </w:footnote>
  <w:footnote w:id="43">
    <w:p w:rsidR="00A75E4C" w:rsidP="00A75E4C" w14:paraId="363A7422" w14:textId="77777777">
      <w:pPr>
        <w:pStyle w:val="FootnoteText"/>
      </w:pPr>
      <w:r>
        <w:rPr>
          <w:rStyle w:val="FootnoteReference"/>
        </w:rPr>
        <w:footnoteRef/>
      </w:r>
      <w:r>
        <w:t xml:space="preserve"> </w:t>
      </w:r>
      <w:r w:rsidRPr="00907911">
        <w:rPr>
          <w:i/>
          <w:iCs/>
        </w:rPr>
        <w:t>See id</w:t>
      </w:r>
      <w:r>
        <w:t xml:space="preserve">. </w:t>
      </w:r>
      <w:r w:rsidRPr="00907911">
        <w:t>at</w:t>
      </w:r>
      <w:r>
        <w:t xml:space="preserve"> 9237-38, paras. 275-76.</w:t>
      </w:r>
    </w:p>
  </w:footnote>
  <w:footnote w:id="44">
    <w:p w:rsidR="00A75E4C" w:rsidP="00A75E4C" w14:paraId="7B861999" w14:textId="77777777">
      <w:pPr>
        <w:pStyle w:val="FootnoteText"/>
      </w:pPr>
      <w:r>
        <w:rPr>
          <w:rStyle w:val="FootnoteReference"/>
        </w:rPr>
        <w:footnoteRef/>
      </w:r>
      <w:r>
        <w:t xml:space="preserve"> </w:t>
      </w:r>
      <w:r w:rsidRPr="001005A4">
        <w:rPr>
          <w:i/>
          <w:iCs/>
        </w:rPr>
        <w:t xml:space="preserve">See </w:t>
      </w:r>
      <w:r>
        <w:rPr>
          <w:i/>
          <w:iCs/>
        </w:rPr>
        <w:t>id</w:t>
      </w:r>
      <w:r>
        <w:t>.</w:t>
      </w:r>
    </w:p>
  </w:footnote>
  <w:footnote w:id="45">
    <w:p w:rsidR="00262F00" w:rsidP="00262F00" w14:paraId="2E236706" w14:textId="77777777">
      <w:pPr>
        <w:pStyle w:val="FootnoteText"/>
      </w:pPr>
      <w:r>
        <w:rPr>
          <w:rStyle w:val="FootnoteReference"/>
        </w:rPr>
        <w:footnoteRef/>
      </w:r>
      <w:r>
        <w:t xml:space="preserve"> </w:t>
      </w:r>
      <w:r w:rsidRPr="00B83976">
        <w:rPr>
          <w:i/>
          <w:iCs/>
        </w:rPr>
        <w:t>See</w:t>
      </w:r>
      <w:r>
        <w:rPr>
          <w:i/>
          <w:iCs/>
        </w:rPr>
        <w:t>, e.g.</w:t>
      </w:r>
      <w:r w:rsidRPr="003A6B1D">
        <w:t xml:space="preserve">, </w:t>
      </w:r>
      <w:r w:rsidRPr="00B83976">
        <w:rPr>
          <w:i/>
          <w:iCs/>
        </w:rPr>
        <w:t>AT&amp;T-DIRECTV Order</w:t>
      </w:r>
      <w:r w:rsidRPr="00B83976">
        <w:rPr>
          <w:iCs/>
        </w:rPr>
        <w:t xml:space="preserve">, </w:t>
      </w:r>
      <w:r w:rsidRPr="00B83976">
        <w:t xml:space="preserve">30 </w:t>
      </w:r>
      <w:r w:rsidRPr="00B83976">
        <w:rPr>
          <w:iCs/>
        </w:rPr>
        <w:t>FCC Rcd at 9140, para. 19</w:t>
      </w:r>
      <w:r>
        <w:rPr>
          <w:iCs/>
        </w:rPr>
        <w:t>.</w:t>
      </w:r>
    </w:p>
  </w:footnote>
  <w:footnote w:id="46">
    <w:p w:rsidR="00262F00" w:rsidRPr="00B83976" w:rsidP="00262F00" w14:paraId="1F342C72" w14:textId="77777777">
      <w:pPr>
        <w:pStyle w:val="FootnoteText"/>
      </w:pPr>
      <w:r w:rsidRPr="00B83976">
        <w:rPr>
          <w:rStyle w:val="FootnoteReference"/>
        </w:rPr>
        <w:footnoteRef/>
      </w:r>
      <w:r w:rsidRPr="00B83976">
        <w:t xml:space="preserve"> </w:t>
      </w:r>
      <w:r>
        <w:rPr>
          <w:i/>
        </w:rPr>
        <w:t>See Verizon-TracFone Order</w:t>
      </w:r>
      <w:r>
        <w:rPr>
          <w:iCs/>
        </w:rPr>
        <w:t xml:space="preserve"> at para. 22 (citing </w:t>
      </w:r>
      <w:r w:rsidRPr="00B83976">
        <w:t>47 U.S.C. §§ 254, 332(c)(7), 1302; Telecommunications Act of 1996, Preamble, Pub. L. No. 104-104, 110 Stat. 56 (1996) (one purpose of the Act is to “accelerate rapidly private sector deployment of advanced telecommunications and information technologies and services”</w:t>
      </w:r>
      <w:r w:rsidR="003445C6">
        <w:t>)</w:t>
      </w:r>
      <w:r>
        <w:t>)</w:t>
      </w:r>
      <w:r w:rsidRPr="00B83976">
        <w:t>.</w:t>
      </w:r>
    </w:p>
  </w:footnote>
  <w:footnote w:id="47">
    <w:p w:rsidR="003F72F9" w14:paraId="3DDE3135" w14:textId="2486FB5E">
      <w:pPr>
        <w:pStyle w:val="FootnoteText"/>
      </w:pPr>
      <w:r>
        <w:rPr>
          <w:rStyle w:val="FootnoteReference"/>
        </w:rPr>
        <w:footnoteRef/>
      </w:r>
      <w:r>
        <w:t xml:space="preserve"> Application at 4.</w:t>
      </w:r>
    </w:p>
  </w:footnote>
  <w:footnote w:id="48">
    <w:p w:rsidR="00CF0F77" w:rsidP="00CF0F77" w14:paraId="2F99CE08" w14:textId="77777777">
      <w:pPr>
        <w:pStyle w:val="FootnoteText"/>
      </w:pPr>
      <w:r>
        <w:rPr>
          <w:rStyle w:val="FootnoteReference"/>
        </w:rPr>
        <w:footnoteRef/>
      </w:r>
      <w:r>
        <w:t xml:space="preserve"> </w:t>
      </w:r>
      <w:r w:rsidRPr="00337CCE">
        <w:rPr>
          <w:i/>
          <w:iCs/>
        </w:rPr>
        <w:t>See, e.g</w:t>
      </w:r>
      <w:r>
        <w:t xml:space="preserve">., </w:t>
      </w:r>
      <w:r w:rsidRPr="00337CCE">
        <w:rPr>
          <w:i/>
          <w:iCs/>
        </w:rPr>
        <w:t>Applications of Level 3 Communications, Inc. and CenturyLink, Inc. for Consent to Transfer Control of Licenses and Authorizations</w:t>
      </w:r>
      <w:r>
        <w:t>, Memorandum Opinion and Order, 32 FCC Rcd 9581, 9594, 9605, paras. 26 and 52 (2017) (finding no harm to competition where applicants operate as competitive LECs, and further finding that the transaction “will expand the on-net reach of the newly combined firm resulting in a more effective and stronger competitor against larger cable and incumbent LEC competitors, among others, particularly outside of Century Link's incumbent LEC region, where it, like Level 3, operates as a competitive LEC.”).</w:t>
      </w:r>
    </w:p>
  </w:footnote>
  <w:footnote w:id="49">
    <w:p w:rsidR="0080584B" w:rsidRPr="00DF1626" w:rsidP="0080584B" w14:paraId="26851678" w14:textId="0E7293FE">
      <w:pPr>
        <w:pStyle w:val="FootnoteText"/>
      </w:pPr>
      <w:r>
        <w:rPr>
          <w:rStyle w:val="FootnoteReference"/>
        </w:rPr>
        <w:footnoteRef/>
      </w:r>
      <w:r>
        <w:t xml:space="preserve"> </w:t>
      </w:r>
      <w:r>
        <w:rPr>
          <w:i/>
          <w:iCs/>
        </w:rPr>
        <w:t xml:space="preserve">See </w:t>
      </w:r>
      <w:r w:rsidR="00BE312D">
        <w:rPr>
          <w:i/>
          <w:iCs/>
        </w:rPr>
        <w:t>RDOF</w:t>
      </w:r>
      <w:r w:rsidRPr="006367CB">
        <w:rPr>
          <w:i/>
          <w:iCs/>
        </w:rPr>
        <w:t xml:space="preserve"> Authorization Public Notice</w:t>
      </w:r>
      <w:r w:rsidR="00BE312D">
        <w:t xml:space="preserve"> at 2-8 (listing </w:t>
      </w:r>
      <w:r w:rsidRPr="00077C10" w:rsidR="00BE312D">
        <w:t>obligations of authorized Auction 90</w:t>
      </w:r>
      <w:r w:rsidR="00BE312D">
        <w:t>4</w:t>
      </w:r>
      <w:r w:rsidRPr="00077C10" w:rsidR="00BE312D">
        <w:t xml:space="preserve"> support recipients</w:t>
      </w:r>
      <w:r w:rsidR="00BE312D">
        <w:t>).</w:t>
      </w:r>
      <w:r>
        <w:t xml:space="preserve"> </w:t>
      </w:r>
      <w:r w:rsidRPr="003E3F5A" w:rsidR="00C95579">
        <w:t xml:space="preserve">Following consummation of the proposed transaction, </w:t>
      </w:r>
      <w:r w:rsidR="00C95579">
        <w:t>Vexus</w:t>
      </w:r>
      <w:r w:rsidR="002160F6">
        <w:t>, which is a recipient of RDOF support,</w:t>
      </w:r>
      <w:r w:rsidRPr="003E3F5A" w:rsidR="00C95579">
        <w:t xml:space="preserve"> will be affiliated with companies </w:t>
      </w:r>
      <w:r w:rsidR="00C95579">
        <w:t xml:space="preserve">through MetroNet Holdings </w:t>
      </w:r>
      <w:r w:rsidRPr="003E3F5A" w:rsidR="00C95579">
        <w:t xml:space="preserve">that receive universal service support under the different mechanisms of fixed model-based support and cost-based support.  Application at </w:t>
      </w:r>
      <w:r w:rsidR="00C95579">
        <w:t>22</w:t>
      </w:r>
      <w:r w:rsidRPr="003E3F5A" w:rsidR="00C95579">
        <w:t>-</w:t>
      </w:r>
      <w:r w:rsidR="00C95579">
        <w:t xml:space="preserve">24.  </w:t>
      </w:r>
      <w:r w:rsidRPr="00476FD0" w:rsidR="00C95579">
        <w:t xml:space="preserve">Similar to other transactions involving </w:t>
      </w:r>
      <w:r w:rsidR="00BE312D">
        <w:t>certain MetroNet Holdings’</w:t>
      </w:r>
      <w:r w:rsidRPr="00476FD0" w:rsidR="00C95579">
        <w:t xml:space="preserve"> affiliates that receive universal service support under the different mechanisms of fixed model-based support and cost-based support, to mitigate the potential for cost shifting, we grant the Application subject to the continued application of the </w:t>
      </w:r>
      <w:r w:rsidRPr="00476FD0" w:rsidR="00C95579">
        <w:rPr>
          <w:i/>
          <w:iCs/>
        </w:rPr>
        <w:t>Hargray/ComSouth</w:t>
      </w:r>
      <w:r w:rsidRPr="00476FD0" w:rsidR="00C95579">
        <w:t xml:space="preserve"> condition capping the combined operating expenses of the post-consummation company’s rate of return affiliates.  </w:t>
      </w:r>
      <w:bookmarkStart w:id="17" w:name="_Hlk99529268"/>
      <w:r w:rsidRPr="00416423" w:rsidR="001A5493">
        <w:rPr>
          <w:i/>
          <w:iCs/>
        </w:rPr>
        <w:t>Notice of Domestic Section 214 Authorization Granted</w:t>
      </w:r>
      <w:r w:rsidR="001A5493">
        <w:t xml:space="preserve">, WC Docket </w:t>
      </w:r>
      <w:r w:rsidR="007F7FCE">
        <w:t>N</w:t>
      </w:r>
      <w:r w:rsidR="001A5493">
        <w:t>o. 21-377, Public Notice, DA 21-1432, n.</w:t>
      </w:r>
      <w:r w:rsidR="00F14F82">
        <w:t>4</w:t>
      </w:r>
      <w:r w:rsidR="001A5493">
        <w:t xml:space="preserve"> (WCB 2021)</w:t>
      </w:r>
      <w:bookmarkEnd w:id="17"/>
      <w:r w:rsidR="007F7FCE">
        <w:t xml:space="preserve">; </w:t>
      </w:r>
      <w:r w:rsidRPr="00416423" w:rsidR="002160F6">
        <w:rPr>
          <w:i/>
          <w:iCs/>
        </w:rPr>
        <w:t>Notice of Domestic Section 214 Authorization Granted</w:t>
      </w:r>
      <w:r w:rsidR="002160F6">
        <w:t xml:space="preserve">, WC Docket No. 21-237, Public Notice, DA 21-904, n.3 (WCB 2021); </w:t>
      </w:r>
      <w:r w:rsidRPr="00476FD0" w:rsidR="00C95579">
        <w:rPr>
          <w:i/>
          <w:iCs/>
        </w:rPr>
        <w:t>Domestic Section 214 Applications Granted Subject to Condition</w:t>
      </w:r>
      <w:r w:rsidRPr="00476FD0" w:rsidR="00C95579">
        <w:t>, WC Docket Nos. 20-275 and 20-355, Public Notice, DA 21-346, at 3-5 (WCB 2021) (</w:t>
      </w:r>
      <w:r w:rsidR="002160F6">
        <w:t xml:space="preserve">all </w:t>
      </w:r>
      <w:r w:rsidRPr="00476FD0" w:rsidR="00C95579">
        <w:t xml:space="preserve">citing </w:t>
      </w:r>
      <w:r w:rsidRPr="00476FD0" w:rsidR="00C95579">
        <w:rPr>
          <w:i/>
          <w:iCs/>
        </w:rPr>
        <w:t>Joint Application of W. Mansfield Jennings Limited Partnership and Hargray Communications Group, Inc. for Consent to the Transfer of Control of ComSouth Corporation Pursuant to Section 214 of the Communications Act of 1934</w:t>
      </w:r>
      <w:r w:rsidRPr="00476FD0" w:rsidR="00C95579">
        <w:t xml:space="preserve">, WC Docket 18-52, Memorandum Opinion and Order, 33 FCC Rcd 4780, 4784, para. 19 (2018) (Hargray/ComSouth Order)).  </w:t>
      </w:r>
      <w:r w:rsidRPr="00476FD0" w:rsidR="00C95579">
        <w:rPr>
          <w:i/>
          <w:iCs/>
        </w:rPr>
        <w:t>See also Domestic Section 214 Application Granted for the Transfer of Control of Hargray Acquisition Holdings, LLC and its Subsidiaries to Cable One, Inc</w:t>
      </w:r>
      <w:r w:rsidRPr="00476FD0" w:rsidR="00C95579">
        <w:t xml:space="preserve">., WC Docket No. 21-69, Public Notice, DA 21-502, at 3-4 (WCB 2021) (granting the application subject to the continued application of the </w:t>
      </w:r>
      <w:r w:rsidRPr="00476FD0" w:rsidR="00C95579">
        <w:rPr>
          <w:i/>
          <w:iCs/>
        </w:rPr>
        <w:t>Hargray/ComSouth</w:t>
      </w:r>
      <w:r w:rsidRPr="00476FD0" w:rsidR="00C95579">
        <w:t xml:space="preserve"> condition to the applicants). </w:t>
      </w:r>
    </w:p>
  </w:footnote>
  <w:footnote w:id="50">
    <w:p w:rsidR="00972B39" w14:paraId="3A81E0B9" w14:textId="161B2909">
      <w:pPr>
        <w:pStyle w:val="FootnoteText"/>
      </w:pPr>
      <w:r>
        <w:rPr>
          <w:rStyle w:val="FootnoteReference"/>
        </w:rPr>
        <w:footnoteRef/>
      </w:r>
      <w:r>
        <w:t xml:space="preserve"> We direct Applicants to submit, within 30 days of closing the proposed transaction, a notice in WC Docket No. 2</w:t>
      </w:r>
      <w:r w:rsidR="00BD08FE">
        <w:t>2</w:t>
      </w:r>
      <w:r>
        <w:t>-</w:t>
      </w:r>
      <w:r w:rsidR="00E0101E">
        <w:t>5</w:t>
      </w:r>
      <w:r w:rsidR="00BD08FE">
        <w:t>8</w:t>
      </w:r>
      <w:r>
        <w:t xml:space="preserve"> that the proposed transaction has closed</w:t>
      </w:r>
      <w:r w:rsidR="0088632C">
        <w:t xml:space="preserve">, including </w:t>
      </w:r>
      <w:r>
        <w:t xml:space="preserve">the consummation date, and also provide a courtesy copy of the notice to </w:t>
      </w:r>
      <w:hyperlink r:id="rId1" w:history="1">
        <w:r w:rsidRPr="00E14896">
          <w:rPr>
            <w:rStyle w:val="Hyperlink"/>
          </w:rPr>
          <w:t>hcinfo@usac.org</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5AE7" w:rsidRPr="009838BC" w:rsidP="009838BC" w14:paraId="25FF06C7"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5AE7" w:rsidRPr="00A866AC" w:rsidP="009838BC" w14:paraId="43E8EC5D"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4"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wps:spPr>
                    <wps:txbx>
                      <w:txbxContent>
                        <w:p w:rsidR="00475AE7" w:rsidP="009838BC" w14:textId="77777777">
                          <w:pPr>
                            <w:rPr>
                              <w:rFonts w:ascii="Arial" w:hAnsi="Arial"/>
                              <w:b/>
                            </w:rPr>
                          </w:pPr>
                          <w:r>
                            <w:rPr>
                              <w:rFonts w:ascii="Arial" w:hAnsi="Arial"/>
                              <w:b/>
                            </w:rPr>
                            <w:t>Federal Communications Commission</w:t>
                          </w:r>
                        </w:p>
                        <w:p w:rsidR="00475AE7" w:rsidP="009838BC" w14:textId="77777777">
                          <w:pPr>
                            <w:rPr>
                              <w:rFonts w:ascii="Arial" w:hAnsi="Arial"/>
                              <w:b/>
                            </w:rPr>
                          </w:pPr>
                          <w:r>
                            <w:rPr>
                              <w:rFonts w:ascii="Arial" w:hAnsi="Arial"/>
                              <w:b/>
                            </w:rPr>
                            <w:t>45 L St., N.E.</w:t>
                          </w:r>
                        </w:p>
                        <w:p w:rsidR="00475AE7"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475AE7" w:rsidP="009838BC" w14:paraId="704A6CCA" w14:textId="77777777">
                    <w:pPr>
                      <w:rPr>
                        <w:rFonts w:ascii="Arial" w:hAnsi="Arial"/>
                        <w:b/>
                      </w:rPr>
                    </w:pPr>
                    <w:r>
                      <w:rPr>
                        <w:rFonts w:ascii="Arial" w:hAnsi="Arial"/>
                        <w:b/>
                      </w:rPr>
                      <w:t>Federal Communications Commission</w:t>
                    </w:r>
                  </w:p>
                  <w:p w:rsidR="00475AE7" w:rsidP="009838BC" w14:paraId="723C6BDA" w14:textId="77777777">
                    <w:pPr>
                      <w:rPr>
                        <w:rFonts w:ascii="Arial" w:hAnsi="Arial"/>
                        <w:b/>
                      </w:rPr>
                    </w:pPr>
                    <w:r>
                      <w:rPr>
                        <w:rFonts w:ascii="Arial" w:hAnsi="Arial"/>
                        <w:b/>
                      </w:rPr>
                      <w:t>45 L St., N.E.</w:t>
                    </w:r>
                  </w:p>
                  <w:p w:rsidR="00475AE7" w:rsidP="009838BC" w14:paraId="13028EBF"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3"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75796D0F" w:rsidR="0085777F">
      <w:rPr>
        <w:rFonts w:ascii="Arial" w:hAnsi="Arial" w:cs="Arial"/>
        <w:b/>
        <w:bCs/>
        <w:sz w:val="96"/>
        <w:szCs w:val="96"/>
      </w:rPr>
      <w:t>PUBLIC NOTICE</w:t>
    </w:r>
  </w:p>
  <w:p w:rsidR="00475AE7" w:rsidRPr="00357D50" w:rsidP="009838BC" w14:paraId="59C076CA"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10"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wps:spPr>
                    <wps:txbx>
                      <w:txbxContent>
                        <w:p w:rsidR="00475AE7" w:rsidP="009838BC" w14:textId="77777777">
                          <w:pPr>
                            <w:spacing w:before="40"/>
                            <w:jc w:val="right"/>
                            <w:rPr>
                              <w:rFonts w:ascii="Arial" w:hAnsi="Arial"/>
                              <w:b/>
                              <w:sz w:val="16"/>
                            </w:rPr>
                          </w:pPr>
                          <w:r>
                            <w:rPr>
                              <w:rFonts w:ascii="Arial" w:hAnsi="Arial"/>
                              <w:b/>
                              <w:sz w:val="16"/>
                            </w:rPr>
                            <w:t>News Media Information 202 / 418-0500</w:t>
                          </w:r>
                        </w:p>
                        <w:p w:rsidR="00475AE7" w:rsidP="009838BC" w14:textId="77777777">
                          <w:pPr>
                            <w:jc w:val="right"/>
                            <w:rPr>
                              <w:rFonts w:ascii="Arial" w:hAnsi="Arial"/>
                              <w:b/>
                              <w:sz w:val="16"/>
                            </w:rPr>
                          </w:pPr>
                          <w:r>
                            <w:rPr>
                              <w:rFonts w:ascii="Arial" w:hAnsi="Arial"/>
                              <w:b/>
                              <w:sz w:val="16"/>
                            </w:rPr>
                            <w:t xml:space="preserve">Internet: </w:t>
                          </w:r>
                          <w:bookmarkStart w:id="23" w:name="_Hlt233824"/>
                          <w:hyperlink r:id="rId2" w:history="1">
                            <w:r w:rsidRPr="00D216CD">
                              <w:rPr>
                                <w:rStyle w:val="Hyperlink"/>
                                <w:rFonts w:ascii="Arial" w:hAnsi="Arial"/>
                                <w:b/>
                                <w:sz w:val="16"/>
                              </w:rPr>
                              <w:t>h</w:t>
                            </w:r>
                            <w:bookmarkEnd w:id="23"/>
                            <w:r w:rsidRPr="00D216CD">
                              <w:rPr>
                                <w:rStyle w:val="Hyperlink"/>
                                <w:rFonts w:ascii="Arial" w:hAnsi="Arial"/>
                                <w:b/>
                                <w:sz w:val="16"/>
                              </w:rPr>
                              <w:t>ttps://www.fcc.gov</w:t>
                            </w:r>
                          </w:hyperlink>
                        </w:p>
                        <w:p w:rsidR="00475AE7" w:rsidP="009838BC"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475AE7" w:rsidP="009838BC" w14:paraId="5F11627D" w14:textId="77777777">
                    <w:pPr>
                      <w:spacing w:before="40"/>
                      <w:jc w:val="right"/>
                      <w:rPr>
                        <w:rFonts w:ascii="Arial" w:hAnsi="Arial"/>
                        <w:b/>
                        <w:sz w:val="16"/>
                      </w:rPr>
                    </w:pPr>
                    <w:r>
                      <w:rPr>
                        <w:rFonts w:ascii="Arial" w:hAnsi="Arial"/>
                        <w:b/>
                        <w:sz w:val="16"/>
                      </w:rPr>
                      <w:t>News Media Information 202 / 418-0500</w:t>
                    </w:r>
                  </w:p>
                  <w:p w:rsidR="00475AE7" w:rsidP="009838BC" w14:paraId="38FC353F" w14:textId="77777777">
                    <w:pPr>
                      <w:jc w:val="right"/>
                      <w:rPr>
                        <w:rFonts w:ascii="Arial" w:hAnsi="Arial"/>
                        <w:b/>
                        <w:sz w:val="16"/>
                      </w:rPr>
                    </w:pPr>
                    <w:r>
                      <w:rPr>
                        <w:rFonts w:ascii="Arial" w:hAnsi="Arial"/>
                        <w:b/>
                        <w:sz w:val="16"/>
                      </w:rPr>
                      <w:t xml:space="preserve">Internet: </w:t>
                    </w:r>
                    <w:bookmarkStart w:id="23" w:name="_Hlt233824"/>
                    <w:hyperlink r:id="rId2" w:history="1">
                      <w:r w:rsidRPr="00D216CD">
                        <w:rPr>
                          <w:rStyle w:val="Hyperlink"/>
                          <w:rFonts w:ascii="Arial" w:hAnsi="Arial"/>
                          <w:b/>
                          <w:sz w:val="16"/>
                        </w:rPr>
                        <w:t>h</w:t>
                      </w:r>
                      <w:bookmarkEnd w:id="23"/>
                      <w:r w:rsidRPr="00D216CD">
                        <w:rPr>
                          <w:rStyle w:val="Hyperlink"/>
                          <w:rFonts w:ascii="Arial" w:hAnsi="Arial"/>
                          <w:b/>
                          <w:sz w:val="16"/>
                        </w:rPr>
                        <w:t>ttps://www.fcc.gov</w:t>
                      </w:r>
                    </w:hyperlink>
                  </w:p>
                  <w:p w:rsidR="00475AE7" w:rsidP="009838BC" w14:paraId="3E937194" w14:textId="77777777">
                    <w:pPr>
                      <w:jc w:val="right"/>
                    </w:pPr>
                  </w:p>
                </w:txbxContent>
              </v:textbox>
            </v:shape>
          </w:pict>
        </mc:Fallback>
      </mc:AlternateContent>
    </w:r>
  </w:p>
  <w:p w:rsidR="00475AE7" w:rsidRPr="009838BC" w:rsidP="009838BC" w14:paraId="4799F667"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891219A"/>
    <w:multiLevelType w:val="hybridMultilevel"/>
    <w:tmpl w:val="2D2420CE"/>
    <w:lvl w:ilvl="0">
      <w:start w:val="1"/>
      <w:numFmt w:val="upperLetter"/>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4FA"/>
    <w:rsid w:val="000009A3"/>
    <w:rsid w:val="0000222B"/>
    <w:rsid w:val="000025FE"/>
    <w:rsid w:val="00005C82"/>
    <w:rsid w:val="000072CE"/>
    <w:rsid w:val="000109B1"/>
    <w:rsid w:val="00011ED7"/>
    <w:rsid w:val="00013A8B"/>
    <w:rsid w:val="000157A9"/>
    <w:rsid w:val="00016BF1"/>
    <w:rsid w:val="00020817"/>
    <w:rsid w:val="00021252"/>
    <w:rsid w:val="00021445"/>
    <w:rsid w:val="000231D6"/>
    <w:rsid w:val="00023E9D"/>
    <w:rsid w:val="0002579D"/>
    <w:rsid w:val="00025BD1"/>
    <w:rsid w:val="00026664"/>
    <w:rsid w:val="000326B7"/>
    <w:rsid w:val="00036039"/>
    <w:rsid w:val="00037F90"/>
    <w:rsid w:val="00040D06"/>
    <w:rsid w:val="000418EE"/>
    <w:rsid w:val="00042D10"/>
    <w:rsid w:val="00044FC2"/>
    <w:rsid w:val="0004637E"/>
    <w:rsid w:val="000505D6"/>
    <w:rsid w:val="00052C36"/>
    <w:rsid w:val="00052D7C"/>
    <w:rsid w:val="000578D9"/>
    <w:rsid w:val="000630A2"/>
    <w:rsid w:val="0006453A"/>
    <w:rsid w:val="000654FE"/>
    <w:rsid w:val="00065885"/>
    <w:rsid w:val="000724AD"/>
    <w:rsid w:val="0007304F"/>
    <w:rsid w:val="0007741B"/>
    <w:rsid w:val="00077C10"/>
    <w:rsid w:val="000875BF"/>
    <w:rsid w:val="00090879"/>
    <w:rsid w:val="00092431"/>
    <w:rsid w:val="000929A6"/>
    <w:rsid w:val="00095E72"/>
    <w:rsid w:val="00096D8C"/>
    <w:rsid w:val="000A15E0"/>
    <w:rsid w:val="000A43AA"/>
    <w:rsid w:val="000A53C4"/>
    <w:rsid w:val="000A715F"/>
    <w:rsid w:val="000A719C"/>
    <w:rsid w:val="000B206F"/>
    <w:rsid w:val="000B3A1F"/>
    <w:rsid w:val="000B3DC0"/>
    <w:rsid w:val="000B5082"/>
    <w:rsid w:val="000B5D03"/>
    <w:rsid w:val="000B6581"/>
    <w:rsid w:val="000B7562"/>
    <w:rsid w:val="000C0B65"/>
    <w:rsid w:val="000C1001"/>
    <w:rsid w:val="000C43BA"/>
    <w:rsid w:val="000C5DEF"/>
    <w:rsid w:val="000D0D16"/>
    <w:rsid w:val="000D50EB"/>
    <w:rsid w:val="000D5BC1"/>
    <w:rsid w:val="000D7CAA"/>
    <w:rsid w:val="000E1A64"/>
    <w:rsid w:val="000E340C"/>
    <w:rsid w:val="000E3D42"/>
    <w:rsid w:val="000E5884"/>
    <w:rsid w:val="000E5E50"/>
    <w:rsid w:val="000E6601"/>
    <w:rsid w:val="000F248A"/>
    <w:rsid w:val="000F3B15"/>
    <w:rsid w:val="000F3EAA"/>
    <w:rsid w:val="000F4C4E"/>
    <w:rsid w:val="000F652F"/>
    <w:rsid w:val="000F70F5"/>
    <w:rsid w:val="000F7336"/>
    <w:rsid w:val="000F7AFB"/>
    <w:rsid w:val="000F7CF9"/>
    <w:rsid w:val="001005A4"/>
    <w:rsid w:val="00103CFD"/>
    <w:rsid w:val="001050B1"/>
    <w:rsid w:val="001073A5"/>
    <w:rsid w:val="00107713"/>
    <w:rsid w:val="001137A6"/>
    <w:rsid w:val="00114C73"/>
    <w:rsid w:val="00116C3F"/>
    <w:rsid w:val="00122BD5"/>
    <w:rsid w:val="0012361D"/>
    <w:rsid w:val="00125C60"/>
    <w:rsid w:val="001265C3"/>
    <w:rsid w:val="00132378"/>
    <w:rsid w:val="0013301F"/>
    <w:rsid w:val="001330FF"/>
    <w:rsid w:val="001348F2"/>
    <w:rsid w:val="00135644"/>
    <w:rsid w:val="00135F54"/>
    <w:rsid w:val="00136137"/>
    <w:rsid w:val="0014064D"/>
    <w:rsid w:val="00140D76"/>
    <w:rsid w:val="001415BA"/>
    <w:rsid w:val="00144A2D"/>
    <w:rsid w:val="0014551C"/>
    <w:rsid w:val="00150B91"/>
    <w:rsid w:val="001539F3"/>
    <w:rsid w:val="001541A8"/>
    <w:rsid w:val="00154EB8"/>
    <w:rsid w:val="00161259"/>
    <w:rsid w:val="00164F1D"/>
    <w:rsid w:val="00164FFA"/>
    <w:rsid w:val="00165E2A"/>
    <w:rsid w:val="00171F2B"/>
    <w:rsid w:val="0017566C"/>
    <w:rsid w:val="001807A4"/>
    <w:rsid w:val="00181174"/>
    <w:rsid w:val="00181795"/>
    <w:rsid w:val="00183949"/>
    <w:rsid w:val="001856A8"/>
    <w:rsid w:val="0018645C"/>
    <w:rsid w:val="001963EE"/>
    <w:rsid w:val="001975FA"/>
    <w:rsid w:val="001979D9"/>
    <w:rsid w:val="001A0E9C"/>
    <w:rsid w:val="001A312A"/>
    <w:rsid w:val="001A3A79"/>
    <w:rsid w:val="001A5493"/>
    <w:rsid w:val="001A6361"/>
    <w:rsid w:val="001A7655"/>
    <w:rsid w:val="001B158F"/>
    <w:rsid w:val="001C4655"/>
    <w:rsid w:val="001C6F20"/>
    <w:rsid w:val="001D052E"/>
    <w:rsid w:val="001D0A43"/>
    <w:rsid w:val="001D6BCF"/>
    <w:rsid w:val="001E01CA"/>
    <w:rsid w:val="001E32EE"/>
    <w:rsid w:val="001E397D"/>
    <w:rsid w:val="001E410D"/>
    <w:rsid w:val="001E75C2"/>
    <w:rsid w:val="001F1CB2"/>
    <w:rsid w:val="001F1FC6"/>
    <w:rsid w:val="001F1FF1"/>
    <w:rsid w:val="001F3582"/>
    <w:rsid w:val="001F5903"/>
    <w:rsid w:val="001F731B"/>
    <w:rsid w:val="001F795B"/>
    <w:rsid w:val="00200AD2"/>
    <w:rsid w:val="002025E9"/>
    <w:rsid w:val="002027F0"/>
    <w:rsid w:val="002035D2"/>
    <w:rsid w:val="00203604"/>
    <w:rsid w:val="00203A09"/>
    <w:rsid w:val="002049B9"/>
    <w:rsid w:val="00204D99"/>
    <w:rsid w:val="002060D9"/>
    <w:rsid w:val="00206137"/>
    <w:rsid w:val="002078B3"/>
    <w:rsid w:val="002078DE"/>
    <w:rsid w:val="00207939"/>
    <w:rsid w:val="00213050"/>
    <w:rsid w:val="00213DB1"/>
    <w:rsid w:val="00215AF2"/>
    <w:rsid w:val="002160F6"/>
    <w:rsid w:val="0021655B"/>
    <w:rsid w:val="0022167C"/>
    <w:rsid w:val="00224DB8"/>
    <w:rsid w:val="0022664E"/>
    <w:rsid w:val="00226822"/>
    <w:rsid w:val="00227E61"/>
    <w:rsid w:val="00230331"/>
    <w:rsid w:val="002334CD"/>
    <w:rsid w:val="00234FCC"/>
    <w:rsid w:val="002408E5"/>
    <w:rsid w:val="00240A9F"/>
    <w:rsid w:val="0024297D"/>
    <w:rsid w:val="00242F44"/>
    <w:rsid w:val="00243092"/>
    <w:rsid w:val="00245087"/>
    <w:rsid w:val="002456F6"/>
    <w:rsid w:val="0025072B"/>
    <w:rsid w:val="0025082C"/>
    <w:rsid w:val="00251DA7"/>
    <w:rsid w:val="00252AB1"/>
    <w:rsid w:val="00253923"/>
    <w:rsid w:val="00254E19"/>
    <w:rsid w:val="002557CC"/>
    <w:rsid w:val="00256D48"/>
    <w:rsid w:val="002572DC"/>
    <w:rsid w:val="00257E30"/>
    <w:rsid w:val="00260594"/>
    <w:rsid w:val="002610EC"/>
    <w:rsid w:val="00262F00"/>
    <w:rsid w:val="00264313"/>
    <w:rsid w:val="00264F4E"/>
    <w:rsid w:val="00265992"/>
    <w:rsid w:val="00273BAD"/>
    <w:rsid w:val="00274366"/>
    <w:rsid w:val="00276C04"/>
    <w:rsid w:val="00277CD9"/>
    <w:rsid w:val="00280975"/>
    <w:rsid w:val="00281B21"/>
    <w:rsid w:val="00282714"/>
    <w:rsid w:val="002832E9"/>
    <w:rsid w:val="00285017"/>
    <w:rsid w:val="00286468"/>
    <w:rsid w:val="002867ED"/>
    <w:rsid w:val="002868B5"/>
    <w:rsid w:val="002958B1"/>
    <w:rsid w:val="002979E3"/>
    <w:rsid w:val="002A03DD"/>
    <w:rsid w:val="002A087D"/>
    <w:rsid w:val="002A11B4"/>
    <w:rsid w:val="002A2D2E"/>
    <w:rsid w:val="002A6D6A"/>
    <w:rsid w:val="002B0207"/>
    <w:rsid w:val="002B0351"/>
    <w:rsid w:val="002B4A33"/>
    <w:rsid w:val="002B4C9C"/>
    <w:rsid w:val="002B54FB"/>
    <w:rsid w:val="002B5E88"/>
    <w:rsid w:val="002B7763"/>
    <w:rsid w:val="002C1AF9"/>
    <w:rsid w:val="002C5846"/>
    <w:rsid w:val="002C6348"/>
    <w:rsid w:val="002D2146"/>
    <w:rsid w:val="002D447E"/>
    <w:rsid w:val="002D6286"/>
    <w:rsid w:val="002D62DD"/>
    <w:rsid w:val="002D7A48"/>
    <w:rsid w:val="002D7CCE"/>
    <w:rsid w:val="002E44DF"/>
    <w:rsid w:val="002E5941"/>
    <w:rsid w:val="002F2339"/>
    <w:rsid w:val="002F2C9E"/>
    <w:rsid w:val="002F4819"/>
    <w:rsid w:val="002F7221"/>
    <w:rsid w:val="002F7521"/>
    <w:rsid w:val="00300F03"/>
    <w:rsid w:val="003028B1"/>
    <w:rsid w:val="00307030"/>
    <w:rsid w:val="0031328E"/>
    <w:rsid w:val="00314A3A"/>
    <w:rsid w:val="00315BE0"/>
    <w:rsid w:val="003169D5"/>
    <w:rsid w:val="00317210"/>
    <w:rsid w:val="00320526"/>
    <w:rsid w:val="003231F8"/>
    <w:rsid w:val="0032799C"/>
    <w:rsid w:val="00327A84"/>
    <w:rsid w:val="0033308B"/>
    <w:rsid w:val="00334D34"/>
    <w:rsid w:val="00337CCE"/>
    <w:rsid w:val="00337EDD"/>
    <w:rsid w:val="00343749"/>
    <w:rsid w:val="00344102"/>
    <w:rsid w:val="003445C6"/>
    <w:rsid w:val="0034611B"/>
    <w:rsid w:val="00351B89"/>
    <w:rsid w:val="00351E93"/>
    <w:rsid w:val="00353A57"/>
    <w:rsid w:val="00353EAF"/>
    <w:rsid w:val="00355397"/>
    <w:rsid w:val="00357D50"/>
    <w:rsid w:val="003602FC"/>
    <w:rsid w:val="003609F7"/>
    <w:rsid w:val="0036214D"/>
    <w:rsid w:val="00366291"/>
    <w:rsid w:val="00367E60"/>
    <w:rsid w:val="00376E27"/>
    <w:rsid w:val="00377C00"/>
    <w:rsid w:val="00377F86"/>
    <w:rsid w:val="003816CE"/>
    <w:rsid w:val="00381FE8"/>
    <w:rsid w:val="00385229"/>
    <w:rsid w:val="0038758C"/>
    <w:rsid w:val="00387EAB"/>
    <w:rsid w:val="003925DC"/>
    <w:rsid w:val="003942C1"/>
    <w:rsid w:val="00394346"/>
    <w:rsid w:val="003945B3"/>
    <w:rsid w:val="00395F38"/>
    <w:rsid w:val="0039668F"/>
    <w:rsid w:val="00396E41"/>
    <w:rsid w:val="003A1093"/>
    <w:rsid w:val="003A2225"/>
    <w:rsid w:val="003A2F1B"/>
    <w:rsid w:val="003A3FC6"/>
    <w:rsid w:val="003A49D1"/>
    <w:rsid w:val="003A67F6"/>
    <w:rsid w:val="003A6B1D"/>
    <w:rsid w:val="003B0550"/>
    <w:rsid w:val="003B06B7"/>
    <w:rsid w:val="003B18C4"/>
    <w:rsid w:val="003B28FF"/>
    <w:rsid w:val="003B366F"/>
    <w:rsid w:val="003B694F"/>
    <w:rsid w:val="003B7D0E"/>
    <w:rsid w:val="003C0A28"/>
    <w:rsid w:val="003C2436"/>
    <w:rsid w:val="003C47B1"/>
    <w:rsid w:val="003C48AB"/>
    <w:rsid w:val="003C589A"/>
    <w:rsid w:val="003C77F1"/>
    <w:rsid w:val="003D2256"/>
    <w:rsid w:val="003E3F5A"/>
    <w:rsid w:val="003E5ACA"/>
    <w:rsid w:val="003E7B6C"/>
    <w:rsid w:val="003F0EF2"/>
    <w:rsid w:val="003F171C"/>
    <w:rsid w:val="003F1EE9"/>
    <w:rsid w:val="003F72F9"/>
    <w:rsid w:val="004004AF"/>
    <w:rsid w:val="00402A03"/>
    <w:rsid w:val="00403231"/>
    <w:rsid w:val="00406E69"/>
    <w:rsid w:val="00410921"/>
    <w:rsid w:val="00412582"/>
    <w:rsid w:val="00412D50"/>
    <w:rsid w:val="00412FC5"/>
    <w:rsid w:val="00413423"/>
    <w:rsid w:val="00415CF3"/>
    <w:rsid w:val="00415EFC"/>
    <w:rsid w:val="00416423"/>
    <w:rsid w:val="00420182"/>
    <w:rsid w:val="00422276"/>
    <w:rsid w:val="00422B9A"/>
    <w:rsid w:val="004242F1"/>
    <w:rsid w:val="004243FE"/>
    <w:rsid w:val="00427D15"/>
    <w:rsid w:val="00431EBD"/>
    <w:rsid w:val="00432406"/>
    <w:rsid w:val="0043254C"/>
    <w:rsid w:val="00432569"/>
    <w:rsid w:val="00437716"/>
    <w:rsid w:val="00441312"/>
    <w:rsid w:val="0044199E"/>
    <w:rsid w:val="00441B3C"/>
    <w:rsid w:val="00445A00"/>
    <w:rsid w:val="0044678A"/>
    <w:rsid w:val="00447D22"/>
    <w:rsid w:val="00451B0F"/>
    <w:rsid w:val="00454480"/>
    <w:rsid w:val="004551E4"/>
    <w:rsid w:val="00455621"/>
    <w:rsid w:val="00456CBE"/>
    <w:rsid w:val="004570A3"/>
    <w:rsid w:val="00457499"/>
    <w:rsid w:val="0046125F"/>
    <w:rsid w:val="00462520"/>
    <w:rsid w:val="00466B8E"/>
    <w:rsid w:val="0046783E"/>
    <w:rsid w:val="00467C77"/>
    <w:rsid w:val="00470E9D"/>
    <w:rsid w:val="00471CE2"/>
    <w:rsid w:val="00472C46"/>
    <w:rsid w:val="00475073"/>
    <w:rsid w:val="00475591"/>
    <w:rsid w:val="00475AE7"/>
    <w:rsid w:val="00476FD0"/>
    <w:rsid w:val="004806FB"/>
    <w:rsid w:val="0048441E"/>
    <w:rsid w:val="00485DD1"/>
    <w:rsid w:val="004872D0"/>
    <w:rsid w:val="00487524"/>
    <w:rsid w:val="004876D1"/>
    <w:rsid w:val="004903BF"/>
    <w:rsid w:val="0049112B"/>
    <w:rsid w:val="004928F5"/>
    <w:rsid w:val="004943CA"/>
    <w:rsid w:val="0049488B"/>
    <w:rsid w:val="00495252"/>
    <w:rsid w:val="00496106"/>
    <w:rsid w:val="00496949"/>
    <w:rsid w:val="004A660E"/>
    <w:rsid w:val="004B088F"/>
    <w:rsid w:val="004B091D"/>
    <w:rsid w:val="004B6492"/>
    <w:rsid w:val="004C12D0"/>
    <w:rsid w:val="004C2EE3"/>
    <w:rsid w:val="004C3FFB"/>
    <w:rsid w:val="004C4690"/>
    <w:rsid w:val="004C57A4"/>
    <w:rsid w:val="004C70FB"/>
    <w:rsid w:val="004C7A5C"/>
    <w:rsid w:val="004D22C3"/>
    <w:rsid w:val="004D362E"/>
    <w:rsid w:val="004D5869"/>
    <w:rsid w:val="004D6C60"/>
    <w:rsid w:val="004D7C16"/>
    <w:rsid w:val="004E4A22"/>
    <w:rsid w:val="004E72B7"/>
    <w:rsid w:val="004F2948"/>
    <w:rsid w:val="004F35CA"/>
    <w:rsid w:val="004F4239"/>
    <w:rsid w:val="004F60EC"/>
    <w:rsid w:val="004F737A"/>
    <w:rsid w:val="0050167C"/>
    <w:rsid w:val="00501F12"/>
    <w:rsid w:val="005053A7"/>
    <w:rsid w:val="00506C61"/>
    <w:rsid w:val="005106C5"/>
    <w:rsid w:val="00510EB3"/>
    <w:rsid w:val="00511968"/>
    <w:rsid w:val="005123BE"/>
    <w:rsid w:val="00516819"/>
    <w:rsid w:val="00516C98"/>
    <w:rsid w:val="00520AE6"/>
    <w:rsid w:val="0052214B"/>
    <w:rsid w:val="00523F0D"/>
    <w:rsid w:val="00524B7D"/>
    <w:rsid w:val="00525169"/>
    <w:rsid w:val="00525F91"/>
    <w:rsid w:val="005323CE"/>
    <w:rsid w:val="00532A7E"/>
    <w:rsid w:val="00532BEA"/>
    <w:rsid w:val="0053387F"/>
    <w:rsid w:val="005357B8"/>
    <w:rsid w:val="00536CF8"/>
    <w:rsid w:val="0054043D"/>
    <w:rsid w:val="00545724"/>
    <w:rsid w:val="00545A19"/>
    <w:rsid w:val="0054650E"/>
    <w:rsid w:val="00550354"/>
    <w:rsid w:val="00552A15"/>
    <w:rsid w:val="00552AF3"/>
    <w:rsid w:val="00554BC9"/>
    <w:rsid w:val="0055614C"/>
    <w:rsid w:val="005614FA"/>
    <w:rsid w:val="00563C1F"/>
    <w:rsid w:val="00564FFA"/>
    <w:rsid w:val="00576C88"/>
    <w:rsid w:val="00577322"/>
    <w:rsid w:val="00577BFF"/>
    <w:rsid w:val="00581C61"/>
    <w:rsid w:val="00582BAF"/>
    <w:rsid w:val="00584B7F"/>
    <w:rsid w:val="00585EC7"/>
    <w:rsid w:val="00595381"/>
    <w:rsid w:val="0059746C"/>
    <w:rsid w:val="005A0BF4"/>
    <w:rsid w:val="005A3062"/>
    <w:rsid w:val="005A31B2"/>
    <w:rsid w:val="005A445D"/>
    <w:rsid w:val="005A4610"/>
    <w:rsid w:val="005B3EC2"/>
    <w:rsid w:val="005B421A"/>
    <w:rsid w:val="005B5B7B"/>
    <w:rsid w:val="005C24D8"/>
    <w:rsid w:val="005C315F"/>
    <w:rsid w:val="005C432D"/>
    <w:rsid w:val="005C680A"/>
    <w:rsid w:val="005C7EF4"/>
    <w:rsid w:val="005D0403"/>
    <w:rsid w:val="005D092D"/>
    <w:rsid w:val="005D0A49"/>
    <w:rsid w:val="005D0EA4"/>
    <w:rsid w:val="005E1FF8"/>
    <w:rsid w:val="005E347C"/>
    <w:rsid w:val="005E49DF"/>
    <w:rsid w:val="005E58F0"/>
    <w:rsid w:val="005E5F6A"/>
    <w:rsid w:val="005E74A9"/>
    <w:rsid w:val="005F0449"/>
    <w:rsid w:val="005F361B"/>
    <w:rsid w:val="005F4263"/>
    <w:rsid w:val="005F4F63"/>
    <w:rsid w:val="005F572F"/>
    <w:rsid w:val="00601EEB"/>
    <w:rsid w:val="00603CBE"/>
    <w:rsid w:val="00607BA5"/>
    <w:rsid w:val="006126AF"/>
    <w:rsid w:val="00615C48"/>
    <w:rsid w:val="00620DBB"/>
    <w:rsid w:val="00620F82"/>
    <w:rsid w:val="00621457"/>
    <w:rsid w:val="00622C85"/>
    <w:rsid w:val="00625270"/>
    <w:rsid w:val="00626EB6"/>
    <w:rsid w:val="006275B0"/>
    <w:rsid w:val="00630790"/>
    <w:rsid w:val="00631B71"/>
    <w:rsid w:val="006353A3"/>
    <w:rsid w:val="006367CB"/>
    <w:rsid w:val="00637E27"/>
    <w:rsid w:val="00642E7B"/>
    <w:rsid w:val="00643878"/>
    <w:rsid w:val="00644B2C"/>
    <w:rsid w:val="00655D03"/>
    <w:rsid w:val="00660386"/>
    <w:rsid w:val="00661A1F"/>
    <w:rsid w:val="00663CEB"/>
    <w:rsid w:val="00664AB4"/>
    <w:rsid w:val="006650A4"/>
    <w:rsid w:val="006665E6"/>
    <w:rsid w:val="0067296B"/>
    <w:rsid w:val="00673C03"/>
    <w:rsid w:val="00675E8A"/>
    <w:rsid w:val="0068023C"/>
    <w:rsid w:val="00680945"/>
    <w:rsid w:val="00682D96"/>
    <w:rsid w:val="00683F84"/>
    <w:rsid w:val="00684738"/>
    <w:rsid w:val="0068763E"/>
    <w:rsid w:val="00687BC4"/>
    <w:rsid w:val="006901C6"/>
    <w:rsid w:val="00694196"/>
    <w:rsid w:val="00694C92"/>
    <w:rsid w:val="006953EE"/>
    <w:rsid w:val="0069577D"/>
    <w:rsid w:val="00696680"/>
    <w:rsid w:val="006972E8"/>
    <w:rsid w:val="006A467F"/>
    <w:rsid w:val="006A487A"/>
    <w:rsid w:val="006A6A81"/>
    <w:rsid w:val="006B2F55"/>
    <w:rsid w:val="006B5D0A"/>
    <w:rsid w:val="006B6F46"/>
    <w:rsid w:val="006C3F35"/>
    <w:rsid w:val="006C47FA"/>
    <w:rsid w:val="006C7A94"/>
    <w:rsid w:val="006D0FAA"/>
    <w:rsid w:val="006D40DD"/>
    <w:rsid w:val="006D660A"/>
    <w:rsid w:val="006D6AFD"/>
    <w:rsid w:val="006D760F"/>
    <w:rsid w:val="006D7B2B"/>
    <w:rsid w:val="006D7D03"/>
    <w:rsid w:val="006E26AF"/>
    <w:rsid w:val="006E2DB5"/>
    <w:rsid w:val="006E3ED7"/>
    <w:rsid w:val="006E57B3"/>
    <w:rsid w:val="006E6B9A"/>
    <w:rsid w:val="006F1183"/>
    <w:rsid w:val="006F3559"/>
    <w:rsid w:val="006F4636"/>
    <w:rsid w:val="006F7393"/>
    <w:rsid w:val="00701094"/>
    <w:rsid w:val="007019B6"/>
    <w:rsid w:val="007019FF"/>
    <w:rsid w:val="0070224F"/>
    <w:rsid w:val="00703BB5"/>
    <w:rsid w:val="0070486C"/>
    <w:rsid w:val="00705DDB"/>
    <w:rsid w:val="007115F7"/>
    <w:rsid w:val="00715BC3"/>
    <w:rsid w:val="007164EB"/>
    <w:rsid w:val="007178B4"/>
    <w:rsid w:val="00717B07"/>
    <w:rsid w:val="00721778"/>
    <w:rsid w:val="00725674"/>
    <w:rsid w:val="00726F80"/>
    <w:rsid w:val="00731C3E"/>
    <w:rsid w:val="007342FA"/>
    <w:rsid w:val="00734A6E"/>
    <w:rsid w:val="00735B84"/>
    <w:rsid w:val="00740AD9"/>
    <w:rsid w:val="00740F37"/>
    <w:rsid w:val="0074229D"/>
    <w:rsid w:val="00743B3E"/>
    <w:rsid w:val="00744F93"/>
    <w:rsid w:val="00746393"/>
    <w:rsid w:val="00746759"/>
    <w:rsid w:val="00747230"/>
    <w:rsid w:val="00754440"/>
    <w:rsid w:val="007552B5"/>
    <w:rsid w:val="00756EBC"/>
    <w:rsid w:val="00757E0B"/>
    <w:rsid w:val="00760F76"/>
    <w:rsid w:val="00762725"/>
    <w:rsid w:val="00762FC4"/>
    <w:rsid w:val="00763B93"/>
    <w:rsid w:val="007668C8"/>
    <w:rsid w:val="00770F47"/>
    <w:rsid w:val="00773F6A"/>
    <w:rsid w:val="00775097"/>
    <w:rsid w:val="00780E7D"/>
    <w:rsid w:val="00785689"/>
    <w:rsid w:val="00791600"/>
    <w:rsid w:val="00792664"/>
    <w:rsid w:val="0079754B"/>
    <w:rsid w:val="007A0B06"/>
    <w:rsid w:val="007A1E6D"/>
    <w:rsid w:val="007A29A0"/>
    <w:rsid w:val="007A7051"/>
    <w:rsid w:val="007B1170"/>
    <w:rsid w:val="007B1F0E"/>
    <w:rsid w:val="007B72F9"/>
    <w:rsid w:val="007B7C16"/>
    <w:rsid w:val="007C179B"/>
    <w:rsid w:val="007C2228"/>
    <w:rsid w:val="007C32DC"/>
    <w:rsid w:val="007C3551"/>
    <w:rsid w:val="007C4371"/>
    <w:rsid w:val="007C5078"/>
    <w:rsid w:val="007C53B3"/>
    <w:rsid w:val="007C674D"/>
    <w:rsid w:val="007D3761"/>
    <w:rsid w:val="007D4842"/>
    <w:rsid w:val="007D4DB7"/>
    <w:rsid w:val="007D6054"/>
    <w:rsid w:val="007E03E5"/>
    <w:rsid w:val="007E32AB"/>
    <w:rsid w:val="007E4A79"/>
    <w:rsid w:val="007F0701"/>
    <w:rsid w:val="007F0DBB"/>
    <w:rsid w:val="007F1D7C"/>
    <w:rsid w:val="007F29ED"/>
    <w:rsid w:val="007F400A"/>
    <w:rsid w:val="007F40C5"/>
    <w:rsid w:val="007F4D42"/>
    <w:rsid w:val="007F5818"/>
    <w:rsid w:val="007F5C59"/>
    <w:rsid w:val="007F6D68"/>
    <w:rsid w:val="007F7FCE"/>
    <w:rsid w:val="00800267"/>
    <w:rsid w:val="00801AAA"/>
    <w:rsid w:val="00801FDC"/>
    <w:rsid w:val="008034AB"/>
    <w:rsid w:val="00805401"/>
    <w:rsid w:val="0080584B"/>
    <w:rsid w:val="00806538"/>
    <w:rsid w:val="008068FD"/>
    <w:rsid w:val="00822CE0"/>
    <w:rsid w:val="00825E7D"/>
    <w:rsid w:val="00826ECA"/>
    <w:rsid w:val="008271E2"/>
    <w:rsid w:val="008275B8"/>
    <w:rsid w:val="0083155B"/>
    <w:rsid w:val="008338CE"/>
    <w:rsid w:val="00835AB1"/>
    <w:rsid w:val="00837C62"/>
    <w:rsid w:val="00841404"/>
    <w:rsid w:val="00841AB1"/>
    <w:rsid w:val="00844109"/>
    <w:rsid w:val="0084412A"/>
    <w:rsid w:val="0084449D"/>
    <w:rsid w:val="00845944"/>
    <w:rsid w:val="00851E64"/>
    <w:rsid w:val="008550B5"/>
    <w:rsid w:val="0085777F"/>
    <w:rsid w:val="0086068D"/>
    <w:rsid w:val="00861822"/>
    <w:rsid w:val="00861958"/>
    <w:rsid w:val="008635A0"/>
    <w:rsid w:val="0086597B"/>
    <w:rsid w:val="008670A1"/>
    <w:rsid w:val="00867CFB"/>
    <w:rsid w:val="00872701"/>
    <w:rsid w:val="008759A0"/>
    <w:rsid w:val="008774D9"/>
    <w:rsid w:val="00880227"/>
    <w:rsid w:val="00880549"/>
    <w:rsid w:val="00880961"/>
    <w:rsid w:val="008823A6"/>
    <w:rsid w:val="00885346"/>
    <w:rsid w:val="008860DF"/>
    <w:rsid w:val="0088632C"/>
    <w:rsid w:val="008865BD"/>
    <w:rsid w:val="00890537"/>
    <w:rsid w:val="008928B0"/>
    <w:rsid w:val="00892BEE"/>
    <w:rsid w:val="00893955"/>
    <w:rsid w:val="008969B3"/>
    <w:rsid w:val="0089722C"/>
    <w:rsid w:val="008A3DCE"/>
    <w:rsid w:val="008A5F0D"/>
    <w:rsid w:val="008A6865"/>
    <w:rsid w:val="008A72A2"/>
    <w:rsid w:val="008B1C48"/>
    <w:rsid w:val="008B3790"/>
    <w:rsid w:val="008B3951"/>
    <w:rsid w:val="008B3DC7"/>
    <w:rsid w:val="008B4CC9"/>
    <w:rsid w:val="008B51AD"/>
    <w:rsid w:val="008C0043"/>
    <w:rsid w:val="008C0714"/>
    <w:rsid w:val="008C09B2"/>
    <w:rsid w:val="008C1A0F"/>
    <w:rsid w:val="008C1DAA"/>
    <w:rsid w:val="008C22FD"/>
    <w:rsid w:val="008C2513"/>
    <w:rsid w:val="008C5059"/>
    <w:rsid w:val="008D327D"/>
    <w:rsid w:val="008D4737"/>
    <w:rsid w:val="008D53AB"/>
    <w:rsid w:val="008D5B54"/>
    <w:rsid w:val="008D5EA0"/>
    <w:rsid w:val="008D6240"/>
    <w:rsid w:val="008E1DE1"/>
    <w:rsid w:val="008E5D2B"/>
    <w:rsid w:val="008F58CF"/>
    <w:rsid w:val="008F7C26"/>
    <w:rsid w:val="00902F76"/>
    <w:rsid w:val="0090545D"/>
    <w:rsid w:val="009054E8"/>
    <w:rsid w:val="00907911"/>
    <w:rsid w:val="00910F12"/>
    <w:rsid w:val="00913041"/>
    <w:rsid w:val="0091539A"/>
    <w:rsid w:val="0091650F"/>
    <w:rsid w:val="00922696"/>
    <w:rsid w:val="00923F59"/>
    <w:rsid w:val="00925ACF"/>
    <w:rsid w:val="00926397"/>
    <w:rsid w:val="00926503"/>
    <w:rsid w:val="0092692D"/>
    <w:rsid w:val="00926C1D"/>
    <w:rsid w:val="00926E81"/>
    <w:rsid w:val="00930ECF"/>
    <w:rsid w:val="00931CEB"/>
    <w:rsid w:val="0093267F"/>
    <w:rsid w:val="009432A3"/>
    <w:rsid w:val="00943407"/>
    <w:rsid w:val="00943B23"/>
    <w:rsid w:val="00946DF9"/>
    <w:rsid w:val="009500AD"/>
    <w:rsid w:val="0095053C"/>
    <w:rsid w:val="0095057C"/>
    <w:rsid w:val="00951059"/>
    <w:rsid w:val="00955EA2"/>
    <w:rsid w:val="009566AD"/>
    <w:rsid w:val="00956EF9"/>
    <w:rsid w:val="009571AF"/>
    <w:rsid w:val="0096037E"/>
    <w:rsid w:val="00962993"/>
    <w:rsid w:val="00967271"/>
    <w:rsid w:val="00970A34"/>
    <w:rsid w:val="009713DD"/>
    <w:rsid w:val="00972B39"/>
    <w:rsid w:val="00976129"/>
    <w:rsid w:val="009801F8"/>
    <w:rsid w:val="0098032E"/>
    <w:rsid w:val="009838BC"/>
    <w:rsid w:val="00983A14"/>
    <w:rsid w:val="00983EE2"/>
    <w:rsid w:val="00986B91"/>
    <w:rsid w:val="00987966"/>
    <w:rsid w:val="00987A27"/>
    <w:rsid w:val="009901F7"/>
    <w:rsid w:val="009929EC"/>
    <w:rsid w:val="009934BF"/>
    <w:rsid w:val="0099720B"/>
    <w:rsid w:val="009A65B8"/>
    <w:rsid w:val="009A685A"/>
    <w:rsid w:val="009B3988"/>
    <w:rsid w:val="009B63B0"/>
    <w:rsid w:val="009C13CB"/>
    <w:rsid w:val="009C21B4"/>
    <w:rsid w:val="009C2EC9"/>
    <w:rsid w:val="009C448A"/>
    <w:rsid w:val="009C6D1A"/>
    <w:rsid w:val="009C73EF"/>
    <w:rsid w:val="009D0498"/>
    <w:rsid w:val="009D175D"/>
    <w:rsid w:val="009D2AC9"/>
    <w:rsid w:val="009D31FB"/>
    <w:rsid w:val="009D36AB"/>
    <w:rsid w:val="009D6B11"/>
    <w:rsid w:val="009D708B"/>
    <w:rsid w:val="009D71BD"/>
    <w:rsid w:val="009E0A80"/>
    <w:rsid w:val="009E66CB"/>
    <w:rsid w:val="009E7E98"/>
    <w:rsid w:val="009F1761"/>
    <w:rsid w:val="009F71A2"/>
    <w:rsid w:val="00A029B6"/>
    <w:rsid w:val="00A03FAC"/>
    <w:rsid w:val="00A06E7E"/>
    <w:rsid w:val="00A105E6"/>
    <w:rsid w:val="00A13CE2"/>
    <w:rsid w:val="00A13DDC"/>
    <w:rsid w:val="00A143B2"/>
    <w:rsid w:val="00A1615A"/>
    <w:rsid w:val="00A164EA"/>
    <w:rsid w:val="00A21F33"/>
    <w:rsid w:val="00A22D46"/>
    <w:rsid w:val="00A239D2"/>
    <w:rsid w:val="00A255D7"/>
    <w:rsid w:val="00A30968"/>
    <w:rsid w:val="00A32C6E"/>
    <w:rsid w:val="00A33E9C"/>
    <w:rsid w:val="00A351CE"/>
    <w:rsid w:val="00A36733"/>
    <w:rsid w:val="00A40309"/>
    <w:rsid w:val="00A42060"/>
    <w:rsid w:val="00A42EE2"/>
    <w:rsid w:val="00A45DD0"/>
    <w:rsid w:val="00A45F4F"/>
    <w:rsid w:val="00A5137A"/>
    <w:rsid w:val="00A51758"/>
    <w:rsid w:val="00A554EE"/>
    <w:rsid w:val="00A600A9"/>
    <w:rsid w:val="00A61E25"/>
    <w:rsid w:val="00A6263A"/>
    <w:rsid w:val="00A6329B"/>
    <w:rsid w:val="00A63A6A"/>
    <w:rsid w:val="00A6538C"/>
    <w:rsid w:val="00A663DB"/>
    <w:rsid w:val="00A7404D"/>
    <w:rsid w:val="00A74D70"/>
    <w:rsid w:val="00A75E4C"/>
    <w:rsid w:val="00A77268"/>
    <w:rsid w:val="00A81385"/>
    <w:rsid w:val="00A84BCC"/>
    <w:rsid w:val="00A85063"/>
    <w:rsid w:val="00A855DE"/>
    <w:rsid w:val="00A8620D"/>
    <w:rsid w:val="00A86681"/>
    <w:rsid w:val="00A866AC"/>
    <w:rsid w:val="00A90ABC"/>
    <w:rsid w:val="00A922E8"/>
    <w:rsid w:val="00A9262C"/>
    <w:rsid w:val="00A92F17"/>
    <w:rsid w:val="00A93436"/>
    <w:rsid w:val="00A93BBB"/>
    <w:rsid w:val="00A950E2"/>
    <w:rsid w:val="00A95190"/>
    <w:rsid w:val="00A95C94"/>
    <w:rsid w:val="00A97303"/>
    <w:rsid w:val="00AA020D"/>
    <w:rsid w:val="00AA2C76"/>
    <w:rsid w:val="00AA3752"/>
    <w:rsid w:val="00AA412A"/>
    <w:rsid w:val="00AA52F2"/>
    <w:rsid w:val="00AA55B7"/>
    <w:rsid w:val="00AA5B41"/>
    <w:rsid w:val="00AA5B9E"/>
    <w:rsid w:val="00AB2109"/>
    <w:rsid w:val="00AB2407"/>
    <w:rsid w:val="00AB3596"/>
    <w:rsid w:val="00AB53DF"/>
    <w:rsid w:val="00AB61ED"/>
    <w:rsid w:val="00AB7889"/>
    <w:rsid w:val="00AC4DB3"/>
    <w:rsid w:val="00AC59EC"/>
    <w:rsid w:val="00AC669A"/>
    <w:rsid w:val="00AD036F"/>
    <w:rsid w:val="00AD3257"/>
    <w:rsid w:val="00AD50D4"/>
    <w:rsid w:val="00AD62E9"/>
    <w:rsid w:val="00AE13A6"/>
    <w:rsid w:val="00AE1813"/>
    <w:rsid w:val="00AE3030"/>
    <w:rsid w:val="00AE3C92"/>
    <w:rsid w:val="00AE47E9"/>
    <w:rsid w:val="00AE522A"/>
    <w:rsid w:val="00AF0EFB"/>
    <w:rsid w:val="00AF2B5C"/>
    <w:rsid w:val="00B0042A"/>
    <w:rsid w:val="00B00C3A"/>
    <w:rsid w:val="00B021EE"/>
    <w:rsid w:val="00B02A93"/>
    <w:rsid w:val="00B07E5C"/>
    <w:rsid w:val="00B10DE5"/>
    <w:rsid w:val="00B17836"/>
    <w:rsid w:val="00B17B13"/>
    <w:rsid w:val="00B209C5"/>
    <w:rsid w:val="00B238E7"/>
    <w:rsid w:val="00B26F81"/>
    <w:rsid w:val="00B31B86"/>
    <w:rsid w:val="00B326E3"/>
    <w:rsid w:val="00B334D7"/>
    <w:rsid w:val="00B3351F"/>
    <w:rsid w:val="00B368CC"/>
    <w:rsid w:val="00B36901"/>
    <w:rsid w:val="00B376D4"/>
    <w:rsid w:val="00B402F4"/>
    <w:rsid w:val="00B43169"/>
    <w:rsid w:val="00B44339"/>
    <w:rsid w:val="00B44B9E"/>
    <w:rsid w:val="00B464B2"/>
    <w:rsid w:val="00B47261"/>
    <w:rsid w:val="00B5389B"/>
    <w:rsid w:val="00B549D5"/>
    <w:rsid w:val="00B5774B"/>
    <w:rsid w:val="00B61C60"/>
    <w:rsid w:val="00B7124D"/>
    <w:rsid w:val="00B721C8"/>
    <w:rsid w:val="00B72D84"/>
    <w:rsid w:val="00B73C0C"/>
    <w:rsid w:val="00B74EB4"/>
    <w:rsid w:val="00B77AB8"/>
    <w:rsid w:val="00B811F7"/>
    <w:rsid w:val="00B81771"/>
    <w:rsid w:val="00B82285"/>
    <w:rsid w:val="00B83976"/>
    <w:rsid w:val="00B848FE"/>
    <w:rsid w:val="00B84BD2"/>
    <w:rsid w:val="00B84CD9"/>
    <w:rsid w:val="00B8669B"/>
    <w:rsid w:val="00B905AA"/>
    <w:rsid w:val="00B90BD1"/>
    <w:rsid w:val="00B93375"/>
    <w:rsid w:val="00B959E6"/>
    <w:rsid w:val="00B97BD5"/>
    <w:rsid w:val="00BA1134"/>
    <w:rsid w:val="00BA1383"/>
    <w:rsid w:val="00BA196F"/>
    <w:rsid w:val="00BA3B64"/>
    <w:rsid w:val="00BA4A23"/>
    <w:rsid w:val="00BA5DC6"/>
    <w:rsid w:val="00BA6196"/>
    <w:rsid w:val="00BA7043"/>
    <w:rsid w:val="00BB0D65"/>
    <w:rsid w:val="00BB1F6B"/>
    <w:rsid w:val="00BB2DCC"/>
    <w:rsid w:val="00BB4022"/>
    <w:rsid w:val="00BB5D60"/>
    <w:rsid w:val="00BB6496"/>
    <w:rsid w:val="00BB6DCE"/>
    <w:rsid w:val="00BC1B9F"/>
    <w:rsid w:val="00BC6BB5"/>
    <w:rsid w:val="00BC6D8C"/>
    <w:rsid w:val="00BC737A"/>
    <w:rsid w:val="00BC76BB"/>
    <w:rsid w:val="00BD08FE"/>
    <w:rsid w:val="00BD0A9B"/>
    <w:rsid w:val="00BD1F31"/>
    <w:rsid w:val="00BD332E"/>
    <w:rsid w:val="00BD38DB"/>
    <w:rsid w:val="00BD41D9"/>
    <w:rsid w:val="00BD4B59"/>
    <w:rsid w:val="00BD50BA"/>
    <w:rsid w:val="00BD5994"/>
    <w:rsid w:val="00BE1AA3"/>
    <w:rsid w:val="00BE312D"/>
    <w:rsid w:val="00BE4E73"/>
    <w:rsid w:val="00BE5A68"/>
    <w:rsid w:val="00BF4EC4"/>
    <w:rsid w:val="00C00B2A"/>
    <w:rsid w:val="00C01B19"/>
    <w:rsid w:val="00C0633C"/>
    <w:rsid w:val="00C07140"/>
    <w:rsid w:val="00C077E1"/>
    <w:rsid w:val="00C10E83"/>
    <w:rsid w:val="00C1189E"/>
    <w:rsid w:val="00C14E8F"/>
    <w:rsid w:val="00C16AF2"/>
    <w:rsid w:val="00C20E44"/>
    <w:rsid w:val="00C223D8"/>
    <w:rsid w:val="00C2261D"/>
    <w:rsid w:val="00C2475E"/>
    <w:rsid w:val="00C24DD2"/>
    <w:rsid w:val="00C25666"/>
    <w:rsid w:val="00C27664"/>
    <w:rsid w:val="00C27859"/>
    <w:rsid w:val="00C27EA3"/>
    <w:rsid w:val="00C31891"/>
    <w:rsid w:val="00C33898"/>
    <w:rsid w:val="00C34006"/>
    <w:rsid w:val="00C34F82"/>
    <w:rsid w:val="00C35272"/>
    <w:rsid w:val="00C360F5"/>
    <w:rsid w:val="00C367FB"/>
    <w:rsid w:val="00C37B71"/>
    <w:rsid w:val="00C41A27"/>
    <w:rsid w:val="00C426B1"/>
    <w:rsid w:val="00C43525"/>
    <w:rsid w:val="00C43547"/>
    <w:rsid w:val="00C43AC6"/>
    <w:rsid w:val="00C44D1E"/>
    <w:rsid w:val="00C4665E"/>
    <w:rsid w:val="00C47FF8"/>
    <w:rsid w:val="00C509AC"/>
    <w:rsid w:val="00C50A2E"/>
    <w:rsid w:val="00C543F9"/>
    <w:rsid w:val="00C55FF6"/>
    <w:rsid w:val="00C56B90"/>
    <w:rsid w:val="00C61BB7"/>
    <w:rsid w:val="00C621EC"/>
    <w:rsid w:val="00C70F5B"/>
    <w:rsid w:val="00C7200D"/>
    <w:rsid w:val="00C7218A"/>
    <w:rsid w:val="00C7222F"/>
    <w:rsid w:val="00C7392A"/>
    <w:rsid w:val="00C7652B"/>
    <w:rsid w:val="00C80924"/>
    <w:rsid w:val="00C82B6B"/>
    <w:rsid w:val="00C84CB7"/>
    <w:rsid w:val="00C850D8"/>
    <w:rsid w:val="00C85AF8"/>
    <w:rsid w:val="00C90D6A"/>
    <w:rsid w:val="00C90E69"/>
    <w:rsid w:val="00C95579"/>
    <w:rsid w:val="00C96CB6"/>
    <w:rsid w:val="00CA5E0B"/>
    <w:rsid w:val="00CA63AF"/>
    <w:rsid w:val="00CB14D4"/>
    <w:rsid w:val="00CB4801"/>
    <w:rsid w:val="00CB6CE9"/>
    <w:rsid w:val="00CC3745"/>
    <w:rsid w:val="00CC4904"/>
    <w:rsid w:val="00CC60EB"/>
    <w:rsid w:val="00CC6A10"/>
    <w:rsid w:val="00CC72B6"/>
    <w:rsid w:val="00CD1437"/>
    <w:rsid w:val="00CD2FA0"/>
    <w:rsid w:val="00CD30B5"/>
    <w:rsid w:val="00CD5655"/>
    <w:rsid w:val="00CE2113"/>
    <w:rsid w:val="00CE359D"/>
    <w:rsid w:val="00CE3C68"/>
    <w:rsid w:val="00CF0B01"/>
    <w:rsid w:val="00CF0F77"/>
    <w:rsid w:val="00CF1A56"/>
    <w:rsid w:val="00D0218D"/>
    <w:rsid w:val="00D03809"/>
    <w:rsid w:val="00D04868"/>
    <w:rsid w:val="00D06F09"/>
    <w:rsid w:val="00D06FA2"/>
    <w:rsid w:val="00D12B3C"/>
    <w:rsid w:val="00D13707"/>
    <w:rsid w:val="00D17873"/>
    <w:rsid w:val="00D216CD"/>
    <w:rsid w:val="00D22B78"/>
    <w:rsid w:val="00D238CC"/>
    <w:rsid w:val="00D26EF4"/>
    <w:rsid w:val="00D32848"/>
    <w:rsid w:val="00D351CC"/>
    <w:rsid w:val="00D3650B"/>
    <w:rsid w:val="00D41B3B"/>
    <w:rsid w:val="00D45A14"/>
    <w:rsid w:val="00D501C6"/>
    <w:rsid w:val="00D5095E"/>
    <w:rsid w:val="00D51481"/>
    <w:rsid w:val="00D53ADF"/>
    <w:rsid w:val="00D541B7"/>
    <w:rsid w:val="00D5454A"/>
    <w:rsid w:val="00D5495C"/>
    <w:rsid w:val="00D6557E"/>
    <w:rsid w:val="00D6581B"/>
    <w:rsid w:val="00D7290A"/>
    <w:rsid w:val="00D74AEC"/>
    <w:rsid w:val="00D76953"/>
    <w:rsid w:val="00D806AA"/>
    <w:rsid w:val="00D8081B"/>
    <w:rsid w:val="00D80BEF"/>
    <w:rsid w:val="00D81F91"/>
    <w:rsid w:val="00D8472B"/>
    <w:rsid w:val="00D84C22"/>
    <w:rsid w:val="00D851AB"/>
    <w:rsid w:val="00D85EF5"/>
    <w:rsid w:val="00D90DAC"/>
    <w:rsid w:val="00DA07AA"/>
    <w:rsid w:val="00DA119E"/>
    <w:rsid w:val="00DA2529"/>
    <w:rsid w:val="00DA455F"/>
    <w:rsid w:val="00DA77F0"/>
    <w:rsid w:val="00DB0101"/>
    <w:rsid w:val="00DB130A"/>
    <w:rsid w:val="00DB239C"/>
    <w:rsid w:val="00DB36BF"/>
    <w:rsid w:val="00DB54CA"/>
    <w:rsid w:val="00DB5AC1"/>
    <w:rsid w:val="00DB6527"/>
    <w:rsid w:val="00DB6AC7"/>
    <w:rsid w:val="00DC0759"/>
    <w:rsid w:val="00DC10A1"/>
    <w:rsid w:val="00DC44DE"/>
    <w:rsid w:val="00DC4D66"/>
    <w:rsid w:val="00DC53B1"/>
    <w:rsid w:val="00DC56D1"/>
    <w:rsid w:val="00DC655F"/>
    <w:rsid w:val="00DC7BAE"/>
    <w:rsid w:val="00DD0336"/>
    <w:rsid w:val="00DD0F22"/>
    <w:rsid w:val="00DD4242"/>
    <w:rsid w:val="00DD6364"/>
    <w:rsid w:val="00DD6C7F"/>
    <w:rsid w:val="00DD7EBD"/>
    <w:rsid w:val="00DE0D04"/>
    <w:rsid w:val="00DE13BD"/>
    <w:rsid w:val="00DE4B07"/>
    <w:rsid w:val="00DF1626"/>
    <w:rsid w:val="00DF1B24"/>
    <w:rsid w:val="00DF4E87"/>
    <w:rsid w:val="00DF62B6"/>
    <w:rsid w:val="00E0101E"/>
    <w:rsid w:val="00E02269"/>
    <w:rsid w:val="00E04D5A"/>
    <w:rsid w:val="00E07225"/>
    <w:rsid w:val="00E14896"/>
    <w:rsid w:val="00E155B7"/>
    <w:rsid w:val="00E15AD6"/>
    <w:rsid w:val="00E15F88"/>
    <w:rsid w:val="00E17865"/>
    <w:rsid w:val="00E21870"/>
    <w:rsid w:val="00E262F3"/>
    <w:rsid w:val="00E27214"/>
    <w:rsid w:val="00E336E6"/>
    <w:rsid w:val="00E3399D"/>
    <w:rsid w:val="00E37785"/>
    <w:rsid w:val="00E4245C"/>
    <w:rsid w:val="00E504A8"/>
    <w:rsid w:val="00E50F11"/>
    <w:rsid w:val="00E5409F"/>
    <w:rsid w:val="00E554BA"/>
    <w:rsid w:val="00E61137"/>
    <w:rsid w:val="00E63E9C"/>
    <w:rsid w:val="00E65904"/>
    <w:rsid w:val="00E66D2C"/>
    <w:rsid w:val="00E70C9B"/>
    <w:rsid w:val="00E72298"/>
    <w:rsid w:val="00E73463"/>
    <w:rsid w:val="00E743F2"/>
    <w:rsid w:val="00E74F67"/>
    <w:rsid w:val="00E77864"/>
    <w:rsid w:val="00E8036C"/>
    <w:rsid w:val="00E85276"/>
    <w:rsid w:val="00E87847"/>
    <w:rsid w:val="00E96AC2"/>
    <w:rsid w:val="00E96B4B"/>
    <w:rsid w:val="00E9794F"/>
    <w:rsid w:val="00EA003B"/>
    <w:rsid w:val="00EA1D70"/>
    <w:rsid w:val="00EA5DC5"/>
    <w:rsid w:val="00EB08CE"/>
    <w:rsid w:val="00EB17F9"/>
    <w:rsid w:val="00EB181E"/>
    <w:rsid w:val="00EB28CF"/>
    <w:rsid w:val="00EB2C44"/>
    <w:rsid w:val="00EB4A52"/>
    <w:rsid w:val="00EB64DF"/>
    <w:rsid w:val="00EC0185"/>
    <w:rsid w:val="00EC0BF7"/>
    <w:rsid w:val="00EC195C"/>
    <w:rsid w:val="00EC2DFD"/>
    <w:rsid w:val="00EC5A87"/>
    <w:rsid w:val="00EC68BF"/>
    <w:rsid w:val="00ED05B6"/>
    <w:rsid w:val="00ED11B3"/>
    <w:rsid w:val="00ED33DB"/>
    <w:rsid w:val="00ED3D49"/>
    <w:rsid w:val="00ED61CE"/>
    <w:rsid w:val="00ED6F96"/>
    <w:rsid w:val="00EE0028"/>
    <w:rsid w:val="00EE4BF4"/>
    <w:rsid w:val="00EE6ADD"/>
    <w:rsid w:val="00EF064F"/>
    <w:rsid w:val="00EF0CEF"/>
    <w:rsid w:val="00EF3D8E"/>
    <w:rsid w:val="00EF5C69"/>
    <w:rsid w:val="00EF5E4D"/>
    <w:rsid w:val="00F00152"/>
    <w:rsid w:val="00F021FA"/>
    <w:rsid w:val="00F03EE6"/>
    <w:rsid w:val="00F051B1"/>
    <w:rsid w:val="00F10131"/>
    <w:rsid w:val="00F10428"/>
    <w:rsid w:val="00F11F96"/>
    <w:rsid w:val="00F13114"/>
    <w:rsid w:val="00F13E8E"/>
    <w:rsid w:val="00F14A7B"/>
    <w:rsid w:val="00F14D69"/>
    <w:rsid w:val="00F14F82"/>
    <w:rsid w:val="00F1632C"/>
    <w:rsid w:val="00F23D30"/>
    <w:rsid w:val="00F243B7"/>
    <w:rsid w:val="00F304C0"/>
    <w:rsid w:val="00F311FC"/>
    <w:rsid w:val="00F322CA"/>
    <w:rsid w:val="00F37BD3"/>
    <w:rsid w:val="00F432AC"/>
    <w:rsid w:val="00F4366C"/>
    <w:rsid w:val="00F43E3B"/>
    <w:rsid w:val="00F446CC"/>
    <w:rsid w:val="00F46420"/>
    <w:rsid w:val="00F46B95"/>
    <w:rsid w:val="00F50197"/>
    <w:rsid w:val="00F5223B"/>
    <w:rsid w:val="00F53E50"/>
    <w:rsid w:val="00F57ACA"/>
    <w:rsid w:val="00F61010"/>
    <w:rsid w:val="00F61F48"/>
    <w:rsid w:val="00F62E97"/>
    <w:rsid w:val="00F64209"/>
    <w:rsid w:val="00F65711"/>
    <w:rsid w:val="00F66D37"/>
    <w:rsid w:val="00F67726"/>
    <w:rsid w:val="00F70890"/>
    <w:rsid w:val="00F72B31"/>
    <w:rsid w:val="00F73399"/>
    <w:rsid w:val="00F7410E"/>
    <w:rsid w:val="00F76515"/>
    <w:rsid w:val="00F80370"/>
    <w:rsid w:val="00F84F68"/>
    <w:rsid w:val="00F85C74"/>
    <w:rsid w:val="00F93BF5"/>
    <w:rsid w:val="00F96438"/>
    <w:rsid w:val="00F96F63"/>
    <w:rsid w:val="00F9742C"/>
    <w:rsid w:val="00FA3284"/>
    <w:rsid w:val="00FB0C37"/>
    <w:rsid w:val="00FB1102"/>
    <w:rsid w:val="00FB2F91"/>
    <w:rsid w:val="00FB3EDD"/>
    <w:rsid w:val="00FB6AC1"/>
    <w:rsid w:val="00FC392C"/>
    <w:rsid w:val="00FC565D"/>
    <w:rsid w:val="00FC6220"/>
    <w:rsid w:val="00FC6E66"/>
    <w:rsid w:val="00FC7C2A"/>
    <w:rsid w:val="00FD2298"/>
    <w:rsid w:val="00FD2E93"/>
    <w:rsid w:val="00FD2ED6"/>
    <w:rsid w:val="00FE1675"/>
    <w:rsid w:val="00FE1FF4"/>
    <w:rsid w:val="00FE56A1"/>
    <w:rsid w:val="00FE56C4"/>
    <w:rsid w:val="00FE583B"/>
    <w:rsid w:val="00FE5E3C"/>
    <w:rsid w:val="00FF4199"/>
    <w:rsid w:val="00FF6278"/>
    <w:rsid w:val="00FF682A"/>
    <w:rsid w:val="00FF7A37"/>
    <w:rsid w:val="75796D0F"/>
    <w:rsid w:val="7AC21DFE"/>
    <w:rsid w:val="7B6157F7"/>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4EFB9BD8"/>
  <w15:chartTrackingRefBased/>
  <w15:docId w15:val="{781F4A31-8D49-4320-B192-22E1A735A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4FA"/>
    <w:pPr>
      <w:widowControl w:val="0"/>
    </w:pPr>
    <w:rPr>
      <w:snapToGrid w:val="0"/>
      <w:kern w:val="28"/>
      <w:sz w:val="22"/>
      <w:lang w:eastAsia="en-US"/>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qFormat/>
    <w:rsid w:val="000E3D42"/>
    <w:pPr>
      <w:spacing w:after="120"/>
    </w:pPr>
    <w:rPr>
      <w:lang w:eastAsia="en-US"/>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ParaNumChar">
    <w:name w:val="ParaNum Char"/>
    <w:link w:val="ParaNum"/>
    <w:locked/>
    <w:rsid w:val="005614FA"/>
    <w:rPr>
      <w:snapToGrid w:val="0"/>
      <w:kern w:val="28"/>
      <w:sz w:val="22"/>
    </w:rPr>
  </w:style>
  <w:style w:type="character" w:styleId="CommentReference">
    <w:name w:val="annotation reference"/>
    <w:uiPriority w:val="99"/>
    <w:semiHidden/>
    <w:unhideWhenUsed/>
    <w:rsid w:val="00642E7B"/>
    <w:rPr>
      <w:sz w:val="16"/>
      <w:szCs w:val="16"/>
    </w:rPr>
  </w:style>
  <w:style w:type="paragraph" w:styleId="CommentText">
    <w:name w:val="annotation text"/>
    <w:basedOn w:val="Normal"/>
    <w:link w:val="CommentTextChar"/>
    <w:uiPriority w:val="99"/>
    <w:semiHidden/>
    <w:unhideWhenUsed/>
    <w:rsid w:val="00642E7B"/>
    <w:rPr>
      <w:sz w:val="20"/>
    </w:rPr>
  </w:style>
  <w:style w:type="character" w:customStyle="1" w:styleId="CommentTextChar">
    <w:name w:val="Comment Text Char"/>
    <w:link w:val="CommentText"/>
    <w:uiPriority w:val="99"/>
    <w:semiHidden/>
    <w:rsid w:val="00642E7B"/>
    <w:rPr>
      <w:snapToGrid w:val="0"/>
      <w:kern w:val="28"/>
    </w:rPr>
  </w:style>
  <w:style w:type="paragraph" w:styleId="CommentSubject">
    <w:name w:val="annotation subject"/>
    <w:basedOn w:val="CommentText"/>
    <w:next w:val="CommentText"/>
    <w:link w:val="CommentSubjectChar"/>
    <w:uiPriority w:val="99"/>
    <w:semiHidden/>
    <w:unhideWhenUsed/>
    <w:rsid w:val="00642E7B"/>
    <w:rPr>
      <w:b/>
      <w:bCs/>
    </w:rPr>
  </w:style>
  <w:style w:type="character" w:customStyle="1" w:styleId="CommentSubjectChar">
    <w:name w:val="Comment Subject Char"/>
    <w:link w:val="CommentSubject"/>
    <w:uiPriority w:val="99"/>
    <w:semiHidden/>
    <w:rsid w:val="00642E7B"/>
    <w:rPr>
      <w:b/>
      <w:bCs/>
      <w:snapToGrid w:val="0"/>
      <w:kern w:val="28"/>
    </w:rPr>
  </w:style>
  <w:style w:type="paragraph" w:styleId="BalloonText">
    <w:name w:val="Balloon Text"/>
    <w:basedOn w:val="Normal"/>
    <w:link w:val="BalloonTextChar"/>
    <w:uiPriority w:val="99"/>
    <w:semiHidden/>
    <w:unhideWhenUsed/>
    <w:rsid w:val="00642E7B"/>
    <w:rPr>
      <w:rFonts w:ascii="Segoe UI" w:hAnsi="Segoe UI" w:cs="Segoe UI"/>
      <w:sz w:val="18"/>
      <w:szCs w:val="18"/>
    </w:rPr>
  </w:style>
  <w:style w:type="character" w:customStyle="1" w:styleId="BalloonTextChar">
    <w:name w:val="Balloon Text Char"/>
    <w:link w:val="BalloonText"/>
    <w:uiPriority w:val="99"/>
    <w:semiHidden/>
    <w:rsid w:val="00642E7B"/>
    <w:rPr>
      <w:rFonts w:ascii="Segoe UI" w:hAnsi="Segoe UI" w:cs="Segoe UI"/>
      <w:snapToGrid w:val="0"/>
      <w:kern w:val="28"/>
      <w:sz w:val="18"/>
      <w:szCs w:val="18"/>
    </w:rPr>
  </w:style>
  <w:style w:type="character" w:styleId="PlaceholderText">
    <w:name w:val="Placeholder Text"/>
    <w:uiPriority w:val="99"/>
    <w:semiHidden/>
    <w:rsid w:val="00377C00"/>
    <w:rPr>
      <w:color w:val="808080"/>
    </w:rPr>
  </w:style>
  <w:style w:type="paragraph" w:customStyle="1" w:styleId="Default">
    <w:name w:val="Default"/>
    <w:rsid w:val="000D50EB"/>
    <w:pPr>
      <w:autoSpaceDE w:val="0"/>
      <w:autoSpaceDN w:val="0"/>
      <w:adjustRightInd w:val="0"/>
    </w:pPr>
    <w:rPr>
      <w:color w:val="000000"/>
      <w:sz w:val="24"/>
      <w:szCs w:val="24"/>
      <w:lang w:eastAsia="en-US"/>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sid w:val="009901F7"/>
  </w:style>
  <w:style w:type="paragraph" w:styleId="Revision">
    <w:name w:val="Revision"/>
    <w:hidden/>
    <w:uiPriority w:val="99"/>
    <w:semiHidden/>
    <w:rsid w:val="007019FF"/>
    <w:rPr>
      <w:snapToGrid w:val="0"/>
      <w:kern w:val="28"/>
      <w:sz w:val="22"/>
      <w:lang w:eastAsia="en-US"/>
    </w:rPr>
  </w:style>
  <w:style w:type="character" w:styleId="Emphasis">
    <w:name w:val="Emphasis"/>
    <w:uiPriority w:val="20"/>
    <w:qFormat/>
    <w:rsid w:val="002049B9"/>
    <w:rPr>
      <w:i/>
      <w:iCs/>
    </w:rPr>
  </w:style>
  <w:style w:type="character" w:customStyle="1" w:styleId="cosearchterm">
    <w:name w:val="co_searchterm"/>
    <w:basedOn w:val="DefaultParagraphFont"/>
    <w:rsid w:val="002049B9"/>
  </w:style>
  <w:style w:type="character" w:customStyle="1" w:styleId="copinpointicon">
    <w:name w:val="co_pinpointicon"/>
    <w:basedOn w:val="DefaultParagraphFont"/>
    <w:rsid w:val="005B5B7B"/>
  </w:style>
  <w:style w:type="character" w:customStyle="1" w:styleId="UnresolvedMention1">
    <w:name w:val="Unresolved Mention1"/>
    <w:uiPriority w:val="99"/>
    <w:rsid w:val="00432569"/>
    <w:rPr>
      <w:color w:val="605E5C"/>
      <w:shd w:val="clear" w:color="auto" w:fill="E1DFDD"/>
    </w:rPr>
  </w:style>
  <w:style w:type="character" w:styleId="FollowedHyperlink">
    <w:name w:val="FollowedHyperlink"/>
    <w:uiPriority w:val="99"/>
    <w:semiHidden/>
    <w:unhideWhenUsed/>
    <w:rsid w:val="00432569"/>
    <w:rPr>
      <w:color w:val="954F72"/>
      <w:u w:val="single"/>
    </w:rPr>
  </w:style>
  <w:style w:type="paragraph" w:customStyle="1" w:styleId="xmsonormal">
    <w:name w:val="x_msonormal"/>
    <w:basedOn w:val="Normal"/>
    <w:rsid w:val="00EC68BF"/>
    <w:pPr>
      <w:widowControl/>
    </w:pPr>
    <w:rPr>
      <w:rFonts w:ascii="Calibri" w:hAnsi="Calibri" w:eastAsiaTheme="minorHAnsi" w:cs="Calibri"/>
      <w:snapToGrid/>
      <w:kern w:val="0"/>
      <w:szCs w:val="22"/>
    </w:rPr>
  </w:style>
  <w:style w:type="character" w:customStyle="1" w:styleId="UnresolvedMention2">
    <w:name w:val="Unresolved Mention2"/>
    <w:basedOn w:val="DefaultParagraphFont"/>
    <w:uiPriority w:val="99"/>
    <w:rsid w:val="003169D5"/>
    <w:rPr>
      <w:color w:val="605E5C"/>
      <w:shd w:val="clear" w:color="auto" w:fill="E1DFDD"/>
    </w:rPr>
  </w:style>
  <w:style w:type="character" w:customStyle="1" w:styleId="UnresolvedMention3">
    <w:name w:val="Unresolved Mention3"/>
    <w:basedOn w:val="DefaultParagraphFont"/>
    <w:uiPriority w:val="99"/>
    <w:rsid w:val="00F70890"/>
    <w:rPr>
      <w:color w:val="605E5C"/>
      <w:shd w:val="clear" w:color="auto" w:fill="E1DFDD"/>
    </w:rPr>
  </w:style>
  <w:style w:type="character" w:customStyle="1" w:styleId="markedcontent">
    <w:name w:val="markedcontent"/>
    <w:basedOn w:val="DefaultParagraphFont"/>
    <w:rsid w:val="009D31FB"/>
  </w:style>
  <w:style w:type="character" w:customStyle="1" w:styleId="UnresolvedMention">
    <w:name w:val="Unresolved Mention"/>
    <w:basedOn w:val="DefaultParagraphFont"/>
    <w:uiPriority w:val="99"/>
    <w:rsid w:val="00E148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file:///C:\Users\Terri.Natoli\AppData\Local\Microsoft\Windows\INetCache\Content.Outlook\8RUJALL2\hcinfo@usac.org"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