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0685" w:rsidRPr="00854B58" w:rsidP="009B0685" w14:paraId="60FD8004" w14:textId="77777777">
      <w:pPr>
        <w:jc w:val="right"/>
        <w:rPr>
          <w:b/>
          <w:sz w:val="24"/>
        </w:rPr>
      </w:pPr>
      <w:r>
        <w:rPr>
          <w:b/>
          <w:sz w:val="24"/>
        </w:rPr>
        <w:t>DA 22-39</w:t>
      </w:r>
    </w:p>
    <w:p w:rsidR="009B0685" w:rsidRPr="00854B58" w:rsidP="009B0685" w14:paraId="5EE863AF" w14:textId="77777777">
      <w:pPr>
        <w:spacing w:before="60"/>
        <w:jc w:val="right"/>
        <w:rPr>
          <w:b/>
          <w:sz w:val="24"/>
        </w:rPr>
      </w:pPr>
      <w:r>
        <w:rPr>
          <w:b/>
          <w:sz w:val="24"/>
        </w:rPr>
        <w:t>January 14, 2022</w:t>
      </w:r>
    </w:p>
    <w:p w:rsidR="00C82B6B" w:rsidRPr="00854B58" w:rsidP="00C82B6B" w14:paraId="498B5460" w14:textId="77777777">
      <w:pPr>
        <w:jc w:val="right"/>
        <w:rPr>
          <w:b/>
          <w:sz w:val="24"/>
        </w:rPr>
      </w:pPr>
    </w:p>
    <w:p w:rsidR="009B0685" w:rsidRPr="00933D80" w:rsidP="009B0685" w14:paraId="63471A66" w14:textId="77777777">
      <w:pPr>
        <w:spacing w:after="240"/>
        <w:jc w:val="center"/>
        <w:rPr>
          <w:b/>
          <w:szCs w:val="22"/>
        </w:rPr>
      </w:pPr>
      <w:r w:rsidRPr="00933D80">
        <w:rPr>
          <w:b/>
          <w:szCs w:val="22"/>
        </w:rPr>
        <w:t xml:space="preserve">AUCTION OF </w:t>
      </w:r>
      <w:r>
        <w:rPr>
          <w:b/>
          <w:szCs w:val="22"/>
        </w:rPr>
        <w:t>FLEXIBLE-USE SERVICE</w:t>
      </w:r>
      <w:r w:rsidRPr="00933D80">
        <w:rPr>
          <w:b/>
          <w:szCs w:val="22"/>
        </w:rPr>
        <w:t xml:space="preserve"> LICENSES IN THE </w:t>
      </w:r>
      <w:r>
        <w:rPr>
          <w:b/>
          <w:szCs w:val="22"/>
        </w:rPr>
        <w:t>3.45</w:t>
      </w:r>
      <w:r w:rsidRPr="00835F1F">
        <w:rPr>
          <w:b/>
          <w:bCs/>
        </w:rPr>
        <w:t>–</w:t>
      </w:r>
      <w:r w:rsidRPr="00D90337">
        <w:rPr>
          <w:b/>
          <w:bCs/>
        </w:rPr>
        <w:t>3</w:t>
      </w:r>
      <w:r w:rsidRPr="002862F2">
        <w:rPr>
          <w:b/>
          <w:bCs/>
          <w:szCs w:val="22"/>
        </w:rPr>
        <w:t>.</w:t>
      </w:r>
      <w:r>
        <w:rPr>
          <w:b/>
          <w:bCs/>
          <w:szCs w:val="22"/>
        </w:rPr>
        <w:t>55</w:t>
      </w:r>
      <w:r>
        <w:rPr>
          <w:b/>
          <w:szCs w:val="22"/>
        </w:rPr>
        <w:t xml:space="preserve"> GHz </w:t>
      </w:r>
      <w:r w:rsidRPr="00933D80">
        <w:rPr>
          <w:b/>
          <w:szCs w:val="22"/>
        </w:rPr>
        <w:t>BAND CLOSES</w:t>
      </w:r>
    </w:p>
    <w:p w:rsidR="009B0685" w:rsidRPr="00933D80" w:rsidP="009B0685" w14:paraId="5F4B97BC" w14:textId="77777777">
      <w:pPr>
        <w:spacing w:after="240"/>
        <w:jc w:val="center"/>
        <w:rPr>
          <w:b/>
          <w:szCs w:val="22"/>
        </w:rPr>
      </w:pPr>
      <w:r w:rsidRPr="00933D80">
        <w:rPr>
          <w:b/>
          <w:szCs w:val="22"/>
        </w:rPr>
        <w:t>WINNING BIDDERS ANNOUNCED FOR AUCTION 1</w:t>
      </w:r>
      <w:r>
        <w:rPr>
          <w:b/>
          <w:szCs w:val="22"/>
        </w:rPr>
        <w:t>1</w:t>
      </w:r>
      <w:r w:rsidRPr="00933D80">
        <w:rPr>
          <w:b/>
          <w:szCs w:val="22"/>
        </w:rPr>
        <w:t>0</w:t>
      </w:r>
    </w:p>
    <w:p w:rsidR="009B0685" w:rsidRPr="00933D80" w:rsidP="009B0685" w14:paraId="55844617" w14:textId="77777777">
      <w:pPr>
        <w:jc w:val="center"/>
        <w:rPr>
          <w:b/>
        </w:rPr>
      </w:pPr>
      <w:r w:rsidRPr="00933D80">
        <w:rPr>
          <w:b/>
        </w:rPr>
        <w:t xml:space="preserve">Down Payments Due </w:t>
      </w:r>
      <w:r>
        <w:rPr>
          <w:b/>
        </w:rPr>
        <w:t>January 31</w:t>
      </w:r>
      <w:r w:rsidRPr="00933D80">
        <w:rPr>
          <w:b/>
        </w:rPr>
        <w:t xml:space="preserve">, </w:t>
      </w:r>
      <w:r>
        <w:rPr>
          <w:b/>
        </w:rPr>
        <w:t>2022</w:t>
      </w:r>
    </w:p>
    <w:p w:rsidR="009B0685" w:rsidRPr="00933D80" w:rsidP="009B0685" w14:paraId="4E81D47E" w14:textId="77777777">
      <w:pPr>
        <w:jc w:val="center"/>
        <w:rPr>
          <w:b/>
        </w:rPr>
      </w:pPr>
      <w:r w:rsidRPr="00933D80">
        <w:rPr>
          <w:b/>
        </w:rPr>
        <w:t xml:space="preserve">FCC Forms 601 and 602 Due </w:t>
      </w:r>
      <w:r>
        <w:rPr>
          <w:b/>
        </w:rPr>
        <w:t>January 31, 2022</w:t>
      </w:r>
    </w:p>
    <w:p w:rsidR="009B0685" w:rsidRPr="00933D80" w:rsidP="009B0685" w14:paraId="65C1D471" w14:textId="77777777">
      <w:pPr>
        <w:spacing w:after="240"/>
        <w:jc w:val="center"/>
      </w:pPr>
      <w:r w:rsidRPr="00933D80">
        <w:rPr>
          <w:b/>
        </w:rPr>
        <w:t xml:space="preserve">Final Payments Due </w:t>
      </w:r>
      <w:r>
        <w:rPr>
          <w:b/>
        </w:rPr>
        <w:t>February 14, 2022</w:t>
      </w:r>
    </w:p>
    <w:p w:rsidR="009B0685" w:rsidP="009B0685" w14:paraId="57FFD7C1" w14:textId="77777777">
      <w:pPr>
        <w:jc w:val="center"/>
        <w:rPr>
          <w:b/>
          <w:sz w:val="24"/>
        </w:rPr>
      </w:pPr>
      <w:r w:rsidRPr="00933D80">
        <w:rPr>
          <w:b/>
          <w:szCs w:val="22"/>
        </w:rPr>
        <w:t xml:space="preserve">AU Docket No. </w:t>
      </w:r>
      <w:r>
        <w:rPr>
          <w:b/>
          <w:szCs w:val="22"/>
        </w:rPr>
        <w:t>21-62</w:t>
      </w:r>
    </w:p>
    <w:p w:rsidR="00C82B6B" w:rsidP="00C82B6B" w14:paraId="138A75B4" w14:textId="77777777">
      <w:pPr>
        <w:jc w:val="center"/>
        <w:rPr>
          <w:sz w:val="24"/>
        </w:rPr>
      </w:pPr>
    </w:p>
    <w:p w:rsidR="009B0685" w:rsidRPr="00933D80" w:rsidP="009B0685" w14:paraId="53806E3F" w14:textId="77777777">
      <w:pPr>
        <w:pStyle w:val="Heading1"/>
        <w:widowControl/>
      </w:pPr>
      <w:r w:rsidRPr="00933D80">
        <w:t>INTRODUCTION</w:t>
      </w:r>
    </w:p>
    <w:p w:rsidR="009B0685" w:rsidRPr="00933D80" w:rsidP="009B0685" w14:paraId="01123A5C" w14:textId="77777777">
      <w:pPr>
        <w:pStyle w:val="ParaNum"/>
        <w:widowControl/>
      </w:pPr>
      <w:r w:rsidRPr="00933D80">
        <w:t xml:space="preserve">On </w:t>
      </w:r>
      <w:r>
        <w:t>January 4, 2022</w:t>
      </w:r>
      <w:r w:rsidRPr="00933D80">
        <w:t>, bidding in Auction 1</w:t>
      </w:r>
      <w:r>
        <w:t>1</w:t>
      </w:r>
      <w:r w:rsidRPr="00933D80">
        <w:t xml:space="preserve">0—the auction of </w:t>
      </w:r>
      <w:r>
        <w:t>new flexible-use licenses in the 3.45–3.55 GHz band</w:t>
      </w:r>
      <w:r w:rsidRPr="00933D80">
        <w:t>—</w:t>
      </w:r>
      <w:r>
        <w:t>concluded following the close of bidding in the assignment phase</w:t>
      </w:r>
      <w:r w:rsidRPr="00933D80">
        <w:t>.</w:t>
      </w:r>
      <w:r>
        <w:rPr>
          <w:rStyle w:val="FootnoteReference"/>
        </w:rPr>
        <w:footnoteReference w:id="3"/>
      </w:r>
      <w:r w:rsidRPr="00933D80">
        <w:t xml:space="preserve">  </w:t>
      </w:r>
      <w:bookmarkStart w:id="0" w:name="_Hlk532380198"/>
      <w:r w:rsidRPr="00933D80">
        <w:t>Auction 1</w:t>
      </w:r>
      <w:r>
        <w:t>1</w:t>
      </w:r>
      <w:r w:rsidRPr="00933D80">
        <w:t xml:space="preserve">0 raised a total of $22,418,284,236 in net bids </w:t>
      </w:r>
      <w:r>
        <w:t xml:space="preserve">and </w:t>
      </w:r>
      <w:r w:rsidRPr="00933D80">
        <w:t>$</w:t>
      </w:r>
      <w:r>
        <w:t>22,513,601,811</w:t>
      </w:r>
      <w:r w:rsidRPr="00933D80">
        <w:t xml:space="preserve"> </w:t>
      </w:r>
      <w:r w:rsidRPr="00933D80">
        <w:t xml:space="preserve">in gross bids, with </w:t>
      </w:r>
      <w:r>
        <w:t>23</w:t>
      </w:r>
      <w:r w:rsidRPr="00933D80">
        <w:t xml:space="preserve"> bidders winning a total of </w:t>
      </w:r>
      <w:r>
        <w:t>4,041</w:t>
      </w:r>
      <w:r w:rsidRPr="00933D80">
        <w:t xml:space="preserve"> licenses.</w:t>
      </w:r>
      <w:r>
        <w:rPr>
          <w:vertAlign w:val="superscript"/>
        </w:rPr>
        <w:footnoteReference w:id="4"/>
      </w:r>
      <w:r w:rsidRPr="00933D80">
        <w:t xml:space="preserve"> </w:t>
      </w:r>
    </w:p>
    <w:p w:rsidR="009B0685" w:rsidRPr="00933D80" w:rsidP="009B0685" w14:paraId="33559C3C" w14:textId="77777777">
      <w:pPr>
        <w:pStyle w:val="ParaNum"/>
        <w:widowControl/>
      </w:pPr>
      <w:bookmarkStart w:id="1" w:name="_Hlk4423112"/>
      <w:r w:rsidRPr="00933D80">
        <w:t>By</w:t>
      </w:r>
      <w:r w:rsidRPr="00933D80">
        <w:rPr>
          <w:szCs w:val="22"/>
        </w:rPr>
        <w:t xml:space="preserve"> </w:t>
      </w:r>
      <w:r w:rsidRPr="00933D80">
        <w:t>this</w:t>
      </w:r>
      <w:r w:rsidRPr="00933D80">
        <w:rPr>
          <w:szCs w:val="22"/>
        </w:rPr>
        <w:t xml:space="preserve"> Public Notice</w:t>
      </w:r>
      <w:r w:rsidRPr="00933D80">
        <w:rPr>
          <w:i/>
          <w:szCs w:val="22"/>
        </w:rPr>
        <w:t xml:space="preserve">, </w:t>
      </w:r>
      <w:r w:rsidRPr="00933D80">
        <w:rPr>
          <w:szCs w:val="22"/>
        </w:rPr>
        <w:t>the Office of Economics and Analytics (OEA) and the Wireless Telecommunications Bureau (WTB) announce the results of Auction 1</w:t>
      </w:r>
      <w:r>
        <w:rPr>
          <w:szCs w:val="22"/>
        </w:rPr>
        <w:t>1</w:t>
      </w:r>
      <w:r w:rsidRPr="00933D80">
        <w:rPr>
          <w:szCs w:val="22"/>
        </w:rPr>
        <w:t xml:space="preserve">0.  This Public Notice </w:t>
      </w:r>
      <w:bookmarkStart w:id="2" w:name="_Hlk4423443"/>
      <w:bookmarkEnd w:id="0"/>
      <w:bookmarkEnd w:id="1"/>
      <w:r w:rsidRPr="00933D80">
        <w:t>specifies deadlines for payments and the filing of long-form applications and gives details for other post-auction procedures.</w:t>
      </w:r>
      <w:bookmarkEnd w:id="2"/>
      <w:r>
        <w:rPr>
          <w:rStyle w:val="FootnoteReference"/>
        </w:rPr>
        <w:footnoteReference w:id="5"/>
      </w:r>
    </w:p>
    <w:p w:rsidR="009B0685" w:rsidRPr="003D2EDE" w:rsidP="009B0685" w14:paraId="76578834" w14:textId="77777777">
      <w:pPr>
        <w:pStyle w:val="ParaNum"/>
        <w:widowControl/>
      </w:pPr>
      <w:r>
        <w:t xml:space="preserve">This Public Notice also reminds parties that signed the </w:t>
      </w:r>
      <w:r w:rsidRPr="006753F7">
        <w:rPr>
          <w:i/>
          <w:iCs/>
        </w:rPr>
        <w:t>Auction 110 Protective Order</w:t>
      </w:r>
      <w:r>
        <w:t xml:space="preserve"> and thereby obtained Department of Defense Controlled Unclassified Information (DoD CUI) of their </w:t>
      </w:r>
      <w:r>
        <w:t xml:space="preserve">obligation to destroy any DoD CUI </w:t>
      </w:r>
      <w:r w:rsidRPr="00D350D6">
        <w:t xml:space="preserve">and announces the deadline for the submission of required certifications confirming the destruction of any </w:t>
      </w:r>
      <w:r>
        <w:t xml:space="preserve">DoD </w:t>
      </w:r>
      <w:r w:rsidRPr="00D350D6">
        <w:t>CUI</w:t>
      </w:r>
      <w:r>
        <w:t>.</w:t>
      </w:r>
      <w:r>
        <w:rPr>
          <w:rStyle w:val="FootnoteReference"/>
        </w:rPr>
        <w:footnoteReference w:id="6"/>
      </w:r>
    </w:p>
    <w:p w:rsidR="009B0685" w:rsidRPr="00933D80" w:rsidP="009B0685" w14:paraId="17113981" w14:textId="77777777">
      <w:pPr>
        <w:pStyle w:val="Heading1"/>
        <w:widowControl/>
      </w:pPr>
      <w:r w:rsidRPr="00933D80">
        <w:t>AUCTION 1</w:t>
      </w:r>
      <w:r>
        <w:t>1</w:t>
      </w:r>
      <w:r w:rsidRPr="00933D80">
        <w:t>0 RESULTS AND PAYMENTS</w:t>
      </w:r>
    </w:p>
    <w:p w:rsidR="009B0685" w:rsidRPr="00933D80" w:rsidP="009B0685" w14:paraId="0AD7B673" w14:textId="77777777">
      <w:pPr>
        <w:pStyle w:val="ParaNum"/>
        <w:widowControl/>
      </w:pPr>
      <w:r w:rsidRPr="00933D80">
        <w:t>This</w:t>
      </w:r>
      <w:r w:rsidRPr="00933D80">
        <w:rPr>
          <w:szCs w:val="22"/>
        </w:rPr>
        <w:t xml:space="preserve"> Public Notice provides auction result summaries and related payment information in </w:t>
      </w:r>
      <w:r w:rsidRPr="003D2EDE">
        <w:t>Attachments</w:t>
      </w:r>
      <w:r w:rsidRPr="00933D80">
        <w:rPr>
          <w:szCs w:val="22"/>
        </w:rPr>
        <w:t xml:space="preserve"> A and B.  Attachment A summarizes auction results for each bidder.  Attachment B lists, for each bidder, information about the bidder’s upfront payment and post-auction payments or refund, as applicable.  </w:t>
      </w:r>
    </w:p>
    <w:p w:rsidR="009B0685" w:rsidRPr="00933D80" w:rsidP="009B0685" w14:paraId="107F102E" w14:textId="77777777">
      <w:pPr>
        <w:pStyle w:val="Heading2"/>
        <w:widowControl/>
      </w:pPr>
      <w:r w:rsidRPr="00933D80">
        <w:t xml:space="preserve">Summary of Auction Results by Bidder </w:t>
      </w:r>
    </w:p>
    <w:p w:rsidR="009B0685" w:rsidRPr="00933D80" w:rsidP="009B0685" w14:paraId="759C633D" w14:textId="77777777">
      <w:pPr>
        <w:pStyle w:val="ParaNum"/>
        <w:widowControl/>
        <w:rPr>
          <w:szCs w:val="22"/>
        </w:rPr>
      </w:pPr>
      <w:r>
        <w:rPr>
          <w:szCs w:val="22"/>
        </w:rPr>
        <w:t xml:space="preserve">The Bidder Summary attachment, </w:t>
      </w:r>
      <w:r w:rsidRPr="00933D80">
        <w:rPr>
          <w:szCs w:val="22"/>
        </w:rPr>
        <w:t>Attachment A to this Public Notice</w:t>
      </w:r>
      <w:r>
        <w:rPr>
          <w:szCs w:val="22"/>
        </w:rPr>
        <w:t>,</w:t>
      </w:r>
      <w:r w:rsidRPr="00933D80">
        <w:rPr>
          <w:szCs w:val="22"/>
        </w:rPr>
        <w:t xml:space="preserve"> lists each qualified bidder and </w:t>
      </w:r>
      <w:r w:rsidRPr="003D2EDE">
        <w:t>summarizes</w:t>
      </w:r>
      <w:r w:rsidRPr="00933D80">
        <w:rPr>
          <w:szCs w:val="22"/>
        </w:rPr>
        <w:t xml:space="preserve"> each bidder’s auction results.  For each bidder, Attachment A provides the following information:</w:t>
      </w:r>
    </w:p>
    <w:p w:rsidR="009B0685" w:rsidRPr="00933D80" w:rsidP="009B0685" w14:paraId="0B9813A6" w14:textId="77777777">
      <w:pPr>
        <w:widowControl/>
        <w:numPr>
          <w:ilvl w:val="0"/>
          <w:numId w:val="7"/>
        </w:numPr>
        <w:spacing w:after="120"/>
        <w:ind w:left="1440"/>
        <w:rPr>
          <w:szCs w:val="22"/>
        </w:rPr>
      </w:pPr>
      <w:r w:rsidRPr="00933D80">
        <w:rPr>
          <w:szCs w:val="22"/>
        </w:rPr>
        <w:t xml:space="preserve">Bidder (the name of the </w:t>
      </w:r>
      <w:r w:rsidRPr="00933D80">
        <w:rPr>
          <w:szCs w:val="22"/>
        </w:rPr>
        <w:t xml:space="preserve">applicant </w:t>
      </w:r>
      <w:r>
        <w:rPr>
          <w:szCs w:val="22"/>
        </w:rPr>
        <w:t xml:space="preserve">qualified to bid </w:t>
      </w:r>
      <w:r w:rsidRPr="00933D80">
        <w:rPr>
          <w:szCs w:val="22"/>
        </w:rPr>
        <w:t>in Auction 1</w:t>
      </w:r>
      <w:r>
        <w:rPr>
          <w:szCs w:val="22"/>
        </w:rPr>
        <w:t>1</w:t>
      </w:r>
      <w:r w:rsidRPr="00933D80">
        <w:rPr>
          <w:szCs w:val="22"/>
        </w:rPr>
        <w:t>0</w:t>
      </w:r>
      <w:r w:rsidRPr="00933D80">
        <w:rPr>
          <w:szCs w:val="22"/>
        </w:rPr>
        <w:t>);</w:t>
      </w:r>
    </w:p>
    <w:p w:rsidR="009B0685" w:rsidRPr="00933D80" w:rsidP="009B0685" w14:paraId="64367DC7" w14:textId="77777777">
      <w:pPr>
        <w:widowControl/>
        <w:numPr>
          <w:ilvl w:val="0"/>
          <w:numId w:val="7"/>
        </w:numPr>
        <w:spacing w:after="120"/>
        <w:ind w:left="1440"/>
        <w:rPr>
          <w:szCs w:val="22"/>
        </w:rPr>
      </w:pPr>
      <w:r w:rsidRPr="00933D80">
        <w:rPr>
          <w:szCs w:val="22"/>
        </w:rPr>
        <w:t>FRN</w:t>
      </w:r>
      <w:r w:rsidRPr="00933D80">
        <w:rPr>
          <w:szCs w:val="22"/>
        </w:rPr>
        <w:t xml:space="preserve"> (bidder’s FCC Registration Number</w:t>
      </w:r>
      <w:r w:rsidRPr="00933D80">
        <w:rPr>
          <w:szCs w:val="22"/>
        </w:rPr>
        <w:t>);</w:t>
      </w:r>
    </w:p>
    <w:p w:rsidR="009B0685" w:rsidRPr="00933D80" w:rsidP="009B0685" w14:paraId="19841728" w14:textId="77777777">
      <w:pPr>
        <w:widowControl/>
        <w:numPr>
          <w:ilvl w:val="0"/>
          <w:numId w:val="7"/>
        </w:numPr>
        <w:spacing w:after="120"/>
        <w:ind w:left="1440"/>
        <w:rPr>
          <w:szCs w:val="22"/>
        </w:rPr>
      </w:pPr>
      <w:r w:rsidRPr="00933D80">
        <w:rPr>
          <w:szCs w:val="22"/>
        </w:rPr>
        <w:t>Bidding Credit Type (</w:t>
      </w:r>
      <w:r>
        <w:rPr>
          <w:szCs w:val="22"/>
        </w:rPr>
        <w:t xml:space="preserve">provided for any bidder that claimed a bidding credit </w:t>
      </w:r>
      <w:r w:rsidRPr="00933D80">
        <w:rPr>
          <w:szCs w:val="22"/>
        </w:rPr>
        <w:t>on its FCC Form 175—i.e., small business or rural service provider—and the associated bidding credit percentage</w:t>
      </w:r>
      <w:r w:rsidRPr="00933D80">
        <w:rPr>
          <w:szCs w:val="22"/>
        </w:rPr>
        <w:t>);</w:t>
      </w:r>
    </w:p>
    <w:p w:rsidR="009B0685" w:rsidRPr="00933D80" w:rsidP="009B0685" w14:paraId="7B792787" w14:textId="77777777">
      <w:pPr>
        <w:widowControl/>
        <w:numPr>
          <w:ilvl w:val="0"/>
          <w:numId w:val="7"/>
        </w:numPr>
        <w:spacing w:after="120"/>
        <w:ind w:left="1440"/>
        <w:rPr>
          <w:szCs w:val="22"/>
        </w:rPr>
      </w:pPr>
      <w:r w:rsidRPr="00933D80">
        <w:rPr>
          <w:szCs w:val="22"/>
        </w:rPr>
        <w:t>Number of Licenses Won (total number of licenses won by the bidder</w:t>
      </w:r>
      <w:r w:rsidRPr="00933D80">
        <w:rPr>
          <w:szCs w:val="22"/>
        </w:rPr>
        <w:t>);</w:t>
      </w:r>
    </w:p>
    <w:p w:rsidR="009B0685" w:rsidRPr="00933D80" w:rsidP="009B0685" w14:paraId="71EE699D" w14:textId="77777777">
      <w:pPr>
        <w:widowControl/>
        <w:numPr>
          <w:ilvl w:val="0"/>
          <w:numId w:val="7"/>
        </w:numPr>
        <w:spacing w:after="120"/>
        <w:ind w:left="1440"/>
        <w:rPr>
          <w:szCs w:val="22"/>
        </w:rPr>
      </w:pPr>
      <w:r w:rsidRPr="00933D80">
        <w:rPr>
          <w:szCs w:val="22"/>
        </w:rPr>
        <w:t xml:space="preserve">Number of </w:t>
      </w:r>
      <w:r>
        <w:rPr>
          <w:szCs w:val="22"/>
        </w:rPr>
        <w:t>PEAs</w:t>
      </w:r>
      <w:r w:rsidRPr="00933D80">
        <w:rPr>
          <w:szCs w:val="22"/>
        </w:rPr>
        <w:t xml:space="preserve"> (total number of </w:t>
      </w:r>
      <w:r>
        <w:rPr>
          <w:szCs w:val="22"/>
        </w:rPr>
        <w:t>Partial Economic Areas</w:t>
      </w:r>
      <w:r w:rsidRPr="00933D80">
        <w:rPr>
          <w:szCs w:val="22"/>
        </w:rPr>
        <w:t xml:space="preserve"> in which the bidder won licenses</w:t>
      </w:r>
      <w:r w:rsidRPr="00933D80">
        <w:rPr>
          <w:szCs w:val="22"/>
        </w:rPr>
        <w:t>);</w:t>
      </w:r>
    </w:p>
    <w:p w:rsidR="009B0685" w:rsidRPr="00933D80" w:rsidP="009B0685" w14:paraId="6256AABD" w14:textId="77777777">
      <w:pPr>
        <w:widowControl/>
        <w:numPr>
          <w:ilvl w:val="0"/>
          <w:numId w:val="7"/>
        </w:numPr>
        <w:spacing w:after="120"/>
        <w:ind w:left="1440"/>
        <w:rPr>
          <w:szCs w:val="22"/>
        </w:rPr>
      </w:pPr>
      <w:r w:rsidRPr="00933D80">
        <w:rPr>
          <w:szCs w:val="22"/>
        </w:rPr>
        <w:t>Gross Payment (aggregate amount of all winning bids by the bidder</w:t>
      </w:r>
      <w:r>
        <w:rPr>
          <w:szCs w:val="22"/>
        </w:rPr>
        <w:t>, including any assignment round payments</w:t>
      </w:r>
      <w:r w:rsidRPr="00933D80">
        <w:rPr>
          <w:szCs w:val="22"/>
        </w:rPr>
        <w:t>); and</w:t>
      </w:r>
    </w:p>
    <w:p w:rsidR="009B0685" w:rsidRPr="00933D80" w:rsidP="009B0685" w14:paraId="31E0F47F" w14:textId="77777777">
      <w:pPr>
        <w:widowControl/>
        <w:numPr>
          <w:ilvl w:val="0"/>
          <w:numId w:val="7"/>
        </w:numPr>
        <w:spacing w:after="120"/>
        <w:ind w:left="1440"/>
        <w:rPr>
          <w:szCs w:val="22"/>
        </w:rPr>
      </w:pPr>
      <w:r w:rsidRPr="00933D80">
        <w:rPr>
          <w:szCs w:val="22"/>
        </w:rPr>
        <w:t>Net Payment (gross payment less applicable discounts for any bidding credit claimed, subject to applicable caps, if any)</w:t>
      </w:r>
      <w:r>
        <w:rPr>
          <w:szCs w:val="22"/>
        </w:rPr>
        <w:t>.</w:t>
      </w:r>
    </w:p>
    <w:p w:rsidR="009B0685" w:rsidRPr="00933D80" w:rsidP="009B0685" w14:paraId="1E106BD4" w14:textId="77777777">
      <w:pPr>
        <w:pStyle w:val="Heading2"/>
        <w:widowControl/>
      </w:pPr>
      <w:r w:rsidRPr="00933D80">
        <w:t xml:space="preserve">Bidder Payments and Refunds </w:t>
      </w:r>
    </w:p>
    <w:p w:rsidR="009B0685" w:rsidRPr="00933D80" w:rsidP="009B0685" w14:paraId="770566A0" w14:textId="77777777">
      <w:pPr>
        <w:pStyle w:val="ParaNum"/>
        <w:widowControl/>
        <w:rPr>
          <w:szCs w:val="22"/>
        </w:rPr>
      </w:pPr>
      <w:r>
        <w:rPr>
          <w:szCs w:val="22"/>
        </w:rPr>
        <w:t xml:space="preserve">The Bidder Payment/Refund attachment, </w:t>
      </w:r>
      <w:r w:rsidRPr="00933D80">
        <w:rPr>
          <w:szCs w:val="22"/>
        </w:rPr>
        <w:t>Attachment B to this Public Notice</w:t>
      </w:r>
      <w:r>
        <w:rPr>
          <w:szCs w:val="22"/>
        </w:rPr>
        <w:t>,</w:t>
      </w:r>
      <w:r w:rsidRPr="00933D80">
        <w:rPr>
          <w:szCs w:val="22"/>
        </w:rPr>
        <w:t xml:space="preserve"> lists each qualified bidder and summarizes each bidder’s upfront payment and post-auction payments or refund.  Specifically, for each bidder, Attachment B provides the following information: </w:t>
      </w:r>
    </w:p>
    <w:p w:rsidR="009B0685" w:rsidRPr="00933D80" w:rsidP="009B0685" w14:paraId="253EF453" w14:textId="77777777">
      <w:pPr>
        <w:widowControl/>
        <w:numPr>
          <w:ilvl w:val="0"/>
          <w:numId w:val="7"/>
        </w:numPr>
        <w:spacing w:after="120"/>
        <w:ind w:left="1440"/>
        <w:rPr>
          <w:szCs w:val="22"/>
        </w:rPr>
      </w:pPr>
      <w:r w:rsidRPr="00933D80">
        <w:rPr>
          <w:szCs w:val="22"/>
        </w:rPr>
        <w:t xml:space="preserve">Bidder (the name of the </w:t>
      </w:r>
      <w:r>
        <w:rPr>
          <w:szCs w:val="22"/>
        </w:rPr>
        <w:t xml:space="preserve">applicant qualified to bid </w:t>
      </w:r>
      <w:r w:rsidRPr="00933D80">
        <w:rPr>
          <w:szCs w:val="22"/>
        </w:rPr>
        <w:t>in Auction 1</w:t>
      </w:r>
      <w:r>
        <w:rPr>
          <w:szCs w:val="22"/>
        </w:rPr>
        <w:t>1</w:t>
      </w:r>
      <w:r w:rsidRPr="00933D80">
        <w:rPr>
          <w:szCs w:val="22"/>
        </w:rPr>
        <w:t>0</w:t>
      </w:r>
      <w:r w:rsidRPr="00933D80">
        <w:rPr>
          <w:szCs w:val="22"/>
        </w:rPr>
        <w:t>);</w:t>
      </w:r>
    </w:p>
    <w:p w:rsidR="009B0685" w:rsidRPr="00933D80" w:rsidP="009B0685" w14:paraId="7B2FD2B7" w14:textId="77777777">
      <w:pPr>
        <w:widowControl/>
        <w:numPr>
          <w:ilvl w:val="0"/>
          <w:numId w:val="7"/>
        </w:numPr>
        <w:spacing w:after="120"/>
        <w:ind w:left="1440"/>
        <w:rPr>
          <w:szCs w:val="22"/>
        </w:rPr>
      </w:pPr>
      <w:r w:rsidRPr="00933D80">
        <w:rPr>
          <w:szCs w:val="22"/>
        </w:rPr>
        <w:t>FRN</w:t>
      </w:r>
      <w:r w:rsidRPr="00933D80">
        <w:rPr>
          <w:szCs w:val="22"/>
        </w:rPr>
        <w:t xml:space="preserve"> (bidder’s FCC Registration Number</w:t>
      </w:r>
      <w:r w:rsidRPr="00933D80">
        <w:rPr>
          <w:szCs w:val="22"/>
        </w:rPr>
        <w:t>);</w:t>
      </w:r>
    </w:p>
    <w:p w:rsidR="009B0685" w:rsidRPr="00933D80" w:rsidP="009B0685" w14:paraId="74B3AA04" w14:textId="77777777">
      <w:pPr>
        <w:widowControl/>
        <w:numPr>
          <w:ilvl w:val="0"/>
          <w:numId w:val="7"/>
        </w:numPr>
        <w:spacing w:after="120"/>
        <w:ind w:left="1440"/>
        <w:rPr>
          <w:szCs w:val="22"/>
        </w:rPr>
      </w:pPr>
      <w:r w:rsidRPr="00933D80">
        <w:rPr>
          <w:szCs w:val="22"/>
        </w:rPr>
        <w:t xml:space="preserve">Upfront Payment </w:t>
      </w:r>
      <w:r w:rsidRPr="00933D80">
        <w:rPr>
          <w:szCs w:val="22"/>
        </w:rPr>
        <w:t>Amount;</w:t>
      </w:r>
      <w:r w:rsidRPr="00933D80">
        <w:rPr>
          <w:szCs w:val="22"/>
        </w:rPr>
        <w:t xml:space="preserve"> </w:t>
      </w:r>
    </w:p>
    <w:p w:rsidR="009B0685" w:rsidRPr="00933D80" w:rsidP="009B0685" w14:paraId="2B8E5F41" w14:textId="77777777">
      <w:pPr>
        <w:widowControl/>
        <w:numPr>
          <w:ilvl w:val="0"/>
          <w:numId w:val="7"/>
        </w:numPr>
        <w:spacing w:after="120"/>
        <w:ind w:left="1440"/>
        <w:rPr>
          <w:szCs w:val="22"/>
        </w:rPr>
      </w:pPr>
      <w:r w:rsidRPr="00933D80">
        <w:rPr>
          <w:szCs w:val="22"/>
        </w:rPr>
        <w:t>Net Payment (Total) (gross payment amount for all winning bids by the bidder less applicable discounts for any bidding credit claimed, subject to applicable caps, if any</w:t>
      </w:r>
      <w:r w:rsidRPr="00933D80">
        <w:rPr>
          <w:szCs w:val="22"/>
        </w:rPr>
        <w:t>);</w:t>
      </w:r>
    </w:p>
    <w:p w:rsidR="009B0685" w:rsidRPr="00933D80" w:rsidP="009B0685" w14:paraId="0FE90793" w14:textId="77777777">
      <w:pPr>
        <w:widowControl/>
        <w:numPr>
          <w:ilvl w:val="0"/>
          <w:numId w:val="7"/>
        </w:numPr>
        <w:spacing w:after="120"/>
        <w:ind w:left="1440"/>
        <w:rPr>
          <w:szCs w:val="22"/>
        </w:rPr>
      </w:pPr>
      <w:r w:rsidRPr="00933D80">
        <w:rPr>
          <w:szCs w:val="22"/>
        </w:rPr>
        <w:t>Down Payment Amount (20% of Net Payment</w:t>
      </w:r>
      <w:r>
        <w:rPr>
          <w:szCs w:val="22"/>
        </w:rPr>
        <w:t>)</w:t>
      </w:r>
      <w:r w:rsidRPr="00933D80">
        <w:rPr>
          <w:szCs w:val="22"/>
        </w:rPr>
        <w:t>;</w:t>
      </w:r>
    </w:p>
    <w:p w:rsidR="009B0685" w:rsidRPr="00933D80" w:rsidP="009B0685" w14:paraId="79D44666" w14:textId="77777777">
      <w:pPr>
        <w:widowControl/>
        <w:numPr>
          <w:ilvl w:val="0"/>
          <w:numId w:val="7"/>
        </w:numPr>
        <w:spacing w:after="120"/>
        <w:ind w:left="1440"/>
      </w:pPr>
      <w:r w:rsidRPr="00933D80">
        <w:t>Additional Amount Due for Down Payment After Upfront Payment Applied</w:t>
      </w:r>
      <w:r>
        <w:rPr>
          <w:rFonts w:cs="Calibri"/>
        </w:rPr>
        <w:t xml:space="preserve"> - </w:t>
      </w:r>
      <w:r w:rsidRPr="00933D80">
        <w:t xml:space="preserve">Due by </w:t>
      </w:r>
      <w:r>
        <w:t>January 31, 2022</w:t>
      </w:r>
      <w:r w:rsidRPr="00933D80">
        <w:t xml:space="preserve"> (down payment less upfront payment, with a minimum value of $0</w:t>
      </w:r>
      <w:r w:rsidRPr="00933D80">
        <w:t>);</w:t>
      </w:r>
    </w:p>
    <w:p w:rsidR="009B0685" w:rsidRPr="00933D80" w:rsidP="009B0685" w14:paraId="5F9DB981" w14:textId="77777777">
      <w:pPr>
        <w:widowControl/>
        <w:numPr>
          <w:ilvl w:val="0"/>
          <w:numId w:val="7"/>
        </w:numPr>
        <w:spacing w:after="120"/>
        <w:ind w:left="1440"/>
        <w:rPr>
          <w:szCs w:val="22"/>
        </w:rPr>
      </w:pPr>
      <w:r w:rsidRPr="00933D80">
        <w:rPr>
          <w:szCs w:val="22"/>
        </w:rPr>
        <w:t>Final Payment Amount (80% of Net Payment</w:t>
      </w:r>
      <w:r>
        <w:rPr>
          <w:szCs w:val="22"/>
        </w:rPr>
        <w:t>)</w:t>
      </w:r>
      <w:r w:rsidRPr="00933D80">
        <w:rPr>
          <w:szCs w:val="22"/>
        </w:rPr>
        <w:t>; and</w:t>
      </w:r>
    </w:p>
    <w:p w:rsidR="009B0685" w:rsidRPr="00933D80" w:rsidP="009B0685" w14:paraId="40E26CD8" w14:textId="77777777">
      <w:pPr>
        <w:widowControl/>
        <w:numPr>
          <w:ilvl w:val="0"/>
          <w:numId w:val="7"/>
        </w:numPr>
        <w:spacing w:after="120"/>
        <w:ind w:left="1440"/>
      </w:pPr>
      <w:r w:rsidRPr="00933D80">
        <w:t xml:space="preserve">Final Balance Due by </w:t>
      </w:r>
      <w:r>
        <w:t>February 14, 2022</w:t>
      </w:r>
      <w:r w:rsidRPr="00933D80">
        <w:t xml:space="preserve"> or (Refund) (the Net Payment, minus the Upfront Payment Amount and any Additional Amount Due for Down Payment After Upfront Payment Applied)</w:t>
      </w:r>
      <w:r>
        <w:t>.</w:t>
      </w:r>
      <w:r>
        <w:rPr>
          <w:vertAlign w:val="superscript"/>
        </w:rPr>
        <w:footnoteReference w:id="7"/>
      </w:r>
    </w:p>
    <w:p w:rsidR="009B0685" w:rsidRPr="00933D80" w:rsidP="009B0685" w14:paraId="49767249" w14:textId="77777777">
      <w:pPr>
        <w:pStyle w:val="Heading2"/>
        <w:widowControl/>
      </w:pPr>
      <w:r w:rsidRPr="00933D80">
        <w:t>Results by License</w:t>
      </w:r>
    </w:p>
    <w:p w:rsidR="009B0685" w:rsidRPr="00933D80" w:rsidP="009B0685" w14:paraId="600B2FDC" w14:textId="77777777">
      <w:pPr>
        <w:pStyle w:val="ParaNum"/>
        <w:widowControl/>
        <w:rPr>
          <w:szCs w:val="22"/>
        </w:rPr>
      </w:pPr>
      <w:r w:rsidRPr="00933D80">
        <w:rPr>
          <w:szCs w:val="22"/>
        </w:rPr>
        <w:t xml:space="preserve">Concurrent with the release of this Public Notice, the Commission makes available in the </w:t>
      </w:r>
      <w:hyperlink r:id="rId5" w:history="1">
        <w:r w:rsidRPr="000A6989">
          <w:rPr>
            <w:rStyle w:val="Hyperlink"/>
            <w:szCs w:val="22"/>
          </w:rPr>
          <w:t>Public Reporting System</w:t>
        </w:r>
      </w:hyperlink>
      <w:r w:rsidRPr="00933D80">
        <w:rPr>
          <w:szCs w:val="22"/>
        </w:rPr>
        <w:t xml:space="preserve"> (PRS) results information for each license won in Auction 1</w:t>
      </w:r>
      <w:r>
        <w:rPr>
          <w:szCs w:val="22"/>
        </w:rPr>
        <w:t>1</w:t>
      </w:r>
      <w:r w:rsidRPr="00933D80">
        <w:rPr>
          <w:szCs w:val="22"/>
        </w:rPr>
        <w:t>0.  This informati</w:t>
      </w:r>
      <w:r w:rsidRPr="00637F0A">
        <w:rPr>
          <w:szCs w:val="22"/>
        </w:rPr>
        <w:t>on includes the price for the license as calculated by the auction system (gross and net),</w:t>
      </w:r>
      <w:r w:rsidRPr="00933D80">
        <w:rPr>
          <w:szCs w:val="22"/>
        </w:rPr>
        <w:t xml:space="preserve"> the </w:t>
      </w:r>
      <w:r w:rsidRPr="003D2EDE">
        <w:t>PEA</w:t>
      </w:r>
      <w:r>
        <w:rPr>
          <w:szCs w:val="22"/>
        </w:rPr>
        <w:t xml:space="preserve"> </w:t>
      </w:r>
      <w:r w:rsidRPr="00933D80">
        <w:rPr>
          <w:szCs w:val="22"/>
        </w:rPr>
        <w:t xml:space="preserve">name and number, </w:t>
      </w:r>
      <w:r>
        <w:rPr>
          <w:szCs w:val="22"/>
        </w:rPr>
        <w:t xml:space="preserve">the frequency block of the license, </w:t>
      </w:r>
      <w:r w:rsidRPr="00933D80">
        <w:rPr>
          <w:szCs w:val="22"/>
        </w:rPr>
        <w:t>the name of the winning bidder, and the type and amount of any bidding credit claimed by the bidder.  This information may be viewed on screen or downloaded as a comma-separated values (CSV) file.</w:t>
      </w:r>
      <w:r>
        <w:rPr>
          <w:vertAlign w:val="superscript"/>
        </w:rPr>
        <w:footnoteReference w:id="8"/>
      </w:r>
    </w:p>
    <w:p w:rsidR="009B0685" w:rsidRPr="00933D80" w:rsidP="009B0685" w14:paraId="283806DB" w14:textId="77777777">
      <w:pPr>
        <w:pStyle w:val="ParaNum"/>
        <w:widowControl/>
      </w:pPr>
      <w:r w:rsidRPr="00213E71">
        <w:t>To calculate the net price, the bidding system will first apportion any applicable bidding credit discounts to each assignment phase market in proportion to the gross payment for that market.  Then, for each assignment phase market, the bidding system will apportion the assignment payment and the discount to licenses in proportion to the final clock phase prices of the licenses that the bidder is assigned for that market.</w:t>
      </w:r>
      <w:r w:rsidRPr="00933D80">
        <w:rPr>
          <w:szCs w:val="22"/>
        </w:rPr>
        <w:t xml:space="preserve"> </w:t>
      </w:r>
      <w:r>
        <w:rPr>
          <w:szCs w:val="22"/>
        </w:rPr>
        <w:t xml:space="preserve"> </w:t>
      </w:r>
      <w:r w:rsidRPr="00933D80">
        <w:rPr>
          <w:szCs w:val="22"/>
        </w:rPr>
        <w:t xml:space="preserve">Additional information about how per-license prices </w:t>
      </w:r>
      <w:r w:rsidRPr="00933D80">
        <w:rPr>
          <w:szCs w:val="22"/>
        </w:rPr>
        <w:t>are</w:t>
      </w:r>
      <w:r w:rsidRPr="00933D80">
        <w:rPr>
          <w:szCs w:val="22"/>
        </w:rPr>
        <w:t xml:space="preserve"> calculated is provided in the </w:t>
      </w:r>
      <w:r w:rsidRPr="00933D80">
        <w:rPr>
          <w:i/>
          <w:szCs w:val="22"/>
        </w:rPr>
        <w:t>Auction 1</w:t>
      </w:r>
      <w:r>
        <w:rPr>
          <w:i/>
          <w:szCs w:val="22"/>
        </w:rPr>
        <w:t>1</w:t>
      </w:r>
      <w:r w:rsidRPr="00933D80">
        <w:rPr>
          <w:i/>
          <w:szCs w:val="22"/>
        </w:rPr>
        <w:t xml:space="preserve">0 </w:t>
      </w:r>
      <w:r>
        <w:rPr>
          <w:i/>
          <w:szCs w:val="22"/>
        </w:rPr>
        <w:t xml:space="preserve">Assignment Phase </w:t>
      </w:r>
      <w:r w:rsidRPr="00933D80">
        <w:rPr>
          <w:i/>
          <w:szCs w:val="22"/>
        </w:rPr>
        <w:t>Technical Guide</w:t>
      </w:r>
      <w:r w:rsidRPr="00933D80">
        <w:rPr>
          <w:szCs w:val="22"/>
        </w:rPr>
        <w:t>,</w:t>
      </w:r>
      <w:r w:rsidRPr="00933D80">
        <w:rPr>
          <w:i/>
          <w:szCs w:val="22"/>
        </w:rPr>
        <w:t xml:space="preserve"> </w:t>
      </w:r>
      <w:r w:rsidRPr="00933D80">
        <w:t>available in the “Education” section of the Auction 1</w:t>
      </w:r>
      <w:r>
        <w:t>1</w:t>
      </w:r>
      <w:r w:rsidRPr="00933D80">
        <w:t>0 website (</w:t>
      </w:r>
      <w:hyperlink r:id="rId6" w:history="1">
        <w:r>
          <w:rPr>
            <w:color w:val="0000FF"/>
            <w:u w:val="single"/>
          </w:rPr>
          <w:t>www.fcc.gov/auction/110</w:t>
        </w:r>
      </w:hyperlink>
      <w:r w:rsidRPr="00933D80">
        <w:t>)</w:t>
      </w:r>
      <w:r w:rsidRPr="00933D80">
        <w:rPr>
          <w:szCs w:val="22"/>
        </w:rPr>
        <w:t>.</w:t>
      </w:r>
      <w:r w:rsidRPr="00933D80">
        <w:rPr>
          <w:sz w:val="16"/>
          <w:szCs w:val="16"/>
        </w:rPr>
        <w:t xml:space="preserve"> </w:t>
      </w:r>
    </w:p>
    <w:p w:rsidR="009B0685" w:rsidRPr="00933D80" w:rsidP="009B0685" w14:paraId="086BC3AC" w14:textId="77777777">
      <w:pPr>
        <w:pStyle w:val="Heading1"/>
        <w:widowControl/>
      </w:pPr>
      <w:r w:rsidRPr="00933D80">
        <w:t>POST-AUCTION DEADLINES AND PROCEDURES</w:t>
      </w:r>
    </w:p>
    <w:p w:rsidR="009B0685" w:rsidRPr="00933D80" w:rsidP="009B0685" w14:paraId="293E553C" w14:textId="77777777">
      <w:pPr>
        <w:pStyle w:val="Heading2"/>
        <w:widowControl/>
      </w:pPr>
      <w:r w:rsidRPr="00933D80">
        <w:t>Down Payments</w:t>
      </w:r>
      <w:r w:rsidRPr="00933D80">
        <w:rPr>
          <w:rFonts w:cs="Calibri"/>
        </w:rPr>
        <w:t>—</w:t>
      </w:r>
      <w:r w:rsidRPr="00933D80">
        <w:t xml:space="preserve">Due Before 6:00 p.m. ET on </w:t>
      </w:r>
      <w:r>
        <w:t>January 31, 2022</w:t>
      </w:r>
    </w:p>
    <w:p w:rsidR="009B0685" w:rsidRPr="00933D80" w:rsidP="009B0685" w14:paraId="575897AB" w14:textId="77777777">
      <w:pPr>
        <w:pStyle w:val="ParaNum"/>
        <w:widowControl/>
      </w:pPr>
      <w:r w:rsidRPr="00933D80">
        <w:t>The Commission’s rules require that</w:t>
      </w:r>
      <w:r>
        <w:t>, u</w:t>
      </w:r>
      <w:r w:rsidRPr="003545CA">
        <w:t xml:space="preserve">nless otherwise specified by public notice, within ten business days after being notified that it is a high bidder on a particular license(s), </w:t>
      </w:r>
      <w:r w:rsidRPr="00933D80">
        <w:t>each winning bidder in Auction 1</w:t>
      </w:r>
      <w:r>
        <w:t>1</w:t>
      </w:r>
      <w:r w:rsidRPr="00933D80">
        <w:t xml:space="preserve">0 </w:t>
      </w:r>
      <w:r w:rsidRPr="00E55E5F">
        <w:rPr>
          <w:color w:val="000000"/>
        </w:rPr>
        <w:t>must</w:t>
      </w:r>
      <w:r>
        <w:t xml:space="preserve"> </w:t>
      </w:r>
      <w:r w:rsidRPr="00933D80">
        <w:t>have on deposit with the Commission enough funds to cover the down payment on its winning bid(s)</w:t>
      </w:r>
      <w:r>
        <w:t>.</w:t>
      </w:r>
      <w:r>
        <w:rPr>
          <w:rStyle w:val="FootnoteReference"/>
        </w:rPr>
        <w:footnoteReference w:id="9"/>
      </w:r>
      <w:r>
        <w:t xml:space="preserve">  I</w:t>
      </w:r>
      <w:r w:rsidRPr="00933D80">
        <w:t>n this case</w:t>
      </w:r>
      <w:r>
        <w:t>, down payments must be submitted</w:t>
      </w:r>
      <w:r w:rsidRPr="00933D80">
        <w:t xml:space="preserve"> by </w:t>
      </w:r>
      <w:r w:rsidRPr="00933D80">
        <w:rPr>
          <w:b/>
        </w:rPr>
        <w:t xml:space="preserve">6:00 p.m. Eastern Time (ET) on </w:t>
      </w:r>
      <w:r>
        <w:rPr>
          <w:b/>
        </w:rPr>
        <w:t>January 31, 2022</w:t>
      </w:r>
      <w:r>
        <w:t>.</w:t>
      </w:r>
      <w:r>
        <w:rPr>
          <w:vertAlign w:val="superscript"/>
        </w:rPr>
        <w:footnoteReference w:id="10"/>
      </w:r>
      <w:r w:rsidRPr="00933D80">
        <w:t xml:space="preserve">  Specifically, each winning bidder’s total amount on deposit must be 20% of the aggregate net amount of its winning bid(s).  Any winning bidder whose upfront payment is not sufficient to meet this requirement must deposit additional funds to meet its required down payment.</w:t>
      </w:r>
      <w:r>
        <w:rPr>
          <w:vertAlign w:val="superscript"/>
        </w:rPr>
        <w:footnoteReference w:id="11"/>
      </w:r>
    </w:p>
    <w:p w:rsidR="009B0685" w:rsidRPr="00933D80" w:rsidP="009B0685" w14:paraId="7CBF4FC9" w14:textId="77777777">
      <w:pPr>
        <w:pStyle w:val="ParaNum"/>
        <w:widowControl/>
      </w:pPr>
      <w:r w:rsidRPr="00933D80">
        <w:rPr>
          <w:b/>
        </w:rPr>
        <w:t xml:space="preserve">All down payments must be made by wire transfer as instructed in this Public Notice and must be received in the Commission’s account at the U.S. Treasury before 6:00 p.m. ET on </w:t>
      </w:r>
      <w:r>
        <w:rPr>
          <w:b/>
        </w:rPr>
        <w:t>January 31, 2022</w:t>
      </w:r>
      <w:r w:rsidRPr="007E1D93">
        <w:rPr>
          <w:bCs/>
        </w:rPr>
        <w:t>.</w:t>
      </w:r>
      <w:r w:rsidRPr="00933D80">
        <w:t xml:space="preserve">  The down payment </w:t>
      </w:r>
      <w:r w:rsidRPr="00933D80">
        <w:t>amount</w:t>
      </w:r>
      <w:r w:rsidRPr="00933D80">
        <w:t xml:space="preserve"> due from a particular winning bidder, if any, is set out in the “Additional Amount Due for Down Payment After Upfront Payment Applied</w:t>
      </w:r>
      <w:r w:rsidRPr="00933D80">
        <w:rPr>
          <w:rFonts w:cs="Calibri"/>
        </w:rPr>
        <w:t>—</w:t>
      </w:r>
      <w:r w:rsidRPr="00933D80">
        <w:t xml:space="preserve">Due by </w:t>
      </w:r>
      <w:r>
        <w:t>January 31, 2022</w:t>
      </w:r>
      <w:r w:rsidRPr="00933D80">
        <w:t xml:space="preserve">” column of Attachment B.  Note that an additional payment toward the down payment due is </w:t>
      </w:r>
      <w:r w:rsidRPr="00933D80">
        <w:t>necessary only if a winning bidder’s upfront payment does not cover the required total down payment (as reflected in Attachment B).</w:t>
      </w:r>
    </w:p>
    <w:p w:rsidR="009B0685" w:rsidRPr="00933D80" w:rsidP="009B0685" w14:paraId="5264DBF6" w14:textId="77777777">
      <w:pPr>
        <w:pStyle w:val="ParaNum"/>
        <w:widowControl/>
      </w:pPr>
      <w:r w:rsidRPr="00933D80">
        <w:t xml:space="preserve">A winning bidder that fails to complete this down payment process consistent with the payment method described in this Public Notice by 6:00 p.m. ET on </w:t>
      </w:r>
      <w:r>
        <w:t>January 31, 2022</w:t>
      </w:r>
      <w:r w:rsidRPr="00933D80">
        <w:t>, will be in default.</w:t>
      </w:r>
      <w:r>
        <w:rPr>
          <w:vertAlign w:val="superscript"/>
        </w:rPr>
        <w:footnoteReference w:id="12"/>
      </w:r>
      <w:r w:rsidRPr="00933D80">
        <w:t xml:space="preserve"> </w:t>
      </w:r>
    </w:p>
    <w:p w:rsidR="009B0685" w:rsidRPr="00933D80" w:rsidP="009B0685" w14:paraId="025755A5" w14:textId="77777777">
      <w:pPr>
        <w:pStyle w:val="Heading2"/>
        <w:widowControl/>
      </w:pPr>
      <w:r w:rsidRPr="00933D80">
        <w:t>Final Payments</w:t>
      </w:r>
      <w:r w:rsidRPr="00933D80">
        <w:rPr>
          <w:rFonts w:cs="Calibri"/>
        </w:rPr>
        <w:t>—</w:t>
      </w:r>
      <w:r w:rsidRPr="00933D80">
        <w:t xml:space="preserve">Due Before 6:00 p.m. ET on </w:t>
      </w:r>
      <w:r>
        <w:t>February 14, 2022</w:t>
      </w:r>
    </w:p>
    <w:p w:rsidR="009B0685" w:rsidRPr="00933D80" w:rsidP="009B0685" w14:paraId="6B7D5648" w14:textId="77777777">
      <w:pPr>
        <w:pStyle w:val="ParaNum"/>
        <w:widowControl/>
      </w:pPr>
      <w:r w:rsidRPr="00933D80">
        <w:t>Each winning bidder in Auction 1</w:t>
      </w:r>
      <w:r>
        <w:t>1</w:t>
      </w:r>
      <w:r w:rsidRPr="00933D80">
        <w:t xml:space="preserve">0 must submit a payment of the balance of the net payment amount for its winning bid(s), as set out in the “Final Balance Due by </w:t>
      </w:r>
      <w:r>
        <w:t>February 14, 2022</w:t>
      </w:r>
      <w:r w:rsidRPr="00933D80">
        <w:t xml:space="preserve"> or (Refund)” column of Attachment B.</w:t>
      </w:r>
      <w:r>
        <w:rPr>
          <w:vertAlign w:val="superscript"/>
        </w:rPr>
        <w:footnoteReference w:id="13"/>
      </w:r>
      <w:r w:rsidRPr="00933D80">
        <w:t xml:space="preserve">  </w:t>
      </w:r>
      <w:r w:rsidRPr="00933D80">
        <w:rPr>
          <w:b/>
        </w:rPr>
        <w:t xml:space="preserve">This payment must be made by wire transfer as instructed in this Public Notice and must be received in the Commission’s account at the U.S. Treasury before 6:00 p.m. ET on </w:t>
      </w:r>
      <w:r>
        <w:rPr>
          <w:b/>
        </w:rPr>
        <w:t>February 14, 2022</w:t>
      </w:r>
      <w:r w:rsidRPr="00933D80">
        <w:rPr>
          <w:b/>
        </w:rPr>
        <w:t xml:space="preserve">, to avoid a late fee or default.  A late payment after this deadline must be made by wire transfer as instructed in this Public Notice and must be received in the Commission’s account at the U.S. Treasury before 6:00 p.m. ET on </w:t>
      </w:r>
      <w:r>
        <w:rPr>
          <w:b/>
        </w:rPr>
        <w:t>March 1, 2022</w:t>
      </w:r>
      <w:r w:rsidRPr="00933D80">
        <w:rPr>
          <w:b/>
        </w:rPr>
        <w:t>, along with the 5% late fee required by section 1.2109(a) of the Commission’s rules to avoid default.</w:t>
      </w:r>
      <w:r>
        <w:rPr>
          <w:vertAlign w:val="superscript"/>
        </w:rPr>
        <w:footnoteReference w:id="14"/>
      </w:r>
      <w:r w:rsidRPr="00933D80">
        <w:rPr>
          <w:b/>
        </w:rPr>
        <w:t xml:space="preserve">  </w:t>
      </w:r>
      <w:r w:rsidRPr="00933D80">
        <w:t xml:space="preserve">Note that an additional payment toward the final payment due is necessary only if a winning bidder’s upfront payment does not cover the required total down payment and final payment (as reflected in Attachment B).  </w:t>
      </w:r>
    </w:p>
    <w:p w:rsidR="009B0685" w:rsidRPr="004914EA" w:rsidP="009B0685" w14:paraId="426402F7" w14:textId="77777777">
      <w:pPr>
        <w:pStyle w:val="ParaNum"/>
        <w:widowControl/>
        <w:rPr>
          <w:snapToGrid/>
          <w:kern w:val="0"/>
          <w:sz w:val="24"/>
          <w:szCs w:val="24"/>
        </w:rPr>
      </w:pPr>
      <w:r w:rsidRPr="00933D80">
        <w:t xml:space="preserve">A winning bidder that fails to complete the final payment process consistent with the payment method described in this Public Notice by 6:00 p.m. ET on </w:t>
      </w:r>
      <w:r>
        <w:t>February 14, 2022</w:t>
      </w:r>
      <w:r w:rsidRPr="00933D80">
        <w:t xml:space="preserve"> (or by</w:t>
      </w:r>
      <w:r w:rsidRPr="00933D80">
        <w:rPr>
          <w:b/>
        </w:rPr>
        <w:t xml:space="preserve"> </w:t>
      </w:r>
      <w:r w:rsidRPr="00933D80">
        <w:t xml:space="preserve">6:00 p.m. ET on </w:t>
      </w:r>
      <w:r>
        <w:t>March 1, 2022</w:t>
      </w:r>
      <w:r w:rsidRPr="00933D80">
        <w:t>, along with the 5</w:t>
      </w:r>
      <w:r w:rsidRPr="00933D80">
        <w:rPr>
          <w:szCs w:val="22"/>
        </w:rPr>
        <w:t>%</w:t>
      </w:r>
      <w:r w:rsidRPr="00933D80">
        <w:t xml:space="preserve"> late fee) will be in default.</w:t>
      </w:r>
      <w:r>
        <w:rPr>
          <w:vertAlign w:val="superscript"/>
        </w:rPr>
        <w:footnoteReference w:id="15"/>
      </w:r>
      <w:r w:rsidRPr="001261D0">
        <w:rPr>
          <w:kern w:val="0"/>
          <w:sz w:val="24"/>
          <w:szCs w:val="24"/>
        </w:rPr>
        <w:t xml:space="preserve"> </w:t>
      </w:r>
    </w:p>
    <w:p w:rsidR="009B0685" w:rsidRPr="004914EA" w:rsidP="009B0685" w14:paraId="11D2A369" w14:textId="77777777">
      <w:pPr>
        <w:pStyle w:val="ParaNum"/>
        <w:widowControl/>
        <w:rPr>
          <w:snapToGrid/>
          <w:kern w:val="0"/>
          <w:szCs w:val="22"/>
        </w:rPr>
      </w:pPr>
      <w:r w:rsidRPr="004914EA">
        <w:rPr>
          <w:snapToGrid/>
          <w:kern w:val="0"/>
          <w:szCs w:val="22"/>
        </w:rPr>
        <w:t xml:space="preserve">A </w:t>
      </w:r>
      <w:r w:rsidRPr="004914EA">
        <w:rPr>
          <w:szCs w:val="22"/>
        </w:rPr>
        <w:t>winning</w:t>
      </w:r>
      <w:r w:rsidRPr="004914EA">
        <w:rPr>
          <w:snapToGrid/>
          <w:kern w:val="0"/>
          <w:szCs w:val="22"/>
        </w:rPr>
        <w:t xml:space="preserve"> bidder’s request for a tribal lands bidding credit has no effect on the bidder’s obligations to make any auction payments, including down payments and final payments, that are due before the award of the credit.  Thus, a winning bidder’s final payment and any applicable late fees must be paid in full by the due date even if the winning bidder has applied for a tribal lands bidding credit.  If a request for a tribal lands bidding credit is approved, then the amount of the credit will be calculated prior to license grant</w:t>
      </w:r>
      <w:r>
        <w:rPr>
          <w:snapToGrid/>
          <w:kern w:val="0"/>
          <w:szCs w:val="22"/>
        </w:rPr>
        <w:t xml:space="preserve"> and, following license grant, the calculated credit will be issued.</w:t>
      </w:r>
    </w:p>
    <w:p w:rsidR="009B0685" w:rsidRPr="00933D80" w:rsidP="009B0685" w14:paraId="58D3B947" w14:textId="77777777">
      <w:pPr>
        <w:pStyle w:val="Heading2"/>
        <w:widowControl/>
      </w:pPr>
      <w:bookmarkStart w:id="3" w:name="_Toc124648777"/>
      <w:bookmarkStart w:id="4" w:name="_Toc124649151"/>
      <w:bookmarkStart w:id="5" w:name="_Toc124649222"/>
      <w:bookmarkStart w:id="6" w:name="_Toc124649413"/>
      <w:bookmarkStart w:id="7" w:name="_Toc124650000"/>
      <w:bookmarkStart w:id="8" w:name="_Toc124650094"/>
      <w:bookmarkStart w:id="9" w:name="_Toc124661262"/>
      <w:bookmarkStart w:id="10" w:name="_Toc124661377"/>
      <w:bookmarkStart w:id="11" w:name="_Toc124661472"/>
      <w:r w:rsidRPr="00933D80">
        <w:t>Payment Instructions</w:t>
      </w:r>
      <w:bookmarkEnd w:id="3"/>
      <w:bookmarkEnd w:id="4"/>
      <w:bookmarkEnd w:id="5"/>
      <w:bookmarkEnd w:id="6"/>
      <w:bookmarkEnd w:id="7"/>
      <w:bookmarkEnd w:id="8"/>
      <w:bookmarkEnd w:id="9"/>
      <w:bookmarkEnd w:id="10"/>
      <w:bookmarkEnd w:id="11"/>
      <w:r w:rsidRPr="00933D80">
        <w:t xml:space="preserve"> for Down Payments and Final Payments</w:t>
      </w:r>
    </w:p>
    <w:p w:rsidR="009B0685" w:rsidRPr="00933D80" w:rsidP="009B0685" w14:paraId="4D77B33B" w14:textId="77777777">
      <w:pPr>
        <w:pStyle w:val="ParaNum"/>
        <w:widowControl/>
        <w:rPr>
          <w:b/>
        </w:rPr>
      </w:pPr>
      <w:r w:rsidRPr="00933D80">
        <w:rPr>
          <w:szCs w:val="22"/>
        </w:rPr>
        <w:t xml:space="preserve">All down payments and final payments must be made by wire transfer to the Commission’s account at the U.S. Treasury in accordance with the instructions in this Public Notice by the </w:t>
      </w:r>
      <w:r w:rsidRPr="003D2EDE">
        <w:t>applicable</w:t>
      </w:r>
      <w:r w:rsidRPr="00933D80">
        <w:rPr>
          <w:szCs w:val="22"/>
        </w:rPr>
        <w:t xml:space="preserve"> deadline.  </w:t>
      </w:r>
      <w:r w:rsidRPr="00933D80">
        <w:rPr>
          <w:b/>
          <w:szCs w:val="22"/>
        </w:rPr>
        <w:t>We urge winning bidders to pay close attention to the payment instructions we announce here because they differ from instructions provided in past auctions and from upfront payment procedures for this auction.</w:t>
      </w:r>
      <w:r w:rsidRPr="00933D80">
        <w:rPr>
          <w:szCs w:val="22"/>
        </w:rPr>
        <w:t xml:space="preserve">  If a winning bidder has any questions about making a down payment or final payment, the winning bidder should contact Scott Radcliffe of the Office of the Managing Director’s Revenue &amp; Receivables Operations Group/Auctions at (202) 418-7518, </w:t>
      </w:r>
      <w:hyperlink r:id="rId7" w:history="1">
        <w:r w:rsidRPr="00933D80">
          <w:rPr>
            <w:color w:val="0000FF"/>
            <w:szCs w:val="22"/>
            <w:u w:val="single"/>
          </w:rPr>
          <w:t>Scott.Radcliffe@fcc.gov</w:t>
        </w:r>
      </w:hyperlink>
      <w:r w:rsidRPr="00933D80">
        <w:rPr>
          <w:szCs w:val="22"/>
        </w:rPr>
        <w:t xml:space="preserve">, or Theresa Meeks at (202) 418-2945, </w:t>
      </w:r>
      <w:hyperlink r:id="rId8" w:history="1">
        <w:r w:rsidRPr="00933D80">
          <w:rPr>
            <w:color w:val="0000FF"/>
            <w:szCs w:val="22"/>
            <w:u w:val="single"/>
          </w:rPr>
          <w:t>Theresa.Meeks@fcc.gov</w:t>
        </w:r>
      </w:hyperlink>
      <w:r w:rsidRPr="00933D80">
        <w:rPr>
          <w:szCs w:val="22"/>
        </w:rPr>
        <w:t>, well in advance of the applicable deadlines.</w:t>
      </w:r>
    </w:p>
    <w:p w:rsidR="009B0685" w:rsidRPr="00933D80" w:rsidP="009B0685" w14:paraId="0423C17E" w14:textId="77777777">
      <w:pPr>
        <w:pStyle w:val="ParaNum"/>
        <w:widowControl/>
      </w:pPr>
      <w:r w:rsidRPr="00933D80">
        <w:t>All payments must be in U.S. dollars and made in the form of a wire transfer.</w:t>
      </w:r>
      <w:r>
        <w:rPr>
          <w:vertAlign w:val="superscript"/>
        </w:rPr>
        <w:footnoteReference w:id="16"/>
      </w:r>
      <w:r w:rsidRPr="00933D80">
        <w:t xml:space="preserve">  No checks, credit card payments, automated clearing house (ACH), or other forms of payment will be accepted.  Each winning bidder is responsible for ensuring timely submission of its down payment and its final payment, if required.  To avoid untimely payments, each winning bidder should discuss </w:t>
      </w:r>
      <w:r w:rsidRPr="00933D80">
        <w:t>arrangements with its financial institution (including the institution’s closing schedule) several days before it plans to make the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7"/>
      </w:r>
      <w:r w:rsidRPr="00933D80">
        <w:t xml:space="preserve">  </w:t>
      </w:r>
    </w:p>
    <w:p w:rsidR="009B0685" w:rsidRPr="00933D80" w:rsidP="009B0685" w14:paraId="6AC2B731" w14:textId="77777777">
      <w:pPr>
        <w:pStyle w:val="ParaNum"/>
        <w:widowControl/>
      </w:pPr>
      <w:r w:rsidRPr="00933D80">
        <w:t xml:space="preserve">Each winning bidder is responsible for obtaining confirmation from its financial institution that its wire transfer to the U.S. Treasury was successful and from Commission staff that each payment was timely received and deposited into the proper account.  </w:t>
      </w:r>
      <w:r w:rsidRPr="00E55E5F">
        <w:rPr>
          <w:rStyle w:val="normaltextrun"/>
          <w:color w:val="000000"/>
          <w:szCs w:val="22"/>
          <w:shd w:val="clear" w:color="auto" w:fill="FFFFFF"/>
        </w:rPr>
        <w:t xml:space="preserve">Each winning bidder should direct </w:t>
      </w:r>
      <w:r w:rsidRPr="003D2EDE">
        <w:t>its</w:t>
      </w:r>
      <w:r w:rsidRPr="00E55E5F">
        <w:rPr>
          <w:rStyle w:val="normaltextrun"/>
          <w:color w:val="000000"/>
          <w:szCs w:val="22"/>
          <w:shd w:val="clear" w:color="auto" w:fill="FFFFFF"/>
        </w:rPr>
        <w:t xml:space="preserve"> financial institution(s) to monitor its wire transfer(s) to assure timely deposit in the correct account.  </w:t>
      </w:r>
      <w:r w:rsidRPr="00FA3069">
        <w:rPr>
          <w:rStyle w:val="normaltextrun"/>
          <w:color w:val="000000"/>
          <w:szCs w:val="22"/>
          <w:shd w:val="clear" w:color="auto" w:fill="FFFFFF"/>
        </w:rPr>
        <w:t>As a regulatory requirement, the U</w:t>
      </w:r>
      <w:r>
        <w:rPr>
          <w:rStyle w:val="normaltextrun"/>
          <w:color w:val="000000"/>
          <w:szCs w:val="22"/>
          <w:shd w:val="clear" w:color="auto" w:fill="FFFFFF"/>
        </w:rPr>
        <w:t>.</w:t>
      </w:r>
      <w:r w:rsidRPr="00FA3069">
        <w:rPr>
          <w:rStyle w:val="normaltextrun"/>
          <w:color w:val="000000"/>
          <w:szCs w:val="22"/>
          <w:shd w:val="clear" w:color="auto" w:fill="FFFFFF"/>
        </w:rPr>
        <w:t>S</w:t>
      </w:r>
      <w:r>
        <w:rPr>
          <w:rStyle w:val="normaltextrun"/>
          <w:color w:val="000000"/>
          <w:szCs w:val="22"/>
          <w:shd w:val="clear" w:color="auto" w:fill="FFFFFF"/>
        </w:rPr>
        <w:t>.</w:t>
      </w:r>
      <w:r w:rsidRPr="00FA3069">
        <w:rPr>
          <w:rStyle w:val="normaltextrun"/>
          <w:color w:val="000000"/>
          <w:szCs w:val="22"/>
          <w:shd w:val="clear" w:color="auto" w:fill="FFFFFF"/>
        </w:rPr>
        <w:t xml:space="preserve"> Treasury screens all payments from all financial institutions before deposits are made available to specified accounts. </w:t>
      </w:r>
      <w:r>
        <w:rPr>
          <w:rStyle w:val="normaltextrun"/>
          <w:color w:val="000000"/>
          <w:szCs w:val="22"/>
          <w:shd w:val="clear" w:color="auto" w:fill="FFFFFF"/>
        </w:rPr>
        <w:t xml:space="preserve"> </w:t>
      </w:r>
      <w:r w:rsidRPr="00FA3069">
        <w:rPr>
          <w:rStyle w:val="normaltextrun"/>
          <w:color w:val="000000"/>
          <w:szCs w:val="22"/>
          <w:shd w:val="clear" w:color="auto" w:fill="FFFFFF"/>
        </w:rPr>
        <w:t xml:space="preserve">If wires are suspended, the U.S. Treasury may direct questions regarding any transfer to the financial institution initiating the wire.  Each winning bidder must take care to assure that any questions directed to its financial institution(s) are addressed promptly. </w:t>
      </w:r>
      <w:r>
        <w:rPr>
          <w:rStyle w:val="normaltextrun"/>
        </w:rPr>
        <w:t xml:space="preserve"> </w:t>
      </w:r>
      <w:r w:rsidRPr="00E55E5F">
        <w:rPr>
          <w:color w:val="000000"/>
        </w:rPr>
        <w:t xml:space="preserve">To receive confirmation from Commission staff </w:t>
      </w:r>
      <w:r w:rsidRPr="00E55E5F">
        <w:rPr>
          <w:rStyle w:val="normaltextrun"/>
          <w:color w:val="000000"/>
          <w:szCs w:val="22"/>
          <w:shd w:val="clear" w:color="auto" w:fill="FFFFFF"/>
        </w:rPr>
        <w:t>regarding receipt and deposit of wire transfers, a winning bidder may</w:t>
      </w:r>
      <w:r w:rsidRPr="00E55E5F">
        <w:rPr>
          <w:color w:val="000000"/>
        </w:rPr>
        <w:t xml:space="preserve"> </w:t>
      </w:r>
      <w:r w:rsidRPr="00933D80">
        <w:t>contact</w:t>
      </w:r>
      <w:r w:rsidRPr="00933D80">
        <w:rPr>
          <w:color w:val="000000"/>
          <w:szCs w:val="22"/>
        </w:rPr>
        <w:t xml:space="preserve"> </w:t>
      </w:r>
      <w:r w:rsidRPr="00933D80">
        <w:rPr>
          <w:szCs w:val="22"/>
        </w:rPr>
        <w:t xml:space="preserve">Scott Radcliffe at (202) 418-7518, </w:t>
      </w:r>
      <w:hyperlink r:id="rId7" w:history="1">
        <w:r w:rsidRPr="00933D80">
          <w:rPr>
            <w:color w:val="0000FF"/>
            <w:szCs w:val="22"/>
            <w:u w:val="single"/>
          </w:rPr>
          <w:t>Scott.Radcliffe@fcc.gov</w:t>
        </w:r>
      </w:hyperlink>
      <w:r w:rsidRPr="00933D80">
        <w:rPr>
          <w:color w:val="000000"/>
          <w:szCs w:val="22"/>
        </w:rPr>
        <w:t>,</w:t>
      </w:r>
      <w:r w:rsidRPr="00933D80">
        <w:t xml:space="preserve"> </w:t>
      </w:r>
      <w:r w:rsidRPr="00933D80">
        <w:rPr>
          <w:color w:val="000000"/>
          <w:szCs w:val="22"/>
        </w:rPr>
        <w:t xml:space="preserve">or Theresa Meeks at (202) 418-2945, </w:t>
      </w:r>
      <w:hyperlink r:id="rId8" w:history="1">
        <w:r w:rsidRPr="00933D80">
          <w:rPr>
            <w:color w:val="0000FF"/>
            <w:szCs w:val="22"/>
            <w:u w:val="single"/>
          </w:rPr>
          <w:t>Theresa.Meeks@fcc.gov</w:t>
        </w:r>
      </w:hyperlink>
      <w:r w:rsidRPr="00933D80">
        <w:t xml:space="preserve">.  </w:t>
      </w:r>
    </w:p>
    <w:p w:rsidR="009B0685" w:rsidRPr="00933D80" w:rsidP="009B0685" w14:paraId="4AFACA63" w14:textId="77777777">
      <w:pPr>
        <w:pStyle w:val="ParaNum"/>
        <w:widowControl/>
      </w:pPr>
      <w:r w:rsidRPr="00933D80">
        <w:t xml:space="preserve">Each </w:t>
      </w:r>
      <w:r w:rsidRPr="00933D80">
        <w:t>payer</w:t>
      </w:r>
      <w:r w:rsidRPr="00933D80">
        <w:t xml:space="preserve"> must include specified information in </w:t>
      </w:r>
      <w:r>
        <w:t>the</w:t>
      </w:r>
      <w:r w:rsidRPr="00933D80">
        <w:t xml:space="preserve"> wire transfer instructions</w:t>
      </w:r>
      <w:r>
        <w:t xml:space="preserve"> it</w:t>
      </w:r>
      <w:r w:rsidRPr="00933D80">
        <w:t xml:space="preserve"> provide</w:t>
      </w:r>
      <w:r>
        <w:t>s</w:t>
      </w:r>
      <w:r w:rsidRPr="00933D80">
        <w:t xml:space="preserve"> to its bank, as described below.  </w:t>
      </w:r>
      <w:r w:rsidRPr="00933D80">
        <w:rPr>
          <w:b/>
        </w:rPr>
        <w:t>The Commission no longer requires the submission of a completed FCC Remittance Advice Form (FCC Form 159) with down payments or final payments.</w:t>
      </w:r>
      <w:r>
        <w:rPr>
          <w:vertAlign w:val="superscript"/>
        </w:rPr>
        <w:footnoteReference w:id="18"/>
      </w:r>
      <w:r w:rsidRPr="00933D80">
        <w:t xml:space="preserve">  The Commission will credit any such payment based on the information accompanying the wire transfer.  To submit funds by wire transfer, the winning bidder must include the following information in its wire transfer instructions:   </w:t>
      </w:r>
    </w:p>
    <w:p w:rsidR="009B0685" w:rsidRPr="00933D80" w:rsidP="009B0685" w14:paraId="12330DE9" w14:textId="77777777">
      <w:pPr>
        <w:keepNext/>
        <w:keepLines/>
        <w:widowControl/>
        <w:tabs>
          <w:tab w:val="num" w:pos="1440"/>
        </w:tabs>
        <w:ind w:left="720"/>
      </w:pPr>
    </w:p>
    <w:p w:rsidR="009B0685" w:rsidRPr="00933D80" w:rsidP="009B0685" w14:paraId="4BA9643B" w14:textId="77777777">
      <w:pPr>
        <w:keepNext/>
        <w:keepLines/>
        <w:widowControl/>
        <w:ind w:left="720"/>
      </w:pPr>
      <w:r w:rsidRPr="00933D80">
        <w:t xml:space="preserve">ABA Routing Number:  </w:t>
      </w:r>
      <w:r w:rsidRPr="004914EA">
        <w:rPr>
          <w:bCs/>
        </w:rPr>
        <w:t>021030004</w:t>
      </w:r>
    </w:p>
    <w:p w:rsidR="009B0685" w:rsidRPr="00933D80" w:rsidP="009B0685" w14:paraId="3C771B4D" w14:textId="77777777">
      <w:pPr>
        <w:keepNext/>
        <w:keepLines/>
        <w:widowControl/>
        <w:tabs>
          <w:tab w:val="left" w:pos="2250"/>
        </w:tabs>
        <w:ind w:left="720"/>
      </w:pPr>
      <w:r w:rsidRPr="00933D80">
        <w:t>Receiving Bank:</w:t>
      </w:r>
      <w:r w:rsidRPr="00933D80">
        <w:tab/>
        <w:t xml:space="preserve"> </w:t>
      </w:r>
      <w:r w:rsidRPr="004914EA">
        <w:rPr>
          <w:bCs/>
        </w:rPr>
        <w:t>TREAS</w:t>
      </w:r>
      <w:r w:rsidRPr="004914EA">
        <w:rPr>
          <w:bCs/>
        </w:rPr>
        <w:t xml:space="preserve"> NYC</w:t>
      </w:r>
    </w:p>
    <w:p w:rsidR="009B0685" w:rsidRPr="00933D80" w:rsidP="009B0685" w14:paraId="405F3A14" w14:textId="77777777">
      <w:pPr>
        <w:keepNext/>
        <w:keepLines/>
        <w:widowControl/>
        <w:ind w:left="1440" w:firstLine="810"/>
      </w:pPr>
      <w:r w:rsidRPr="00933D80">
        <w:t xml:space="preserve"> 33 Liberty Street</w:t>
      </w:r>
    </w:p>
    <w:p w:rsidR="009B0685" w:rsidRPr="00933D80" w:rsidP="009B0685" w14:paraId="2043FAB1" w14:textId="77777777">
      <w:pPr>
        <w:keepNext/>
        <w:keepLines/>
        <w:widowControl/>
        <w:ind w:left="1440" w:firstLine="810"/>
      </w:pPr>
      <w:r w:rsidRPr="00933D80">
        <w:t xml:space="preserve"> New York, NY 10045</w:t>
      </w:r>
    </w:p>
    <w:p w:rsidR="009B0685" w:rsidRPr="00933D80" w:rsidP="009B0685" w14:paraId="6AF52194" w14:textId="77777777">
      <w:pPr>
        <w:keepNext/>
        <w:keepLines/>
        <w:widowControl/>
        <w:ind w:left="720"/>
        <w:rPr>
          <w:b/>
        </w:rPr>
      </w:pPr>
      <w:r w:rsidRPr="00933D80">
        <w:t xml:space="preserve">ACCOUNT NAME:   </w:t>
      </w:r>
      <w:r w:rsidRPr="004914EA">
        <w:rPr>
          <w:bCs/>
        </w:rPr>
        <w:t>FCC</w:t>
      </w:r>
    </w:p>
    <w:p w:rsidR="009B0685" w:rsidRPr="00933D80" w:rsidP="009B0685" w14:paraId="59161D54" w14:textId="77777777">
      <w:pPr>
        <w:keepNext/>
        <w:keepLines/>
        <w:widowControl/>
        <w:tabs>
          <w:tab w:val="left" w:pos="2700"/>
        </w:tabs>
        <w:ind w:left="720"/>
      </w:pPr>
      <w:r w:rsidRPr="00933D80">
        <w:rPr>
          <w:b/>
        </w:rPr>
        <w:tab/>
      </w:r>
      <w:r>
        <w:t>45 L</w:t>
      </w:r>
      <w:r w:rsidRPr="00933D80">
        <w:t xml:space="preserve"> Street, </w:t>
      </w:r>
      <w:r>
        <w:t>NE, 3</w:t>
      </w:r>
      <w:r w:rsidRPr="00D90337">
        <w:rPr>
          <w:vertAlign w:val="superscript"/>
        </w:rPr>
        <w:t>rd</w:t>
      </w:r>
      <w:r>
        <w:t xml:space="preserve"> Floor</w:t>
      </w:r>
    </w:p>
    <w:p w:rsidR="009B0685" w:rsidRPr="00933D80" w:rsidP="009B0685" w14:paraId="40701561" w14:textId="77777777">
      <w:pPr>
        <w:keepNext/>
        <w:keepLines/>
        <w:widowControl/>
        <w:tabs>
          <w:tab w:val="left" w:pos="2700"/>
        </w:tabs>
        <w:ind w:left="720"/>
      </w:pPr>
      <w:r w:rsidRPr="00933D80">
        <w:tab/>
        <w:t>Washington, DC 20554</w:t>
      </w:r>
    </w:p>
    <w:p w:rsidR="009B0685" w:rsidRPr="00933D80" w:rsidP="009B0685" w14:paraId="26F0F95D" w14:textId="77777777">
      <w:pPr>
        <w:keepNext/>
        <w:keepLines/>
        <w:widowControl/>
        <w:ind w:left="720"/>
      </w:pPr>
      <w:r w:rsidRPr="00933D80">
        <w:t xml:space="preserve">ACCOUNT NUMBER:  27000001 </w:t>
      </w:r>
    </w:p>
    <w:p w:rsidR="009B0685" w:rsidRPr="00933D80" w:rsidP="009B0685" w14:paraId="059B376F" w14:textId="77777777">
      <w:pPr>
        <w:keepNext/>
        <w:keepLines/>
        <w:widowControl/>
        <w:ind w:left="720"/>
      </w:pPr>
      <w:bookmarkStart w:id="12" w:name="_Hlk534789883"/>
      <w:r w:rsidRPr="00933D80">
        <w:t>Originating Bank Information (OBI Field):</w:t>
      </w:r>
      <w:r w:rsidRPr="00933D80">
        <w:t xml:space="preserve">   (</w:t>
      </w:r>
      <w:r w:rsidRPr="00933D80">
        <w:t>Skip one space between each information item)</w:t>
      </w:r>
      <w:bookmarkEnd w:id="12"/>
      <w:r w:rsidRPr="00933D80">
        <w:t xml:space="preserve"> “</w:t>
      </w:r>
      <w:r w:rsidRPr="00933D80">
        <w:t>AUCTIONPAY</w:t>
      </w:r>
      <w:r w:rsidRPr="00933D80">
        <w:t>”</w:t>
      </w:r>
    </w:p>
    <w:p w:rsidR="009B0685" w:rsidRPr="00933D80" w:rsidP="009B0685" w14:paraId="2EAA5E37" w14:textId="77777777">
      <w:pPr>
        <w:keepNext/>
        <w:keepLines/>
        <w:widowControl/>
        <w:ind w:left="720"/>
      </w:pPr>
      <w:r w:rsidRPr="00933D80">
        <w:t>APPLICANT FCC REGISTRATION NUMBER (</w:t>
      </w:r>
      <w:r w:rsidRPr="00933D80">
        <w:t>FRN</w:t>
      </w:r>
      <w:r w:rsidRPr="00933D80">
        <w:t>)  (</w:t>
      </w:r>
      <w:r w:rsidRPr="00933D80">
        <w:t xml:space="preserve">use the same </w:t>
      </w:r>
      <w:r w:rsidRPr="00933D80">
        <w:t>FRN</w:t>
      </w:r>
      <w:r w:rsidRPr="00933D80">
        <w:t xml:space="preserve"> as used on the FCC Form 175)</w:t>
      </w:r>
    </w:p>
    <w:p w:rsidR="009B0685" w:rsidRPr="00933D80" w:rsidP="009B0685" w14:paraId="58ED22FE" w14:textId="77777777">
      <w:pPr>
        <w:keepNext/>
        <w:keepLines/>
        <w:widowControl/>
        <w:ind w:left="720"/>
      </w:pPr>
      <w:r w:rsidRPr="00933D80">
        <w:t>PAYMENT TYPE CODE</w:t>
      </w:r>
      <w:r w:rsidRPr="00933D80">
        <w:t xml:space="preserve">:  </w:t>
      </w:r>
      <w:r>
        <w:t>(</w:t>
      </w:r>
      <w:r>
        <w:t>“D110”)</w:t>
      </w:r>
      <w:r w:rsidRPr="00933D80">
        <w:t xml:space="preserve"> </w:t>
      </w:r>
    </w:p>
    <w:p w:rsidR="009B0685" w:rsidRPr="004914EA" w:rsidP="009B0685" w14:paraId="1C646143" w14:textId="77777777">
      <w:pPr>
        <w:widowControl/>
        <w:spacing w:after="120"/>
        <w:ind w:firstLine="720"/>
        <w:rPr>
          <w:bCs/>
        </w:rPr>
      </w:pPr>
      <w:r w:rsidRPr="004914EA">
        <w:rPr>
          <w:bCs/>
        </w:rPr>
        <w:t>APPLICANT NAME AND PHONE NUMBER OR EMAIL ADDRESS</w:t>
      </w:r>
    </w:p>
    <w:p w:rsidR="009B0685" w:rsidRPr="00933D80" w:rsidP="009B0685" w14:paraId="51F40BE6" w14:textId="77777777">
      <w:pPr>
        <w:widowControl/>
        <w:ind w:firstLine="720"/>
        <w:rPr>
          <w:b/>
        </w:rPr>
      </w:pPr>
    </w:p>
    <w:p w:rsidR="009B0685" w:rsidRPr="00933D80" w:rsidP="009B0685" w14:paraId="1A79581D" w14:textId="77777777">
      <w:pPr>
        <w:pStyle w:val="ParaNum"/>
        <w:widowControl/>
      </w:pPr>
      <w:r w:rsidRPr="00933D80">
        <w:t xml:space="preserve">Please direct questions concerning the calculation and submission of down payments, final payments, or refunds to </w:t>
      </w:r>
      <w:r w:rsidRPr="00933D80">
        <w:rPr>
          <w:szCs w:val="22"/>
        </w:rPr>
        <w:t>Scott Radcliffe at (202) 418-7518,</w:t>
      </w:r>
      <w:r w:rsidRPr="00933D80">
        <w:t xml:space="preserve"> </w:t>
      </w:r>
      <w:hyperlink r:id="rId7" w:history="1">
        <w:r w:rsidRPr="00933D80">
          <w:rPr>
            <w:color w:val="0000FF"/>
            <w:szCs w:val="22"/>
            <w:u w:val="single"/>
          </w:rPr>
          <w:t>Scott.Radcliffe@fcc.gov</w:t>
        </w:r>
      </w:hyperlink>
      <w:r w:rsidRPr="00933D80">
        <w:rPr>
          <w:color w:val="0000FF"/>
          <w:szCs w:val="22"/>
          <w:u w:val="single"/>
        </w:rPr>
        <w:t xml:space="preserve">, </w:t>
      </w:r>
      <w:r w:rsidRPr="00933D80">
        <w:t xml:space="preserve">or Theresa Meeks at (202) 418-2945, </w:t>
      </w:r>
      <w:hyperlink r:id="rId8" w:history="1">
        <w:r w:rsidRPr="00933D80">
          <w:rPr>
            <w:color w:val="0000FF"/>
            <w:szCs w:val="22"/>
            <w:u w:val="single"/>
          </w:rPr>
          <w:t>Theresa.Meeks@fcc.gov</w:t>
        </w:r>
      </w:hyperlink>
      <w:r w:rsidRPr="00933D80">
        <w:t xml:space="preserve">.  </w:t>
      </w:r>
      <w:r w:rsidRPr="00933D80">
        <w:rPr>
          <w:color w:val="000000"/>
          <w:szCs w:val="22"/>
        </w:rPr>
        <w:t>Auctions Accounting Branch staff may also be reached through the FCC Auctions Hotline at (717) 338-2868.</w:t>
      </w:r>
      <w:r w:rsidRPr="00933D80">
        <w:t xml:space="preserve"> </w:t>
      </w:r>
    </w:p>
    <w:p w:rsidR="009B0685" w:rsidRPr="00933D80" w:rsidP="009B0685" w14:paraId="3C36170B" w14:textId="77777777">
      <w:pPr>
        <w:pStyle w:val="Heading2"/>
        <w:widowControl/>
      </w:pPr>
      <w:bookmarkStart w:id="13" w:name="_Toc124648778"/>
      <w:bookmarkStart w:id="14" w:name="_Toc124649152"/>
      <w:bookmarkStart w:id="15" w:name="_Toc124649223"/>
      <w:bookmarkStart w:id="16" w:name="_Toc124649414"/>
      <w:bookmarkStart w:id="17" w:name="_Toc124650001"/>
      <w:bookmarkStart w:id="18" w:name="_Toc124650095"/>
      <w:bookmarkStart w:id="19" w:name="_Toc124661263"/>
      <w:bookmarkStart w:id="20" w:name="_Toc124661378"/>
      <w:bookmarkStart w:id="21" w:name="_Toc124661473"/>
      <w:r w:rsidRPr="00933D80">
        <w:t>Default and Disqualification Payments</w:t>
      </w:r>
    </w:p>
    <w:p w:rsidR="009B0685" w:rsidRPr="00933D80" w:rsidP="009B0685" w14:paraId="021ED7EB" w14:textId="77777777">
      <w:pPr>
        <w:pStyle w:val="ParaNum"/>
        <w:widowControl/>
      </w:pPr>
      <w:r w:rsidRPr="00933D80">
        <w:t>The Commission imposes payment obligations on bidders that default on payments due after an auction closes and on bidders that are disqualified.</w:t>
      </w:r>
      <w:r>
        <w:rPr>
          <w:vertAlign w:val="superscript"/>
        </w:rPr>
        <w:footnoteReference w:id="19"/>
      </w:r>
      <w:r w:rsidRPr="00933D80">
        <w:t xml:space="preserve">  </w:t>
      </w:r>
    </w:p>
    <w:p w:rsidR="009B0685" w:rsidRPr="00933D80" w:rsidP="009B0685" w14:paraId="744DFA74" w14:textId="77777777">
      <w:pPr>
        <w:pStyle w:val="ParaNum"/>
        <w:widowControl/>
      </w:pPr>
      <w:r w:rsidRPr="00933D80">
        <w:t xml:space="preserve">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the bidder </w:t>
      </w:r>
      <w:r>
        <w:t>is</w:t>
      </w:r>
      <w:r w:rsidRPr="00933D80">
        <w:t xml:space="preserve"> subject to the payment obligations described in section 1.2104(g)(2) of the Commission’s rules.</w:t>
      </w:r>
      <w:r>
        <w:rPr>
          <w:vertAlign w:val="superscript"/>
        </w:rPr>
        <w:footnoteReference w:id="20"/>
      </w:r>
      <w:r w:rsidRPr="00933D80">
        <w:t xml:space="preserve">  </w:t>
      </w:r>
      <w:r>
        <w:t>In Auction 110, the “defaulted bid” or “applicable bid” for purposes of this rule is the per-license price.</w:t>
      </w:r>
      <w:r>
        <w:rPr>
          <w:rStyle w:val="FootnoteReference"/>
        </w:rPr>
        <w:footnoteReference w:id="21"/>
      </w:r>
      <w:r>
        <w:t xml:space="preserve">  </w:t>
      </w:r>
      <w:r w:rsidRPr="00933D80">
        <w:t xml:space="preserve">These payment obligations include a deficiency payment and an additional payment amount.  The deficiency payment component applies only </w:t>
      </w:r>
      <w:r w:rsidRPr="00933D80">
        <w:t>in the event that</w:t>
      </w:r>
      <w:r w:rsidRPr="00933D80">
        <w:t xml:space="preserve">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subsequent winning bid, whichever is less.</w:t>
      </w:r>
      <w:r>
        <w:rPr>
          <w:vertAlign w:val="superscript"/>
        </w:rPr>
        <w:footnoteReference w:id="22"/>
      </w:r>
      <w:r w:rsidRPr="00933D80">
        <w:t xml:space="preserve">  The additional default payment for Auction 1</w:t>
      </w:r>
      <w:r>
        <w:t>1</w:t>
      </w:r>
      <w:r w:rsidRPr="00933D80">
        <w:t xml:space="preserve">0 licenses was set at </w:t>
      </w:r>
      <w:r>
        <w:t>15</w:t>
      </w:r>
      <w:r w:rsidRPr="00933D80">
        <w:t>% of the applicable bid.</w:t>
      </w:r>
      <w:r>
        <w:rPr>
          <w:rStyle w:val="FootnoteReference"/>
        </w:rPr>
        <w:footnoteReference w:id="23"/>
      </w:r>
    </w:p>
    <w:p w:rsidR="009B0685" w:rsidRPr="00933D80" w:rsidP="009B0685" w14:paraId="6E8E3B29" w14:textId="77777777">
      <w:pPr>
        <w:pStyle w:val="ParaNum"/>
        <w:widowControl/>
      </w:pPr>
      <w:r w:rsidRPr="00933D80">
        <w:t xml:space="preserve">If a winning bidder fails to remit the required down payment by the </w:t>
      </w:r>
      <w:r>
        <w:t>January 31, 2022</w:t>
      </w:r>
      <w:r w:rsidRPr="00933D80">
        <w:t xml:space="preserve"> deadline specified in this Public Notice, the bidder will be deemed to have defaulted, its long-form application will be dismissed, and it will be liable for a default payment as described above.</w:t>
      </w:r>
      <w:r>
        <w:rPr>
          <w:rStyle w:val="FootnoteReference"/>
        </w:rPr>
        <w:footnoteReference w:id="24"/>
      </w:r>
    </w:p>
    <w:p w:rsidR="009B0685" w:rsidRPr="00933D80" w:rsidP="009B0685" w14:paraId="618090F3" w14:textId="77777777">
      <w:pPr>
        <w:pStyle w:val="ParaNum"/>
        <w:widowControl/>
      </w:pPr>
      <w:r w:rsidRPr="00933D80">
        <w:t>If a winning bidder fails to pay the balance of its winning bid</w:t>
      </w:r>
      <w:r>
        <w:t>(s)</w:t>
      </w:r>
      <w:r w:rsidRPr="00933D80">
        <w:t xml:space="preserve"> in a lump sum by the deadline specified in this Public Notice, it will be allowed to make a late payment within 10 business days after the payment deadline, provided that it also pays a late fee equal to 5% of the amount due.</w:t>
      </w:r>
      <w:r>
        <w:rPr>
          <w:rStyle w:val="FootnoteReference"/>
        </w:rPr>
        <w:footnoteReference w:id="25"/>
      </w:r>
      <w:r w:rsidRPr="00933D80">
        <w:t xml:space="preserve">  A winning bidder that fails to pay (a) the balance due for its winning bid(s) by the payment deadline on </w:t>
      </w:r>
      <w:r>
        <w:t>February 14, 2022</w:t>
      </w:r>
      <w:r w:rsidRPr="00933D80">
        <w:t xml:space="preserve">, and (b) the balance of its winning bid(s) plus the late fee by the late payment deadline on </w:t>
      </w:r>
      <w:r>
        <w:t>March 1, 2022</w:t>
      </w:r>
      <w:r w:rsidRPr="00933D80">
        <w:t>, will be deemed to have defaulted, and will be subject to applicable default payments.</w:t>
      </w:r>
      <w:r>
        <w:rPr>
          <w:rStyle w:val="FootnoteReference"/>
        </w:rPr>
        <w:footnoteReference w:id="26"/>
      </w:r>
    </w:p>
    <w:p w:rsidR="009B0685" w:rsidRPr="00933D80" w:rsidP="009B0685" w14:paraId="1C459A43" w14:textId="77777777">
      <w:pPr>
        <w:pStyle w:val="ParaNum"/>
        <w:widowControl/>
      </w:pPr>
      <w:r w:rsidRPr="00933D80">
        <w:t xml:space="preserve">The Commission will review an applicant’s long-form application (FCC Form 601) only after receipt of full and timely payment for </w:t>
      </w:r>
      <w:r>
        <w:t>its</w:t>
      </w:r>
      <w:r w:rsidRPr="00933D80">
        <w:t xml:space="preserve"> winning bid(s) and any applicable late fees.  The relevant license will be granted only after full and timely payment of any winning bids (and any applicable late fees) and a determination that the long-form application meets Commission requirements for grant.</w:t>
      </w:r>
      <w:r>
        <w:rPr>
          <w:vertAlign w:val="superscript"/>
        </w:rPr>
        <w:footnoteReference w:id="27"/>
      </w:r>
      <w:r w:rsidRPr="00933D80">
        <w:t xml:space="preserve">  </w:t>
      </w:r>
    </w:p>
    <w:p w:rsidR="009B0685" w:rsidRPr="00933D80" w:rsidP="009B0685" w14:paraId="353BC9F7" w14:textId="77777777">
      <w:pPr>
        <w:pStyle w:val="ParaNum"/>
        <w:widowControl/>
      </w:pPr>
      <w:r w:rsidRPr="00933D80">
        <w:t>A bidder that is found to have violated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28"/>
      </w:r>
    </w:p>
    <w:bookmarkEnd w:id="13"/>
    <w:bookmarkEnd w:id="14"/>
    <w:bookmarkEnd w:id="15"/>
    <w:bookmarkEnd w:id="16"/>
    <w:bookmarkEnd w:id="17"/>
    <w:bookmarkEnd w:id="18"/>
    <w:bookmarkEnd w:id="19"/>
    <w:bookmarkEnd w:id="20"/>
    <w:bookmarkEnd w:id="21"/>
    <w:p w:rsidR="009B0685" w:rsidRPr="00933D80" w:rsidP="009B0685" w14:paraId="51BFE976" w14:textId="77777777">
      <w:pPr>
        <w:pStyle w:val="Heading2"/>
        <w:widowControl/>
      </w:pPr>
      <w:r w:rsidRPr="00933D80">
        <w:t>Refund of Excess Payments</w:t>
      </w:r>
    </w:p>
    <w:p w:rsidR="009B0685" w:rsidRPr="00933D80" w:rsidP="009B0685" w14:paraId="4A6C40D0" w14:textId="77777777">
      <w:pPr>
        <w:pStyle w:val="ParaNum"/>
        <w:widowControl/>
      </w:pPr>
      <w:r w:rsidRPr="00933D80">
        <w:t xml:space="preserve">Upfront payment monies on deposit with the Commission that are </w:t>
      </w:r>
      <w:r w:rsidRPr="00933D80">
        <w:t>in excess of</w:t>
      </w:r>
      <w:r w:rsidRPr="00933D80">
        <w:t xml:space="preserve"> an applicant’s Auction 1</w:t>
      </w:r>
      <w:r>
        <w:t>1</w:t>
      </w:r>
      <w:r w:rsidRPr="00933D80">
        <w:t xml:space="preserve">0 obligations will be refunded to the payer of record, as identified on the FCC Form 159 submitted with the applicant’s upfront payment, unless that payer submits written authorization providing alternative payee instructions.  To receive a refund, an applicant must submit a written refund request with the information indicated in paragraph </w:t>
      </w:r>
      <w:r>
        <w:t>27</w:t>
      </w:r>
      <w:r w:rsidRPr="00933D80">
        <w:t xml:space="preserve">.  Each applicant can provide this information by using the FCC auction application system to file its refund information electronically using the </w:t>
      </w:r>
      <w:r w:rsidRPr="00933D80">
        <w:rPr>
          <w:b/>
          <w:bCs/>
        </w:rPr>
        <w:t>Refund Form</w:t>
      </w:r>
      <w:r w:rsidRPr="00933D80">
        <w:t xml:space="preserve"> icon found on the </w:t>
      </w:r>
      <w:r w:rsidRPr="00933D80">
        <w:rPr>
          <w:i/>
          <w:iCs/>
        </w:rPr>
        <w:t>Auction Application Manager</w:t>
      </w:r>
      <w:r w:rsidRPr="00933D80">
        <w:t xml:space="preserve"> page.  After the required information is completed on the blank form, the form should be printed, signed, and submitted to the Commission by fax or email as instructed below. </w:t>
      </w:r>
      <w:bookmarkStart w:id="22" w:name="_Hlk536189148"/>
    </w:p>
    <w:p w:rsidR="009B0685" w:rsidRPr="00933D80" w:rsidP="009B0685" w14:paraId="35FF4973" w14:textId="77777777">
      <w:pPr>
        <w:pStyle w:val="ParaNum"/>
        <w:widowControl/>
      </w:pPr>
      <w:r w:rsidRPr="00933D80">
        <w:t xml:space="preserve">If </w:t>
      </w:r>
      <w:r>
        <w:t>an applicant</w:t>
      </w:r>
      <w:r w:rsidRPr="00933D80">
        <w:t xml:space="preserve"> elect</w:t>
      </w:r>
      <w:r>
        <w:t>s</w:t>
      </w:r>
      <w:r w:rsidRPr="00933D80">
        <w:t xml:space="preserve"> not to access the Refund Form through the </w:t>
      </w:r>
      <w:r w:rsidRPr="00933D80">
        <w:rPr>
          <w:i/>
        </w:rPr>
        <w:t>Auction Application Manager</w:t>
      </w:r>
      <w:r w:rsidRPr="00933D80">
        <w:t xml:space="preserve"> page, the Commission requests that all information listed below be supplied in writing.</w:t>
      </w:r>
      <w:bookmarkEnd w:id="22"/>
    </w:p>
    <w:p w:rsidR="009B0685" w:rsidRPr="00933D80" w:rsidP="009B0685" w14:paraId="1DB18B1C" w14:textId="77777777">
      <w:pPr>
        <w:keepNext/>
        <w:keepLines/>
        <w:widowControl/>
        <w:ind w:left="1440" w:firstLine="720"/>
      </w:pPr>
      <w:r w:rsidRPr="00933D80">
        <w:t>Name, address, contact, and phone number of Bank</w:t>
      </w:r>
    </w:p>
    <w:p w:rsidR="009B0685" w:rsidRPr="00933D80" w:rsidP="009B0685" w14:paraId="3F326BD7" w14:textId="77777777">
      <w:pPr>
        <w:keepNext/>
        <w:keepLines/>
        <w:widowControl/>
        <w:ind w:left="2160"/>
      </w:pPr>
      <w:r w:rsidRPr="00933D80">
        <w:t>ABA Number (</w:t>
      </w:r>
      <w:r>
        <w:t>capable to accept ACH payments</w:t>
      </w:r>
      <w:r w:rsidRPr="00933D80">
        <w:t xml:space="preserve">) </w:t>
      </w:r>
    </w:p>
    <w:p w:rsidR="009B0685" w:rsidRPr="00933D80" w:rsidP="009B0685" w14:paraId="0C5FF991" w14:textId="77777777">
      <w:pPr>
        <w:keepNext/>
        <w:keepLines/>
        <w:widowControl/>
        <w:ind w:left="1440" w:firstLine="720"/>
      </w:pPr>
      <w:r w:rsidRPr="00933D80">
        <w:t>Account Number to Credit</w:t>
      </w:r>
    </w:p>
    <w:p w:rsidR="009B0685" w:rsidRPr="00933D80" w:rsidP="009B0685" w14:paraId="58F5D6B6" w14:textId="77777777">
      <w:pPr>
        <w:keepNext/>
        <w:keepLines/>
        <w:widowControl/>
        <w:ind w:left="1440" w:firstLine="720"/>
      </w:pPr>
      <w:r w:rsidRPr="00933D80">
        <w:t>Name of Account Holder</w:t>
      </w:r>
    </w:p>
    <w:p w:rsidR="009B0685" w:rsidRPr="00933D80" w:rsidP="009B0685" w14:paraId="6A3AF64E" w14:textId="77777777">
      <w:pPr>
        <w:keepNext/>
        <w:keepLines/>
        <w:widowControl/>
        <w:spacing w:after="240"/>
        <w:ind w:left="1440" w:firstLine="720"/>
      </w:pPr>
      <w:r w:rsidRPr="00933D80">
        <w:t>FCC Registration Number (</w:t>
      </w:r>
      <w:r w:rsidRPr="00933D80">
        <w:t>FRN</w:t>
      </w:r>
      <w:r w:rsidRPr="00933D80">
        <w:t>)</w:t>
      </w:r>
    </w:p>
    <w:p w:rsidR="009B0685" w:rsidRPr="00933D80" w:rsidP="009B0685" w14:paraId="730807A4" w14:textId="77777777">
      <w:pPr>
        <w:widowControl/>
        <w:spacing w:after="120"/>
      </w:pPr>
      <w:r w:rsidRPr="00933D80">
        <w:t xml:space="preserve">The refund request must be submitted by fax to the Revenue &amp; Receivables Operations Group/Auctions at (202) 418-2843 or by email to </w:t>
      </w:r>
      <w:hyperlink r:id="rId9" w:history="1">
        <w:r>
          <w:rPr>
            <w:color w:val="0000FF"/>
            <w:u w:val="single"/>
          </w:rPr>
          <w:t>RROGWireFaxes@fcc.gov</w:t>
        </w:r>
      </w:hyperlink>
      <w:r w:rsidRPr="00933D80">
        <w:t xml:space="preserve">. </w:t>
      </w:r>
    </w:p>
    <w:p w:rsidR="009B0685" w:rsidRPr="00933D80" w:rsidP="009B0685" w14:paraId="161A21B5" w14:textId="77777777">
      <w:pPr>
        <w:pStyle w:val="ParaNum"/>
        <w:widowControl/>
      </w:pPr>
      <w:r w:rsidRPr="00933D80">
        <w:t xml:space="preserve">An applicant seeking a refund should verify that the Tax Identification Number (TIN) associated with its </w:t>
      </w:r>
      <w:r w:rsidRPr="00933D80">
        <w:t>FRN</w:t>
      </w:r>
      <w:r w:rsidRPr="00933D80">
        <w:t xml:space="preserve"> is correct by visiting the FCC Registration Number website at </w:t>
      </w:r>
      <w:hyperlink r:id="rId10" w:history="1">
        <w:r>
          <w:rPr>
            <w:rStyle w:val="Hyperlink"/>
          </w:rPr>
          <w:t>www.fcc.gov/cores</w:t>
        </w:r>
      </w:hyperlink>
      <w:r>
        <w:t xml:space="preserve"> </w:t>
      </w:r>
      <w:r w:rsidRPr="00933D80">
        <w:t xml:space="preserve">to update its records before submitting a refund request.  </w:t>
      </w:r>
      <w:r>
        <w:t xml:space="preserve">A refund request related to </w:t>
      </w:r>
      <w:r w:rsidRPr="00933D80">
        <w:t xml:space="preserve">an </w:t>
      </w:r>
      <w:r w:rsidRPr="00933D80">
        <w:t>FRN</w:t>
      </w:r>
      <w:r w:rsidRPr="00933D80">
        <w:t xml:space="preserve"> with no TIN on file cannot be processed until a TIN is provided.</w:t>
      </w:r>
    </w:p>
    <w:p w:rsidR="009B0685" w:rsidRPr="00933D80" w:rsidP="009B0685" w14:paraId="038BCB70" w14:textId="77777777">
      <w:pPr>
        <w:pStyle w:val="ParaNum"/>
        <w:widowControl/>
      </w:pPr>
      <w:r w:rsidRPr="00933D80">
        <w:rPr>
          <w:szCs w:val="22"/>
        </w:rPr>
        <w:t xml:space="preserve">Refund processing generally takes up to two weeks to complete.  </w:t>
      </w:r>
      <w:r w:rsidRPr="00933D80">
        <w:t xml:space="preserve">Any questions concerning refunds should be directed to </w:t>
      </w:r>
      <w:r w:rsidRPr="00933D80">
        <w:rPr>
          <w:szCs w:val="22"/>
        </w:rPr>
        <w:t xml:space="preserve">Scott Radcliffe at (202) 418-7518, </w:t>
      </w:r>
      <w:hyperlink r:id="rId7" w:history="1">
        <w:r w:rsidRPr="00933D80">
          <w:rPr>
            <w:color w:val="0000FF"/>
            <w:szCs w:val="22"/>
            <w:u w:val="single"/>
          </w:rPr>
          <w:t>Scott.Radcliffe@fcc.gov</w:t>
        </w:r>
      </w:hyperlink>
      <w:r w:rsidRPr="00933D80">
        <w:rPr>
          <w:szCs w:val="22"/>
        </w:rPr>
        <w:t xml:space="preserve">, </w:t>
      </w:r>
      <w:r w:rsidRPr="00933D80">
        <w:t xml:space="preserve">or Theresa Meeks at (202) 418-2945, </w:t>
      </w:r>
      <w:hyperlink r:id="rId8" w:history="1">
        <w:r w:rsidRPr="00933D80">
          <w:rPr>
            <w:color w:val="0000FF"/>
            <w:u w:val="single"/>
          </w:rPr>
          <w:t>Theresa.Meeks@fcc.gov</w:t>
        </w:r>
      </w:hyperlink>
      <w:r w:rsidRPr="00933D80">
        <w:t xml:space="preserve">. </w:t>
      </w:r>
      <w:r w:rsidRPr="00933D80">
        <w:rPr>
          <w:color w:val="000000"/>
          <w:szCs w:val="22"/>
        </w:rPr>
        <w:t xml:space="preserve"> Auctions Accounting Branch staff may also be reached through the FCC Auctions Hotline at (717) 338-2868.  </w:t>
      </w:r>
    </w:p>
    <w:p w:rsidR="009B0685" w:rsidRPr="00933D80" w:rsidP="009B0685" w14:paraId="25084162" w14:textId="77777777">
      <w:pPr>
        <w:pStyle w:val="Heading2"/>
        <w:widowControl/>
      </w:pPr>
      <w:r w:rsidRPr="00933D80">
        <w:t>Post-Auction (Long-Form) License Application (FCC Form 601)</w:t>
      </w:r>
      <w:r w:rsidRPr="00933D80">
        <w:rPr>
          <w:rFonts w:cs="Calibri"/>
        </w:rPr>
        <w:t>—</w:t>
      </w:r>
      <w:r w:rsidRPr="00933D80">
        <w:t xml:space="preserve">Due Before 6:00 p.m. ET on </w:t>
      </w:r>
      <w:r>
        <w:t>January 31, 2022</w:t>
      </w:r>
    </w:p>
    <w:p w:rsidR="009B0685" w:rsidRPr="00933D80" w:rsidP="009B0685" w14:paraId="48C12132" w14:textId="77777777">
      <w:pPr>
        <w:pStyle w:val="ParaNum"/>
        <w:widowControl/>
      </w:pPr>
      <w:r w:rsidRPr="00933D80">
        <w:t>Each winning bidder must submit electronically a properly completed long-form application (FCC Form 601) for all licenses for which it was the winning bidder in Auction 1</w:t>
      </w:r>
      <w:r>
        <w:t>1</w:t>
      </w:r>
      <w:r w:rsidRPr="00933D80">
        <w:t xml:space="preserve">0 before </w:t>
      </w:r>
      <w:r w:rsidRPr="00933D80">
        <w:rPr>
          <w:b/>
        </w:rPr>
        <w:t xml:space="preserve">6:00 p.m. ET on </w:t>
      </w:r>
      <w:r>
        <w:rPr>
          <w:b/>
        </w:rPr>
        <w:t>January 31, 2022</w:t>
      </w:r>
      <w:r w:rsidRPr="00933D80">
        <w:t xml:space="preserve">.  </w:t>
      </w:r>
    </w:p>
    <w:p w:rsidR="009B0685" w:rsidRPr="00933D80" w:rsidP="009B0685" w14:paraId="342357C7" w14:textId="77777777">
      <w:pPr>
        <w:pStyle w:val="ParaNum"/>
        <w:widowControl/>
        <w:rPr>
          <w:snapToGrid/>
          <w:kern w:val="0"/>
          <w:sz w:val="24"/>
          <w:szCs w:val="24"/>
        </w:rPr>
      </w:pPr>
      <w:r w:rsidRPr="00933D80">
        <w:t>Instructions for completing the long-form application (FCC Form 601) are available on the Auction 1</w:t>
      </w:r>
      <w:r>
        <w:t>1</w:t>
      </w:r>
      <w:r w:rsidRPr="00933D80">
        <w:t>0 website (</w:t>
      </w:r>
      <w:hyperlink r:id="rId6" w:history="1">
        <w:r>
          <w:rPr>
            <w:color w:val="0000FF"/>
            <w:u w:val="single"/>
          </w:rPr>
          <w:t>www.fcc.gov/auction/110</w:t>
        </w:r>
      </w:hyperlink>
      <w:r w:rsidRPr="00933D80">
        <w:t>) in the “Education” section (</w:t>
      </w:r>
      <w:r w:rsidRPr="00933D80">
        <w:rPr>
          <w:i/>
          <w:iCs/>
        </w:rPr>
        <w:t xml:space="preserve">Instructions for Completing FCC </w:t>
      </w:r>
      <w:r w:rsidRPr="003D2EDE">
        <w:t>Form</w:t>
      </w:r>
      <w:r w:rsidRPr="00933D80">
        <w:rPr>
          <w:i/>
          <w:iCs/>
        </w:rPr>
        <w:t xml:space="preserve"> 601 and FCC Form 602</w:t>
      </w:r>
      <w:r w:rsidRPr="00933D80">
        <w:t xml:space="preserve">).  These instructions also describe which information will be transferred automatically from a winning bidder’s short-form application (FCC Form 175) to its long-form application (FCC Form 601).  </w:t>
      </w:r>
      <w:r w:rsidRPr="513A0565">
        <w:t>A winning bidder claiming eligibility for a small business bidding credit or a rural service provider bidding credit must demonstrate its eligibility in its long-form application for the bidding credit claimed.</w:t>
      </w:r>
      <w:r>
        <w:rPr>
          <w:vertAlign w:val="superscript"/>
        </w:rPr>
        <w:footnoteReference w:id="29"/>
      </w:r>
      <w:r w:rsidRPr="513A0565">
        <w:t xml:space="preserve">  Winning bidders organized as bidding consortia must comply with the FCC Form 601 post-auction application procedures set forth in section 1.2107(g) of the Commission’s rules.</w:t>
      </w:r>
      <w:r>
        <w:rPr>
          <w:vertAlign w:val="superscript"/>
        </w:rPr>
        <w:footnoteReference w:id="30"/>
      </w:r>
      <w:r w:rsidRPr="513A0565">
        <w:t xml:space="preserve">  For further information regarding long-form application filing requirements, </w:t>
      </w:r>
      <w:r w:rsidRPr="513A0565">
        <w:t xml:space="preserve">including specific requirements for applicants requesting a bidding credit and for winning bidders organized as consortia, please see the </w:t>
      </w:r>
      <w:r w:rsidRPr="00933D80">
        <w:rPr>
          <w:i/>
          <w:iCs/>
        </w:rPr>
        <w:t>Instructions for Completing FCC Form 601 and FCC Form 602</w:t>
      </w:r>
      <w:r w:rsidRPr="00933D80">
        <w:rPr>
          <w:szCs w:val="22"/>
        </w:rPr>
        <w:t>.</w:t>
      </w:r>
    </w:p>
    <w:p w:rsidR="009B0685" w:rsidRPr="00933D80" w:rsidP="009B0685" w14:paraId="4AEB3440" w14:textId="77777777">
      <w:pPr>
        <w:pStyle w:val="ParaNum"/>
        <w:widowControl/>
      </w:pPr>
      <w:r w:rsidRPr="00933D80">
        <w:t>A winning bidder that fails to submit the required long-form application before the deadline specified in this Public Notice and that fails to establish good cause for any late-filed submission shall be deemed to have defaulted and shall be subject to the payments set forth in section 1.2104(g) of the Commission’s rules.</w:t>
      </w:r>
      <w:r>
        <w:rPr>
          <w:bCs/>
          <w:vertAlign w:val="superscript"/>
        </w:rPr>
        <w:footnoteReference w:id="31"/>
      </w:r>
    </w:p>
    <w:p w:rsidR="009B0685" w:rsidP="009B0685" w14:paraId="3C40559D" w14:textId="77777777">
      <w:pPr>
        <w:pStyle w:val="Heading2"/>
        <w:widowControl/>
        <w:rPr>
          <w:snapToGrid/>
        </w:rPr>
      </w:pPr>
      <w:r>
        <w:t>Tribal Lands Bidding Credit</w:t>
      </w:r>
    </w:p>
    <w:p w:rsidR="009B0685" w:rsidP="009B0685" w14:paraId="0B214420" w14:textId="77777777">
      <w:pPr>
        <w:pStyle w:val="ParaNum"/>
        <w:widowControl/>
        <w:rPr>
          <w:szCs w:val="22"/>
        </w:rPr>
      </w:pPr>
      <w:r>
        <w:t xml:space="preserve">The Commission has implemented a tribal lands bidding credit to encourage the growth of wireless services on the lands of federally recognized tribes.  </w:t>
      </w:r>
      <w:r>
        <w:rPr>
          <w:szCs w:val="22"/>
        </w:rPr>
        <w:t>A winning bidder that intends to use its license(s) to deploy facilities and to provide services to federally recognized tribal lands that are unserved by any telecommunications carrier or that have a wireline penetration rate equal to or less than 85% is eligible to receive a tribal lands bidding credit as set forth in sections 1.2107 and 1.2110(f) of the Commission’s rules.</w:t>
      </w:r>
      <w:r>
        <w:rPr>
          <w:vertAlign w:val="superscript"/>
        </w:rPr>
        <w:footnoteReference w:id="32"/>
      </w:r>
      <w:r>
        <w:rPr>
          <w:vertAlign w:val="superscript"/>
        </w:rPr>
        <w:t xml:space="preserve"> </w:t>
      </w:r>
      <w:r>
        <w:rPr>
          <w:szCs w:val="22"/>
        </w:rPr>
        <w:t xml:space="preserve"> A tribal lands bidding credit is in addition to, and separate from, any other bidding credit for which a winning bidder may qualify.</w:t>
      </w:r>
    </w:p>
    <w:p w:rsidR="009B0685" w:rsidP="009B0685" w14:paraId="163F3C2C" w14:textId="77777777">
      <w:pPr>
        <w:pStyle w:val="ParaNum"/>
        <w:widowControl/>
      </w:pPr>
      <w:r>
        <w:t xml:space="preserve">Unlike other bidding credits that are requested prior to the auction, a winning bidder applies for the tribal lands bidding credit after the auction when it files its FCC Form 601 post-auction application.  The winning bidder should file a single separate application for </w:t>
      </w:r>
      <w:r>
        <w:t>all of</w:t>
      </w:r>
      <w:r>
        <w:t xml:space="preserve"> the licenses won in the auction for which the winning bidder intends to seek a tribal lands bidding credit.</w:t>
      </w:r>
      <w:r>
        <w:rPr>
          <w:color w:val="FF0000"/>
        </w:rPr>
        <w:t xml:space="preserve">  </w:t>
      </w:r>
      <w:r>
        <w:t xml:space="preserve">When initially filing </w:t>
      </w:r>
      <w:r>
        <w:t>this tribal lands</w:t>
      </w:r>
      <w:r>
        <w:t xml:space="preserve"> bidding credit specific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post-auction application filing window to amend its application to select the specific tribal lands to be served and to provide the required tribal government certifications.  Licensees receiving a tribal lands bidding credit are subject to performance criteria as set forth in section 1.2110(f)(3)(vii) of the Commission’s rules.</w:t>
      </w:r>
      <w:r>
        <w:rPr>
          <w:vertAlign w:val="superscript"/>
        </w:rPr>
        <w:footnoteReference w:id="33"/>
      </w:r>
      <w:r>
        <w:t xml:space="preserve">  </w:t>
      </w:r>
    </w:p>
    <w:p w:rsidR="009B0685" w:rsidP="009B0685" w14:paraId="12F40E79" w14:textId="77777777">
      <w:pPr>
        <w:pStyle w:val="ParaNum"/>
        <w:widowControl/>
        <w:rPr>
          <w:kern w:val="0"/>
          <w:sz w:val="24"/>
          <w:szCs w:val="24"/>
        </w:rPr>
      </w:pPr>
      <w:r>
        <w:t>For additional information on the tribal lands bidding credit, including how the amount of the credit is calculated, applicants should review the Commission’s rulemaking proceeding regarding tribal lands bidding credits and related public notices.</w:t>
      </w:r>
      <w:r>
        <w:rPr>
          <w:vertAlign w:val="superscript"/>
        </w:rPr>
        <w:footnoteReference w:id="34"/>
      </w:r>
      <w:r>
        <w:t xml:space="preserve">  For additional information about what a winning bidder must provide in its long-form application if it wishes to claim the tribal lands bidding credit, please see the </w:t>
      </w:r>
      <w:r w:rsidRPr="00C377D6">
        <w:rPr>
          <w:i/>
        </w:rPr>
        <w:t>Instructions for Completing FCC Form 601 and FCC Form 602</w:t>
      </w:r>
      <w:r>
        <w:t>.</w:t>
      </w:r>
      <w:r>
        <w:rPr>
          <w:kern w:val="0"/>
          <w:sz w:val="24"/>
          <w:szCs w:val="24"/>
        </w:rPr>
        <w:t xml:space="preserve"> </w:t>
      </w:r>
    </w:p>
    <w:p w:rsidR="009B0685" w:rsidRPr="00933D80" w:rsidP="009B0685" w14:paraId="37DBEB0F" w14:textId="77777777">
      <w:pPr>
        <w:pStyle w:val="Heading2"/>
        <w:widowControl/>
      </w:pPr>
      <w:r w:rsidRPr="00933D80">
        <w:t>Ownership Disclosure Information Report (FCC Form 602)</w:t>
      </w:r>
    </w:p>
    <w:p w:rsidR="009B0685" w:rsidRPr="00933D80" w:rsidP="009B0685" w14:paraId="0AD573A5" w14:textId="77777777">
      <w:pPr>
        <w:pStyle w:val="ParaNum"/>
        <w:widowControl/>
      </w:pPr>
      <w:r w:rsidRPr="00933D80">
        <w:t>Pursuant to sections 1.913, 1.919, and 1.2107(f) of the Commission’s rules, an applicant for a license offered at auction must, at the time of submitting its FCC Form 601, have on file with the Commission a current ownership disclosure information report (FCC Form 602) that provides the applicant’s complete and accurate ownership information.</w:t>
      </w:r>
      <w:r>
        <w:rPr>
          <w:vertAlign w:val="superscript"/>
        </w:rPr>
        <w:footnoteReference w:id="35"/>
      </w:r>
      <w:r w:rsidRPr="00933D80">
        <w:t xml:space="preserve">  As explained in the </w:t>
      </w:r>
      <w:r w:rsidRPr="00933D80">
        <w:rPr>
          <w:i/>
          <w:iCs/>
        </w:rPr>
        <w:t>Instructions for Completing FCC Form 601 and FCC Form 602</w:t>
      </w:r>
      <w:r w:rsidRPr="00933D80">
        <w:t>, filing an ownership disclosure information report (FCC Form 602) is a separate requirement from, and in addition to, the ownership reporting requirements associated with filing an FCC Form 601, Exhibit A.</w:t>
      </w:r>
      <w:r>
        <w:rPr>
          <w:vertAlign w:val="superscript"/>
        </w:rPr>
        <w:footnoteReference w:id="36"/>
      </w:r>
      <w:r w:rsidRPr="00933D80">
        <w:t xml:space="preserve">  A winning bidder should carefully follow the instructions set forth in the </w:t>
      </w:r>
      <w:r w:rsidRPr="00933D80">
        <w:rPr>
          <w:i/>
          <w:iCs/>
        </w:rPr>
        <w:t>Instructions for Completing FCC Form 601 and FCC Form 602</w:t>
      </w:r>
      <w:r w:rsidRPr="00933D80">
        <w:t xml:space="preserve"> when filing its ownership disclosure report.</w:t>
      </w:r>
    </w:p>
    <w:p w:rsidR="009B0685" w:rsidRPr="00933D80" w:rsidP="009B0685" w14:paraId="39C24893" w14:textId="77777777">
      <w:pPr>
        <w:pStyle w:val="Heading2"/>
        <w:widowControl/>
      </w:pPr>
      <w:r w:rsidRPr="00933D80">
        <w:t>Maintaining Accuracy of Information</w:t>
      </w:r>
    </w:p>
    <w:p w:rsidR="009B0685" w:rsidRPr="00933D80" w:rsidP="009B0685" w14:paraId="6D66FBC0" w14:textId="77777777">
      <w:pPr>
        <w:pStyle w:val="ParaNum"/>
        <w:widowControl/>
      </w:pPr>
      <w:r w:rsidRPr="00933D80">
        <w:t>Now that Auction 1</w:t>
      </w:r>
      <w:r>
        <w:t>1</w:t>
      </w:r>
      <w:r w:rsidRPr="00933D80">
        <w:t>0 has closed, all required changes to an Auction 1</w:t>
      </w:r>
      <w:r>
        <w:t>1</w:t>
      </w:r>
      <w:r w:rsidRPr="00933D80">
        <w:t>0 applicant’s information must be made by filing or amending the applicant’s long-form application (FCC Form 601) in the Commission’s Universal Licensing System (ULS).</w:t>
      </w:r>
      <w:r>
        <w:rPr>
          <w:vertAlign w:val="superscript"/>
        </w:rPr>
        <w:footnoteReference w:id="37"/>
      </w:r>
      <w:r w:rsidRPr="00933D80">
        <w:t xml:space="preserve">  With the release of this Public Notice, an Auction 1</w:t>
      </w:r>
      <w:r>
        <w:t>1</w:t>
      </w:r>
      <w:r w:rsidRPr="00933D80">
        <w:t>0 applicant is no longer required to maintain the accuracy and completeness of information furnished in its Auction 1</w:t>
      </w:r>
      <w:r>
        <w:t>1</w:t>
      </w:r>
      <w:r w:rsidRPr="00933D80">
        <w:t xml:space="preserve">0 short-form application (FCC Form 175) and </w:t>
      </w:r>
      <w:r>
        <w:t>attachments</w:t>
      </w:r>
      <w:r w:rsidRPr="00933D80">
        <w:t>.</w:t>
      </w:r>
    </w:p>
    <w:p w:rsidR="009B0685" w:rsidRPr="00933D80" w:rsidP="009B0685" w14:paraId="22D4F87A" w14:textId="77777777">
      <w:pPr>
        <w:pStyle w:val="Heading2"/>
        <w:widowControl/>
      </w:pPr>
      <w:r w:rsidRPr="00933D80">
        <w:t xml:space="preserve">Application Processing, Petitions </w:t>
      </w:r>
      <w:r>
        <w:t>t</w:t>
      </w:r>
      <w:r w:rsidRPr="00933D80">
        <w:t>o Deny, and License Grant</w:t>
      </w:r>
    </w:p>
    <w:p w:rsidR="009B0685" w:rsidRPr="00933D80" w:rsidP="009B0685" w14:paraId="5F4D2062" w14:textId="77777777">
      <w:pPr>
        <w:pStyle w:val="ParaNum"/>
        <w:widowControl/>
      </w:pPr>
      <w:r w:rsidRPr="00933D80">
        <w:t xml:space="preserve">After its initial review of the long-form applications, WTB will </w:t>
      </w:r>
      <w:r>
        <w:t>release</w:t>
      </w:r>
      <w:r w:rsidRPr="00933D80">
        <w:t xml:space="preserve"> a public notice listing the applications that are acceptable for filing.  Pursuant to section 1.2108(b) of the Commission’s rules, interested parties will have 10</w:t>
      </w:r>
      <w:r w:rsidRPr="00933D80">
        <w:rPr>
          <w:b/>
        </w:rPr>
        <w:t xml:space="preserve"> </w:t>
      </w:r>
      <w:r w:rsidRPr="00933D80">
        <w:t>days from the release of that public notice within which to file petitions to deny any of these applications.</w:t>
      </w:r>
      <w:r>
        <w:rPr>
          <w:vertAlign w:val="superscript"/>
        </w:rPr>
        <w:footnoteReference w:id="38"/>
      </w:r>
      <w:r w:rsidRPr="00933D80">
        <w:t xml:space="preserve">  An applicant may file an opposition to any petition to deny within five business days after the time for filing petitions to deny has expired.</w:t>
      </w:r>
      <w:r>
        <w:rPr>
          <w:vertAlign w:val="superscript"/>
        </w:rPr>
        <w:footnoteReference w:id="39"/>
      </w:r>
      <w:r w:rsidRPr="00933D80">
        <w:t xml:space="preserve">  Replies must be filed within five</w:t>
      </w:r>
      <w:r w:rsidRPr="00933D80">
        <w:rPr>
          <w:b/>
        </w:rPr>
        <w:t xml:space="preserve"> </w:t>
      </w:r>
      <w:r w:rsidRPr="00933D80">
        <w:t>business days after the time for filing oppositions to a petition to deny has expired.</w:t>
      </w:r>
      <w:r>
        <w:rPr>
          <w:vertAlign w:val="superscript"/>
        </w:rPr>
        <w:footnoteReference w:id="40"/>
      </w:r>
      <w:r w:rsidRPr="00933D80">
        <w:t xml:space="preserve">  The Commission reminds all parties and their counsel that the Commission intends to use its authority fully to deter the filing of frivolous pleadings.</w:t>
      </w:r>
      <w:r>
        <w:rPr>
          <w:vertAlign w:val="superscript"/>
        </w:rPr>
        <w:footnoteReference w:id="41"/>
      </w:r>
      <w:r w:rsidRPr="00933D80">
        <w:t xml:space="preserve">  </w:t>
      </w:r>
    </w:p>
    <w:p w:rsidR="009B0685" w:rsidRPr="00933D80" w:rsidP="009B0685" w14:paraId="2CE0350E" w14:textId="77777777">
      <w:pPr>
        <w:pStyle w:val="ParaNum"/>
        <w:widowControl/>
      </w:pPr>
      <w:r w:rsidRPr="00933D80">
        <w:t>After the long-form application review process is completed, if Commission staff determines that additional payment from an applicant is due, WTB will provide further instructions in a future public notice or by demand letter.</w:t>
      </w:r>
      <w:r>
        <w:rPr>
          <w:vertAlign w:val="superscript"/>
        </w:rPr>
        <w:footnoteReference w:id="42"/>
      </w:r>
      <w:r w:rsidRPr="00933D80">
        <w:t xml:space="preserve">  If Commission staff determines that an applicant is otherwise qualified and that there are no substantial and material issues of fact, WTB will </w:t>
      </w:r>
      <w:r>
        <w:t>release</w:t>
      </w:r>
      <w:r w:rsidRPr="00933D80">
        <w:t xml:space="preserve"> a public notice announcing grant of the license(s) to the applicant.</w:t>
      </w:r>
      <w:r>
        <w:rPr>
          <w:vertAlign w:val="superscript"/>
        </w:rPr>
        <w:footnoteReference w:id="43"/>
      </w:r>
    </w:p>
    <w:p w:rsidR="009B0685" w:rsidRPr="00933D80" w:rsidP="009B0685" w14:paraId="306031AE" w14:textId="77777777">
      <w:pPr>
        <w:pStyle w:val="Heading1"/>
        <w:widowControl/>
      </w:pPr>
      <w:r w:rsidRPr="00933D80">
        <w:t>OTHER IMPORTANT INFORMATION</w:t>
      </w:r>
    </w:p>
    <w:p w:rsidR="009B0685" w:rsidRPr="00933D80" w:rsidP="009B0685" w14:paraId="755EA0A5" w14:textId="77777777">
      <w:pPr>
        <w:pStyle w:val="Heading2"/>
        <w:widowControl/>
      </w:pPr>
      <w:r w:rsidRPr="00933D80">
        <w:t>Continuing Prohibition on Certain Communications</w:t>
      </w:r>
    </w:p>
    <w:p w:rsidR="009B0685" w:rsidRPr="00933D80" w:rsidP="009B0685" w14:paraId="4A45E23C" w14:textId="77777777">
      <w:pPr>
        <w:pStyle w:val="ParaNum"/>
        <w:widowControl/>
        <w:rPr>
          <w:snapToGrid/>
        </w:rPr>
      </w:pPr>
      <w:r w:rsidRPr="00933D80">
        <w:t>We remind applicants that the rules prohibiting certain communications set forth in section 1.2105(c) of the Commission’s rules apply to each applicant that filed a short-form application (FCC Form 175) in Auction 1</w:t>
      </w:r>
      <w:r>
        <w:t>1</w:t>
      </w:r>
      <w:r w:rsidRPr="00933D80">
        <w:t>0.</w:t>
      </w:r>
      <w:r>
        <w:rPr>
          <w:vertAlign w:val="superscript"/>
        </w:rPr>
        <w:footnoteReference w:id="44"/>
      </w:r>
      <w:r w:rsidRPr="00933D80">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5"/>
      </w:r>
      <w:r w:rsidRPr="00933D80">
        <w:t xml:space="preserve">  </w:t>
      </w:r>
      <w:r w:rsidRPr="00933D80">
        <w:rPr>
          <w:szCs w:val="22"/>
        </w:rPr>
        <w:t>An “applicant” for purposes of this rule includes all “controlling interests” in the entity submitting the FCC Form 175 auction application, as well as all holders of interests amounting to 10% or more of the entity, and all officers and directors of that entity.</w:t>
      </w:r>
      <w:r>
        <w:rPr>
          <w:szCs w:val="22"/>
          <w:vertAlign w:val="superscript"/>
        </w:rPr>
        <w:footnoteReference w:id="46"/>
      </w:r>
      <w:r w:rsidRPr="00933D80">
        <w:rPr>
          <w:szCs w:val="22"/>
        </w:rPr>
        <w:t xml:space="preserve">  </w:t>
      </w:r>
    </w:p>
    <w:p w:rsidR="009B0685" w:rsidRPr="00933D80" w:rsidP="009B0685" w14:paraId="76050138" w14:textId="77777777">
      <w:pPr>
        <w:pStyle w:val="ParaNum"/>
        <w:widowControl/>
      </w:pPr>
      <w:r w:rsidRPr="00933D80">
        <w:t>This prohibition took effect as of the short-form application filing deadline, which for Auction 1</w:t>
      </w:r>
      <w:r>
        <w:t>1</w:t>
      </w:r>
      <w:r w:rsidRPr="00933D80">
        <w:t xml:space="preserve">0 was </w:t>
      </w:r>
      <w:r>
        <w:t>Wednesday, July 21, 2021</w:t>
      </w:r>
      <w:r w:rsidRPr="00933D80">
        <w:t>, at 6:00 p.m. ET, and ends at the post-auction down payment deadline for Auction 1</w:t>
      </w:r>
      <w:r>
        <w:t>1</w:t>
      </w:r>
      <w:r w:rsidRPr="00933D80">
        <w:t xml:space="preserve">0, which is </w:t>
      </w:r>
      <w:r>
        <w:t>Monday, January 31, 2022,</w:t>
      </w:r>
      <w:r w:rsidRPr="00933D80">
        <w:t xml:space="preserve"> at 6:00 p.m. ET.</w:t>
      </w:r>
      <w:r>
        <w:rPr>
          <w:vertAlign w:val="superscript"/>
        </w:rPr>
        <w:footnoteReference w:id="47"/>
      </w:r>
      <w:r w:rsidRPr="00933D80">
        <w:t xml:space="preserve">  </w:t>
      </w:r>
      <w:r w:rsidRPr="00933D80">
        <w:rPr>
          <w:b/>
        </w:rPr>
        <w:t>This prohibition applies to all applicants regardless of whether such applicants became qualified bidders, or actually bid</w:t>
      </w:r>
      <w:r>
        <w:rPr>
          <w:b/>
        </w:rPr>
        <w:t>,</w:t>
      </w:r>
      <w:r w:rsidRPr="00933D80">
        <w:rPr>
          <w:b/>
        </w:rPr>
        <w:t xml:space="preserve"> in Auction 1</w:t>
      </w:r>
      <w:r>
        <w:rPr>
          <w:b/>
        </w:rPr>
        <w:t>1</w:t>
      </w:r>
      <w:r w:rsidRPr="00933D80">
        <w:rPr>
          <w:b/>
        </w:rPr>
        <w:t>0.</w:t>
      </w:r>
      <w:r>
        <w:rPr>
          <w:vertAlign w:val="superscript"/>
        </w:rPr>
        <w:footnoteReference w:id="48"/>
      </w:r>
      <w:r w:rsidRPr="00933D80">
        <w:t xml:space="preserve">  For further information on the prohibition, applicants should refer to the </w:t>
      </w:r>
      <w:r w:rsidRPr="00933D80">
        <w:rPr>
          <w:i/>
        </w:rPr>
        <w:t>Auction 1</w:t>
      </w:r>
      <w:r>
        <w:rPr>
          <w:i/>
        </w:rPr>
        <w:t>1</w:t>
      </w:r>
      <w:r w:rsidRPr="00933D80">
        <w:rPr>
          <w:i/>
        </w:rPr>
        <w:t xml:space="preserve">0 Procedures Public Notice </w:t>
      </w:r>
      <w:r w:rsidRPr="00933D80">
        <w:t xml:space="preserve">and the </w:t>
      </w:r>
      <w:r w:rsidRPr="00933D80">
        <w:rPr>
          <w:i/>
        </w:rPr>
        <w:t>Auction 1</w:t>
      </w:r>
      <w:r>
        <w:rPr>
          <w:i/>
        </w:rPr>
        <w:t>1</w:t>
      </w:r>
      <w:r w:rsidRPr="00933D80">
        <w:rPr>
          <w:i/>
        </w:rPr>
        <w:t>0 Qualified Bidders Public Notice</w:t>
      </w:r>
      <w:r w:rsidRPr="00933D80">
        <w:t>.</w:t>
      </w:r>
      <w:r>
        <w:rPr>
          <w:vertAlign w:val="superscript"/>
        </w:rPr>
        <w:footnoteReference w:id="49"/>
      </w:r>
      <w:r w:rsidRPr="00933D80">
        <w:rPr>
          <w:kern w:val="0"/>
          <w:sz w:val="24"/>
          <w:szCs w:val="24"/>
        </w:rPr>
        <w:t xml:space="preserve"> </w:t>
      </w:r>
    </w:p>
    <w:p w:rsidR="009B0685" w:rsidRPr="00933D80" w:rsidP="009B0685" w14:paraId="390CB0FD" w14:textId="77777777">
      <w:pPr>
        <w:pStyle w:val="Heading2"/>
        <w:widowControl/>
      </w:pPr>
      <w:r w:rsidRPr="00933D80">
        <w:t>Access to the Bidding System</w:t>
      </w:r>
    </w:p>
    <w:p w:rsidR="009B0685" w:rsidRPr="00933D80" w:rsidP="009B0685" w14:paraId="36EEA643" w14:textId="570650BD">
      <w:pPr>
        <w:pStyle w:val="ParaNum"/>
        <w:widowControl/>
      </w:pPr>
      <w:r w:rsidRPr="00933D80">
        <w:t>The bidding system will remain accessible to Auction 1</w:t>
      </w:r>
      <w:r>
        <w:t>1</w:t>
      </w:r>
      <w:r w:rsidRPr="00933D80">
        <w:t>0 qualified bidders until 12:00</w:t>
      </w:r>
      <w:r w:rsidR="00B66404">
        <w:t> </w:t>
      </w:r>
      <w:r>
        <w:t>p.m.</w:t>
      </w:r>
      <w:r w:rsidRPr="00933D80">
        <w:t xml:space="preserve"> ET on </w:t>
      </w:r>
      <w:r>
        <w:t>Friday, January 21, 2022</w:t>
      </w:r>
      <w:r w:rsidRPr="00933D80">
        <w:t xml:space="preserve">.  Bidders should download any files they wish to save from the bidding system before that time.  </w:t>
      </w:r>
    </w:p>
    <w:p w:rsidR="009B0685" w:rsidRPr="00933D80" w:rsidP="009B0685" w14:paraId="7C6D35B2" w14:textId="77777777">
      <w:pPr>
        <w:pStyle w:val="Heading2"/>
        <w:widowControl/>
      </w:pPr>
      <w:r w:rsidRPr="00933D80">
        <w:t>Return of SecurID</w:t>
      </w:r>
      <w:r w:rsidRPr="00933D80">
        <w:rPr>
          <w:rFonts w:ascii="Times New Roman Bold" w:hAnsi="Times New Roman Bold"/>
          <w:vertAlign w:val="superscript"/>
        </w:rPr>
        <w:t>®</w:t>
      </w:r>
      <w:r w:rsidRPr="00933D80">
        <w:t xml:space="preserve"> Tokens</w:t>
      </w:r>
    </w:p>
    <w:p w:rsidR="009B0685" w:rsidRPr="00933D80" w:rsidP="009B0685" w14:paraId="04B1FA4F" w14:textId="77777777">
      <w:pPr>
        <w:pStyle w:val="ParaNum"/>
        <w:widowControl/>
      </w:pPr>
      <w:r w:rsidRPr="00933D80">
        <w:t>The SecurID</w:t>
      </w:r>
      <w:r w:rsidRPr="00933D80">
        <w:rPr>
          <w:vertAlign w:val="superscript"/>
        </w:rPr>
        <w:t xml:space="preserve">® </w:t>
      </w:r>
      <w:r w:rsidRPr="00933D80">
        <w:t>tokens distributed to qualified bidders are tailored to Auction 1</w:t>
      </w:r>
      <w:r>
        <w:t>1</w:t>
      </w:r>
      <w:r w:rsidRPr="00933D80">
        <w:t>0 and will not function in future auctions.  The Commission will send each bidder a pre-addressed, stamped envelope to return its SecurID</w:t>
      </w:r>
      <w:r w:rsidRPr="00933D80">
        <w:rPr>
          <w:vertAlign w:val="superscript"/>
        </w:rPr>
        <w:t xml:space="preserve">® </w:t>
      </w:r>
      <w:r w:rsidRPr="00933D80">
        <w:t>tokens.  Each bidder should return its SecurID</w:t>
      </w:r>
      <w:r w:rsidRPr="00933D80">
        <w:rPr>
          <w:vertAlign w:val="superscript"/>
        </w:rPr>
        <w:t>®</w:t>
      </w:r>
      <w:r w:rsidRPr="00933D80">
        <w:t xml:space="preserve"> token(s) to the Commission for recycling by </w:t>
      </w:r>
      <w:r>
        <w:t>January 31, 2022</w:t>
      </w:r>
      <w:r w:rsidRPr="00933D80">
        <w:t>.</w:t>
      </w:r>
    </w:p>
    <w:p w:rsidR="009B0685" w:rsidP="009B0685" w14:paraId="3ADC59EE" w14:textId="77777777">
      <w:pPr>
        <w:pStyle w:val="Heading2"/>
        <w:widowControl/>
      </w:pPr>
      <w:r>
        <w:t xml:space="preserve">Each </w:t>
      </w:r>
      <w:r w:rsidRPr="006753F7">
        <w:rPr>
          <w:i/>
          <w:iCs/>
        </w:rPr>
        <w:t>Auction 110 Protective Order</w:t>
      </w:r>
      <w:r>
        <w:rPr>
          <w:i/>
          <w:iCs/>
        </w:rPr>
        <w:t xml:space="preserve"> </w:t>
      </w:r>
      <w:r>
        <w:t>Signatory Must Destroy Controlled Unclassified Information by January 28, 2022</w:t>
      </w:r>
    </w:p>
    <w:p w:rsidR="009B0685" w:rsidP="009B0685" w14:paraId="3272BFE7" w14:textId="77777777">
      <w:pPr>
        <w:pStyle w:val="ParaNum"/>
        <w:widowControl/>
        <w:rPr>
          <w:b/>
        </w:rPr>
      </w:pPr>
      <w:r>
        <w:t xml:space="preserve">All representatives of qualified bidders who signed the </w:t>
      </w:r>
      <w:r w:rsidRPr="006753F7">
        <w:rPr>
          <w:i/>
          <w:iCs/>
        </w:rPr>
        <w:t>Auction 110 Protective Order</w:t>
      </w:r>
      <w:r>
        <w:t xml:space="preserve"> and thereby received access to DoD CUI must destroy such information no later than January 28, 2022, two weeks after the release of this Public Notice.</w:t>
      </w:r>
      <w:r>
        <w:rPr>
          <w:rStyle w:val="FootnoteReference"/>
          <w:bCs/>
        </w:rPr>
        <w:footnoteReference w:id="50"/>
      </w:r>
      <w:r>
        <w:t xml:space="preserve">  </w:t>
      </w:r>
      <w:r w:rsidRPr="001106B2">
        <w:t xml:space="preserve">No material whatsoever containing or derived from </w:t>
      </w:r>
      <w:r>
        <w:t>DoD CUI</w:t>
      </w:r>
      <w:r w:rsidRPr="001106B2">
        <w:t xml:space="preserve"> may be retained by any person</w:t>
      </w:r>
      <w:r>
        <w:t xml:space="preserve">, except as specifically provided in the </w:t>
      </w:r>
      <w:r w:rsidRPr="003E20BA">
        <w:rPr>
          <w:i/>
          <w:iCs/>
        </w:rPr>
        <w:t>Auction 110 Protective Order</w:t>
      </w:r>
      <w:r>
        <w:t>.</w:t>
      </w:r>
      <w:r>
        <w:rPr>
          <w:rStyle w:val="FootnoteReference"/>
        </w:rPr>
        <w:footnoteReference w:id="51"/>
      </w:r>
      <w:r>
        <w:t xml:space="preserve"> </w:t>
      </w:r>
      <w:r w:rsidRPr="001106B2">
        <w:t xml:space="preserve"> All </w:t>
      </w:r>
      <w:r>
        <w:t xml:space="preserve">signatories to the </w:t>
      </w:r>
      <w:r w:rsidRPr="006753F7">
        <w:rPr>
          <w:i/>
          <w:iCs/>
        </w:rPr>
        <w:t>Auction 110 Protective Order</w:t>
      </w:r>
      <w:r w:rsidRPr="001106B2">
        <w:t xml:space="preserve"> </w:t>
      </w:r>
      <w:r>
        <w:t>must</w:t>
      </w:r>
      <w:r w:rsidRPr="001106B2">
        <w:t xml:space="preserve"> certify </w:t>
      </w:r>
      <w:r>
        <w:t xml:space="preserve">their </w:t>
      </w:r>
      <w:r w:rsidRPr="001106B2">
        <w:t xml:space="preserve">compliance with the terms </w:t>
      </w:r>
      <w:r>
        <w:t xml:space="preserve">thereof </w:t>
      </w:r>
      <w:r w:rsidRPr="001106B2">
        <w:t xml:space="preserve">and </w:t>
      </w:r>
      <w:r>
        <w:t>submit that</w:t>
      </w:r>
      <w:r w:rsidRPr="001106B2">
        <w:t xml:space="preserve"> certification </w:t>
      </w:r>
      <w:r>
        <w:t>to</w:t>
      </w:r>
      <w:r w:rsidRPr="001106B2">
        <w:t xml:space="preserve"> the Commission </w:t>
      </w:r>
      <w:r>
        <w:t xml:space="preserve">via email to </w:t>
      </w:r>
      <w:hyperlink r:id="rId11" w:history="1">
        <w:r w:rsidRPr="00960F3A">
          <w:rPr>
            <w:rStyle w:val="Hyperlink"/>
          </w:rPr>
          <w:t>auction110@fcc.gov</w:t>
        </w:r>
      </w:hyperlink>
      <w:r>
        <w:t xml:space="preserve"> no later than three weeks after the conclusion of this proceeding.  The</w:t>
      </w:r>
      <w:r w:rsidRPr="001106B2">
        <w:t xml:space="preserve"> certification </w:t>
      </w:r>
      <w:r>
        <w:t>must</w:t>
      </w:r>
      <w:r w:rsidRPr="001106B2">
        <w:t xml:space="preserve"> be made pursuant to 28 U.S.C. </w:t>
      </w:r>
      <w:r>
        <w:t>§ 17</w:t>
      </w:r>
      <w:r w:rsidRPr="001106B2">
        <w:t xml:space="preserve">46 and is subject to 18 U.S.C. </w:t>
      </w:r>
      <w:r>
        <w:t xml:space="preserve">§ </w:t>
      </w:r>
      <w:r w:rsidRPr="001106B2">
        <w:t>1001.</w:t>
      </w:r>
      <w:r>
        <w:rPr>
          <w:rStyle w:val="FootnoteReference"/>
        </w:rPr>
        <w:footnoteReference w:id="52"/>
      </w:r>
    </w:p>
    <w:p w:rsidR="009B0685" w:rsidRPr="00933D80" w:rsidP="009B0685" w14:paraId="7738BC7C" w14:textId="77777777">
      <w:pPr>
        <w:pStyle w:val="Heading2"/>
        <w:widowControl/>
      </w:pPr>
      <w:r w:rsidRPr="00933D80">
        <w:t>Contact Information</w:t>
      </w:r>
    </w:p>
    <w:p w:rsidR="009B0685" w:rsidRPr="00933D80" w:rsidP="009B0685" w14:paraId="56A3CA65" w14:textId="77777777">
      <w:pPr>
        <w:pStyle w:val="ParaNum"/>
        <w:keepNext/>
        <w:widowControl/>
      </w:pPr>
      <w:r w:rsidRPr="00933D80">
        <w:t>For further information, contact:</w:t>
      </w:r>
    </w:p>
    <w:tbl>
      <w:tblPr>
        <w:tblW w:w="9917" w:type="dxa"/>
        <w:tblLayout w:type="fixed"/>
        <w:tblLook w:val="0000"/>
      </w:tblPr>
      <w:tblGrid>
        <w:gridCol w:w="4831"/>
        <w:gridCol w:w="5086"/>
      </w:tblGrid>
      <w:tr w14:paraId="0634FC2B" w14:textId="77777777" w:rsidTr="00BF465D">
        <w:tblPrEx>
          <w:tblW w:w="9917" w:type="dxa"/>
          <w:tblLayout w:type="fixed"/>
          <w:tblLook w:val="0000"/>
        </w:tblPrEx>
        <w:trPr>
          <w:cantSplit/>
          <w:trHeight w:val="1324"/>
        </w:trPr>
        <w:tc>
          <w:tcPr>
            <w:tcW w:w="4831" w:type="dxa"/>
          </w:tcPr>
          <w:p w:rsidR="009B0685" w:rsidRPr="00933D80" w:rsidP="00BF465D" w14:paraId="64986D84" w14:textId="77777777">
            <w:pPr>
              <w:widowControl/>
              <w:rPr>
                <w:b/>
                <w:szCs w:val="22"/>
              </w:rPr>
            </w:pPr>
            <w:r w:rsidRPr="00933D80">
              <w:rPr>
                <w:b/>
                <w:szCs w:val="22"/>
              </w:rPr>
              <w:t>Auction Payment Information</w:t>
            </w:r>
          </w:p>
          <w:p w:rsidR="009B0685" w:rsidRPr="00933D80" w:rsidP="00BF465D" w14:paraId="46AE3F36" w14:textId="77777777">
            <w:pPr>
              <w:widowControl/>
              <w:ind w:left="360"/>
              <w:rPr>
                <w:szCs w:val="22"/>
              </w:rPr>
            </w:pPr>
            <w:r w:rsidRPr="00933D80">
              <w:rPr>
                <w:szCs w:val="22"/>
              </w:rPr>
              <w:t>Wire Transfers</w:t>
            </w:r>
          </w:p>
          <w:p w:rsidR="009B0685" w:rsidRPr="00933D80" w:rsidP="00BF465D" w14:paraId="25BBE7CA" w14:textId="77777777">
            <w:pPr>
              <w:widowControl/>
              <w:ind w:left="360"/>
              <w:rPr>
                <w:b/>
                <w:szCs w:val="22"/>
              </w:rPr>
            </w:pPr>
            <w:r w:rsidRPr="00933D80">
              <w:rPr>
                <w:szCs w:val="22"/>
              </w:rPr>
              <w:t>Refunds</w:t>
            </w:r>
          </w:p>
        </w:tc>
        <w:tc>
          <w:tcPr>
            <w:tcW w:w="5086" w:type="dxa"/>
          </w:tcPr>
          <w:p w:rsidR="009B0685" w:rsidRPr="00933D80" w:rsidP="00BF465D" w14:paraId="34B7FCD0" w14:textId="77777777">
            <w:pPr>
              <w:widowControl/>
              <w:rPr>
                <w:b/>
                <w:szCs w:val="22"/>
              </w:rPr>
            </w:pPr>
            <w:r w:rsidRPr="00933D80">
              <w:rPr>
                <w:b/>
                <w:szCs w:val="22"/>
              </w:rPr>
              <w:t>FCC Auctions Accounting Branch</w:t>
            </w:r>
          </w:p>
          <w:p w:rsidR="009B0685" w:rsidRPr="00933D80" w:rsidP="00BF465D" w14:paraId="116A7588" w14:textId="77777777">
            <w:pPr>
              <w:widowControl/>
              <w:rPr>
                <w:szCs w:val="22"/>
              </w:rPr>
            </w:pPr>
            <w:r w:rsidRPr="00933D80">
              <w:rPr>
                <w:szCs w:val="22"/>
              </w:rPr>
              <w:t xml:space="preserve">Scott Radcliffe at (202) 418-7518, </w:t>
            </w:r>
            <w:r w:rsidRPr="00933D80">
              <w:t xml:space="preserve">or Theresa Meeks at (202) 418-2945, </w:t>
            </w:r>
            <w:r w:rsidRPr="00933D80">
              <w:rPr>
                <w:szCs w:val="22"/>
              </w:rPr>
              <w:t>or (202) 418</w:t>
            </w:r>
            <w:r w:rsidRPr="00933D80">
              <w:rPr>
                <w:szCs w:val="22"/>
              </w:rPr>
              <w:noBreakHyphen/>
              <w:t xml:space="preserve">2843 (fax) or email to </w:t>
            </w:r>
            <w:hyperlink r:id="rId12" w:history="1">
              <w:r>
                <w:rPr>
                  <w:rStyle w:val="Hyperlink"/>
                  <w:szCs w:val="22"/>
                </w:rPr>
                <w:t>RROGWireFaxes@fcc.gov</w:t>
              </w:r>
            </w:hyperlink>
            <w:r w:rsidRPr="00933D80">
              <w:rPr>
                <w:szCs w:val="22"/>
              </w:rPr>
              <w:t xml:space="preserve"> </w:t>
            </w:r>
          </w:p>
          <w:p w:rsidR="009B0685" w:rsidRPr="00933D80" w:rsidP="00BF465D" w14:paraId="3C2B9E33" w14:textId="77777777">
            <w:pPr>
              <w:widowControl/>
              <w:rPr>
                <w:szCs w:val="22"/>
              </w:rPr>
            </w:pPr>
          </w:p>
          <w:p w:rsidR="009B0685" w:rsidRPr="00933D80" w:rsidP="00BF465D" w14:paraId="7060E26A" w14:textId="77777777">
            <w:pPr>
              <w:widowControl/>
              <w:rPr>
                <w:bCs/>
                <w:szCs w:val="22"/>
              </w:rPr>
            </w:pPr>
            <w:r w:rsidRPr="00933D80">
              <w:rPr>
                <w:b/>
                <w:szCs w:val="22"/>
              </w:rPr>
              <w:t xml:space="preserve">FCC Auctions Hotline </w:t>
            </w:r>
          </w:p>
          <w:p w:rsidR="009B0685" w:rsidRPr="00933D80" w:rsidP="00BF465D" w14:paraId="4FDAFF2F" w14:textId="77777777">
            <w:pPr>
              <w:widowControl/>
              <w:rPr>
                <w:b/>
                <w:szCs w:val="22"/>
              </w:rPr>
            </w:pPr>
            <w:r w:rsidRPr="00933D80">
              <w:rPr>
                <w:bCs/>
                <w:szCs w:val="22"/>
              </w:rPr>
              <w:t>(717) 338-2868</w:t>
            </w:r>
            <w:r w:rsidRPr="00933D80">
              <w:rPr>
                <w:b/>
                <w:szCs w:val="22"/>
              </w:rPr>
              <w:t xml:space="preserve"> </w:t>
            </w:r>
          </w:p>
          <w:p w:rsidR="009B0685" w:rsidRPr="00933D80" w:rsidP="00BF465D" w14:paraId="1F7C7F86" w14:textId="77777777">
            <w:pPr>
              <w:widowControl/>
              <w:rPr>
                <w:b/>
                <w:szCs w:val="22"/>
              </w:rPr>
            </w:pPr>
          </w:p>
        </w:tc>
      </w:tr>
      <w:tr w14:paraId="2C2C3A42" w14:textId="77777777" w:rsidTr="00BF465D">
        <w:tblPrEx>
          <w:tblW w:w="9917" w:type="dxa"/>
          <w:tblLayout w:type="fixed"/>
          <w:tblLook w:val="0000"/>
        </w:tblPrEx>
        <w:trPr>
          <w:cantSplit/>
          <w:trHeight w:val="1324"/>
        </w:trPr>
        <w:tc>
          <w:tcPr>
            <w:tcW w:w="4831" w:type="dxa"/>
          </w:tcPr>
          <w:p w:rsidR="009B0685" w:rsidRPr="00933D80" w:rsidP="00BF465D" w14:paraId="39BAB1D9" w14:textId="77777777">
            <w:pPr>
              <w:widowControl/>
              <w:rPr>
                <w:b/>
                <w:i/>
                <w:szCs w:val="22"/>
              </w:rPr>
            </w:pPr>
            <w:r w:rsidRPr="00933D80">
              <w:rPr>
                <w:b/>
                <w:szCs w:val="22"/>
              </w:rPr>
              <w:t>Licensing Information</w:t>
            </w:r>
          </w:p>
          <w:p w:rsidR="009B0685" w:rsidRPr="00933D80" w:rsidP="00BF465D" w14:paraId="4A459C76" w14:textId="77777777">
            <w:pPr>
              <w:widowControl/>
              <w:ind w:left="360"/>
              <w:rPr>
                <w:szCs w:val="22"/>
              </w:rPr>
            </w:pPr>
            <w:r w:rsidRPr="00933D80">
              <w:rPr>
                <w:szCs w:val="22"/>
              </w:rPr>
              <w:t xml:space="preserve">Service Rules, Policies, Regulations </w:t>
            </w:r>
          </w:p>
          <w:p w:rsidR="009B0685" w:rsidRPr="00933D80" w:rsidP="00BF465D" w14:paraId="6B903168" w14:textId="77777777">
            <w:pPr>
              <w:widowControl/>
              <w:ind w:left="360"/>
              <w:rPr>
                <w:szCs w:val="22"/>
              </w:rPr>
            </w:pPr>
            <w:r w:rsidRPr="00933D80">
              <w:rPr>
                <w:szCs w:val="22"/>
              </w:rPr>
              <w:t>Licensing Issues,</w:t>
            </w:r>
            <w:r>
              <w:rPr>
                <w:szCs w:val="22"/>
              </w:rPr>
              <w:t xml:space="preserve"> </w:t>
            </w:r>
            <w:r w:rsidRPr="00933D80">
              <w:rPr>
                <w:szCs w:val="22"/>
              </w:rPr>
              <w:t>Due Diligence, Incumbency Issues</w:t>
            </w:r>
          </w:p>
          <w:p w:rsidR="009B0685" w:rsidRPr="00933D80" w:rsidP="00BF465D" w14:paraId="15C45B1E" w14:textId="77777777">
            <w:pPr>
              <w:widowControl/>
              <w:ind w:left="360"/>
              <w:rPr>
                <w:szCs w:val="22"/>
              </w:rPr>
            </w:pPr>
          </w:p>
          <w:p w:rsidR="009B0685" w:rsidP="00BF465D" w14:paraId="28E85CF3" w14:textId="77777777">
            <w:pPr>
              <w:widowControl/>
              <w:ind w:left="360"/>
              <w:rPr>
                <w:szCs w:val="22"/>
              </w:rPr>
            </w:pPr>
            <w:r w:rsidRPr="00933D80">
              <w:rPr>
                <w:szCs w:val="22"/>
              </w:rPr>
              <w:t xml:space="preserve">Engineering Issues </w:t>
            </w:r>
          </w:p>
          <w:p w:rsidR="009B0685" w:rsidP="00BF465D" w14:paraId="7542A1F4" w14:textId="77777777">
            <w:pPr>
              <w:widowControl/>
              <w:ind w:left="360"/>
              <w:rPr>
                <w:szCs w:val="22"/>
              </w:rPr>
            </w:pPr>
          </w:p>
          <w:p w:rsidR="009B0685" w:rsidP="00BF465D" w14:paraId="184BF904" w14:textId="77777777">
            <w:pPr>
              <w:widowControl/>
              <w:ind w:left="360"/>
              <w:rPr>
                <w:szCs w:val="22"/>
              </w:rPr>
            </w:pPr>
          </w:p>
          <w:p w:rsidR="009B0685" w:rsidRPr="00933D80" w:rsidP="00BF465D" w14:paraId="359CCD2B" w14:textId="77777777">
            <w:pPr>
              <w:widowControl/>
              <w:ind w:left="360"/>
              <w:rPr>
                <w:szCs w:val="22"/>
              </w:rPr>
            </w:pPr>
            <w:r w:rsidRPr="00933D80">
              <w:rPr>
                <w:szCs w:val="22"/>
              </w:rPr>
              <w:t>Filing Forms 601 and 602</w:t>
            </w:r>
          </w:p>
          <w:p w:rsidR="009B0685" w:rsidRPr="00933D80" w:rsidP="00BF465D" w14:paraId="5B77C5BC" w14:textId="77777777">
            <w:pPr>
              <w:widowControl/>
              <w:rPr>
                <w:b/>
                <w:szCs w:val="22"/>
              </w:rPr>
            </w:pPr>
          </w:p>
          <w:p w:rsidR="009B0685" w:rsidRPr="00933D80" w:rsidP="00BF465D" w14:paraId="1CE99258" w14:textId="2C88DA27">
            <w:pPr>
              <w:tabs>
                <w:tab w:val="left" w:pos="3315"/>
              </w:tabs>
              <w:rPr>
                <w:szCs w:val="22"/>
              </w:rPr>
            </w:pPr>
          </w:p>
        </w:tc>
        <w:tc>
          <w:tcPr>
            <w:tcW w:w="5086" w:type="dxa"/>
          </w:tcPr>
          <w:p w:rsidR="009B0685" w:rsidRPr="00933D80" w:rsidP="00BF465D" w14:paraId="479FF3AA" w14:textId="77777777">
            <w:pPr>
              <w:widowControl/>
              <w:rPr>
                <w:b/>
                <w:szCs w:val="22"/>
              </w:rPr>
            </w:pPr>
            <w:r w:rsidRPr="00933D80">
              <w:rPr>
                <w:b/>
                <w:szCs w:val="22"/>
              </w:rPr>
              <w:t>Mobility Division, WTB</w:t>
            </w:r>
          </w:p>
          <w:p w:rsidR="009B0685" w:rsidRPr="00933D80" w:rsidP="00BF465D" w14:paraId="5E53955A" w14:textId="77777777">
            <w:pPr>
              <w:widowControl/>
              <w:rPr>
                <w:szCs w:val="22"/>
              </w:rPr>
            </w:pPr>
            <w:r>
              <w:rPr>
                <w:szCs w:val="22"/>
              </w:rPr>
              <w:t>Joyce Jones (Attorney)</w:t>
            </w:r>
            <w:r w:rsidRPr="004C7441">
              <w:rPr>
                <w:szCs w:val="22"/>
              </w:rPr>
              <w:t xml:space="preserve"> at (202) 418-</w:t>
            </w:r>
            <w:r>
              <w:rPr>
                <w:szCs w:val="22"/>
              </w:rPr>
              <w:t xml:space="preserve">1327 </w:t>
            </w:r>
          </w:p>
          <w:p w:rsidR="009B0685" w:rsidP="00BF465D" w14:paraId="47957A4E" w14:textId="77777777">
            <w:pPr>
              <w:widowControl/>
              <w:rPr>
                <w:b/>
                <w:color w:val="000000"/>
                <w:szCs w:val="22"/>
              </w:rPr>
            </w:pPr>
          </w:p>
          <w:p w:rsidR="009B0685" w:rsidP="00BF465D" w14:paraId="4C81EFA8" w14:textId="77777777">
            <w:pPr>
              <w:widowControl/>
              <w:rPr>
                <w:b/>
                <w:color w:val="000000"/>
                <w:szCs w:val="22"/>
              </w:rPr>
            </w:pPr>
          </w:p>
          <w:p w:rsidR="009B0685" w:rsidP="00BF465D" w14:paraId="2FD3DA65" w14:textId="77777777">
            <w:pPr>
              <w:widowControl/>
              <w:rPr>
                <w:b/>
                <w:color w:val="000000"/>
                <w:szCs w:val="22"/>
              </w:rPr>
            </w:pPr>
          </w:p>
          <w:p w:rsidR="009B0685" w:rsidRPr="00F02F65" w:rsidP="00BF465D" w14:paraId="6D6E30C7" w14:textId="77777777">
            <w:pPr>
              <w:pStyle w:val="CommentText"/>
              <w:rPr>
                <w:b/>
                <w:bCs/>
                <w:sz w:val="22"/>
                <w:szCs w:val="22"/>
              </w:rPr>
            </w:pPr>
            <w:r w:rsidRPr="00F02F65">
              <w:rPr>
                <w:b/>
                <w:bCs/>
                <w:sz w:val="22"/>
                <w:szCs w:val="22"/>
              </w:rPr>
              <w:t>Office of Engineering and Technology</w:t>
            </w:r>
          </w:p>
          <w:p w:rsidR="009B0685" w:rsidRPr="00B45979" w:rsidP="00BF465D" w14:paraId="37522533" w14:textId="77777777">
            <w:pPr>
              <w:widowControl/>
              <w:rPr>
                <w:b/>
                <w:color w:val="000000"/>
                <w:szCs w:val="22"/>
              </w:rPr>
            </w:pPr>
            <w:r w:rsidRPr="00B45979">
              <w:rPr>
                <w:szCs w:val="22"/>
              </w:rPr>
              <w:t>Ira Keltz a</w:t>
            </w:r>
            <w:r w:rsidRPr="005037C8">
              <w:rPr>
                <w:szCs w:val="22"/>
              </w:rPr>
              <w:t>t (202) 418-0616</w:t>
            </w:r>
          </w:p>
          <w:p w:rsidR="009B0685" w:rsidP="00BF465D" w14:paraId="6569E65F" w14:textId="77777777">
            <w:pPr>
              <w:widowControl/>
              <w:rPr>
                <w:b/>
                <w:color w:val="000000"/>
                <w:szCs w:val="22"/>
              </w:rPr>
            </w:pPr>
          </w:p>
          <w:p w:rsidR="009B0685" w:rsidRPr="00933D80" w:rsidP="00BF465D" w14:paraId="2AB7CA57" w14:textId="77777777">
            <w:pPr>
              <w:widowControl/>
              <w:rPr>
                <w:color w:val="000000"/>
                <w:szCs w:val="22"/>
              </w:rPr>
            </w:pPr>
            <w:r w:rsidRPr="00933D80">
              <w:rPr>
                <w:b/>
                <w:color w:val="000000"/>
                <w:szCs w:val="22"/>
              </w:rPr>
              <w:t>ULS Support Hotline</w:t>
            </w:r>
            <w:r w:rsidRPr="00933D80">
              <w:rPr>
                <w:color w:val="000000"/>
                <w:szCs w:val="22"/>
              </w:rPr>
              <w:t xml:space="preserve"> </w:t>
            </w:r>
          </w:p>
          <w:p w:rsidR="009B0685" w:rsidRPr="00933D80" w:rsidP="00BF465D" w14:paraId="67DA40CC" w14:textId="77777777">
            <w:pPr>
              <w:widowControl/>
              <w:rPr>
                <w:color w:val="000000"/>
                <w:szCs w:val="22"/>
              </w:rPr>
            </w:pPr>
            <w:r w:rsidRPr="00933D80">
              <w:rPr>
                <w:color w:val="000000"/>
                <w:szCs w:val="22"/>
              </w:rPr>
              <w:t>(877) 480-3201, option two</w:t>
            </w:r>
          </w:p>
          <w:p w:rsidR="009B0685" w:rsidRPr="00933D80" w:rsidP="00BF465D" w14:paraId="3AF4C01B" w14:textId="77777777">
            <w:pPr>
              <w:widowControl/>
              <w:rPr>
                <w:szCs w:val="22"/>
              </w:rPr>
            </w:pPr>
            <w:r w:rsidRPr="00933D80">
              <w:rPr>
                <w:color w:val="000000"/>
                <w:szCs w:val="22"/>
              </w:rPr>
              <w:t>(717) 338-2824 (TTY)</w:t>
            </w:r>
            <w:r w:rsidRPr="00933D80">
              <w:rPr>
                <w:szCs w:val="22"/>
              </w:rPr>
              <w:t xml:space="preserve"> </w:t>
            </w:r>
          </w:p>
          <w:p w:rsidR="009B0685" w:rsidRPr="00933D80" w:rsidP="00BF465D" w14:paraId="5A7A9829" w14:textId="77777777">
            <w:pPr>
              <w:widowControl/>
              <w:rPr>
                <w:b/>
                <w:szCs w:val="22"/>
              </w:rPr>
            </w:pPr>
          </w:p>
        </w:tc>
      </w:tr>
      <w:tr w14:paraId="1C12E7C9" w14:textId="77777777" w:rsidTr="00BF465D">
        <w:tblPrEx>
          <w:tblW w:w="9917" w:type="dxa"/>
          <w:tblLayout w:type="fixed"/>
          <w:tblLook w:val="0000"/>
        </w:tblPrEx>
        <w:trPr>
          <w:cantSplit/>
          <w:trHeight w:val="1533"/>
        </w:trPr>
        <w:tc>
          <w:tcPr>
            <w:tcW w:w="4831" w:type="dxa"/>
          </w:tcPr>
          <w:p w:rsidR="009B0685" w:rsidRPr="00933D80" w:rsidP="00BF465D" w14:paraId="37C3B5E4" w14:textId="77777777">
            <w:pPr>
              <w:widowControl/>
              <w:rPr>
                <w:szCs w:val="22"/>
              </w:rPr>
            </w:pPr>
            <w:r w:rsidRPr="00933D80">
              <w:rPr>
                <w:b/>
                <w:szCs w:val="22"/>
              </w:rPr>
              <w:t>Auction 1</w:t>
            </w:r>
            <w:r>
              <w:rPr>
                <w:b/>
                <w:szCs w:val="22"/>
              </w:rPr>
              <w:t>1</w:t>
            </w:r>
            <w:r w:rsidRPr="00933D80">
              <w:rPr>
                <w:b/>
                <w:szCs w:val="22"/>
              </w:rPr>
              <w:t>0 Information</w:t>
            </w:r>
          </w:p>
          <w:p w:rsidR="009B0685" w:rsidRPr="00933D80" w:rsidP="00BF465D" w14:paraId="6A25C358" w14:textId="77777777">
            <w:pPr>
              <w:widowControl/>
              <w:ind w:left="360"/>
              <w:rPr>
                <w:szCs w:val="22"/>
              </w:rPr>
            </w:pPr>
            <w:r w:rsidRPr="00933D80">
              <w:rPr>
                <w:szCs w:val="22"/>
              </w:rPr>
              <w:t>General Auction Information, Process, and Procedures</w:t>
            </w:r>
          </w:p>
          <w:p w:rsidR="009B0685" w:rsidRPr="00933D80" w:rsidP="00BF465D" w14:paraId="45C3E6CD" w14:textId="77777777">
            <w:pPr>
              <w:widowControl/>
              <w:rPr>
                <w:szCs w:val="22"/>
              </w:rPr>
            </w:pPr>
          </w:p>
          <w:p w:rsidR="009B0685" w:rsidRPr="00933D80" w:rsidP="00BF465D" w14:paraId="077A2C87" w14:textId="77777777">
            <w:pPr>
              <w:widowControl/>
              <w:ind w:left="360"/>
              <w:rPr>
                <w:b/>
                <w:szCs w:val="22"/>
              </w:rPr>
            </w:pPr>
            <w:r w:rsidRPr="00933D80">
              <w:rPr>
                <w:szCs w:val="22"/>
              </w:rPr>
              <w:t>Auction Rules, Policies, and Regulations</w:t>
            </w:r>
          </w:p>
        </w:tc>
        <w:tc>
          <w:tcPr>
            <w:tcW w:w="5086" w:type="dxa"/>
          </w:tcPr>
          <w:p w:rsidR="009B0685" w:rsidRPr="00933D80" w:rsidP="00BF465D" w14:paraId="750AF9A7" w14:textId="77777777">
            <w:pPr>
              <w:widowControl/>
              <w:rPr>
                <w:b/>
                <w:szCs w:val="22"/>
              </w:rPr>
            </w:pPr>
            <w:r w:rsidRPr="00933D80">
              <w:rPr>
                <w:b/>
                <w:szCs w:val="22"/>
              </w:rPr>
              <w:t xml:space="preserve">Auctions Division, OEA </w:t>
            </w:r>
          </w:p>
          <w:p w:rsidR="009B0685" w:rsidRPr="00933D80" w:rsidP="00BF465D" w14:paraId="411867DD" w14:textId="77777777">
            <w:pPr>
              <w:widowControl/>
              <w:rPr>
                <w:szCs w:val="22"/>
              </w:rPr>
            </w:pPr>
            <w:r w:rsidRPr="00933D80">
              <w:rPr>
                <w:szCs w:val="22"/>
              </w:rPr>
              <w:t>FCC Auctions Hotline at (717) 338-2868</w:t>
            </w:r>
          </w:p>
          <w:p w:rsidR="009B0685" w:rsidRPr="00933D80" w:rsidP="00BF465D" w14:paraId="60556E36" w14:textId="77777777">
            <w:pPr>
              <w:widowControl/>
              <w:rPr>
                <w:szCs w:val="22"/>
              </w:rPr>
            </w:pPr>
          </w:p>
          <w:p w:rsidR="009B0685" w:rsidRPr="00933D80" w:rsidP="00BF465D" w14:paraId="48720128" w14:textId="77777777">
            <w:pPr>
              <w:widowControl/>
              <w:rPr>
                <w:szCs w:val="22"/>
              </w:rPr>
            </w:pPr>
          </w:p>
          <w:p w:rsidR="009B0685" w:rsidRPr="00933D80" w:rsidP="00BF465D" w14:paraId="58A338D1" w14:textId="77777777">
            <w:pPr>
              <w:widowControl/>
              <w:rPr>
                <w:szCs w:val="22"/>
              </w:rPr>
            </w:pPr>
            <w:r>
              <w:rPr>
                <w:szCs w:val="22"/>
              </w:rPr>
              <w:t>Mary Lovejoy</w:t>
            </w:r>
            <w:r w:rsidRPr="00933D80">
              <w:rPr>
                <w:szCs w:val="22"/>
              </w:rPr>
              <w:t xml:space="preserve"> or  </w:t>
            </w:r>
          </w:p>
          <w:p w:rsidR="009B0685" w:rsidRPr="00933D80" w:rsidP="00BF465D" w14:paraId="08C7893D" w14:textId="77777777">
            <w:pPr>
              <w:widowControl/>
              <w:rPr>
                <w:szCs w:val="22"/>
              </w:rPr>
            </w:pPr>
            <w:r>
              <w:rPr>
                <w:szCs w:val="22"/>
              </w:rPr>
              <w:t xml:space="preserve">Andrew McArdell </w:t>
            </w:r>
            <w:r w:rsidRPr="00933D80">
              <w:rPr>
                <w:szCs w:val="22"/>
              </w:rPr>
              <w:t>at (202) 418-0660</w:t>
            </w:r>
          </w:p>
          <w:p w:rsidR="009B0685" w:rsidRPr="00933D80" w:rsidP="00BF465D" w14:paraId="69E89E6F" w14:textId="77777777">
            <w:pPr>
              <w:widowControl/>
              <w:rPr>
                <w:b/>
                <w:szCs w:val="22"/>
              </w:rPr>
            </w:pPr>
          </w:p>
        </w:tc>
      </w:tr>
      <w:tr w14:paraId="65286414" w14:textId="77777777" w:rsidTr="00BF465D">
        <w:tblPrEx>
          <w:tblW w:w="9917" w:type="dxa"/>
          <w:tblLayout w:type="fixed"/>
          <w:tblLook w:val="0000"/>
        </w:tblPrEx>
        <w:trPr>
          <w:cantSplit/>
          <w:trHeight w:val="1118"/>
        </w:trPr>
        <w:tc>
          <w:tcPr>
            <w:tcW w:w="4831" w:type="dxa"/>
          </w:tcPr>
          <w:p w:rsidR="009B0685" w:rsidRPr="00933D80" w:rsidP="00BF465D" w14:paraId="1C52CD3C" w14:textId="77777777">
            <w:pPr>
              <w:widowControl/>
              <w:rPr>
                <w:b/>
                <w:szCs w:val="22"/>
              </w:rPr>
            </w:pPr>
            <w:r w:rsidRPr="00933D80">
              <w:rPr>
                <w:b/>
                <w:szCs w:val="22"/>
              </w:rPr>
              <w:t>Accessible Formats</w:t>
            </w:r>
          </w:p>
          <w:p w:rsidR="009B0685" w:rsidRPr="00933D80" w:rsidP="00BF465D" w14:paraId="2F9827A7" w14:textId="77777777">
            <w:pPr>
              <w:widowControl/>
              <w:ind w:left="360"/>
              <w:rPr>
                <w:szCs w:val="22"/>
              </w:rPr>
            </w:pPr>
            <w:r w:rsidRPr="00933D80">
              <w:rPr>
                <w:szCs w:val="22"/>
              </w:rPr>
              <w:t xml:space="preserve">Braille, large print, electronic files, or </w:t>
            </w:r>
          </w:p>
          <w:p w:rsidR="009B0685" w:rsidRPr="00933D80" w:rsidP="00BF465D" w14:paraId="7B35F5A0" w14:textId="77777777">
            <w:pPr>
              <w:widowControl/>
              <w:ind w:left="360"/>
              <w:rPr>
                <w:b/>
                <w:szCs w:val="22"/>
              </w:rPr>
            </w:pPr>
            <w:r w:rsidRPr="00933D80">
              <w:rPr>
                <w:szCs w:val="22"/>
              </w:rPr>
              <w:t>audio format for people with disabilities</w:t>
            </w:r>
          </w:p>
        </w:tc>
        <w:tc>
          <w:tcPr>
            <w:tcW w:w="5086" w:type="dxa"/>
          </w:tcPr>
          <w:p w:rsidR="009B0685" w:rsidRPr="00933D80" w:rsidP="00BF465D" w14:paraId="601CF1A9" w14:textId="77777777">
            <w:pPr>
              <w:widowControl/>
              <w:rPr>
                <w:b/>
                <w:szCs w:val="22"/>
              </w:rPr>
            </w:pPr>
            <w:r w:rsidRPr="00933D80">
              <w:rPr>
                <w:b/>
                <w:szCs w:val="22"/>
              </w:rPr>
              <w:t>Consumer and Governmental Affairs Bureau</w:t>
            </w:r>
          </w:p>
          <w:p w:rsidR="009B0685" w:rsidRPr="00933D80" w:rsidP="00BF465D" w14:paraId="516FC805" w14:textId="77777777">
            <w:pPr>
              <w:widowControl/>
              <w:rPr>
                <w:szCs w:val="22"/>
              </w:rPr>
            </w:pPr>
            <w:r w:rsidRPr="00933D80">
              <w:rPr>
                <w:szCs w:val="22"/>
              </w:rPr>
              <w:t>(202) 418-0530 or (202) 418-0432 (TTY)</w:t>
            </w:r>
          </w:p>
          <w:p w:rsidR="009B0685" w:rsidRPr="00933D80" w:rsidP="00BF465D" w14:paraId="485949AC" w14:textId="77777777">
            <w:pPr>
              <w:widowControl/>
              <w:rPr>
                <w:szCs w:val="22"/>
              </w:rPr>
            </w:pPr>
            <w:hyperlink r:id="rId13" w:history="1">
              <w:r w:rsidRPr="00933D80">
                <w:rPr>
                  <w:color w:val="0000FF"/>
                  <w:szCs w:val="22"/>
                  <w:u w:val="single"/>
                </w:rPr>
                <w:t>fcc504@fcc.gov</w:t>
              </w:r>
            </w:hyperlink>
          </w:p>
          <w:p w:rsidR="009B0685" w:rsidRPr="00933D80" w:rsidP="00BF465D" w14:paraId="246C2DDE" w14:textId="77777777">
            <w:pPr>
              <w:widowControl/>
              <w:rPr>
                <w:b/>
                <w:szCs w:val="22"/>
              </w:rPr>
            </w:pPr>
          </w:p>
        </w:tc>
      </w:tr>
      <w:tr w14:paraId="38CDA424" w14:textId="77777777" w:rsidTr="00BF465D">
        <w:tblPrEx>
          <w:tblW w:w="9917" w:type="dxa"/>
          <w:tblLayout w:type="fixed"/>
          <w:tblLook w:val="0000"/>
        </w:tblPrEx>
        <w:trPr>
          <w:cantSplit/>
          <w:trHeight w:val="1275"/>
        </w:trPr>
        <w:tc>
          <w:tcPr>
            <w:tcW w:w="4831" w:type="dxa"/>
          </w:tcPr>
          <w:p w:rsidR="009B0685" w:rsidRPr="00933D80" w:rsidP="00BF465D" w14:paraId="59944993" w14:textId="77777777">
            <w:pPr>
              <w:widowControl/>
              <w:rPr>
                <w:b/>
                <w:szCs w:val="22"/>
              </w:rPr>
            </w:pPr>
            <w:r w:rsidRPr="00933D80">
              <w:rPr>
                <w:b/>
                <w:szCs w:val="22"/>
              </w:rPr>
              <w:t>FCC Internet Sites</w:t>
            </w:r>
          </w:p>
          <w:p w:rsidR="009B0685" w:rsidRPr="00933D80" w:rsidP="00BF465D" w14:paraId="28D78557" w14:textId="77777777">
            <w:pPr>
              <w:widowControl/>
              <w:rPr>
                <w:szCs w:val="22"/>
              </w:rPr>
            </w:pPr>
          </w:p>
        </w:tc>
        <w:tc>
          <w:tcPr>
            <w:tcW w:w="5086" w:type="dxa"/>
          </w:tcPr>
          <w:p w:rsidR="009B0685" w:rsidRPr="00933D80" w:rsidP="00BF465D" w14:paraId="6F231486" w14:textId="77777777">
            <w:pPr>
              <w:widowControl/>
              <w:rPr>
                <w:color w:val="0000FF"/>
                <w:szCs w:val="22"/>
                <w:u w:val="single"/>
              </w:rPr>
            </w:pPr>
            <w:hyperlink r:id="rId14" w:history="1">
              <w:r>
                <w:rPr>
                  <w:color w:val="0000FF"/>
                  <w:szCs w:val="22"/>
                  <w:u w:val="single"/>
                </w:rPr>
                <w:t>www.fcc.gov/auction/110</w:t>
              </w:r>
            </w:hyperlink>
            <w:r w:rsidRPr="00933D80">
              <w:rPr>
                <w:color w:val="0000FF"/>
                <w:szCs w:val="22"/>
                <w:u w:val="single"/>
              </w:rPr>
              <w:t xml:space="preserve"> </w:t>
            </w:r>
          </w:p>
          <w:p w:rsidR="009B0685" w:rsidRPr="00933D80" w:rsidP="00BF465D" w14:paraId="2FD7422E" w14:textId="77777777">
            <w:pPr>
              <w:widowControl/>
              <w:rPr>
                <w:szCs w:val="22"/>
              </w:rPr>
            </w:pPr>
            <w:hyperlink r:id="rId15" w:history="1">
              <w:r w:rsidRPr="00933D80">
                <w:rPr>
                  <w:color w:val="0000FF"/>
                  <w:szCs w:val="22"/>
                  <w:u w:val="single"/>
                </w:rPr>
                <w:t>www.fcc.gov</w:t>
              </w:r>
            </w:hyperlink>
            <w:r w:rsidRPr="00933D80">
              <w:rPr>
                <w:szCs w:val="22"/>
              </w:rPr>
              <w:t xml:space="preserve"> </w:t>
            </w:r>
          </w:p>
          <w:p w:rsidR="009B0685" w:rsidRPr="00933D80" w:rsidP="00BF465D" w14:paraId="7012AEF5" w14:textId="77777777">
            <w:pPr>
              <w:widowControl/>
              <w:rPr>
                <w:szCs w:val="22"/>
              </w:rPr>
            </w:pPr>
            <w:hyperlink r:id="rId16" w:history="1">
              <w:r w:rsidRPr="00D34318">
                <w:rPr>
                  <w:rStyle w:val="Hyperlink"/>
                  <w:szCs w:val="22"/>
                </w:rPr>
                <w:t>www.fcc.gov/uls</w:t>
              </w:r>
            </w:hyperlink>
          </w:p>
          <w:p w:rsidR="009B0685" w:rsidRPr="00933D80" w:rsidP="00BF465D" w14:paraId="17CEDB73" w14:textId="77777777">
            <w:pPr>
              <w:widowControl/>
              <w:rPr>
                <w:color w:val="0000FF"/>
                <w:u w:val="single"/>
              </w:rPr>
            </w:pPr>
            <w:hyperlink r:id="rId17" w:history="1">
              <w:r w:rsidRPr="00A438B4">
                <w:rPr>
                  <w:rStyle w:val="Hyperlink"/>
                </w:rPr>
                <w:t>auctiondata.fcc.gov</w:t>
              </w:r>
            </w:hyperlink>
            <w:r w:rsidRPr="00933D80">
              <w:rPr>
                <w:color w:val="0000FF"/>
                <w:u w:val="single"/>
              </w:rPr>
              <w:t xml:space="preserve"> </w:t>
            </w:r>
          </w:p>
          <w:p w:rsidR="009B0685" w:rsidRPr="00933D80" w:rsidP="00BF465D" w14:paraId="75C59AB9" w14:textId="77777777">
            <w:pPr>
              <w:widowControl/>
              <w:rPr>
                <w:szCs w:val="22"/>
              </w:rPr>
            </w:pPr>
          </w:p>
        </w:tc>
      </w:tr>
      <w:tr w14:paraId="4687F5F8" w14:textId="77777777" w:rsidTr="00BF465D">
        <w:tblPrEx>
          <w:tblW w:w="9917" w:type="dxa"/>
          <w:tblLayout w:type="fixed"/>
          <w:tblLook w:val="0000"/>
        </w:tblPrEx>
        <w:trPr>
          <w:cantSplit/>
          <w:trHeight w:val="774"/>
        </w:trPr>
        <w:tc>
          <w:tcPr>
            <w:tcW w:w="4831" w:type="dxa"/>
          </w:tcPr>
          <w:p w:rsidR="009B0685" w:rsidRPr="00933D80" w:rsidP="00BF465D" w14:paraId="441ED983" w14:textId="77777777">
            <w:pPr>
              <w:widowControl/>
              <w:rPr>
                <w:b/>
                <w:szCs w:val="22"/>
              </w:rPr>
            </w:pPr>
            <w:r w:rsidRPr="00933D80">
              <w:rPr>
                <w:b/>
                <w:szCs w:val="22"/>
              </w:rPr>
              <w:t>News Media</w:t>
            </w:r>
          </w:p>
          <w:p w:rsidR="009B0685" w:rsidRPr="00933D80" w:rsidP="00BF465D" w14:paraId="6E8B47A9" w14:textId="77777777">
            <w:pPr>
              <w:widowControl/>
              <w:ind w:firstLine="360"/>
              <w:rPr>
                <w:szCs w:val="22"/>
              </w:rPr>
            </w:pPr>
            <w:r w:rsidRPr="00933D80">
              <w:rPr>
                <w:szCs w:val="22"/>
              </w:rPr>
              <w:t>For Press Questions</w:t>
            </w:r>
          </w:p>
        </w:tc>
        <w:tc>
          <w:tcPr>
            <w:tcW w:w="5086" w:type="dxa"/>
          </w:tcPr>
          <w:p w:rsidR="009B0685" w:rsidRPr="00933D80" w:rsidP="00BF465D" w14:paraId="70490CC3" w14:textId="77777777">
            <w:pPr>
              <w:keepNext/>
              <w:widowControl/>
              <w:rPr>
                <w:b/>
                <w:szCs w:val="22"/>
              </w:rPr>
            </w:pPr>
            <w:r w:rsidRPr="00933D80">
              <w:rPr>
                <w:b/>
                <w:szCs w:val="22"/>
              </w:rPr>
              <w:t>Wireless Telecommunications Bureau</w:t>
            </w:r>
          </w:p>
          <w:p w:rsidR="009B0685" w:rsidRPr="00933D80" w:rsidP="00BF465D" w14:paraId="3D7B841C" w14:textId="77777777">
            <w:pPr>
              <w:keepNext/>
              <w:widowControl/>
            </w:pPr>
            <w:r>
              <w:rPr>
                <w:szCs w:val="22"/>
              </w:rPr>
              <w:t>Will Wiquist at (202) 418-0509</w:t>
            </w:r>
          </w:p>
        </w:tc>
      </w:tr>
    </w:tbl>
    <w:p w:rsidR="009B0685" w:rsidRPr="00933D80" w:rsidP="009B0685" w14:paraId="68F41617" w14:textId="77777777">
      <w:pPr>
        <w:keepNext/>
        <w:widowControl/>
        <w:jc w:val="center"/>
        <w:rPr>
          <w:b/>
        </w:rPr>
      </w:pPr>
    </w:p>
    <w:p w:rsidR="00412FC5" w:rsidRPr="00412FC5" w:rsidP="009B0685" w14:paraId="3027BD32" w14:textId="6B0D4789">
      <w:pPr>
        <w:keepNext/>
        <w:widowControl/>
        <w:jc w:val="center"/>
      </w:pPr>
      <w:r w:rsidRPr="00933D80">
        <w:rPr>
          <w:b/>
        </w:rPr>
        <w:t>- FCC -</w:t>
      </w:r>
    </w:p>
    <w:sectPr w:rsidSect="000E5884">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6B77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BD057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3A2DF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P="009B0685" w14:paraId="320257D7"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26A81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0685" w14:paraId="7F920259" w14:textId="77777777">
      <w:r>
        <w:separator/>
      </w:r>
    </w:p>
  </w:footnote>
  <w:footnote w:type="continuationSeparator" w:id="1">
    <w:p w:rsidR="009B0685" w14:paraId="4FE785B1" w14:textId="77777777">
      <w:pPr>
        <w:rPr>
          <w:sz w:val="20"/>
        </w:rPr>
      </w:pPr>
      <w:r>
        <w:rPr>
          <w:sz w:val="20"/>
        </w:rPr>
        <w:t xml:space="preserve">(Continued from previous page)  </w:t>
      </w:r>
      <w:r>
        <w:rPr>
          <w:sz w:val="20"/>
        </w:rPr>
        <w:separator/>
      </w:r>
    </w:p>
  </w:footnote>
  <w:footnote w:type="continuationNotice" w:id="2">
    <w:p w:rsidR="009B0685" w14:paraId="34DDAC28" w14:textId="77777777">
      <w:pPr>
        <w:rPr>
          <w:sz w:val="20"/>
        </w:rPr>
      </w:pPr>
      <w:r>
        <w:rPr>
          <w:sz w:val="20"/>
        </w:rPr>
        <w:t>(continued….)</w:t>
      </w:r>
    </w:p>
  </w:footnote>
  <w:footnote w:id="3">
    <w:p w:rsidR="009B0685" w:rsidRPr="009B0685" w:rsidP="009B0685" w14:paraId="635E987C" w14:textId="77777777">
      <w:pPr>
        <w:pStyle w:val="FootnoteText"/>
      </w:pPr>
      <w:r w:rsidRPr="009B0685">
        <w:rPr>
          <w:rStyle w:val="FootnoteReference"/>
          <w:sz w:val="20"/>
        </w:rPr>
        <w:footnoteRef/>
      </w:r>
      <w:r w:rsidRPr="009B0685">
        <w:t xml:space="preserve"> Bidding in the clock phase of Auction 110 concluded on November 16, 2021.  </w:t>
      </w:r>
      <w:r w:rsidRPr="009B0685">
        <w:rPr>
          <w:i/>
          <w:iCs/>
        </w:rPr>
        <w:t>Close of Clock Phase Bidding in Auction 110 (3.45 GHz Service); Schedule for Assignment Phase Mock Auction; Availability of Assignment Phase User Guide and Online Tutorial; Assignment Phase Bidding Begins December 9, 2021</w:t>
      </w:r>
      <w:r w:rsidRPr="009B0685">
        <w:t xml:space="preserve">, AU Docket No. 21-62, </w:t>
      </w:r>
      <w:r w:rsidRPr="009B0685">
        <w:rPr>
          <w:iCs/>
        </w:rPr>
        <w:t>Public Notice</w:t>
      </w:r>
      <w:r w:rsidRPr="009B0685">
        <w:t>, DA 21-1462 (OEA/WTB Nov. 23, 2021).</w:t>
      </w:r>
    </w:p>
  </w:footnote>
  <w:footnote w:id="4">
    <w:p w:rsidR="009B0685" w:rsidRPr="009B0685" w:rsidP="009B0685" w14:paraId="3F0CCADA" w14:textId="77777777">
      <w:pPr>
        <w:pStyle w:val="FootnoteText"/>
      </w:pPr>
      <w:r w:rsidRPr="009B0685">
        <w:rPr>
          <w:rStyle w:val="FootnoteReference"/>
          <w:sz w:val="20"/>
        </w:rPr>
        <w:footnoteRef/>
      </w:r>
      <w:r w:rsidRPr="009B0685">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5">
    <w:p w:rsidR="009B0685" w:rsidRPr="009B0685" w:rsidP="009B0685" w14:paraId="68CEE60F" w14:textId="77777777">
      <w:pPr>
        <w:pStyle w:val="FootnoteText"/>
      </w:pPr>
      <w:r w:rsidRPr="009B0685">
        <w:rPr>
          <w:rStyle w:val="FootnoteReference"/>
          <w:sz w:val="20"/>
        </w:rPr>
        <w:footnoteRef/>
      </w:r>
      <w:r w:rsidRPr="009B0685">
        <w:t xml:space="preserve"> FCC staff will send to each Auction 110 qualified bidder an email with a link to the location of this Public Notice on the Commission’s website.  In addition, in the next few days, each qualified bidder will receive a package that includes a copy of this Public Notice and a pre-addressed, stamped envelope for the return of RSA SecurID</w:t>
      </w:r>
      <w:r w:rsidRPr="009B0685">
        <w:rPr>
          <w:vertAlign w:val="superscript"/>
        </w:rPr>
        <w:t>®</w:t>
      </w:r>
      <w:r w:rsidRPr="009B0685">
        <w:t xml:space="preserve"> tokens used in Auction 110 bidding.  This package will be sent by overnight delivery via UPS to the contact person at the contact person’s address identified in the qualified bidder’s short-form application (FCC Form 175).  This package will require a signature to confirm receipt.  The person signing for the package does not need to be the contact person identified in the qualified bidder’s short-form application.</w:t>
      </w:r>
    </w:p>
  </w:footnote>
  <w:footnote w:id="6">
    <w:p w:rsidR="009B0685" w:rsidRPr="009B0685" w:rsidP="009B0685" w14:paraId="645CB79F" w14:textId="77777777">
      <w:pPr>
        <w:pStyle w:val="FootnoteText"/>
      </w:pPr>
      <w:r w:rsidRPr="009B0685">
        <w:rPr>
          <w:rStyle w:val="FootnoteReference"/>
          <w:sz w:val="20"/>
        </w:rPr>
        <w:footnoteRef/>
      </w:r>
      <w:r w:rsidRPr="009B0685">
        <w:t xml:space="preserve"> </w:t>
      </w:r>
      <w:r w:rsidRPr="009B0685">
        <w:rPr>
          <w:i/>
          <w:iCs/>
        </w:rPr>
        <w:t>Auction of Flexible-Use Service Licenses in the 3.45–3.55 GHz Band (Auction 110)</w:t>
      </w:r>
      <w:r w:rsidRPr="009B0685">
        <w:t>, AU Docket No. 21-62, Protective Order, DA 21-1026, at 4, para. 16 (OEA/WTB 2021) (</w:t>
      </w:r>
      <w:r w:rsidRPr="009B0685">
        <w:rPr>
          <w:i/>
          <w:iCs/>
        </w:rPr>
        <w:t>Auction 110 Protective Order</w:t>
      </w:r>
      <w:r w:rsidRPr="009B0685">
        <w:t>).</w:t>
      </w:r>
    </w:p>
  </w:footnote>
  <w:footnote w:id="7">
    <w:p w:rsidR="009B0685" w:rsidRPr="009B0685" w:rsidP="009B0685" w14:paraId="53FD375C" w14:textId="77777777">
      <w:pPr>
        <w:pStyle w:val="FootnoteText"/>
      </w:pPr>
      <w:r w:rsidRPr="009B0685">
        <w:rPr>
          <w:rStyle w:val="FootnoteReference"/>
          <w:sz w:val="20"/>
        </w:rPr>
        <w:footnoteRef/>
      </w:r>
      <w:r w:rsidRPr="009B0685">
        <w:t xml:space="preserve"> For a non-winning bidder, this amount, equal to its Upfront Payment Amount, will be shown in parentheses and available for refund.  For a winning bidder, this amount may equal the Final Payment Amount.  However, if the Upfront Payment Amount exceeds the Down Payment Amount, that excess will reduce the Final Balance Due to an amount less than the Final Payment Amount. </w:t>
      </w:r>
    </w:p>
  </w:footnote>
  <w:footnote w:id="8">
    <w:p w:rsidR="009B0685" w:rsidRPr="009B0685" w:rsidP="009B0685" w14:paraId="3441B424" w14:textId="77777777">
      <w:pPr>
        <w:pStyle w:val="FootnoteText"/>
      </w:pPr>
      <w:r w:rsidRPr="009B0685">
        <w:rPr>
          <w:rStyle w:val="FootnoteReference"/>
          <w:sz w:val="20"/>
        </w:rPr>
        <w:footnoteRef/>
      </w:r>
      <w:r w:rsidRPr="009B0685">
        <w:t xml:space="preserve"> The PRS can be accessed directly at </w:t>
      </w:r>
      <w:hyperlink r:id="rId1" w:history="1">
        <w:r w:rsidRPr="009B0685">
          <w:rPr>
            <w:rStyle w:val="Hyperlink"/>
          </w:rPr>
          <w:t>auctiondata.fcc.gov</w:t>
        </w:r>
      </w:hyperlink>
      <w:r w:rsidRPr="009B0685">
        <w:t xml:space="preserve"> or from a link in the “Results” section of the Auction 110 website (</w:t>
      </w:r>
      <w:hyperlink r:id="rId2" w:history="1">
        <w:r w:rsidRPr="009B0685">
          <w:rPr>
            <w:rStyle w:val="Hyperlink"/>
          </w:rPr>
          <w:t>www.fcc.gov/auction/110</w:t>
        </w:r>
      </w:hyperlink>
      <w:r w:rsidRPr="009B0685">
        <w:t>).  The CSV file is accessible via the “Results by License” link of the “Assignment Phase” section of the PRS navigation bar for Auction 110.</w:t>
      </w:r>
    </w:p>
  </w:footnote>
  <w:footnote w:id="9">
    <w:p w:rsidR="009B0685" w:rsidRPr="009B0685" w:rsidP="009B0685" w14:paraId="57A89C3F" w14:textId="77777777">
      <w:pPr>
        <w:pStyle w:val="FootnoteText"/>
      </w:pPr>
      <w:r w:rsidRPr="009B0685">
        <w:rPr>
          <w:rStyle w:val="FootnoteReference"/>
          <w:sz w:val="20"/>
        </w:rPr>
        <w:footnoteRef/>
      </w:r>
      <w:r w:rsidRPr="009B0685">
        <w:t xml:space="preserve"> 47 CFR </w:t>
      </w:r>
      <w:r w:rsidRPr="009B0685">
        <w:rPr>
          <w:lang w:val="de-DE"/>
        </w:rPr>
        <w:t xml:space="preserve">§ 1.2107(b).  In the </w:t>
      </w:r>
      <w:r w:rsidRPr="009B0685">
        <w:rPr>
          <w:i/>
          <w:iCs/>
          <w:lang w:val="de-DE"/>
        </w:rPr>
        <w:t xml:space="preserve">Auction 110 Procedures Public Notice </w:t>
      </w:r>
      <w:r w:rsidRPr="009B0685">
        <w:rPr>
          <w:lang w:val="de-DE"/>
        </w:rPr>
        <w:t xml:space="preserve">we specified that the down payment deadline for Auction 110 to be the later of January 7, 2022, or ten business days after release of the auction closing public notice.  </w:t>
      </w:r>
      <w:r w:rsidRPr="009B0685">
        <w:rPr>
          <w:i/>
        </w:rPr>
        <w:t>Auction of Flexible-Use Service Licenses in the 3.45–3.55 GHz Band for Next-Generation Wireless Services; Notice and Filing Requirements, Minimum Opening Bids, Upfront Payments, and Other Procedures for Auction 110; Bidding in Auction 110 Scheduled to Begin October 5, 2021</w:t>
      </w:r>
      <w:r w:rsidRPr="009B0685">
        <w:t>, AU Docket No. 21-62, Public Notice, DA 21-655, at 70, para. 253 (OEA/WTB 2021) (</w:t>
      </w:r>
      <w:r w:rsidRPr="009B0685">
        <w:rPr>
          <w:i/>
        </w:rPr>
        <w:t>Auction 110 Procedures Public Notice</w:t>
      </w:r>
      <w:r w:rsidRPr="009B0685">
        <w:t>).</w:t>
      </w:r>
    </w:p>
  </w:footnote>
  <w:footnote w:id="10">
    <w:p w:rsidR="009B0685" w:rsidRPr="009B0685" w:rsidP="009B0685" w14:paraId="7A7F0E8D" w14:textId="77777777">
      <w:pPr>
        <w:pStyle w:val="FootnoteText"/>
      </w:pPr>
      <w:r w:rsidRPr="009B0685">
        <w:rPr>
          <w:rStyle w:val="FootnoteReference"/>
          <w:sz w:val="20"/>
        </w:rPr>
        <w:footnoteRef/>
      </w:r>
      <w:r w:rsidRPr="009B0685">
        <w:rPr>
          <w:i/>
          <w:lang w:val="de-DE"/>
        </w:rPr>
        <w:t xml:space="preserve"> </w:t>
      </w:r>
      <w:r w:rsidRPr="009B0685">
        <w:rPr>
          <w:lang w:val="de-DE"/>
        </w:rPr>
        <w:t xml:space="preserve">47 CFR § 1.2107(b); </w:t>
      </w:r>
      <w:r w:rsidRPr="009B0685">
        <w:rPr>
          <w:i/>
        </w:rPr>
        <w:t xml:space="preserve">Auction 110 Procedures Public Notice </w:t>
      </w:r>
      <w:r w:rsidRPr="009B0685">
        <w:t>69-70, para. 253.</w:t>
      </w:r>
      <w:r w:rsidRPr="009B0685">
        <w:rPr>
          <w:i/>
        </w:rPr>
        <w:t xml:space="preserve"> </w:t>
      </w:r>
    </w:p>
  </w:footnote>
  <w:footnote w:id="11">
    <w:p w:rsidR="009B0685" w:rsidRPr="009B0685" w:rsidP="009B0685" w14:paraId="775E261D" w14:textId="77777777">
      <w:pPr>
        <w:pStyle w:val="FootnoteText"/>
      </w:pPr>
      <w:r w:rsidRPr="009B0685">
        <w:rPr>
          <w:rStyle w:val="FootnoteReference"/>
          <w:sz w:val="20"/>
        </w:rPr>
        <w:footnoteRef/>
      </w:r>
      <w:r w:rsidRPr="009B0685">
        <w:t xml:space="preserve"> </w:t>
      </w:r>
      <w:r w:rsidRPr="009B0685">
        <w:rPr>
          <w:lang w:val="de-DE"/>
        </w:rPr>
        <w:t>47 CFR § 1.2107(b)</w:t>
      </w:r>
      <w:r w:rsidRPr="009B0685">
        <w:t xml:space="preserve">.  </w:t>
      </w:r>
    </w:p>
  </w:footnote>
  <w:footnote w:id="12">
    <w:p w:rsidR="009B0685" w:rsidRPr="009B0685" w:rsidP="009B0685" w14:paraId="71E92024" w14:textId="77777777">
      <w:pPr>
        <w:pStyle w:val="FootnoteText"/>
      </w:pPr>
      <w:r w:rsidRPr="009B0685">
        <w:rPr>
          <w:rStyle w:val="FootnoteReference"/>
          <w:sz w:val="20"/>
        </w:rPr>
        <w:footnoteRef/>
      </w:r>
      <w:r w:rsidRPr="009B0685">
        <w:t xml:space="preserve"> </w:t>
      </w:r>
      <w:r w:rsidRPr="009B0685">
        <w:rPr>
          <w:i/>
        </w:rPr>
        <w:t>See</w:t>
      </w:r>
      <w:r w:rsidRPr="009B0685">
        <w:t xml:space="preserve"> Section </w:t>
      </w:r>
      <w:r w:rsidRPr="009B0685">
        <w:t>III.D</w:t>
      </w:r>
      <w:r w:rsidRPr="009B0685">
        <w:t xml:space="preserve"> (Default and Disqualification Payments), below.</w:t>
      </w:r>
    </w:p>
  </w:footnote>
  <w:footnote w:id="13">
    <w:p w:rsidR="009B0685" w:rsidRPr="009B0685" w:rsidP="009B0685" w14:paraId="1782FDCA" w14:textId="77777777">
      <w:pPr>
        <w:pStyle w:val="FootnoteText"/>
      </w:pPr>
      <w:r w:rsidRPr="009B0685">
        <w:rPr>
          <w:rStyle w:val="FootnoteReference"/>
          <w:sz w:val="20"/>
        </w:rPr>
        <w:footnoteRef/>
      </w:r>
      <w:r w:rsidRPr="009B0685">
        <w:t xml:space="preserve"> </w:t>
      </w:r>
      <w:r w:rsidRPr="009B0685">
        <w:rPr>
          <w:i/>
          <w:iCs/>
        </w:rPr>
        <w:t>See</w:t>
      </w:r>
      <w:r w:rsidRPr="009B0685">
        <w:t xml:space="preserve"> 47 CFR § 1.2109(a).</w:t>
      </w:r>
    </w:p>
  </w:footnote>
  <w:footnote w:id="14">
    <w:p w:rsidR="009B0685" w:rsidRPr="009B0685" w:rsidP="009B0685" w14:paraId="174EF9D7" w14:textId="77777777">
      <w:pPr>
        <w:pStyle w:val="FootnoteText"/>
      </w:pPr>
      <w:r w:rsidRPr="009B0685">
        <w:rPr>
          <w:rStyle w:val="FootnoteReference"/>
          <w:sz w:val="20"/>
        </w:rPr>
        <w:footnoteRef/>
      </w:r>
      <w:r w:rsidRPr="009B0685">
        <w:t xml:space="preserve"> </w:t>
      </w:r>
      <w:r w:rsidRPr="009B0685">
        <w:rPr>
          <w:i/>
        </w:rPr>
        <w:t>Id.</w:t>
      </w:r>
    </w:p>
  </w:footnote>
  <w:footnote w:id="15">
    <w:p w:rsidR="009B0685" w:rsidRPr="009B0685" w:rsidP="009B0685" w14:paraId="4BD35D36" w14:textId="77777777">
      <w:pPr>
        <w:pStyle w:val="FootnoteText"/>
      </w:pPr>
      <w:r w:rsidRPr="009B0685">
        <w:rPr>
          <w:rStyle w:val="FootnoteReference"/>
          <w:sz w:val="20"/>
        </w:rPr>
        <w:footnoteRef/>
      </w:r>
      <w:r w:rsidRPr="009B0685">
        <w:t xml:space="preserve"> </w:t>
      </w:r>
      <w:r w:rsidRPr="009B0685">
        <w:rPr>
          <w:i/>
        </w:rPr>
        <w:t>See</w:t>
      </w:r>
      <w:r w:rsidRPr="009B0685">
        <w:t xml:space="preserve"> Section </w:t>
      </w:r>
      <w:r w:rsidRPr="009B0685">
        <w:t>III.D</w:t>
      </w:r>
      <w:r w:rsidRPr="009B0685">
        <w:t xml:space="preserve"> (Default and Disqualification Payments), below.</w:t>
      </w:r>
    </w:p>
  </w:footnote>
  <w:footnote w:id="16">
    <w:p w:rsidR="009B0685" w:rsidRPr="009B0685" w:rsidP="009B0685" w14:paraId="06ABABA0" w14:textId="77777777">
      <w:pPr>
        <w:pStyle w:val="FootnoteText"/>
        <w:rPr>
          <w:color w:val="000000"/>
        </w:rPr>
      </w:pPr>
      <w:r w:rsidRPr="009B0685">
        <w:rPr>
          <w:rStyle w:val="FootnoteReference"/>
          <w:sz w:val="20"/>
        </w:rPr>
        <w:footnoteRef/>
      </w:r>
      <w:r w:rsidRPr="009B0685">
        <w:t xml:space="preserve"> </w:t>
      </w:r>
      <w:r w:rsidRPr="009B0685">
        <w:rPr>
          <w:snapToGrid w:val="0"/>
        </w:rPr>
        <w:t>The wire transfer must be initiated by the winning bidder through its bank authorizing the bank to wire</w:t>
      </w:r>
      <w:r w:rsidRPr="009B0685">
        <w:rPr>
          <w:rStyle w:val="normaltextrun"/>
          <w:color w:val="0078D4"/>
          <w:shd w:val="clear" w:color="auto" w:fill="FFFFFF"/>
        </w:rPr>
        <w:t> </w:t>
      </w:r>
      <w:r w:rsidRPr="009B0685">
        <w:rPr>
          <w:rStyle w:val="normaltextrun"/>
          <w:color w:val="000000"/>
          <w:shd w:val="clear" w:color="auto" w:fill="FFFFFF"/>
        </w:rPr>
        <w:t>funds to the proper account at the U.S. Treasury</w:t>
      </w:r>
      <w:r w:rsidRPr="009B0685">
        <w:rPr>
          <w:snapToGrid w:val="0"/>
          <w:color w:val="000000"/>
        </w:rPr>
        <w:t>.</w:t>
      </w:r>
    </w:p>
  </w:footnote>
  <w:footnote w:id="17">
    <w:p w:rsidR="009B0685" w:rsidRPr="009B0685" w:rsidP="009B0685" w14:paraId="02E3C5C9" w14:textId="77777777">
      <w:pPr>
        <w:pStyle w:val="FootnoteText"/>
      </w:pPr>
      <w:r w:rsidRPr="009B0685">
        <w:rPr>
          <w:rStyle w:val="FootnoteReference"/>
          <w:sz w:val="20"/>
        </w:rPr>
        <w:footnoteRef/>
      </w:r>
      <w:r w:rsidRPr="009B0685">
        <w:t xml:space="preserve"> </w:t>
      </w:r>
      <w:r w:rsidRPr="009B0685">
        <w:rPr>
          <w:i/>
        </w:rPr>
        <w:t>See, e.g</w:t>
      </w:r>
      <w:r w:rsidRPr="009B0685">
        <w:t>.,</w:t>
      </w:r>
      <w:r w:rsidRPr="009B0685">
        <w:rPr>
          <w:i/>
        </w:rPr>
        <w:t xml:space="preserve"> </w:t>
      </w:r>
      <w:r w:rsidRPr="009B0685">
        <w:t xml:space="preserve">Letter from Margaret W. Wiener, Chief, Auctions and Spectrum Access Div., FCC, to Lee G. Petro, counsel for Four Corners Broadcasting, LLC, 25 FCC </w:t>
      </w:r>
      <w:r w:rsidRPr="009B0685">
        <w:t>Rcd</w:t>
      </w:r>
      <w:r w:rsidRPr="009B0685">
        <w:t xml:space="preserve"> 9046 (WTB 2010) (denying waiver of upfront payment deadline); Letter from Margaret W. Wiener, Chief, Auctions and Spectrum Access Div., FCC, to David G. O’Neil, counsel for Spectrum Acquisitions, Inc., 23 FCC </w:t>
      </w:r>
      <w:r w:rsidRPr="009B0685">
        <w:t>Rcd</w:t>
      </w:r>
      <w:r w:rsidRPr="009B0685">
        <w:t xml:space="preserve"> 4765 (WTB 2008) (denying waiver of upfront payment deadline because applicant was insufficiently diligent in arranging for the payment).   </w:t>
      </w:r>
    </w:p>
  </w:footnote>
  <w:footnote w:id="18">
    <w:p w:rsidR="009B0685" w:rsidRPr="009B0685" w:rsidP="009B0685" w14:paraId="77276D62" w14:textId="77777777">
      <w:pPr>
        <w:pStyle w:val="FootnoteText"/>
      </w:pPr>
      <w:r w:rsidRPr="009B0685">
        <w:rPr>
          <w:rStyle w:val="FootnoteReference"/>
          <w:sz w:val="20"/>
        </w:rPr>
        <w:footnoteRef/>
      </w:r>
      <w:r w:rsidRPr="009B0685">
        <w:t xml:space="preserve"> FCC Form 159 now is used in Commission auctions for upfront payments only.</w:t>
      </w:r>
    </w:p>
  </w:footnote>
  <w:footnote w:id="19">
    <w:p w:rsidR="009B0685" w:rsidRPr="009B0685" w:rsidP="009B0685" w14:paraId="3E9C3FBE" w14:textId="77777777">
      <w:pPr>
        <w:pStyle w:val="FootnoteText"/>
      </w:pPr>
      <w:r w:rsidRPr="009B0685">
        <w:rPr>
          <w:rStyle w:val="FootnoteReference"/>
          <w:sz w:val="20"/>
        </w:rPr>
        <w:footnoteRef/>
      </w:r>
      <w:r w:rsidRPr="009B0685">
        <w:t xml:space="preserve"> </w:t>
      </w:r>
      <w:r w:rsidRPr="009B0685">
        <w:rPr>
          <w:i/>
        </w:rPr>
        <w:t xml:space="preserve">See </w:t>
      </w:r>
      <w:r w:rsidRPr="009B0685">
        <w:t>47 CFR §§ 1.2104(g), 1.2109.</w:t>
      </w:r>
    </w:p>
  </w:footnote>
  <w:footnote w:id="20">
    <w:p w:rsidR="009B0685" w:rsidRPr="009B0685" w:rsidP="009B0685" w14:paraId="0B461F3D" w14:textId="77777777">
      <w:pPr>
        <w:pStyle w:val="FootnoteText"/>
      </w:pPr>
      <w:r w:rsidRPr="009B0685">
        <w:rPr>
          <w:rStyle w:val="FootnoteReference"/>
          <w:sz w:val="20"/>
        </w:rPr>
        <w:footnoteRef/>
      </w:r>
      <w:r w:rsidRPr="009B0685">
        <w:t xml:space="preserve"> </w:t>
      </w:r>
      <w:r w:rsidRPr="009B0685">
        <w:rPr>
          <w:i/>
        </w:rPr>
        <w:t>Id.</w:t>
      </w:r>
      <w:r w:rsidRPr="009B0685">
        <w:t xml:space="preserve"> § 1.2104(g)(2); </w:t>
      </w:r>
      <w:r w:rsidRPr="009B0685">
        <w:rPr>
          <w:i/>
        </w:rPr>
        <w:t>see also id.</w:t>
      </w:r>
      <w:r w:rsidRPr="009B0685">
        <w:t xml:space="preserve"> </w:t>
      </w:r>
      <w:r w:rsidRPr="009B0685">
        <w:rPr>
          <w:color w:val="000000"/>
        </w:rPr>
        <w:t xml:space="preserve">§ 1.2109; </w:t>
      </w:r>
      <w:r w:rsidRPr="009B0685">
        <w:rPr>
          <w:i/>
        </w:rPr>
        <w:t>Auction 110 Procedures</w:t>
      </w:r>
      <w:r w:rsidRPr="009B0685">
        <w:t xml:space="preserve"> </w:t>
      </w:r>
      <w:r w:rsidRPr="009B0685">
        <w:rPr>
          <w:i/>
          <w:iCs/>
        </w:rPr>
        <w:t>Public Notice</w:t>
      </w:r>
      <w:r w:rsidRPr="009B0685">
        <w:rPr>
          <w:iCs/>
        </w:rPr>
        <w:t xml:space="preserve">, </w:t>
      </w:r>
      <w:r w:rsidRPr="009B0685">
        <w:rPr>
          <w:lang w:val="de-DE"/>
        </w:rPr>
        <w:t>at 72,</w:t>
      </w:r>
      <w:r w:rsidRPr="009B0685">
        <w:rPr>
          <w:iCs/>
        </w:rPr>
        <w:t xml:space="preserve"> para. 263</w:t>
      </w:r>
      <w:r w:rsidRPr="009B0685">
        <w:rPr>
          <w:color w:val="000000"/>
        </w:rPr>
        <w:t>.</w:t>
      </w:r>
      <w:r w:rsidRPr="009B0685">
        <w:t xml:space="preserve">  </w:t>
      </w:r>
    </w:p>
  </w:footnote>
  <w:footnote w:id="21">
    <w:p w:rsidR="009B0685" w:rsidRPr="009B0685" w:rsidP="009B0685" w14:paraId="1C291804" w14:textId="77777777">
      <w:pPr>
        <w:pStyle w:val="FootnoteText"/>
      </w:pPr>
      <w:r w:rsidRPr="009B0685">
        <w:rPr>
          <w:rStyle w:val="FootnoteReference"/>
          <w:sz w:val="20"/>
        </w:rPr>
        <w:footnoteRef/>
      </w:r>
      <w:r w:rsidRPr="009B0685">
        <w:t xml:space="preserve"> </w:t>
      </w:r>
      <w:r w:rsidRPr="009B0685">
        <w:rPr>
          <w:i/>
          <w:iCs/>
        </w:rPr>
        <w:t xml:space="preserve">See </w:t>
      </w:r>
      <w:r w:rsidRPr="009B0685">
        <w:rPr>
          <w:i/>
        </w:rPr>
        <w:t>Auction 110 Procedures Public Notice</w:t>
      </w:r>
      <w:r w:rsidRPr="009B0685">
        <w:t xml:space="preserve">, </w:t>
      </w:r>
      <w:r w:rsidRPr="009B0685">
        <w:rPr>
          <w:lang w:val="de-DE"/>
        </w:rPr>
        <w:t>at 72,</w:t>
      </w:r>
      <w:r w:rsidRPr="009B0685">
        <w:t xml:space="preserve"> para. 264 n.429; Section </w:t>
      </w:r>
      <w:r w:rsidRPr="009B0685">
        <w:t>II.C</w:t>
      </w:r>
      <w:r w:rsidRPr="009B0685">
        <w:t xml:space="preserve"> (Results by License), above.</w:t>
      </w:r>
    </w:p>
  </w:footnote>
  <w:footnote w:id="22">
    <w:p w:rsidR="009B0685" w:rsidRPr="009B0685" w:rsidP="009B0685" w14:paraId="6F8B1569" w14:textId="77777777">
      <w:pPr>
        <w:pStyle w:val="FootnoteText"/>
      </w:pPr>
      <w:r w:rsidRPr="009B0685">
        <w:rPr>
          <w:rStyle w:val="FootnoteReference"/>
          <w:sz w:val="20"/>
        </w:rPr>
        <w:footnoteRef/>
      </w:r>
      <w:r w:rsidRPr="009B0685">
        <w:t xml:space="preserve"> 47 CFR § 1.2104(g)(2); </w:t>
      </w:r>
      <w:r w:rsidRPr="009B0685">
        <w:rPr>
          <w:i/>
        </w:rPr>
        <w:t>see also</w:t>
      </w:r>
      <w:r w:rsidRPr="009B0685">
        <w:t xml:space="preserve"> </w:t>
      </w:r>
      <w:r w:rsidRPr="009B0685">
        <w:rPr>
          <w:i/>
        </w:rPr>
        <w:t>id.</w:t>
      </w:r>
      <w:r w:rsidRPr="009B0685">
        <w:t xml:space="preserve"> </w:t>
      </w:r>
      <w:r w:rsidRPr="009B0685">
        <w:rPr>
          <w:color w:val="000000"/>
        </w:rPr>
        <w:t xml:space="preserve">§ 1.2109; </w:t>
      </w:r>
      <w:r w:rsidRPr="009B0685">
        <w:rPr>
          <w:i/>
        </w:rPr>
        <w:t>Auction 110 Procedures</w:t>
      </w:r>
      <w:r w:rsidRPr="009B0685">
        <w:t xml:space="preserve"> </w:t>
      </w:r>
      <w:r w:rsidRPr="009B0685">
        <w:rPr>
          <w:i/>
          <w:iCs/>
        </w:rPr>
        <w:t>Public Notice</w:t>
      </w:r>
      <w:r w:rsidRPr="009B0685">
        <w:rPr>
          <w:iCs/>
        </w:rPr>
        <w:t xml:space="preserve">, </w:t>
      </w:r>
      <w:r w:rsidRPr="009B0685">
        <w:rPr>
          <w:lang w:val="de-DE"/>
        </w:rPr>
        <w:t>at 72,</w:t>
      </w:r>
      <w:r w:rsidRPr="009B0685">
        <w:rPr>
          <w:iCs/>
        </w:rPr>
        <w:t xml:space="preserve"> para. 263</w:t>
      </w:r>
      <w:r w:rsidRPr="009B0685">
        <w:t xml:space="preserve">.   </w:t>
      </w:r>
    </w:p>
  </w:footnote>
  <w:footnote w:id="23">
    <w:p w:rsidR="009B0685" w:rsidRPr="009B0685" w:rsidP="009B0685" w14:paraId="45C153AE" w14:textId="77777777">
      <w:pPr>
        <w:pStyle w:val="FootnoteText"/>
      </w:pPr>
      <w:r w:rsidRPr="009B0685">
        <w:rPr>
          <w:rStyle w:val="FootnoteReference"/>
          <w:sz w:val="20"/>
        </w:rPr>
        <w:footnoteRef/>
      </w:r>
      <w:r w:rsidRPr="009B0685">
        <w:t xml:space="preserve"> </w:t>
      </w:r>
      <w:r w:rsidRPr="009B0685">
        <w:rPr>
          <w:i/>
        </w:rPr>
        <w:t>Auction 110 Procedures Public Notice</w:t>
      </w:r>
      <w:r w:rsidRPr="009B0685">
        <w:t xml:space="preserve">, </w:t>
      </w:r>
      <w:r w:rsidRPr="009B0685">
        <w:rPr>
          <w:lang w:val="de-DE"/>
        </w:rPr>
        <w:t>at 72,</w:t>
      </w:r>
      <w:r w:rsidRPr="009B0685">
        <w:t xml:space="preserve"> para. 264.</w:t>
      </w:r>
    </w:p>
  </w:footnote>
  <w:footnote w:id="24">
    <w:p w:rsidR="009B0685" w:rsidRPr="009B0685" w:rsidP="009B0685" w14:paraId="24B421D7" w14:textId="77777777">
      <w:pPr>
        <w:pStyle w:val="FootnoteText"/>
      </w:pPr>
      <w:r w:rsidRPr="009B0685">
        <w:rPr>
          <w:rStyle w:val="FootnoteReference"/>
          <w:sz w:val="20"/>
        </w:rPr>
        <w:footnoteRef/>
      </w:r>
      <w:r w:rsidRPr="009B0685">
        <w:t xml:space="preserve"> 47 CFR §§ 1.2104(g)(2), 1.2109(b).</w:t>
      </w:r>
    </w:p>
  </w:footnote>
  <w:footnote w:id="25">
    <w:p w:rsidR="009B0685" w:rsidRPr="009B0685" w:rsidP="009B0685" w14:paraId="2D82F09A" w14:textId="77777777">
      <w:pPr>
        <w:pStyle w:val="FootnoteText"/>
      </w:pPr>
      <w:r w:rsidRPr="009B0685">
        <w:rPr>
          <w:rStyle w:val="FootnoteReference"/>
          <w:sz w:val="20"/>
        </w:rPr>
        <w:footnoteRef/>
      </w:r>
      <w:r w:rsidRPr="009B0685">
        <w:t xml:space="preserve"> </w:t>
      </w:r>
      <w:r w:rsidRPr="009B0685">
        <w:rPr>
          <w:i/>
        </w:rPr>
        <w:t>Id.</w:t>
      </w:r>
      <w:r w:rsidRPr="009B0685">
        <w:t xml:space="preserve"> § 1.2109(a).</w:t>
      </w:r>
    </w:p>
  </w:footnote>
  <w:footnote w:id="26">
    <w:p w:rsidR="009B0685" w:rsidRPr="009B0685" w:rsidP="009B0685" w14:paraId="1354FFF7" w14:textId="77777777">
      <w:pPr>
        <w:pStyle w:val="FootnoteText"/>
      </w:pPr>
      <w:r w:rsidRPr="009B0685">
        <w:rPr>
          <w:rStyle w:val="FootnoteReference"/>
          <w:sz w:val="20"/>
        </w:rPr>
        <w:footnoteRef/>
      </w:r>
      <w:r w:rsidRPr="009B0685">
        <w:t xml:space="preserve"> </w:t>
      </w:r>
      <w:r w:rsidRPr="009B0685">
        <w:rPr>
          <w:i/>
        </w:rPr>
        <w:t>Id.</w:t>
      </w:r>
      <w:r w:rsidRPr="009B0685">
        <w:t xml:space="preserve"> §§ 1.2104(g)(2), 1.2109(a), (c).</w:t>
      </w:r>
    </w:p>
  </w:footnote>
  <w:footnote w:id="27">
    <w:p w:rsidR="009B0685" w:rsidRPr="009B0685" w:rsidP="009B0685" w14:paraId="3EEC6D2A" w14:textId="77777777">
      <w:pPr>
        <w:pStyle w:val="FootnoteText"/>
      </w:pPr>
      <w:r w:rsidRPr="009B0685">
        <w:rPr>
          <w:rStyle w:val="FootnoteReference"/>
          <w:sz w:val="20"/>
        </w:rPr>
        <w:footnoteRef/>
      </w:r>
      <w:r w:rsidRPr="009B0685">
        <w:t xml:space="preserve"> </w:t>
      </w:r>
      <w:r w:rsidRPr="009B0685">
        <w:rPr>
          <w:i/>
        </w:rPr>
        <w:t>See id.</w:t>
      </w:r>
      <w:r w:rsidRPr="009B0685">
        <w:t xml:space="preserve"> § 1.2109(a).</w:t>
      </w:r>
    </w:p>
  </w:footnote>
  <w:footnote w:id="28">
    <w:p w:rsidR="009B0685" w:rsidRPr="009B0685" w:rsidP="009B0685" w14:paraId="0F24B436" w14:textId="77777777">
      <w:pPr>
        <w:pStyle w:val="FootnoteText"/>
      </w:pPr>
      <w:r w:rsidRPr="009B0685">
        <w:rPr>
          <w:rStyle w:val="FootnoteReference"/>
          <w:sz w:val="20"/>
        </w:rPr>
        <w:footnoteRef/>
      </w:r>
      <w:r w:rsidRPr="009B0685">
        <w:t xml:space="preserve"> </w:t>
      </w:r>
      <w:r w:rsidRPr="009B0685">
        <w:rPr>
          <w:i/>
        </w:rPr>
        <w:t>Id.</w:t>
      </w:r>
      <w:r w:rsidRPr="009B0685">
        <w:t xml:space="preserve"> § 1.2109(d).</w:t>
      </w:r>
    </w:p>
  </w:footnote>
  <w:footnote w:id="29">
    <w:p w:rsidR="009B0685" w:rsidRPr="009B0685" w:rsidP="009B0685" w14:paraId="0E2227D4" w14:textId="77777777">
      <w:pPr>
        <w:pStyle w:val="FootnoteText"/>
        <w:widowControl w:val="0"/>
      </w:pPr>
      <w:r w:rsidRPr="009B0685">
        <w:rPr>
          <w:rStyle w:val="FootnoteReference"/>
          <w:sz w:val="20"/>
        </w:rPr>
        <w:footnoteRef/>
      </w:r>
      <w:r w:rsidRPr="009B0685">
        <w:t xml:space="preserve"> </w:t>
      </w:r>
      <w:r w:rsidRPr="009B0685">
        <w:rPr>
          <w:i/>
        </w:rPr>
        <w:t xml:space="preserve">Id. </w:t>
      </w:r>
      <w:r w:rsidRPr="009B0685">
        <w:t>§ 1.2112(b).</w:t>
      </w:r>
    </w:p>
  </w:footnote>
  <w:footnote w:id="30">
    <w:p w:rsidR="009B0685" w:rsidRPr="009B0685" w:rsidP="009B0685" w14:paraId="4F5EA9EF" w14:textId="77777777">
      <w:pPr>
        <w:pStyle w:val="FootnoteText"/>
      </w:pPr>
      <w:r w:rsidRPr="009B0685">
        <w:rPr>
          <w:rStyle w:val="FootnoteReference"/>
          <w:sz w:val="20"/>
        </w:rPr>
        <w:footnoteRef/>
      </w:r>
      <w:r w:rsidRPr="009B0685">
        <w:rPr>
          <w:i/>
        </w:rPr>
        <w:t xml:space="preserve"> Id.</w:t>
      </w:r>
      <w:r w:rsidRPr="009B0685">
        <w:t xml:space="preserve"> § 1.2107(g); </w:t>
      </w:r>
      <w:r w:rsidRPr="009B0685">
        <w:rPr>
          <w:i/>
        </w:rPr>
        <w:t>Auction 110 Procedures Public Notice</w:t>
      </w:r>
      <w:r w:rsidRPr="009B0685">
        <w:rPr>
          <w:iCs/>
        </w:rPr>
        <w:t xml:space="preserve">, </w:t>
      </w:r>
      <w:r w:rsidRPr="009B0685">
        <w:rPr>
          <w:lang w:val="de-DE"/>
        </w:rPr>
        <w:t>at 70-71,</w:t>
      </w:r>
      <w:r w:rsidRPr="009B0685">
        <w:rPr>
          <w:iCs/>
        </w:rPr>
        <w:t xml:space="preserve"> para. 257; </w:t>
      </w:r>
      <w:r w:rsidRPr="009B0685">
        <w:rPr>
          <w:i/>
          <w:iCs/>
        </w:rPr>
        <w:t>s</w:t>
      </w:r>
      <w:r w:rsidRPr="009B0685">
        <w:rPr>
          <w:i/>
        </w:rPr>
        <w:t>ee also Implementation of the Commercial Spectrum Enhancement Act and Modernization of the Commission’s Competitive Bidding Rules and Procedures</w:t>
      </w:r>
      <w:r w:rsidRPr="009B0685">
        <w:t xml:space="preserve">, WT Docket No. 05-211, Report and Order, 21 FCC </w:t>
      </w:r>
      <w:r w:rsidRPr="009B0685">
        <w:t>Rcd</w:t>
      </w:r>
      <w:r w:rsidRPr="009B0685">
        <w:t xml:space="preserve"> 891, 911-12, paras. 51-52 (2006); </w:t>
      </w:r>
      <w:r w:rsidRPr="009B0685">
        <w:rPr>
          <w:i/>
        </w:rPr>
        <w:t>Updating Part 1 Competitive Bidding Rules et al.</w:t>
      </w:r>
      <w:r w:rsidRPr="009B0685">
        <w:t xml:space="preserve">, WT Docket No. 14-170 et al., Order on Reconsideration of the First Report and Order; Third Order on Reconsideration of the Second Report and Order; Third Report and Order, 30 FCC </w:t>
      </w:r>
      <w:r w:rsidRPr="009B0685">
        <w:t>Rcd</w:t>
      </w:r>
      <w:r w:rsidRPr="009B0685">
        <w:t xml:space="preserve"> 7493, 7535, para. 101 (2015) (modified by Erratum, 30 FCC </w:t>
      </w:r>
      <w:r w:rsidRPr="009B0685">
        <w:t>Rcd</w:t>
      </w:r>
      <w:r w:rsidRPr="009B0685">
        <w:t xml:space="preserve"> 8518 (2015)).</w:t>
      </w:r>
    </w:p>
  </w:footnote>
  <w:footnote w:id="31">
    <w:p w:rsidR="009B0685" w:rsidRPr="009B0685" w:rsidP="009B0685" w14:paraId="7DAA1F52" w14:textId="77777777">
      <w:pPr>
        <w:pStyle w:val="FootnoteText"/>
        <w:rPr>
          <w:color w:val="000000"/>
        </w:rPr>
      </w:pPr>
      <w:r w:rsidRPr="009B0685">
        <w:rPr>
          <w:rStyle w:val="FootnoteReference"/>
          <w:sz w:val="20"/>
        </w:rPr>
        <w:footnoteRef/>
      </w:r>
      <w:r w:rsidRPr="009B0685">
        <w:t xml:space="preserve"> </w:t>
      </w:r>
      <w:r w:rsidRPr="009B0685">
        <w:rPr>
          <w:color w:val="000000"/>
        </w:rPr>
        <w:t xml:space="preserve">47 CFR § 1.2104(g); </w:t>
      </w:r>
      <w:r w:rsidRPr="009B0685">
        <w:rPr>
          <w:i/>
          <w:color w:val="000000"/>
        </w:rPr>
        <w:t>see also id.</w:t>
      </w:r>
      <w:r w:rsidRPr="009B0685">
        <w:rPr>
          <w:color w:val="000000"/>
        </w:rPr>
        <w:t xml:space="preserve"> § 1.2107(c). </w:t>
      </w:r>
    </w:p>
  </w:footnote>
  <w:footnote w:id="32">
    <w:p w:rsidR="009B0685" w:rsidRPr="009B0685" w:rsidP="009B0685" w14:paraId="02808368" w14:textId="77777777">
      <w:pPr>
        <w:pStyle w:val="FootnoteText"/>
        <w:widowControl w:val="0"/>
      </w:pPr>
      <w:r w:rsidRPr="009B0685">
        <w:rPr>
          <w:rStyle w:val="FootnoteReference"/>
          <w:sz w:val="20"/>
        </w:rPr>
        <w:footnoteRef/>
      </w:r>
      <w:r w:rsidRPr="009B0685">
        <w:t xml:space="preserve"> </w:t>
      </w:r>
      <w:r w:rsidRPr="009B0685">
        <w:rPr>
          <w:i/>
        </w:rPr>
        <w:t>Id.</w:t>
      </w:r>
      <w:r w:rsidRPr="009B0685">
        <w:t xml:space="preserve"> §§ 1.2107, 1.2110(f).</w:t>
      </w:r>
    </w:p>
  </w:footnote>
  <w:footnote w:id="33">
    <w:p w:rsidR="009B0685" w:rsidRPr="009B0685" w:rsidP="009B0685" w14:paraId="173DCE94" w14:textId="77777777">
      <w:pPr>
        <w:pStyle w:val="FootnoteText"/>
        <w:widowControl w:val="0"/>
      </w:pPr>
      <w:r w:rsidRPr="009B0685">
        <w:rPr>
          <w:rStyle w:val="FootnoteReference"/>
          <w:sz w:val="20"/>
        </w:rPr>
        <w:footnoteRef/>
      </w:r>
      <w:r w:rsidRPr="009B0685">
        <w:t xml:space="preserve"> </w:t>
      </w:r>
      <w:r w:rsidRPr="009B0685">
        <w:rPr>
          <w:i/>
        </w:rPr>
        <w:t>Id.</w:t>
      </w:r>
      <w:r w:rsidRPr="009B0685">
        <w:t xml:space="preserve"> § 1.2110(f)(3)(vii).</w:t>
      </w:r>
    </w:p>
  </w:footnote>
  <w:footnote w:id="34">
    <w:p w:rsidR="009B0685" w:rsidRPr="009B0685" w:rsidP="009B0685" w14:paraId="392AB42C" w14:textId="77777777">
      <w:pPr>
        <w:pStyle w:val="FootnoteText"/>
        <w:widowControl w:val="0"/>
      </w:pPr>
      <w:r w:rsidRPr="009B0685">
        <w:rPr>
          <w:rStyle w:val="FootnoteReference"/>
          <w:sz w:val="20"/>
        </w:rPr>
        <w:footnoteRef/>
      </w:r>
      <w:r w:rsidRPr="009B0685">
        <w:t xml:space="preserve"> </w:t>
      </w:r>
      <w:r w:rsidRPr="009B0685">
        <w:rPr>
          <w:rStyle w:val="FootnoteTextCharCharCharChar3CharCharChar1"/>
          <w:i/>
        </w:rPr>
        <w:t>See generally</w:t>
      </w:r>
      <w:r w:rsidRPr="009B0685">
        <w:rPr>
          <w:rStyle w:val="FootnoteTextCharCharCharChar3CharCharChar1"/>
        </w:rPr>
        <w:t xml:space="preserve"> </w:t>
      </w:r>
      <w:r w:rsidRPr="009B0685">
        <w:rPr>
          <w:rStyle w:val="FootnoteTextCharCharCharChar3CharCharChar1"/>
          <w:i/>
        </w:rPr>
        <w:t>Extending Wireless Telecommunications Services to Tribal Lands</w:t>
      </w:r>
      <w:r w:rsidRPr="009B0685">
        <w:rPr>
          <w:rStyle w:val="FootnoteTextCharCharCharChar3CharCharChar1"/>
        </w:rPr>
        <w:t xml:space="preserve">, Report and Order and Further Notice of Proposed Rule Making, 15 FCC </w:t>
      </w:r>
      <w:r w:rsidRPr="009B0685">
        <w:rPr>
          <w:rStyle w:val="FootnoteTextCharCharCharChar3CharCharChar1"/>
        </w:rPr>
        <w:t>Rcd</w:t>
      </w:r>
      <w:r w:rsidRPr="009B0685">
        <w:rPr>
          <w:rStyle w:val="FootnoteTextCharCharCharChar3CharCharChar1"/>
        </w:rPr>
        <w:t xml:space="preserve"> 11794 (2000); Second Report and Order and Second Further Notice of Proposed Rulemaking, 18 FCC </w:t>
      </w:r>
      <w:r w:rsidRPr="009B0685">
        <w:rPr>
          <w:rStyle w:val="FootnoteTextCharCharCharChar3CharCharChar1"/>
        </w:rPr>
        <w:t>Rcd</w:t>
      </w:r>
      <w:r w:rsidRPr="009B0685">
        <w:rPr>
          <w:rStyle w:val="FootnoteTextCharCharCharChar3CharCharChar1"/>
        </w:rPr>
        <w:t xml:space="preserve"> 4775, 4778-79, para. 10 (2003); Third Report and Order, 19 FCC </w:t>
      </w:r>
      <w:r w:rsidRPr="009B0685">
        <w:rPr>
          <w:rStyle w:val="FootnoteTextCharCharCharChar3CharCharChar1"/>
        </w:rPr>
        <w:t>Rcd</w:t>
      </w:r>
      <w:r w:rsidRPr="009B0685">
        <w:rPr>
          <w:rStyle w:val="FootnoteTextCharCharCharChar3CharCharChar1"/>
        </w:rPr>
        <w:t xml:space="preserve"> 17652 (2004); </w:t>
      </w:r>
      <w:r w:rsidRPr="009B0685">
        <w:rPr>
          <w:rStyle w:val="FootnoteTextCharCharCharChar3CharCharChar1"/>
          <w:i/>
        </w:rPr>
        <w:t>see also</w:t>
      </w:r>
      <w:r w:rsidRPr="009B0685">
        <w:rPr>
          <w:rStyle w:val="FootnoteTextCharCharCharChar3CharCharChar1"/>
        </w:rPr>
        <w:t xml:space="preserve"> </w:t>
      </w:r>
      <w:r w:rsidRPr="009B0685">
        <w:rPr>
          <w:rStyle w:val="FootnoteTextCharCharCharChar3CharCharChar1"/>
          <w:i/>
        </w:rPr>
        <w:t>Wireless Telecommunications Bureau Announces Enhancements to the Universal Licensing System to Help Winning Bidders of FCC Auctions File for Tribal Land Bidding Credits</w:t>
      </w:r>
      <w:r w:rsidRPr="009B0685">
        <w:rPr>
          <w:rStyle w:val="FootnoteTextCharCharCharChar3CharCharChar1"/>
        </w:rPr>
        <w:t xml:space="preserve">, Public Notice, 16 FCC </w:t>
      </w:r>
      <w:r w:rsidRPr="009B0685">
        <w:rPr>
          <w:rStyle w:val="FootnoteTextCharCharCharChar3CharCharChar1"/>
        </w:rPr>
        <w:t>Rcd</w:t>
      </w:r>
      <w:r w:rsidRPr="009B0685">
        <w:rPr>
          <w:rStyle w:val="FootnoteTextCharCharCharChar3CharCharChar1"/>
        </w:rPr>
        <w:t xml:space="preserve"> 5355 (WTB 2001); </w:t>
      </w:r>
      <w:r w:rsidRPr="009B0685">
        <w:rPr>
          <w:rStyle w:val="FootnoteTextCharCharCharChar3CharCharChar1"/>
          <w:i/>
        </w:rPr>
        <w:t>Wireless Telecommunications Bureau Releases Additional Information Regarding the Procedures for Obtaining a Tribal Lands Bidding Credit and List of Tribal Lands</w:t>
      </w:r>
      <w:r w:rsidRPr="009B0685">
        <w:rPr>
          <w:rStyle w:val="FootnoteTextCharCharCharChar3CharCharChar1"/>
        </w:rPr>
        <w:t xml:space="preserve">, Public Notice, 15 FCC </w:t>
      </w:r>
      <w:r w:rsidRPr="009B0685">
        <w:rPr>
          <w:rStyle w:val="FootnoteTextCharCharCharChar3CharCharChar1"/>
        </w:rPr>
        <w:t>Rcd</w:t>
      </w:r>
      <w:r w:rsidRPr="009B0685">
        <w:rPr>
          <w:rStyle w:val="FootnoteTextCharCharCharChar3CharCharChar1"/>
        </w:rPr>
        <w:t xml:space="preserve"> 24838 (WTB 2000); </w:t>
      </w:r>
      <w:r w:rsidRPr="009B0685">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w:t>
      </w:r>
      <w:r w:rsidRPr="009B0685">
        <w:rPr>
          <w:rStyle w:val="FootnoteTextCharCharCharChar3CharCharChar1"/>
          <w:i/>
        </w:rPr>
        <w:t>SMR</w:t>
      </w:r>
      <w:r w:rsidRPr="009B0685">
        <w:rPr>
          <w:rStyle w:val="FootnoteTextCharCharCharChar3CharCharChar1"/>
          <w:i/>
        </w:rPr>
        <w:t>) Lower 80 Channels) and in Future Auctions</w:t>
      </w:r>
      <w:r w:rsidRPr="009B0685">
        <w:rPr>
          <w:rStyle w:val="FootnoteTextCharCharCharChar3CharCharChar1"/>
        </w:rPr>
        <w:t xml:space="preserve">, Public Notice, 15 FCC </w:t>
      </w:r>
      <w:r w:rsidRPr="009B0685">
        <w:rPr>
          <w:rStyle w:val="FootnoteTextCharCharCharChar3CharCharChar1"/>
        </w:rPr>
        <w:t>Rcd</w:t>
      </w:r>
      <w:r w:rsidRPr="009B0685">
        <w:rPr>
          <w:rStyle w:val="FootnoteTextCharCharCharChar3CharCharChar1"/>
        </w:rPr>
        <w:t xml:space="preserve"> 18351 (WTB 2000).  </w:t>
      </w:r>
      <w:r w:rsidRPr="009B0685">
        <w:t xml:space="preserve">Relevant documents can be viewed on the Commission’s website by going to </w:t>
      </w:r>
      <w:hyperlink r:id="rId3" w:history="1">
        <w:r w:rsidRPr="009B0685">
          <w:rPr>
            <w:rStyle w:val="Hyperlink"/>
          </w:rPr>
          <w:t>www.fcc.gov/auctions</w:t>
        </w:r>
      </w:hyperlink>
      <w:r w:rsidRPr="009B0685">
        <w:t xml:space="preserve"> and clicking on the “Tribal Lands Credits” link.</w:t>
      </w:r>
    </w:p>
  </w:footnote>
  <w:footnote w:id="35">
    <w:p w:rsidR="009B0685" w:rsidRPr="00B66404" w:rsidP="009B0685" w14:paraId="364ED380" w14:textId="77777777">
      <w:pPr>
        <w:pStyle w:val="FootnoteText"/>
        <w:rPr>
          <w:color w:val="000000" w:themeColor="text1"/>
        </w:rPr>
      </w:pPr>
      <w:r w:rsidRPr="009B0685">
        <w:rPr>
          <w:rStyle w:val="FootnoteReference"/>
          <w:sz w:val="20"/>
        </w:rPr>
        <w:footnoteRef/>
      </w:r>
      <w:r w:rsidRPr="009B0685">
        <w:t xml:space="preserve"> </w:t>
      </w:r>
      <w:r w:rsidRPr="009B0685">
        <w:rPr>
          <w:i/>
          <w:iCs/>
        </w:rPr>
        <w:t>Id.</w:t>
      </w:r>
      <w:r w:rsidRPr="009B0685">
        <w:t xml:space="preserve"> </w:t>
      </w:r>
      <w:r w:rsidRPr="009B0685">
        <w:rPr>
          <w:color w:val="000000"/>
        </w:rPr>
        <w:t xml:space="preserve">§§ 1.913, 1.919, 1.2107(f).  </w:t>
      </w:r>
      <w:r w:rsidRPr="009B0685">
        <w:rPr>
          <w:snapToGrid w:val="0"/>
          <w:color w:val="000000"/>
        </w:rPr>
        <w:t xml:space="preserve">By current Form 602 filing, we mean an FCC Form 602 filed after the FCC Form 175 deadline.  If the most recent Form 602 filing predates the FCC Form 175 deadline, an applicant is responsible for filing an FCC Form 602 by the long-form application deadline regardless if the applicant’s ownership information is the same or if the applicant needs to file new or updated ownership information.  Further, we remind applicants that a spectrum aggregation limit allows any entity to hold a maximum of 40 megahertz in the 3.45 GHz band (i.e., four blocks out of ten) in any PEA at any point in time for four years post-auction.  </w:t>
      </w:r>
      <w:r w:rsidRPr="009B0685">
        <w:rPr>
          <w:i/>
          <w:iCs/>
          <w:snapToGrid w:val="0"/>
          <w:color w:val="000000"/>
        </w:rPr>
        <w:t>See</w:t>
      </w:r>
      <w:r w:rsidRPr="009B0685">
        <w:rPr>
          <w:snapToGrid w:val="0"/>
          <w:color w:val="000000"/>
        </w:rPr>
        <w:t xml:space="preserve"> </w:t>
      </w:r>
      <w:r w:rsidRPr="009B0685">
        <w:rPr>
          <w:i/>
          <w:iCs/>
          <w:snapToGrid w:val="0"/>
        </w:rPr>
        <w:t>Facilitating Shared Use in the 3100-3550 MHz Band</w:t>
      </w:r>
      <w:r w:rsidRPr="009B0685">
        <w:rPr>
          <w:snapToGrid w:val="0"/>
        </w:rPr>
        <w:t xml:space="preserve">, WT Docket No. 19-348, Second Report and Order, Order on Reconsideration, and Order of Proposed Modification, FCC 21-32, at </w:t>
      </w:r>
      <w:r w:rsidRPr="009B0685">
        <w:rPr>
          <w:snapToGrid w:val="0"/>
          <w:color w:val="000000"/>
        </w:rPr>
        <w:t>36-39, paras. 101-06</w:t>
      </w:r>
      <w:r w:rsidRPr="009B0685">
        <w:rPr>
          <w:snapToGrid w:val="0"/>
        </w:rPr>
        <w:t xml:space="preserve"> (Mar. 18, 2021)</w:t>
      </w:r>
      <w:r w:rsidRPr="009B0685">
        <w:rPr>
          <w:snapToGrid w:val="0"/>
          <w:color w:val="000000"/>
        </w:rPr>
        <w:t xml:space="preserve">.  </w:t>
      </w:r>
      <w:r w:rsidRPr="009B0685">
        <w:t xml:space="preserve">Applicants should therefore continue to conduct the necessary due diligence to determine whether any of its attributable interest holders have attributable interests in other potential license applicants, which may limit each </w:t>
      </w:r>
      <w:r w:rsidRPr="00B66404">
        <w:rPr>
          <w:color w:val="000000" w:themeColor="text1"/>
        </w:rPr>
        <w:t xml:space="preserve">applicant’s ability to hold up to four licenses in a single PEA.  </w:t>
      </w:r>
      <w:r w:rsidRPr="00B66404">
        <w:rPr>
          <w:i/>
          <w:iCs/>
          <w:color w:val="000000" w:themeColor="text1"/>
        </w:rPr>
        <w:t>See</w:t>
      </w:r>
      <w:r w:rsidRPr="00B66404">
        <w:rPr>
          <w:color w:val="000000" w:themeColor="text1"/>
        </w:rPr>
        <w:t xml:space="preserve"> </w:t>
      </w:r>
      <w:r w:rsidRPr="00B66404">
        <w:rPr>
          <w:i/>
          <w:color w:val="000000" w:themeColor="text1"/>
        </w:rPr>
        <w:t>Auction 110 Procedures Public Notice</w:t>
      </w:r>
      <w:r w:rsidRPr="00B66404">
        <w:rPr>
          <w:iCs/>
          <w:color w:val="000000" w:themeColor="text1"/>
        </w:rPr>
        <w:t xml:space="preserve">, </w:t>
      </w:r>
      <w:r w:rsidRPr="00B66404">
        <w:rPr>
          <w:color w:val="000000" w:themeColor="text1"/>
          <w:lang w:val="de-DE"/>
        </w:rPr>
        <w:t>at 43-44,</w:t>
      </w:r>
      <w:r w:rsidRPr="00B66404">
        <w:rPr>
          <w:iCs/>
          <w:color w:val="000000" w:themeColor="text1"/>
        </w:rPr>
        <w:t xml:space="preserve"> paras. 128-30.</w:t>
      </w:r>
      <w:r w:rsidRPr="00B66404">
        <w:rPr>
          <w:snapToGrid w:val="0"/>
          <w:color w:val="000000" w:themeColor="text1"/>
        </w:rPr>
        <w:t xml:space="preserve">  </w:t>
      </w:r>
    </w:p>
  </w:footnote>
  <w:footnote w:id="36">
    <w:p w:rsidR="009B0685" w:rsidRPr="009B0685" w:rsidP="009B0685" w14:paraId="0914B556" w14:textId="77777777">
      <w:pPr>
        <w:pStyle w:val="FootnoteText"/>
      </w:pPr>
      <w:r w:rsidRPr="009B0685">
        <w:rPr>
          <w:rStyle w:val="FootnoteReference"/>
          <w:sz w:val="20"/>
        </w:rPr>
        <w:footnoteRef/>
      </w:r>
      <w:r w:rsidRPr="009B0685">
        <w:rPr>
          <w:rStyle w:val="FootnoteReference"/>
          <w:sz w:val="20"/>
        </w:rPr>
        <w:t xml:space="preserve"> </w:t>
      </w:r>
      <w:r w:rsidRPr="009B0685">
        <w:rPr>
          <w:color w:val="000000"/>
        </w:rPr>
        <w:t xml:space="preserve">The FCC Form 601 ownership reporting requirement can be fulfilled by referencing the file number, date, and name of filer of the appropriate FCC Form 602.  </w:t>
      </w:r>
      <w:r w:rsidRPr="009B0685">
        <w:rPr>
          <w:i/>
          <w:iCs/>
          <w:color w:val="000000"/>
        </w:rPr>
        <w:t>See</w:t>
      </w:r>
      <w:r w:rsidRPr="009B0685">
        <w:rPr>
          <w:color w:val="000000"/>
        </w:rPr>
        <w:t xml:space="preserve"> </w:t>
      </w:r>
      <w:r w:rsidRPr="009B0685">
        <w:rPr>
          <w:i/>
          <w:iCs/>
        </w:rPr>
        <w:t>Instructions for Completing FCC Form 601 and FCC Form 602</w:t>
      </w:r>
      <w:r w:rsidRPr="009B0685">
        <w:rPr>
          <w:color w:val="000000"/>
        </w:rPr>
        <w:t>.</w:t>
      </w:r>
    </w:p>
  </w:footnote>
  <w:footnote w:id="37">
    <w:p w:rsidR="009B0685" w:rsidRPr="009B0685" w:rsidP="009B0685" w14:paraId="7A7D63EE" w14:textId="77777777">
      <w:pPr>
        <w:pStyle w:val="FootnoteText"/>
      </w:pPr>
      <w:r w:rsidRPr="009B0685">
        <w:rPr>
          <w:rStyle w:val="FootnoteReference"/>
          <w:sz w:val="20"/>
        </w:rPr>
        <w:footnoteRef/>
      </w:r>
      <w:r w:rsidRPr="009B0685">
        <w:t xml:space="preserve"> </w:t>
      </w:r>
      <w:r w:rsidRPr="009B0685">
        <w:rPr>
          <w:i/>
        </w:rPr>
        <w:t xml:space="preserve">See </w:t>
      </w:r>
      <w:r w:rsidRPr="009B0685">
        <w:t>47 CFR § 1.65.</w:t>
      </w:r>
    </w:p>
  </w:footnote>
  <w:footnote w:id="38">
    <w:p w:rsidR="009B0685" w:rsidRPr="009B0685" w:rsidP="009B0685" w14:paraId="376F8A70" w14:textId="77777777">
      <w:pPr>
        <w:pStyle w:val="FootnoteText"/>
      </w:pPr>
      <w:r w:rsidRPr="009B0685">
        <w:rPr>
          <w:rStyle w:val="FootnoteReference"/>
          <w:sz w:val="20"/>
        </w:rPr>
        <w:footnoteRef/>
      </w:r>
      <w:r w:rsidRPr="009B0685">
        <w:t xml:space="preserve"> </w:t>
      </w:r>
      <w:r w:rsidRPr="009B0685">
        <w:rPr>
          <w:i/>
        </w:rPr>
        <w:t>Id.</w:t>
      </w:r>
      <w:r w:rsidRPr="009B0685">
        <w:t xml:space="preserve"> § 1.2108(b).</w:t>
      </w:r>
    </w:p>
  </w:footnote>
  <w:footnote w:id="39">
    <w:p w:rsidR="009B0685" w:rsidRPr="009B0685" w:rsidP="009B0685" w14:paraId="4D1EB098" w14:textId="77777777">
      <w:pPr>
        <w:pStyle w:val="FootnoteText"/>
      </w:pPr>
      <w:r w:rsidRPr="009B0685">
        <w:rPr>
          <w:rStyle w:val="FootnoteReference"/>
          <w:sz w:val="20"/>
        </w:rPr>
        <w:footnoteRef/>
      </w:r>
      <w:r w:rsidRPr="009B0685">
        <w:t xml:space="preserve"> </w:t>
      </w:r>
      <w:r w:rsidRPr="009B0685">
        <w:rPr>
          <w:i/>
        </w:rPr>
        <w:t>Id.</w:t>
      </w:r>
      <w:r w:rsidRPr="009B0685">
        <w:t xml:space="preserve"> § 1.2108(c).</w:t>
      </w:r>
    </w:p>
  </w:footnote>
  <w:footnote w:id="40">
    <w:p w:rsidR="009B0685" w:rsidRPr="009B0685" w:rsidP="009B0685" w14:paraId="2D69A31E" w14:textId="77777777">
      <w:pPr>
        <w:pStyle w:val="FootnoteText"/>
      </w:pPr>
      <w:r w:rsidRPr="009B0685">
        <w:rPr>
          <w:rStyle w:val="FootnoteReference"/>
          <w:sz w:val="20"/>
        </w:rPr>
        <w:footnoteRef/>
      </w:r>
      <w:r w:rsidRPr="009B0685">
        <w:t xml:space="preserve"> </w:t>
      </w:r>
      <w:r w:rsidRPr="009B0685">
        <w:rPr>
          <w:i/>
        </w:rPr>
        <w:t>Id</w:t>
      </w:r>
      <w:r w:rsidRPr="009B0685">
        <w:t>.</w:t>
      </w:r>
    </w:p>
  </w:footnote>
  <w:footnote w:id="41">
    <w:p w:rsidR="009B0685" w:rsidRPr="009B0685" w:rsidP="009B0685" w14:paraId="48A37EF4" w14:textId="77777777">
      <w:pPr>
        <w:pStyle w:val="FootnoteText"/>
      </w:pPr>
      <w:r w:rsidRPr="009B0685">
        <w:rPr>
          <w:rStyle w:val="FootnoteReference"/>
          <w:sz w:val="20"/>
        </w:rPr>
        <w:footnoteRef/>
      </w:r>
      <w:r w:rsidRPr="009B0685">
        <w:t xml:space="preserve"> </w:t>
      </w:r>
      <w:r w:rsidRPr="009B0685">
        <w:rPr>
          <w:i/>
        </w:rPr>
        <w:t>See</w:t>
      </w:r>
      <w:r w:rsidRPr="009B0685">
        <w:t xml:space="preserve"> </w:t>
      </w:r>
      <w:r w:rsidRPr="009B0685">
        <w:rPr>
          <w:i/>
        </w:rPr>
        <w:t>Commission Taking Tough Measures Against Frivolous Pleadings</w:t>
      </w:r>
      <w:r w:rsidRPr="009B0685">
        <w:t xml:space="preserve">, Public Notice, 11 FCC </w:t>
      </w:r>
      <w:r w:rsidRPr="009B0685">
        <w:t>Rcd</w:t>
      </w:r>
      <w:r w:rsidRPr="009B0685">
        <w:t xml:space="preserve"> 3030 (1996).</w:t>
      </w:r>
    </w:p>
  </w:footnote>
  <w:footnote w:id="42">
    <w:p w:rsidR="009B0685" w:rsidRPr="009B0685" w:rsidP="009B0685" w14:paraId="434A344D" w14:textId="77777777">
      <w:pPr>
        <w:pStyle w:val="FootnoteText"/>
      </w:pPr>
      <w:r w:rsidRPr="009B0685">
        <w:rPr>
          <w:rStyle w:val="FootnoteReference"/>
          <w:sz w:val="20"/>
        </w:rPr>
        <w:footnoteRef/>
      </w:r>
      <w:r w:rsidRPr="009B0685">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3">
    <w:p w:rsidR="009B0685" w:rsidRPr="009B0685" w:rsidP="009B0685" w14:paraId="10C549C3" w14:textId="77777777">
      <w:pPr>
        <w:pStyle w:val="FootnoteText"/>
      </w:pPr>
      <w:r w:rsidRPr="009B0685">
        <w:rPr>
          <w:rStyle w:val="FootnoteReference"/>
          <w:sz w:val="20"/>
        </w:rPr>
        <w:footnoteRef/>
      </w:r>
      <w:r w:rsidRPr="009B0685">
        <w:t xml:space="preserve"> </w:t>
      </w:r>
      <w:r w:rsidRPr="009B0685">
        <w:rPr>
          <w:i/>
        </w:rPr>
        <w:t>See</w:t>
      </w:r>
      <w:r w:rsidRPr="009B0685">
        <w:t xml:space="preserve"> 47 CFR §§ 1.2108(d), 1.2109(a).</w:t>
      </w:r>
    </w:p>
  </w:footnote>
  <w:footnote w:id="44">
    <w:p w:rsidR="009B0685" w:rsidRPr="009B0685" w:rsidP="009B0685" w14:paraId="7BAB84DE" w14:textId="77777777">
      <w:pPr>
        <w:pStyle w:val="FootnoteText"/>
      </w:pPr>
      <w:r w:rsidRPr="009B0685">
        <w:rPr>
          <w:rStyle w:val="FootnoteReference"/>
          <w:sz w:val="20"/>
        </w:rPr>
        <w:footnoteRef/>
      </w:r>
      <w:r w:rsidRPr="009B0685">
        <w:t xml:space="preserve"> </w:t>
      </w:r>
      <w:r w:rsidRPr="009B0685">
        <w:rPr>
          <w:i/>
        </w:rPr>
        <w:t>Id.</w:t>
      </w:r>
      <w:r w:rsidRPr="009B0685">
        <w:t xml:space="preserve"> § 1.2105(c); </w:t>
      </w:r>
      <w:r w:rsidRPr="009B0685">
        <w:rPr>
          <w:i/>
        </w:rPr>
        <w:t>see also</w:t>
      </w:r>
      <w:r w:rsidRPr="009B0685">
        <w:t xml:space="preserve"> </w:t>
      </w:r>
      <w:r w:rsidRPr="009B0685">
        <w:rPr>
          <w:i/>
        </w:rPr>
        <w:t>Auction 110 Procedures Public Notice</w:t>
      </w:r>
      <w:r w:rsidRPr="009B0685">
        <w:t xml:space="preserve">, </w:t>
      </w:r>
      <w:r w:rsidRPr="009B0685">
        <w:rPr>
          <w:lang w:val="de-DE"/>
        </w:rPr>
        <w:t>at 16,</w:t>
      </w:r>
      <w:r w:rsidRPr="009B0685">
        <w:t xml:space="preserve"> para. 43. </w:t>
      </w:r>
    </w:p>
  </w:footnote>
  <w:footnote w:id="45">
    <w:p w:rsidR="009B0685" w:rsidRPr="009B0685" w:rsidP="009B0685" w14:paraId="7E154057" w14:textId="77777777">
      <w:pPr>
        <w:pStyle w:val="FootnoteText"/>
      </w:pPr>
      <w:r w:rsidRPr="009B0685">
        <w:rPr>
          <w:rStyle w:val="FootnoteReference"/>
          <w:sz w:val="20"/>
        </w:rPr>
        <w:footnoteRef/>
      </w:r>
      <w:r w:rsidRPr="009B0685">
        <w:t xml:space="preserve"> 47 CFR</w:t>
      </w:r>
      <w:r w:rsidRPr="009B0685">
        <w:rPr>
          <w:i/>
        </w:rPr>
        <w:t xml:space="preserve"> </w:t>
      </w:r>
      <w:r w:rsidRPr="009B0685">
        <w:t xml:space="preserve">§ 1.2105(c)(1).  The Commission identified AT&amp;T, T-Mobile, and Verizon as “nationwide providers” for the purpose of implementing the Commission’s competitive bidding rules in Auction 110.  </w:t>
      </w:r>
      <w:r w:rsidRPr="009B0685">
        <w:rPr>
          <w:i/>
        </w:rPr>
        <w:t>Auction 110 Procedures Public Notice</w:t>
      </w:r>
      <w:r w:rsidRPr="009B0685">
        <w:t xml:space="preserve">, </w:t>
      </w:r>
      <w:r w:rsidRPr="009B0685">
        <w:rPr>
          <w:lang w:val="de-DE"/>
        </w:rPr>
        <w:t>at 16,</w:t>
      </w:r>
      <w:r w:rsidRPr="009B0685">
        <w:t xml:space="preserve"> para. 45.     </w:t>
      </w:r>
    </w:p>
  </w:footnote>
  <w:footnote w:id="46">
    <w:p w:rsidR="009B0685" w:rsidRPr="009B0685" w:rsidP="009B0685" w14:paraId="10524803" w14:textId="77777777">
      <w:pPr>
        <w:pStyle w:val="FootnoteText"/>
      </w:pPr>
      <w:r w:rsidRPr="009B0685">
        <w:rPr>
          <w:rStyle w:val="FootnoteReference"/>
          <w:sz w:val="20"/>
        </w:rPr>
        <w:footnoteRef/>
      </w:r>
      <w:r w:rsidRPr="009B0685">
        <w:t xml:space="preserve"> 47 CFR § 1.2105(c)(5)(</w:t>
      </w:r>
      <w:r w:rsidRPr="009B0685">
        <w:t>i</w:t>
      </w:r>
      <w:r w:rsidRPr="009B0685">
        <w:t xml:space="preserve">); </w:t>
      </w:r>
      <w:r w:rsidRPr="009B0685">
        <w:rPr>
          <w:i/>
        </w:rPr>
        <w:t>see also</w:t>
      </w:r>
      <w:r w:rsidRPr="009B0685">
        <w:t xml:space="preserve"> </w:t>
      </w:r>
      <w:r w:rsidRPr="009B0685">
        <w:rPr>
          <w:i/>
        </w:rPr>
        <w:t>Auction 110 Procedures Public Notice</w:t>
      </w:r>
      <w:r w:rsidRPr="009B0685">
        <w:t xml:space="preserve">, </w:t>
      </w:r>
      <w:r w:rsidRPr="009B0685">
        <w:rPr>
          <w:lang w:val="de-DE"/>
        </w:rPr>
        <w:t>at 16,</w:t>
      </w:r>
      <w:r w:rsidRPr="009B0685">
        <w:t xml:space="preserve"> para. 44. </w:t>
      </w:r>
    </w:p>
  </w:footnote>
  <w:footnote w:id="47">
    <w:p w:rsidR="009B0685" w:rsidRPr="009B0685" w:rsidP="009B0685" w14:paraId="3FA15F0D" w14:textId="77777777">
      <w:pPr>
        <w:pStyle w:val="FootnoteText"/>
      </w:pPr>
      <w:r w:rsidRPr="009B0685">
        <w:rPr>
          <w:rStyle w:val="FootnoteReference"/>
          <w:sz w:val="20"/>
        </w:rPr>
        <w:footnoteRef/>
      </w:r>
      <w:r w:rsidRPr="009B0685">
        <w:rPr>
          <w:i/>
        </w:rPr>
        <w:t xml:space="preserve"> Auction 110 Procedures Public Notice</w:t>
      </w:r>
      <w:r w:rsidRPr="009B0685">
        <w:t xml:space="preserve">, </w:t>
      </w:r>
      <w:r w:rsidRPr="009B0685">
        <w:rPr>
          <w:lang w:val="de-DE"/>
        </w:rPr>
        <w:t>at 17, para. 46</w:t>
      </w:r>
      <w:r w:rsidRPr="009B0685">
        <w:t xml:space="preserve">; </w:t>
      </w:r>
      <w:r w:rsidRPr="009B0685">
        <w:rPr>
          <w:i/>
        </w:rPr>
        <w:t>see also</w:t>
      </w:r>
      <w:r w:rsidRPr="009B0685">
        <w:t xml:space="preserve"> 47 CFR § 1.2105(c)(1).</w:t>
      </w:r>
    </w:p>
  </w:footnote>
  <w:footnote w:id="48">
    <w:p w:rsidR="009B0685" w:rsidRPr="009B0685" w:rsidP="009B0685" w14:paraId="2CC845E6" w14:textId="77777777">
      <w:pPr>
        <w:pStyle w:val="FootnoteText"/>
      </w:pPr>
      <w:r w:rsidRPr="009B0685">
        <w:rPr>
          <w:rStyle w:val="FootnoteReference"/>
          <w:sz w:val="20"/>
        </w:rPr>
        <w:footnoteRef/>
      </w:r>
      <w:r w:rsidRPr="009B0685">
        <w:t xml:space="preserve"> </w:t>
      </w:r>
      <w:r w:rsidRPr="009B0685">
        <w:rPr>
          <w:i/>
        </w:rPr>
        <w:t>See</w:t>
      </w:r>
      <w:r w:rsidRPr="009B0685">
        <w:t xml:space="preserve"> </w:t>
      </w:r>
      <w:r w:rsidRPr="009B0685">
        <w:rPr>
          <w:i/>
        </w:rPr>
        <w:t>Auction 110 Procedures Public Notice</w:t>
      </w:r>
      <w:r w:rsidRPr="009B0685">
        <w:t xml:space="preserve">, </w:t>
      </w:r>
      <w:r w:rsidRPr="009B0685">
        <w:rPr>
          <w:lang w:val="de-DE"/>
        </w:rPr>
        <w:t>at 16,</w:t>
      </w:r>
      <w:r w:rsidRPr="009B0685">
        <w:t xml:space="preserve"> para. 44 &amp; n.101.</w:t>
      </w:r>
    </w:p>
  </w:footnote>
  <w:footnote w:id="49">
    <w:p w:rsidR="009B0685" w:rsidRPr="009B0685" w:rsidP="009B0685" w14:paraId="1A2E49AC" w14:textId="77777777">
      <w:pPr>
        <w:pStyle w:val="FootnoteText"/>
      </w:pPr>
      <w:r w:rsidRPr="009B0685">
        <w:rPr>
          <w:rStyle w:val="FootnoteReference"/>
          <w:sz w:val="20"/>
        </w:rPr>
        <w:footnoteRef/>
      </w:r>
      <w:r w:rsidRPr="009B0685">
        <w:t xml:space="preserve"> </w:t>
      </w:r>
      <w:r w:rsidRPr="009B0685">
        <w:rPr>
          <w:i/>
        </w:rPr>
        <w:t>Auction 110 Procedures Public Notice</w:t>
      </w:r>
      <w:r w:rsidRPr="009B0685">
        <w:t xml:space="preserve">, </w:t>
      </w:r>
      <w:r w:rsidRPr="009B0685">
        <w:rPr>
          <w:lang w:val="de-DE"/>
        </w:rPr>
        <w:t xml:space="preserve">at 16-23, </w:t>
      </w:r>
      <w:r w:rsidRPr="009B0685">
        <w:t>paras. 43-68;</w:t>
      </w:r>
      <w:r w:rsidRPr="009B0685">
        <w:rPr>
          <w:i/>
        </w:rPr>
        <w:t xml:space="preserve"> Auction of Flexible-Use Service Licenses in the 3.454-3.55 GHz Band; 33 Applicants Qualified to Bid in Auction 110</w:t>
      </w:r>
      <w:r w:rsidRPr="009B0685">
        <w:t>, AU Docket No. 21-62, Public Notice, DA 21-1165, at 10-12, paras. 48-53 (OEA/WTB 2021) (</w:t>
      </w:r>
      <w:r w:rsidRPr="009B0685">
        <w:rPr>
          <w:i/>
        </w:rPr>
        <w:t>Auction 110 Qualified Bidders Public Notice</w:t>
      </w:r>
      <w:r w:rsidRPr="009B0685">
        <w:t>).</w:t>
      </w:r>
    </w:p>
  </w:footnote>
  <w:footnote w:id="50">
    <w:p w:rsidR="009B0685" w:rsidRPr="009B0685" w:rsidP="009B0685" w14:paraId="7CCCF90A" w14:textId="77777777">
      <w:pPr>
        <w:pStyle w:val="FootnoteText"/>
      </w:pPr>
      <w:r w:rsidRPr="009B0685">
        <w:rPr>
          <w:rStyle w:val="FootnoteReference"/>
          <w:sz w:val="20"/>
        </w:rPr>
        <w:footnoteRef/>
      </w:r>
      <w:r w:rsidRPr="009B0685">
        <w:t xml:space="preserve"> </w:t>
      </w:r>
      <w:r w:rsidRPr="009B0685">
        <w:rPr>
          <w:i/>
          <w:iCs/>
        </w:rPr>
        <w:t>Auction 110 Protective Order</w:t>
      </w:r>
      <w:r w:rsidRPr="009B0685">
        <w:t xml:space="preserve"> at 4, para. 16.  If an administrative or judicial appeal of the auction results is filed, parties may retain the DoD CUI during the pendency of the review process </w:t>
      </w:r>
      <w:r w:rsidRPr="009B0685">
        <w:rPr>
          <w:color w:val="000000"/>
        </w:rPr>
        <w:t xml:space="preserve">and will be required to certify their compliance with the </w:t>
      </w:r>
      <w:r w:rsidRPr="009B0685">
        <w:rPr>
          <w:i/>
          <w:iCs/>
          <w:color w:val="000000"/>
        </w:rPr>
        <w:t xml:space="preserve">Auction 110 Protective Order </w:t>
      </w:r>
      <w:r w:rsidRPr="009B0685">
        <w:rPr>
          <w:color w:val="000000"/>
        </w:rPr>
        <w:t>(including the destruction of any DoD CUI that they obtained) within three weeks after conclusion of this proceeding.</w:t>
      </w:r>
      <w:r w:rsidRPr="009B0685">
        <w:t xml:space="preserve">  </w:t>
      </w:r>
      <w:r w:rsidRPr="009B0685">
        <w:rPr>
          <w:i/>
          <w:iCs/>
        </w:rPr>
        <w:t>Id.</w:t>
      </w:r>
    </w:p>
  </w:footnote>
  <w:footnote w:id="51">
    <w:p w:rsidR="009B0685" w:rsidRPr="009B0685" w:rsidP="009B0685" w14:paraId="5E7ADF41" w14:textId="77777777">
      <w:pPr>
        <w:pStyle w:val="FootnoteText"/>
      </w:pPr>
      <w:r w:rsidRPr="009B0685">
        <w:rPr>
          <w:rStyle w:val="FootnoteReference"/>
          <w:sz w:val="20"/>
        </w:rPr>
        <w:footnoteRef/>
      </w:r>
      <w:r w:rsidRPr="009B0685">
        <w:t xml:space="preserve"> </w:t>
      </w:r>
      <w:r w:rsidRPr="009B0685">
        <w:rPr>
          <w:i/>
          <w:iCs/>
        </w:rPr>
        <w:t>Id</w:t>
      </w:r>
      <w:r w:rsidRPr="009B0685">
        <w:t>.</w:t>
      </w:r>
    </w:p>
  </w:footnote>
  <w:footnote w:id="52">
    <w:p w:rsidR="009B0685" w:rsidRPr="009B0685" w:rsidP="009B0685" w14:paraId="2AD3ACBD" w14:textId="77777777">
      <w:pPr>
        <w:pStyle w:val="FootnoteText"/>
      </w:pPr>
      <w:r w:rsidRPr="009B0685">
        <w:rPr>
          <w:rStyle w:val="FootnoteReference"/>
          <w:sz w:val="20"/>
        </w:rPr>
        <w:footnoteRef/>
      </w:r>
      <w:r w:rsidRPr="009B0685">
        <w:t xml:space="preserve"> </w:t>
      </w:r>
      <w:r w:rsidRPr="009B0685">
        <w:rPr>
          <w:i/>
          <w:iCs/>
        </w:rPr>
        <w:t>Id</w:t>
      </w:r>
      <w:r w:rsidRPr="009B0685">
        <w:t>.  If no administrative or judicial appeals of the auction results are filed, the certifications must be submitted no later than February 4,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B0685" w:rsidP="00837C62" w14:paraId="6F4964C5" w14:textId="5D7D0C72">
    <w:pPr>
      <w:pStyle w:val="Header"/>
      <w:rPr>
        <w:rFonts w:ascii="Times New Roman" w:hAnsi="Times New Roman" w:cs="Times New Roman"/>
        <w:sz w:val="22"/>
        <w:szCs w:val="22"/>
      </w:rPr>
    </w:pPr>
    <w:r>
      <w:tab/>
    </w:r>
    <w:r w:rsidRPr="009B0685">
      <w:rPr>
        <w:rFonts w:ascii="Times New Roman" w:hAnsi="Times New Roman" w:cs="Times New Roman"/>
        <w:sz w:val="22"/>
        <w:szCs w:val="22"/>
      </w:rPr>
      <w:t>Federal Communications Commission</w:t>
    </w:r>
    <w:r w:rsidRPr="009B0685">
      <w:rPr>
        <w:rFonts w:ascii="Times New Roman" w:hAnsi="Times New Roman" w:cs="Times New Roman"/>
        <w:sz w:val="22"/>
        <w:szCs w:val="22"/>
      </w:rPr>
      <w:tab/>
    </w:r>
    <w:r w:rsidR="009B0685">
      <w:rPr>
        <w:rFonts w:ascii="Times New Roman" w:hAnsi="Times New Roman" w:cs="Times New Roman"/>
        <w:sz w:val="22"/>
        <w:szCs w:val="22"/>
      </w:rPr>
      <w:t>DA 22-39</w:t>
    </w:r>
  </w:p>
  <w:p w:rsidR="006F7393" w14:paraId="6DABCF0D"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73331E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259971EF"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0AB49400"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1FBB96DB" w14:textId="77777777">
                <w:pPr>
                  <w:rPr>
                    <w:rFonts w:ascii="Arial" w:hAnsi="Arial"/>
                    <w:b/>
                  </w:rPr>
                </w:pPr>
                <w:r>
                  <w:rPr>
                    <w:rFonts w:ascii="Arial" w:hAnsi="Arial"/>
                    <w:b/>
                  </w:rPr>
                  <w:t>Federal Communications Commission</w:t>
                </w:r>
              </w:p>
              <w:p w:rsidR="00C82B6B" w:rsidP="00C82B6B" w14:paraId="7A970F3F" w14:textId="54FD05BB">
                <w:pPr>
                  <w:rPr>
                    <w:rFonts w:ascii="Arial" w:hAnsi="Arial"/>
                    <w:b/>
                  </w:rPr>
                </w:pPr>
                <w:r>
                  <w:rPr>
                    <w:rFonts w:ascii="Arial" w:hAnsi="Arial"/>
                    <w:b/>
                  </w:rPr>
                  <w:t xml:space="preserve">45 </w:t>
                </w:r>
                <w:r w:rsidR="009B0685">
                  <w:rPr>
                    <w:rFonts w:ascii="Arial" w:hAnsi="Arial"/>
                    <w:b/>
                  </w:rPr>
                  <w:t>L Street, NE</w:t>
                </w:r>
              </w:p>
              <w:p w:rsidR="00C82B6B" w:rsidP="00C82B6B" w14:paraId="1030CCDD" w14:textId="50B5FCB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3B8443B3" w14:textId="38FCB9C0">
                <w:pPr>
                  <w:spacing w:before="40"/>
                  <w:jc w:val="right"/>
                  <w:rPr>
                    <w:rFonts w:ascii="Arial" w:hAnsi="Arial"/>
                    <w:b/>
                    <w:sz w:val="16"/>
                  </w:rPr>
                </w:pPr>
                <w:r>
                  <w:rPr>
                    <w:rFonts w:ascii="Arial" w:hAnsi="Arial"/>
                    <w:b/>
                    <w:sz w:val="16"/>
                  </w:rPr>
                  <w:t>News Media Information</w:t>
                </w:r>
                <w:r w:rsidR="009B0685">
                  <w:rPr>
                    <w:rFonts w:ascii="Arial" w:hAnsi="Arial"/>
                    <w:b/>
                    <w:sz w:val="16"/>
                  </w:rPr>
                  <w:t>:</w:t>
                </w:r>
                <w:r>
                  <w:rPr>
                    <w:rFonts w:ascii="Arial" w:hAnsi="Arial"/>
                    <w:b/>
                    <w:sz w:val="16"/>
                  </w:rPr>
                  <w:t xml:space="preserve"> 202</w:t>
                </w:r>
                <w:r w:rsidR="009B0685">
                  <w:rPr>
                    <w:rFonts w:ascii="Arial" w:hAnsi="Arial"/>
                    <w:b/>
                    <w:sz w:val="16"/>
                  </w:rPr>
                  <w:t>-</w:t>
                </w:r>
                <w:r>
                  <w:rPr>
                    <w:rFonts w:ascii="Arial" w:hAnsi="Arial"/>
                    <w:b/>
                    <w:sz w:val="16"/>
                  </w:rPr>
                  <w:t>418-0500</w:t>
                </w:r>
              </w:p>
              <w:p w:rsidR="00C82B6B" w:rsidP="00C82B6B" w14:paraId="5C25F315" w14:textId="072637B7">
                <w:pPr>
                  <w:jc w:val="right"/>
                  <w:rPr>
                    <w:rFonts w:ascii="Arial" w:hAnsi="Arial"/>
                    <w:b/>
                    <w:sz w:val="16"/>
                  </w:rPr>
                </w:pPr>
                <w:r>
                  <w:rPr>
                    <w:rFonts w:ascii="Arial" w:hAnsi="Arial"/>
                    <w:b/>
                    <w:sz w:val="16"/>
                  </w:rPr>
                  <w:t xml:space="preserve">Internet: </w:t>
                </w:r>
                <w:hyperlink r:id="rId2" w:history="1">
                  <w:r w:rsidRPr="001A45E7" w:rsidR="009B0685">
                    <w:rPr>
                      <w:rStyle w:val="Hyperlink"/>
                      <w:rFonts w:ascii="Arial" w:hAnsi="Arial"/>
                      <w:b/>
                      <w:sz w:val="16"/>
                    </w:rPr>
                    <w:t>www.fcc.gov</w:t>
                  </w:r>
                </w:hyperlink>
                <w:r w:rsidR="009B0685">
                  <w:rPr>
                    <w:rFonts w:ascii="Arial" w:hAnsi="Arial"/>
                    <w:b/>
                    <w:sz w:val="16"/>
                  </w:rPr>
                  <w:t xml:space="preserve"> </w:t>
                </w:r>
              </w:p>
              <w:p w:rsidR="00C82B6B" w:rsidP="00C82B6B" w14:paraId="36EB4A4A" w14:textId="74B66C3C">
                <w:pPr>
                  <w:jc w:val="right"/>
                  <w:rPr>
                    <w:rFonts w:ascii="Arial" w:hAnsi="Arial"/>
                    <w:b/>
                    <w:sz w:val="16"/>
                  </w:rPr>
                </w:pPr>
                <w:r>
                  <w:rPr>
                    <w:rFonts w:ascii="Arial" w:hAnsi="Arial"/>
                    <w:b/>
                    <w:sz w:val="16"/>
                  </w:rPr>
                  <w:t>TTY: 888-835-5322</w:t>
                </w:r>
              </w:p>
              <w:p w:rsidR="00C82B6B" w:rsidP="00C82B6B" w14:paraId="7B8DD4AB" w14:textId="77777777">
                <w:pPr>
                  <w:jc w:val="right"/>
                </w:pPr>
              </w:p>
            </w:txbxContent>
          </v:textbox>
        </v:shape>
      </w:pict>
    </w:r>
  </w:p>
  <w:p w:rsidR="006F7393" w:rsidRPr="00C82B6B" w:rsidP="00837C62" w14:paraId="4C9E83FD"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0FAEF9DA"/>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85"/>
    <w:rsid w:val="00036039"/>
    <w:rsid w:val="00037F90"/>
    <w:rsid w:val="000875BF"/>
    <w:rsid w:val="00096D8C"/>
    <w:rsid w:val="000A6989"/>
    <w:rsid w:val="000C0B65"/>
    <w:rsid w:val="000E3D42"/>
    <w:rsid w:val="000E5884"/>
    <w:rsid w:val="001106B2"/>
    <w:rsid w:val="00122BD5"/>
    <w:rsid w:val="001261D0"/>
    <w:rsid w:val="001A45E7"/>
    <w:rsid w:val="001D6BCF"/>
    <w:rsid w:val="001E01CA"/>
    <w:rsid w:val="00213E71"/>
    <w:rsid w:val="00226822"/>
    <w:rsid w:val="00285017"/>
    <w:rsid w:val="002862F2"/>
    <w:rsid w:val="002A2D2E"/>
    <w:rsid w:val="00343749"/>
    <w:rsid w:val="003545CA"/>
    <w:rsid w:val="003B0550"/>
    <w:rsid w:val="003B694F"/>
    <w:rsid w:val="003D2EDE"/>
    <w:rsid w:val="003E20BA"/>
    <w:rsid w:val="003F171C"/>
    <w:rsid w:val="0041223B"/>
    <w:rsid w:val="00412FC5"/>
    <w:rsid w:val="00422276"/>
    <w:rsid w:val="004242F1"/>
    <w:rsid w:val="00445A00"/>
    <w:rsid w:val="00451B0F"/>
    <w:rsid w:val="004914EA"/>
    <w:rsid w:val="00496106"/>
    <w:rsid w:val="004C12D0"/>
    <w:rsid w:val="004C2EE3"/>
    <w:rsid w:val="004C7441"/>
    <w:rsid w:val="004E4A22"/>
    <w:rsid w:val="005037C8"/>
    <w:rsid w:val="00511968"/>
    <w:rsid w:val="0055614C"/>
    <w:rsid w:val="00607BA5"/>
    <w:rsid w:val="00626EB6"/>
    <w:rsid w:val="00637F0A"/>
    <w:rsid w:val="00655D03"/>
    <w:rsid w:val="006753F7"/>
    <w:rsid w:val="00683F84"/>
    <w:rsid w:val="006A6A81"/>
    <w:rsid w:val="006E26AF"/>
    <w:rsid w:val="006F7393"/>
    <w:rsid w:val="0070224F"/>
    <w:rsid w:val="007115F7"/>
    <w:rsid w:val="00785689"/>
    <w:rsid w:val="0079754B"/>
    <w:rsid w:val="007A1E6D"/>
    <w:rsid w:val="007E1D93"/>
    <w:rsid w:val="00822CE0"/>
    <w:rsid w:val="00835F1F"/>
    <w:rsid w:val="00837C62"/>
    <w:rsid w:val="00841AB1"/>
    <w:rsid w:val="00854B58"/>
    <w:rsid w:val="00926503"/>
    <w:rsid w:val="00933D80"/>
    <w:rsid w:val="00960F3A"/>
    <w:rsid w:val="009B0685"/>
    <w:rsid w:val="00A438B4"/>
    <w:rsid w:val="00A45F4F"/>
    <w:rsid w:val="00A600A9"/>
    <w:rsid w:val="00AA55B7"/>
    <w:rsid w:val="00AA5B9E"/>
    <w:rsid w:val="00AB2407"/>
    <w:rsid w:val="00AB53DF"/>
    <w:rsid w:val="00B07E5C"/>
    <w:rsid w:val="00B45979"/>
    <w:rsid w:val="00B66404"/>
    <w:rsid w:val="00B811F7"/>
    <w:rsid w:val="00BA5DC6"/>
    <w:rsid w:val="00BA6196"/>
    <w:rsid w:val="00BC6D8C"/>
    <w:rsid w:val="00BF465D"/>
    <w:rsid w:val="00C34006"/>
    <w:rsid w:val="00C377D6"/>
    <w:rsid w:val="00C426B1"/>
    <w:rsid w:val="00C82B6B"/>
    <w:rsid w:val="00C90D6A"/>
    <w:rsid w:val="00CB7FEA"/>
    <w:rsid w:val="00CC72B6"/>
    <w:rsid w:val="00D0218D"/>
    <w:rsid w:val="00D34318"/>
    <w:rsid w:val="00D350D6"/>
    <w:rsid w:val="00D90337"/>
    <w:rsid w:val="00DA2529"/>
    <w:rsid w:val="00DB130A"/>
    <w:rsid w:val="00DC10A1"/>
    <w:rsid w:val="00DC655F"/>
    <w:rsid w:val="00DD7EBD"/>
    <w:rsid w:val="00DF62B6"/>
    <w:rsid w:val="00E07225"/>
    <w:rsid w:val="00E5409F"/>
    <w:rsid w:val="00E55E5F"/>
    <w:rsid w:val="00F021FA"/>
    <w:rsid w:val="00F02F65"/>
    <w:rsid w:val="00F57ACA"/>
    <w:rsid w:val="00F62E97"/>
    <w:rsid w:val="00F64209"/>
    <w:rsid w:val="00F93BF5"/>
    <w:rsid w:val="00FA3069"/>
    <w:rsid w:val="513A05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DBA654"/>
  <w15:chartTrackingRefBased/>
  <w15:docId w15:val="{EB074DB9-8E57-4F7F-88F0-77EE1799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9B0685"/>
    <w:rPr>
      <w:color w:val="605E5C"/>
      <w:shd w:val="clear" w:color="auto" w:fill="E1DFDD"/>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uiPriority w:val="99"/>
    <w:rsid w:val="009B0685"/>
  </w:style>
  <w:style w:type="paragraph" w:styleId="CommentText">
    <w:name w:val="annotation text"/>
    <w:basedOn w:val="Normal"/>
    <w:link w:val="CommentTextChar"/>
    <w:uiPriority w:val="99"/>
    <w:semiHidden/>
    <w:unhideWhenUsed/>
    <w:rsid w:val="009B0685"/>
    <w:rPr>
      <w:sz w:val="20"/>
    </w:rPr>
  </w:style>
  <w:style w:type="character" w:customStyle="1" w:styleId="CommentTextChar">
    <w:name w:val="Comment Text Char"/>
    <w:basedOn w:val="DefaultParagraphFont"/>
    <w:link w:val="CommentText"/>
    <w:uiPriority w:val="99"/>
    <w:semiHidden/>
    <w:rsid w:val="009B0685"/>
    <w:rPr>
      <w:snapToGrid w:val="0"/>
      <w:kern w:val="28"/>
    </w:rPr>
  </w:style>
  <w:style w:type="character" w:customStyle="1" w:styleId="normaltextrun">
    <w:name w:val="normaltextrun"/>
    <w:rsid w:val="009B0685"/>
  </w:style>
  <w:style w:type="character" w:customStyle="1" w:styleId="ParaNumChar">
    <w:name w:val="ParaNum Char"/>
    <w:link w:val="ParaNum"/>
    <w:locked/>
    <w:rsid w:val="009B0685"/>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9B068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mailto:auction110@fcc.gov" TargetMode="External" /><Relationship Id="rId12" Type="http://schemas.openxmlformats.org/officeDocument/2006/relationships/hyperlink" Target="mailto:Cecilia.Sulhoff@fcc.gov" TargetMode="External" /><Relationship Id="rId13" Type="http://schemas.openxmlformats.org/officeDocument/2006/relationships/hyperlink" Target="mailto:fcc504@fcc.gov" TargetMode="External" /><Relationship Id="rId14" Type="http://schemas.openxmlformats.org/officeDocument/2006/relationships/hyperlink" Target="https://www.fcc.gov/auction/110/" TargetMode="External" /><Relationship Id="rId15" Type="http://schemas.openxmlformats.org/officeDocument/2006/relationships/hyperlink" Target="https://www.fcc.gov" TargetMode="External" /><Relationship Id="rId16" Type="http://schemas.openxmlformats.org/officeDocument/2006/relationships/hyperlink" Target="https://www.fcc.gov/uls" TargetMode="External" /><Relationship Id="rId17" Type="http://schemas.openxmlformats.org/officeDocument/2006/relationships/hyperlink" Target="https://auctiondata.fcc.gov/"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2.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data.fcc.gov" TargetMode="External" /><Relationship Id="rId6" Type="http://schemas.openxmlformats.org/officeDocument/2006/relationships/hyperlink" Target="https://www.fcc.gov/auction/110" TargetMode="External" /><Relationship Id="rId7" Type="http://schemas.openxmlformats.org/officeDocument/2006/relationships/hyperlink" Target="mailto:Scott.Radcliffe@fcc.gov" TargetMode="External" /><Relationship Id="rId8" Type="http://schemas.openxmlformats.org/officeDocument/2006/relationships/hyperlink" Target="mailto:Theresa.Meeks@fcc.gov"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10" TargetMode="External" /><Relationship Id="rId3" Type="http://schemas.openxmlformats.org/officeDocument/2006/relationships/hyperlink" Target="https://www.fcc.gov/au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