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C41C4" w:rsidP="00536FA0" w14:paraId="36426D00" w14:textId="77777777">
      <w:pPr>
        <w:jc w:val="center"/>
        <w:rPr>
          <w:b/>
        </w:rPr>
      </w:pPr>
      <w:r>
        <w:rPr>
          <w:b/>
        </w:rPr>
        <w:t>Before the</w:t>
      </w:r>
    </w:p>
    <w:p w:rsidR="002C41C4" w:rsidP="002C41C4" w14:paraId="2D5C705E" w14:textId="77777777">
      <w:pPr>
        <w:pStyle w:val="StyleBoldCentered"/>
      </w:pPr>
      <w:r>
        <w:t>F</w:t>
      </w:r>
      <w:r>
        <w:rPr>
          <w:caps w:val="0"/>
        </w:rPr>
        <w:t>ederal Communications Commission</w:t>
      </w:r>
    </w:p>
    <w:p w:rsidR="002C41C4" w:rsidP="005C521E" w14:paraId="4E4F980B" w14:textId="77777777">
      <w:pPr>
        <w:pStyle w:val="StyleBoldCentered"/>
      </w:pPr>
      <w:r>
        <w:rPr>
          <w:caps w:val="0"/>
        </w:rPr>
        <w:t>Washington, D.C. 20554</w:t>
      </w:r>
    </w:p>
    <w:p w:rsidR="002C41C4" w:rsidP="002C41C4" w14:paraId="5E88CC4A" w14:textId="77777777"/>
    <w:tbl>
      <w:tblPr>
        <w:tblW w:w="0" w:type="auto"/>
        <w:tblLayout w:type="fixed"/>
        <w:tblLook w:val="0000"/>
      </w:tblPr>
      <w:tblGrid>
        <w:gridCol w:w="4698"/>
        <w:gridCol w:w="630"/>
        <w:gridCol w:w="4248"/>
      </w:tblGrid>
      <w:tr w14:paraId="5B799DF1" w14:textId="77777777" w:rsidTr="00C5034F">
        <w:tblPrEx>
          <w:tblW w:w="0" w:type="auto"/>
          <w:tblLayout w:type="fixed"/>
          <w:tblLook w:val="0000"/>
        </w:tblPrEx>
        <w:tc>
          <w:tcPr>
            <w:tcW w:w="4698" w:type="dxa"/>
          </w:tcPr>
          <w:p w:rsidR="002C41C4" w:rsidP="00C5034F" w14:paraId="41121B1C" w14:textId="77777777">
            <w:pPr>
              <w:tabs>
                <w:tab w:val="center" w:pos="4680"/>
              </w:tabs>
              <w:suppressAutoHyphens/>
              <w:rPr>
                <w:spacing w:val="-2"/>
              </w:rPr>
            </w:pPr>
            <w:r>
              <w:rPr>
                <w:spacing w:val="-2"/>
              </w:rPr>
              <w:t>In the Matter of</w:t>
            </w:r>
          </w:p>
          <w:p w:rsidR="002C41C4" w:rsidP="00C5034F" w14:paraId="6EA6CE0C" w14:textId="77777777">
            <w:pPr>
              <w:tabs>
                <w:tab w:val="center" w:pos="4680"/>
              </w:tabs>
              <w:suppressAutoHyphens/>
              <w:rPr>
                <w:spacing w:val="-2"/>
              </w:rPr>
            </w:pPr>
          </w:p>
          <w:p w:rsidR="007803A5" w:rsidP="00C5034F" w14:paraId="1ACD1972" w14:textId="5D911C4A">
            <w:pPr>
              <w:tabs>
                <w:tab w:val="center" w:pos="4680"/>
              </w:tabs>
              <w:suppressAutoHyphens/>
              <w:rPr>
                <w:spacing w:val="-2"/>
              </w:rPr>
            </w:pPr>
            <w:r>
              <w:rPr>
                <w:spacing w:val="-2"/>
              </w:rPr>
              <w:t>Amendment of Section 73.622(</w:t>
            </w:r>
            <w:r w:rsidR="004B71F3">
              <w:rPr>
                <w:spacing w:val="-2"/>
              </w:rPr>
              <w:t>j</w:t>
            </w:r>
            <w:r>
              <w:rPr>
                <w:spacing w:val="-2"/>
              </w:rPr>
              <w:t>),</w:t>
            </w:r>
            <w:r w:rsidRPr="001D0263">
              <w:rPr>
                <w:spacing w:val="-2"/>
              </w:rPr>
              <w:t xml:space="preserve"> </w:t>
            </w:r>
            <w:r>
              <w:rPr>
                <w:spacing w:val="-2"/>
              </w:rPr>
              <w:t>Table of Allotments,</w:t>
            </w:r>
            <w:r>
              <w:t xml:space="preserve"> </w:t>
            </w:r>
            <w:r>
              <w:rPr>
                <w:spacing w:val="-2"/>
              </w:rPr>
              <w:t xml:space="preserve">Television Broadcast </w:t>
            </w:r>
          </w:p>
          <w:p w:rsidR="002C41C4" w:rsidP="00C5034F" w14:paraId="103B8A23" w14:textId="6BE643AB">
            <w:pPr>
              <w:tabs>
                <w:tab w:val="center" w:pos="4680"/>
              </w:tabs>
              <w:suppressAutoHyphens/>
              <w:rPr>
                <w:spacing w:val="-2"/>
              </w:rPr>
            </w:pPr>
            <w:r>
              <w:rPr>
                <w:spacing w:val="-2"/>
              </w:rPr>
              <w:t>Stations (</w:t>
            </w:r>
            <w:r w:rsidR="00C77526">
              <w:rPr>
                <w:spacing w:val="-2"/>
              </w:rPr>
              <w:t>Augusta</w:t>
            </w:r>
            <w:r w:rsidR="004A3F4E">
              <w:rPr>
                <w:spacing w:val="-2"/>
              </w:rPr>
              <w:t xml:space="preserve">, </w:t>
            </w:r>
            <w:r w:rsidR="00C77526">
              <w:rPr>
                <w:spacing w:val="-2"/>
              </w:rPr>
              <w:t>Maine</w:t>
            </w:r>
            <w:r>
              <w:rPr>
                <w:spacing w:val="-2"/>
              </w:rPr>
              <w:t>)</w:t>
            </w:r>
          </w:p>
          <w:p w:rsidR="002C41C4" w:rsidP="00C5034F" w14:paraId="572F2A38" w14:textId="77777777">
            <w:pPr>
              <w:tabs>
                <w:tab w:val="center" w:pos="4680"/>
              </w:tabs>
              <w:suppressAutoHyphens/>
              <w:rPr>
                <w:spacing w:val="-2"/>
              </w:rPr>
            </w:pPr>
          </w:p>
        </w:tc>
        <w:tc>
          <w:tcPr>
            <w:tcW w:w="630" w:type="dxa"/>
          </w:tcPr>
          <w:p w:rsidR="002C41C4" w:rsidP="00C5034F" w14:paraId="47738773" w14:textId="77777777">
            <w:pPr>
              <w:tabs>
                <w:tab w:val="center" w:pos="4680"/>
              </w:tabs>
              <w:suppressAutoHyphens/>
              <w:rPr>
                <w:b/>
                <w:spacing w:val="-2"/>
              </w:rPr>
            </w:pPr>
            <w:r>
              <w:rPr>
                <w:b/>
                <w:spacing w:val="-2"/>
              </w:rPr>
              <w:t>)</w:t>
            </w:r>
          </w:p>
          <w:p w:rsidR="002C41C4" w:rsidP="00C5034F" w14:paraId="36203034" w14:textId="77777777">
            <w:pPr>
              <w:tabs>
                <w:tab w:val="center" w:pos="4680"/>
              </w:tabs>
              <w:suppressAutoHyphens/>
              <w:rPr>
                <w:b/>
                <w:spacing w:val="-2"/>
              </w:rPr>
            </w:pPr>
            <w:r>
              <w:rPr>
                <w:b/>
                <w:spacing w:val="-2"/>
              </w:rPr>
              <w:t>)</w:t>
            </w:r>
          </w:p>
          <w:p w:rsidR="002C41C4" w:rsidP="00C5034F" w14:paraId="0BE6042D" w14:textId="77777777">
            <w:pPr>
              <w:tabs>
                <w:tab w:val="center" w:pos="4680"/>
              </w:tabs>
              <w:suppressAutoHyphens/>
              <w:rPr>
                <w:b/>
                <w:spacing w:val="-2"/>
              </w:rPr>
            </w:pPr>
            <w:r>
              <w:rPr>
                <w:b/>
                <w:spacing w:val="-2"/>
              </w:rPr>
              <w:t>)</w:t>
            </w:r>
          </w:p>
          <w:p w:rsidR="002C41C4" w:rsidP="00C5034F" w14:paraId="123AD831" w14:textId="77777777">
            <w:pPr>
              <w:tabs>
                <w:tab w:val="center" w:pos="4680"/>
              </w:tabs>
              <w:suppressAutoHyphens/>
              <w:rPr>
                <w:b/>
                <w:spacing w:val="-2"/>
              </w:rPr>
            </w:pPr>
            <w:r>
              <w:rPr>
                <w:b/>
                <w:spacing w:val="-2"/>
              </w:rPr>
              <w:t>)</w:t>
            </w:r>
          </w:p>
          <w:p w:rsidR="002C41C4" w:rsidP="00C5034F" w14:paraId="768478DC" w14:textId="77777777">
            <w:pPr>
              <w:tabs>
                <w:tab w:val="center" w:pos="4680"/>
              </w:tabs>
              <w:suppressAutoHyphens/>
              <w:rPr>
                <w:b/>
                <w:spacing w:val="-2"/>
              </w:rPr>
            </w:pPr>
            <w:r>
              <w:rPr>
                <w:b/>
                <w:spacing w:val="-2"/>
              </w:rPr>
              <w:t>)</w:t>
            </w:r>
          </w:p>
        </w:tc>
        <w:tc>
          <w:tcPr>
            <w:tcW w:w="4248" w:type="dxa"/>
          </w:tcPr>
          <w:p w:rsidR="002C41C4" w:rsidP="00C5034F" w14:paraId="531D7E71" w14:textId="77777777">
            <w:pPr>
              <w:tabs>
                <w:tab w:val="center" w:pos="4680"/>
              </w:tabs>
              <w:suppressAutoHyphens/>
              <w:rPr>
                <w:spacing w:val="-2"/>
              </w:rPr>
            </w:pPr>
          </w:p>
          <w:p w:rsidR="002C41C4" w:rsidP="00C5034F" w14:paraId="2D888BE5" w14:textId="77777777">
            <w:pPr>
              <w:pStyle w:val="TOAHeading"/>
              <w:tabs>
                <w:tab w:val="center" w:pos="4680"/>
                <w:tab w:val="clear" w:pos="9360"/>
              </w:tabs>
              <w:rPr>
                <w:spacing w:val="-2"/>
              </w:rPr>
            </w:pPr>
          </w:p>
          <w:p w:rsidR="002C41C4" w:rsidP="00C5034F" w14:paraId="6A6B97AC" w14:textId="4B355137">
            <w:pPr>
              <w:pStyle w:val="TOAHeading"/>
              <w:tabs>
                <w:tab w:val="center" w:pos="4680"/>
              </w:tabs>
              <w:rPr>
                <w:spacing w:val="-2"/>
              </w:rPr>
            </w:pPr>
            <w:r>
              <w:rPr>
                <w:spacing w:val="-2"/>
              </w:rPr>
              <w:t>MB Docket No. 2</w:t>
            </w:r>
            <w:r w:rsidR="004B71F3">
              <w:rPr>
                <w:spacing w:val="-2"/>
              </w:rPr>
              <w:t>2</w:t>
            </w:r>
            <w:r>
              <w:rPr>
                <w:spacing w:val="-2"/>
              </w:rPr>
              <w:t>-</w:t>
            </w:r>
            <w:r w:rsidR="00E17F0E">
              <w:rPr>
                <w:spacing w:val="-2"/>
              </w:rPr>
              <w:t>150</w:t>
            </w:r>
          </w:p>
          <w:p w:rsidR="002C41C4" w:rsidP="00C5034F" w14:paraId="3CA68643" w14:textId="2BA8AF7D">
            <w:pPr>
              <w:tabs>
                <w:tab w:val="center" w:pos="4680"/>
              </w:tabs>
              <w:suppressAutoHyphens/>
              <w:rPr>
                <w:spacing w:val="-2"/>
              </w:rPr>
            </w:pPr>
            <w:r>
              <w:rPr>
                <w:spacing w:val="-2"/>
              </w:rPr>
              <w:t>RM-11</w:t>
            </w:r>
            <w:r w:rsidR="00E17F0E">
              <w:rPr>
                <w:spacing w:val="-2"/>
              </w:rPr>
              <w:t>926</w:t>
            </w:r>
          </w:p>
        </w:tc>
      </w:tr>
    </w:tbl>
    <w:p w:rsidR="002C41C4" w:rsidP="002C41C4" w14:paraId="63AD0C14" w14:textId="77777777">
      <w:pPr>
        <w:pStyle w:val="StyleBoldCentered"/>
      </w:pPr>
      <w:r>
        <w:t>Notice of proposed rulemaking</w:t>
      </w:r>
    </w:p>
    <w:p w:rsidR="002C41C4" w:rsidP="002C41C4" w14:paraId="00B539D4" w14:textId="77777777">
      <w:pPr>
        <w:tabs>
          <w:tab w:val="left" w:pos="-720"/>
        </w:tabs>
        <w:suppressAutoHyphens/>
        <w:spacing w:line="227" w:lineRule="auto"/>
        <w:rPr>
          <w:spacing w:val="-2"/>
        </w:rPr>
      </w:pPr>
    </w:p>
    <w:p w:rsidR="002C41C4" w:rsidP="002C41C4" w14:paraId="43783655" w14:textId="662E9AA6">
      <w:pPr>
        <w:tabs>
          <w:tab w:val="left" w:pos="720"/>
          <w:tab w:val="right" w:pos="9360"/>
        </w:tabs>
        <w:suppressAutoHyphens/>
        <w:spacing w:line="227" w:lineRule="auto"/>
        <w:rPr>
          <w:b/>
          <w:spacing w:val="-2"/>
        </w:rPr>
      </w:pPr>
      <w:r>
        <w:rPr>
          <w:b/>
          <w:spacing w:val="-2"/>
        </w:rPr>
        <w:t xml:space="preserve">Adopted:  </w:t>
      </w:r>
      <w:r w:rsidR="006153AB">
        <w:rPr>
          <w:b/>
          <w:spacing w:val="-2"/>
        </w:rPr>
        <w:t>April</w:t>
      </w:r>
      <w:r w:rsidR="004B71F3">
        <w:rPr>
          <w:b/>
          <w:spacing w:val="-2"/>
        </w:rPr>
        <w:t xml:space="preserve"> </w:t>
      </w:r>
      <w:r w:rsidR="00E17F0E">
        <w:rPr>
          <w:b/>
          <w:spacing w:val="-2"/>
        </w:rPr>
        <w:t>13</w:t>
      </w:r>
      <w:r>
        <w:rPr>
          <w:b/>
          <w:spacing w:val="-2"/>
        </w:rPr>
        <w:t>, 202</w:t>
      </w:r>
      <w:r w:rsidR="004B71F3">
        <w:rPr>
          <w:b/>
          <w:spacing w:val="-2"/>
        </w:rPr>
        <w:t>2</w:t>
      </w:r>
      <w:r>
        <w:rPr>
          <w:b/>
          <w:spacing w:val="-2"/>
        </w:rPr>
        <w:tab/>
        <w:t xml:space="preserve">Released: </w:t>
      </w:r>
      <w:r w:rsidR="000826D1">
        <w:rPr>
          <w:b/>
          <w:spacing w:val="-2"/>
        </w:rPr>
        <w:t xml:space="preserve"> </w:t>
      </w:r>
      <w:r w:rsidR="006153AB">
        <w:rPr>
          <w:b/>
          <w:spacing w:val="-2"/>
        </w:rPr>
        <w:t>April</w:t>
      </w:r>
      <w:r w:rsidR="004B71F3">
        <w:rPr>
          <w:b/>
          <w:spacing w:val="-2"/>
        </w:rPr>
        <w:t xml:space="preserve"> </w:t>
      </w:r>
      <w:r w:rsidR="00E17F0E">
        <w:rPr>
          <w:b/>
          <w:spacing w:val="-2"/>
        </w:rPr>
        <w:t>13</w:t>
      </w:r>
      <w:r w:rsidR="004B71F3">
        <w:rPr>
          <w:b/>
          <w:spacing w:val="-2"/>
        </w:rPr>
        <w:t>,</w:t>
      </w:r>
      <w:r>
        <w:rPr>
          <w:b/>
          <w:spacing w:val="-2"/>
        </w:rPr>
        <w:t xml:space="preserve"> 202</w:t>
      </w:r>
      <w:r w:rsidR="004B71F3">
        <w:rPr>
          <w:b/>
          <w:spacing w:val="-2"/>
        </w:rPr>
        <w:t>2</w:t>
      </w:r>
    </w:p>
    <w:p w:rsidR="002C41C4" w:rsidP="002C41C4" w14:paraId="75C93D2F" w14:textId="77777777">
      <w:pPr>
        <w:tabs>
          <w:tab w:val="left" w:pos="720"/>
          <w:tab w:val="right" w:pos="9360"/>
        </w:tabs>
        <w:suppressAutoHyphens/>
        <w:spacing w:line="227" w:lineRule="auto"/>
        <w:rPr>
          <w:b/>
          <w:spacing w:val="-2"/>
        </w:rPr>
      </w:pPr>
    </w:p>
    <w:p w:rsidR="002C41C4" w:rsidP="002C41C4" w14:paraId="443D255E"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2C41C4" w:rsidP="002C41C4" w14:paraId="78CF5333" w14:textId="77777777">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2C41C4" w:rsidP="002C41C4" w14:paraId="44B7B361" w14:textId="77777777"/>
    <w:p w:rsidR="002C41C4" w:rsidP="002C41C4" w14:paraId="566960C9" w14:textId="77777777">
      <w:pPr>
        <w:rPr>
          <w:spacing w:val="-2"/>
        </w:rPr>
      </w:pPr>
      <w:r>
        <w:t xml:space="preserve">By the </w:t>
      </w:r>
      <w:r>
        <w:rPr>
          <w:spacing w:val="-2"/>
        </w:rPr>
        <w:t>Chief, Video Division, Media Bureau:</w:t>
      </w:r>
    </w:p>
    <w:p w:rsidR="002C41C4" w:rsidP="002C41C4" w14:paraId="23B2E2FA" w14:textId="77777777">
      <w:pPr>
        <w:rPr>
          <w:spacing w:val="-2"/>
        </w:rPr>
      </w:pPr>
    </w:p>
    <w:p w:rsidR="002C41C4" w:rsidP="002C41C4" w14:paraId="20BA5023" w14:textId="77777777">
      <w:pPr>
        <w:pStyle w:val="Heading1"/>
        <w:keepNext w:val="0"/>
        <w:suppressAutoHyphens w:val="0"/>
      </w:pPr>
      <w:r>
        <w:t>Introduction</w:t>
      </w:r>
    </w:p>
    <w:p w:rsidR="002C41C4" w:rsidP="002C41C4" w14:paraId="26A114D9" w14:textId="4E045631">
      <w:pPr>
        <w:pStyle w:val="ParaNum"/>
        <w:tabs>
          <w:tab w:val="clear" w:pos="1440"/>
        </w:tabs>
      </w:pPr>
      <w:r>
        <w:t xml:space="preserve">The Video Division, Media Bureau (Bureau), has before it a petition for rulemaking filed  by </w:t>
      </w:r>
      <w:r w:rsidR="00C77526">
        <w:t>Maine Public Broadcasting Corporation</w:t>
      </w:r>
      <w:r>
        <w:t xml:space="preserve"> (Petitioner), the licensee of </w:t>
      </w:r>
      <w:r w:rsidR="00C77526">
        <w:t>WCBB</w:t>
      </w:r>
      <w:r>
        <w:t>, channel</w:t>
      </w:r>
      <w:r w:rsidR="00E97CC5">
        <w:t xml:space="preserve"> </w:t>
      </w:r>
      <w:r w:rsidR="00C77526">
        <w:t>*10</w:t>
      </w:r>
      <w:r>
        <w:t xml:space="preserve">, </w:t>
      </w:r>
      <w:r w:rsidR="00C77526">
        <w:t>Augusta</w:t>
      </w:r>
      <w:r w:rsidR="004A3F4E">
        <w:t xml:space="preserve">, </w:t>
      </w:r>
      <w:r w:rsidR="00C77526">
        <w:t>Maine</w:t>
      </w:r>
      <w:r w:rsidR="00DE2477">
        <w:t xml:space="preserve"> (Station</w:t>
      </w:r>
      <w:r w:rsidR="00C53F5E">
        <w:t xml:space="preserve"> or WC</w:t>
      </w:r>
      <w:r w:rsidR="00760767">
        <w:t>B</w:t>
      </w:r>
      <w:r w:rsidR="00C53F5E">
        <w:t>B</w:t>
      </w:r>
      <w:r w:rsidR="00DE2477">
        <w:t>)</w:t>
      </w:r>
      <w:r>
        <w:t>.</w:t>
      </w:r>
      <w:r>
        <w:rPr>
          <w:rStyle w:val="FootnoteReference"/>
        </w:rPr>
        <w:footnoteReference w:id="3"/>
      </w:r>
      <w:r>
        <w:t xml:space="preserve">  The Petitioner requests the substitution of channel </w:t>
      </w:r>
      <w:r w:rsidR="00C77526">
        <w:t>*20</w:t>
      </w:r>
      <w:r>
        <w:t xml:space="preserve"> for channel </w:t>
      </w:r>
      <w:r w:rsidR="00C77526">
        <w:t>*10</w:t>
      </w:r>
      <w:r>
        <w:t xml:space="preserve"> at </w:t>
      </w:r>
      <w:r w:rsidR="00C77526">
        <w:t>Augusta</w:t>
      </w:r>
      <w:r>
        <w:t xml:space="preserve"> in the Table of Allotments.</w:t>
      </w:r>
      <w:r>
        <w:rPr>
          <w:rStyle w:val="FootnoteReference"/>
        </w:rPr>
        <w:footnoteReference w:id="4"/>
      </w:r>
      <w:r>
        <w:t xml:space="preserve"> </w:t>
      </w:r>
    </w:p>
    <w:p w:rsidR="002C41C4" w:rsidP="005C521E" w14:paraId="0CA9A346" w14:textId="77777777">
      <w:pPr>
        <w:pStyle w:val="Heading1"/>
        <w:keepNext w:val="0"/>
        <w:suppressAutoHyphens w:val="0"/>
      </w:pPr>
      <w:r>
        <w:t>Background</w:t>
      </w:r>
    </w:p>
    <w:p w:rsidR="002C41C4" w:rsidRPr="006C717D" w:rsidP="00AB1DF8" w14:paraId="62E9711F" w14:textId="41349715">
      <w:pPr>
        <w:pStyle w:val="ParaNum"/>
        <w:rPr>
          <w:snapToGrid/>
          <w:szCs w:val="22"/>
        </w:rPr>
      </w:pPr>
      <w:r w:rsidRPr="006C717D">
        <w:rPr>
          <w:szCs w:val="22"/>
        </w:rPr>
        <w:t xml:space="preserve">In support, the Petitioner states that </w:t>
      </w:r>
      <w:r w:rsidRPr="006C717D" w:rsidR="000418F2">
        <w:rPr>
          <w:szCs w:val="22"/>
        </w:rPr>
        <w:t>the</w:t>
      </w:r>
      <w:r w:rsidRPr="006C717D">
        <w:rPr>
          <w:szCs w:val="22"/>
        </w:rPr>
        <w:t xml:space="preserve"> </w:t>
      </w:r>
      <w:r w:rsidRPr="00C70947" w:rsidR="002B42DF">
        <w:rPr>
          <w:szCs w:val="22"/>
        </w:rPr>
        <w:t>proposed channel substitution would serve the public interest</w:t>
      </w:r>
      <w:r w:rsidR="00DA7137">
        <w:rPr>
          <w:szCs w:val="22"/>
        </w:rPr>
        <w:t>, since</w:t>
      </w:r>
      <w:r w:rsidRPr="00C70947" w:rsidR="002B42DF">
        <w:rPr>
          <w:szCs w:val="22"/>
        </w:rPr>
        <w:t xml:space="preserve"> WCBB is</w:t>
      </w:r>
      <w:r w:rsidR="002B42DF">
        <w:rPr>
          <w:szCs w:val="22"/>
        </w:rPr>
        <w:t xml:space="preserve"> </w:t>
      </w:r>
      <w:r w:rsidRPr="00C70947" w:rsidR="002B42DF">
        <w:rPr>
          <w:szCs w:val="22"/>
        </w:rPr>
        <w:t xml:space="preserve">one of only two full power stations in the market to broadcast on a </w:t>
      </w:r>
      <w:r w:rsidR="002B42DF">
        <w:rPr>
          <w:szCs w:val="22"/>
        </w:rPr>
        <w:t>V</w:t>
      </w:r>
      <w:r w:rsidRPr="00C70947" w:rsidR="002B42DF">
        <w:rPr>
          <w:szCs w:val="22"/>
        </w:rPr>
        <w:t xml:space="preserve">HF channel, </w:t>
      </w:r>
      <w:r w:rsidR="002B42DF">
        <w:rPr>
          <w:szCs w:val="22"/>
        </w:rPr>
        <w:t xml:space="preserve">and </w:t>
      </w:r>
      <w:r w:rsidRPr="00C70947" w:rsidR="002B42DF">
        <w:rPr>
          <w:szCs w:val="22"/>
        </w:rPr>
        <w:t>moving</w:t>
      </w:r>
      <w:r w:rsidR="00DA7137">
        <w:rPr>
          <w:szCs w:val="22"/>
        </w:rPr>
        <w:t xml:space="preserve"> the Station</w:t>
      </w:r>
      <w:r w:rsidRPr="00C70947" w:rsidR="002B42DF">
        <w:rPr>
          <w:szCs w:val="22"/>
        </w:rPr>
        <w:t xml:space="preserve"> to a UHF channel would improve the</w:t>
      </w:r>
      <w:r w:rsidR="00134FFB">
        <w:rPr>
          <w:szCs w:val="22"/>
        </w:rPr>
        <w:t xml:space="preserve"> </w:t>
      </w:r>
      <w:r w:rsidRPr="00C70947" w:rsidR="002B42DF">
        <w:rPr>
          <w:szCs w:val="22"/>
        </w:rPr>
        <w:t>community’s access to WCBB’s PBS and other public television programming by improving</w:t>
      </w:r>
      <w:r w:rsidR="00134FFB">
        <w:rPr>
          <w:szCs w:val="22"/>
        </w:rPr>
        <w:t xml:space="preserve"> </w:t>
      </w:r>
      <w:r w:rsidRPr="00C70947" w:rsidR="002B42DF">
        <w:rPr>
          <w:szCs w:val="22"/>
        </w:rPr>
        <w:t>indoor reception</w:t>
      </w:r>
      <w:r w:rsidR="00134FFB">
        <w:rPr>
          <w:szCs w:val="22"/>
        </w:rPr>
        <w:t>.</w:t>
      </w:r>
      <w:r>
        <w:rPr>
          <w:rStyle w:val="FootnoteReference"/>
          <w:szCs w:val="22"/>
        </w:rPr>
        <w:footnoteReference w:id="5"/>
      </w:r>
      <w:r w:rsidR="00534D07">
        <w:rPr>
          <w:szCs w:val="22"/>
        </w:rPr>
        <w:t xml:space="preserve">  </w:t>
      </w:r>
      <w:r w:rsidRPr="005E79EE" w:rsidR="00534D07">
        <w:rPr>
          <w:szCs w:val="22"/>
        </w:rPr>
        <w:t xml:space="preserve">According to Petitioner, although the proposed channel *20 facilities will result in a </w:t>
      </w:r>
      <w:r w:rsidR="00536FA0">
        <w:rPr>
          <w:szCs w:val="22"/>
        </w:rPr>
        <w:t>predicted loss of service to 3,785 persons</w:t>
      </w:r>
      <w:r w:rsidRPr="005E79EE" w:rsidR="00534D07">
        <w:rPr>
          <w:szCs w:val="22"/>
        </w:rPr>
        <w:t xml:space="preserve">, </w:t>
      </w:r>
      <w:r w:rsidR="00536FA0">
        <w:rPr>
          <w:szCs w:val="22"/>
        </w:rPr>
        <w:t xml:space="preserve">however </w:t>
      </w:r>
      <w:r w:rsidRPr="005E79EE" w:rsidR="00534D07">
        <w:rPr>
          <w:szCs w:val="22"/>
        </w:rPr>
        <w:t>m</w:t>
      </w:r>
      <w:r w:rsidR="004007A9">
        <w:rPr>
          <w:szCs w:val="22"/>
        </w:rPr>
        <w:t>uch of the</w:t>
      </w:r>
      <w:r w:rsidRPr="005E79EE" w:rsidR="00534D07">
        <w:rPr>
          <w:szCs w:val="22"/>
        </w:rPr>
        <w:t xml:space="preserve"> predicted loss area is located outside the state of Maine and </w:t>
      </w:r>
      <w:r w:rsidR="004007A9">
        <w:rPr>
          <w:szCs w:val="22"/>
        </w:rPr>
        <w:t>the “vas</w:t>
      </w:r>
      <w:r w:rsidR="00A03C66">
        <w:rPr>
          <w:szCs w:val="22"/>
        </w:rPr>
        <w:t>t</w:t>
      </w:r>
      <w:r w:rsidR="004007A9">
        <w:rPr>
          <w:szCs w:val="22"/>
        </w:rPr>
        <w:t xml:space="preserve"> ma</w:t>
      </w:r>
      <w:r w:rsidR="00A03C66">
        <w:rPr>
          <w:szCs w:val="22"/>
        </w:rPr>
        <w:t>jority” is</w:t>
      </w:r>
      <w:r w:rsidRPr="005E79EE" w:rsidR="00534D07">
        <w:rPr>
          <w:szCs w:val="22"/>
        </w:rPr>
        <w:t xml:space="preserve"> served by </w:t>
      </w:r>
      <w:r w:rsidR="00A03C66">
        <w:rPr>
          <w:szCs w:val="22"/>
        </w:rPr>
        <w:t>Petitioner’s</w:t>
      </w:r>
      <w:r w:rsidR="00C53F5E">
        <w:rPr>
          <w:szCs w:val="22"/>
        </w:rPr>
        <w:t xml:space="preserve"> owned and operated </w:t>
      </w:r>
      <w:r w:rsidR="00A03C66">
        <w:rPr>
          <w:szCs w:val="22"/>
        </w:rPr>
        <w:t>stations</w:t>
      </w:r>
      <w:r w:rsidRPr="005E79EE" w:rsidR="00534D07">
        <w:rPr>
          <w:szCs w:val="22"/>
        </w:rPr>
        <w:t xml:space="preserve"> WMEB-TV</w:t>
      </w:r>
      <w:r w:rsidR="00663A1C">
        <w:rPr>
          <w:szCs w:val="22"/>
        </w:rPr>
        <w:t>, Orono, Maine,</w:t>
      </w:r>
      <w:r w:rsidRPr="005E79EE" w:rsidR="00534D07">
        <w:rPr>
          <w:szCs w:val="22"/>
        </w:rPr>
        <w:t xml:space="preserve"> and WMEA-TV</w:t>
      </w:r>
      <w:r w:rsidR="00663A1C">
        <w:rPr>
          <w:szCs w:val="22"/>
        </w:rPr>
        <w:t xml:space="preserve">, </w:t>
      </w:r>
      <w:r w:rsidR="00C22855">
        <w:rPr>
          <w:szCs w:val="22"/>
        </w:rPr>
        <w:t>Biddeford</w:t>
      </w:r>
      <w:r w:rsidR="00663A1C">
        <w:rPr>
          <w:szCs w:val="22"/>
        </w:rPr>
        <w:t>, Maine,</w:t>
      </w:r>
      <w:r w:rsidRPr="005E79EE" w:rsidR="00534D07">
        <w:rPr>
          <w:szCs w:val="22"/>
        </w:rPr>
        <w:t xml:space="preserve"> or by other PBS member stations</w:t>
      </w:r>
      <w:r w:rsidR="00663A1C">
        <w:rPr>
          <w:szCs w:val="22"/>
        </w:rPr>
        <w:t>,</w:t>
      </w:r>
      <w:r w:rsidRPr="005E79EE" w:rsidR="00534D07">
        <w:rPr>
          <w:szCs w:val="22"/>
        </w:rPr>
        <w:t xml:space="preserve"> WENH-TV, </w:t>
      </w:r>
      <w:r w:rsidR="00663A1C">
        <w:rPr>
          <w:szCs w:val="22"/>
        </w:rPr>
        <w:t xml:space="preserve">Durham, New Hampshire, </w:t>
      </w:r>
      <w:r w:rsidRPr="005E79EE" w:rsidR="00534D07">
        <w:rPr>
          <w:szCs w:val="22"/>
        </w:rPr>
        <w:t>WLED-TV,</w:t>
      </w:r>
      <w:r w:rsidR="00663A1C">
        <w:rPr>
          <w:szCs w:val="22"/>
        </w:rPr>
        <w:t xml:space="preserve"> Littleton, New Hampshire,</w:t>
      </w:r>
      <w:r w:rsidRPr="005E79EE" w:rsidR="00534D07">
        <w:rPr>
          <w:szCs w:val="22"/>
        </w:rPr>
        <w:t xml:space="preserve"> and WVTB</w:t>
      </w:r>
      <w:r w:rsidR="00663A1C">
        <w:rPr>
          <w:szCs w:val="22"/>
        </w:rPr>
        <w:t>, St. Johnsbury, Vermont</w:t>
      </w:r>
      <w:r w:rsidRPr="005E79EE" w:rsidR="00534D07">
        <w:rPr>
          <w:szCs w:val="22"/>
        </w:rPr>
        <w:t>.</w:t>
      </w:r>
      <w:r>
        <w:rPr>
          <w:rStyle w:val="FootnoteReference"/>
          <w:sz w:val="22"/>
          <w:szCs w:val="22"/>
        </w:rPr>
        <w:footnoteReference w:id="6"/>
      </w:r>
      <w:r w:rsidRPr="005E79EE" w:rsidR="00534D07">
        <w:rPr>
          <w:szCs w:val="22"/>
        </w:rPr>
        <w:t xml:space="preserve"> </w:t>
      </w:r>
      <w:r w:rsidRPr="005E79EE" w:rsidR="005E79EE">
        <w:rPr>
          <w:szCs w:val="22"/>
        </w:rPr>
        <w:t xml:space="preserve"> </w:t>
      </w:r>
      <w:r w:rsidR="00663A1C">
        <w:rPr>
          <w:szCs w:val="22"/>
        </w:rPr>
        <w:t>Petitioner</w:t>
      </w:r>
      <w:r w:rsidR="00536FA0">
        <w:rPr>
          <w:szCs w:val="22"/>
        </w:rPr>
        <w:t xml:space="preserve"> goes on to</w:t>
      </w:r>
      <w:r w:rsidR="00663A1C">
        <w:rPr>
          <w:szCs w:val="22"/>
        </w:rPr>
        <w:t xml:space="preserve"> state that</w:t>
      </w:r>
      <w:r w:rsidRPr="005E79EE" w:rsidR="00534D07">
        <w:rPr>
          <w:szCs w:val="22"/>
        </w:rPr>
        <w:t xml:space="preserve"> once</w:t>
      </w:r>
      <w:r w:rsidR="00536FA0">
        <w:rPr>
          <w:szCs w:val="22"/>
        </w:rPr>
        <w:t xml:space="preserve"> these other sources of PBS programing and</w:t>
      </w:r>
      <w:r w:rsidRPr="005E79EE" w:rsidR="00534D07">
        <w:rPr>
          <w:szCs w:val="22"/>
        </w:rPr>
        <w:t xml:space="preserve"> terrain-limitations</w:t>
      </w:r>
      <w:r w:rsidR="00534D07">
        <w:rPr>
          <w:rFonts w:ascii="Arial" w:hAnsi="Arial" w:cs="Arial"/>
          <w:sz w:val="30"/>
          <w:szCs w:val="30"/>
        </w:rPr>
        <w:t xml:space="preserve"> </w:t>
      </w:r>
      <w:r w:rsidRPr="005E79EE" w:rsidR="00534D07">
        <w:rPr>
          <w:szCs w:val="22"/>
        </w:rPr>
        <w:t>are</w:t>
      </w:r>
      <w:r w:rsidRPr="005E79EE" w:rsidR="005E79EE">
        <w:rPr>
          <w:szCs w:val="22"/>
        </w:rPr>
        <w:t xml:space="preserve"> </w:t>
      </w:r>
      <w:r w:rsidRPr="005E79EE" w:rsidR="00534D07">
        <w:rPr>
          <w:szCs w:val="22"/>
        </w:rPr>
        <w:t xml:space="preserve">factored into the </w:t>
      </w:r>
      <w:r w:rsidR="006E319E">
        <w:rPr>
          <w:szCs w:val="22"/>
        </w:rPr>
        <w:t xml:space="preserve">loss </w:t>
      </w:r>
      <w:r w:rsidRPr="005E79EE" w:rsidR="00534D07">
        <w:rPr>
          <w:szCs w:val="22"/>
        </w:rPr>
        <w:t>analysis</w:t>
      </w:r>
      <w:r w:rsidR="00663A1C">
        <w:rPr>
          <w:szCs w:val="22"/>
        </w:rPr>
        <w:t>,</w:t>
      </w:r>
      <w:r w:rsidRPr="005E79EE" w:rsidR="00534D07">
        <w:rPr>
          <w:szCs w:val="22"/>
        </w:rPr>
        <w:t xml:space="preserve"> the new </w:t>
      </w:r>
      <w:r w:rsidR="00663A1C">
        <w:rPr>
          <w:szCs w:val="22"/>
        </w:rPr>
        <w:t>loss</w:t>
      </w:r>
      <w:r w:rsidRPr="005E79EE" w:rsidR="00534D07">
        <w:rPr>
          <w:szCs w:val="22"/>
        </w:rPr>
        <w:t xml:space="preserve"> area that would be created by the proposed</w:t>
      </w:r>
      <w:r w:rsidRPr="005E79EE" w:rsidR="005E79EE">
        <w:rPr>
          <w:szCs w:val="22"/>
        </w:rPr>
        <w:t xml:space="preserve"> </w:t>
      </w:r>
      <w:r w:rsidR="006E319E">
        <w:rPr>
          <w:szCs w:val="22"/>
        </w:rPr>
        <w:t xml:space="preserve">channel </w:t>
      </w:r>
      <w:r w:rsidRPr="005E79EE" w:rsidR="00534D07">
        <w:rPr>
          <w:szCs w:val="22"/>
        </w:rPr>
        <w:t>substitution would contain 1</w:t>
      </w:r>
      <w:r w:rsidR="00F55C21">
        <w:rPr>
          <w:szCs w:val="22"/>
        </w:rPr>
        <w:t>44</w:t>
      </w:r>
      <w:r w:rsidRPr="005E79EE" w:rsidR="00534D07">
        <w:rPr>
          <w:szCs w:val="22"/>
        </w:rPr>
        <w:t xml:space="preserve"> persons, </w:t>
      </w:r>
      <w:r w:rsidR="00D90886">
        <w:rPr>
          <w:szCs w:val="22"/>
        </w:rPr>
        <w:t xml:space="preserve">which it asserts is </w:t>
      </w:r>
      <w:r w:rsidRPr="005E79EE" w:rsidR="00534D07">
        <w:rPr>
          <w:szCs w:val="22"/>
        </w:rPr>
        <w:t>well below the level the Commission considers</w:t>
      </w:r>
      <w:r w:rsidR="005E79EE">
        <w:rPr>
          <w:szCs w:val="22"/>
        </w:rPr>
        <w:t xml:space="preserve"> </w:t>
      </w:r>
      <w:r w:rsidRPr="005E79EE" w:rsidR="00534D07">
        <w:rPr>
          <w:i/>
          <w:iCs/>
          <w:szCs w:val="22"/>
        </w:rPr>
        <w:t>de minimis</w:t>
      </w:r>
      <w:r w:rsidRPr="005E79EE" w:rsidR="00534D07">
        <w:rPr>
          <w:szCs w:val="22"/>
        </w:rPr>
        <w:t xml:space="preserve"> in th</w:t>
      </w:r>
      <w:r w:rsidR="00D90886">
        <w:rPr>
          <w:szCs w:val="22"/>
        </w:rPr>
        <w:t>e</w:t>
      </w:r>
      <w:r w:rsidRPr="005E79EE" w:rsidR="00534D07">
        <w:rPr>
          <w:szCs w:val="22"/>
        </w:rPr>
        <w:t xml:space="preserve"> context</w:t>
      </w:r>
      <w:r w:rsidR="00D90886">
        <w:rPr>
          <w:szCs w:val="22"/>
        </w:rPr>
        <w:t xml:space="preserve"> of considering impermissible loss of service</w:t>
      </w:r>
      <w:r w:rsidRPr="005E79EE" w:rsidR="00534D07">
        <w:rPr>
          <w:szCs w:val="22"/>
        </w:rPr>
        <w:t>.</w:t>
      </w:r>
      <w:r>
        <w:rPr>
          <w:rStyle w:val="FootnoteReference"/>
          <w:szCs w:val="22"/>
        </w:rPr>
        <w:footnoteReference w:id="7"/>
      </w:r>
    </w:p>
    <w:p w:rsidR="002C41C4" w:rsidRPr="00D15A12" w:rsidP="00536FA0" w14:paraId="30A5910C" w14:textId="77777777">
      <w:pPr>
        <w:pStyle w:val="Heading1"/>
        <w:keepLines/>
        <w:suppressAutoHyphens w:val="0"/>
        <w:rPr>
          <w:rFonts w:ascii="Times New Roman" w:hAnsi="Times New Roman"/>
          <w:szCs w:val="22"/>
        </w:rPr>
      </w:pPr>
      <w:r w:rsidRPr="00D15A12">
        <w:rPr>
          <w:rFonts w:ascii="Times New Roman" w:hAnsi="Times New Roman"/>
          <w:szCs w:val="22"/>
        </w:rPr>
        <w:t>DISCUSSION</w:t>
      </w:r>
    </w:p>
    <w:p w:rsidR="002C41C4" w:rsidRPr="002B5E5C" w:rsidP="006E319E" w14:paraId="37CC0C13" w14:textId="6ACEFD6B">
      <w:pPr>
        <w:pStyle w:val="ParaNum"/>
        <w:widowControl/>
        <w:rPr>
          <w:szCs w:val="22"/>
        </w:rPr>
      </w:pPr>
      <w:r w:rsidRPr="006C717D">
        <w:rPr>
          <w:szCs w:val="22"/>
        </w:rPr>
        <w:t xml:space="preserve">We believe that the Petitioner’s channel substitution proposal warrants consideration.  Channel </w:t>
      </w:r>
      <w:r w:rsidR="00E64702">
        <w:rPr>
          <w:szCs w:val="22"/>
        </w:rPr>
        <w:t>*20</w:t>
      </w:r>
      <w:r w:rsidRPr="006C717D">
        <w:rPr>
          <w:szCs w:val="22"/>
        </w:rPr>
        <w:t xml:space="preserve"> can be substituted for channel </w:t>
      </w:r>
      <w:r w:rsidR="00E64702">
        <w:rPr>
          <w:szCs w:val="22"/>
        </w:rPr>
        <w:t>*10</w:t>
      </w:r>
      <w:r w:rsidRPr="006C717D">
        <w:rPr>
          <w:szCs w:val="22"/>
        </w:rPr>
        <w:t xml:space="preserve"> at </w:t>
      </w:r>
      <w:r w:rsidR="00C77526">
        <w:rPr>
          <w:szCs w:val="22"/>
        </w:rPr>
        <w:t>Augusta</w:t>
      </w:r>
      <w:r w:rsidRPr="006C717D" w:rsidR="004A3F4E">
        <w:rPr>
          <w:szCs w:val="22"/>
        </w:rPr>
        <w:t xml:space="preserve">, </w:t>
      </w:r>
      <w:r w:rsidR="00C77526">
        <w:rPr>
          <w:szCs w:val="22"/>
        </w:rPr>
        <w:t>Maine</w:t>
      </w:r>
      <w:r w:rsidRPr="006C717D">
        <w:rPr>
          <w:szCs w:val="22"/>
        </w:rPr>
        <w:t>, as proposed, in compliance with the principal community coverage requirements of section 73.625(a) of the Commission’s rules,</w:t>
      </w:r>
      <w:r>
        <w:rPr>
          <w:szCs w:val="22"/>
          <w:vertAlign w:val="superscript"/>
        </w:rPr>
        <w:footnoteReference w:id="8"/>
      </w:r>
      <w:r w:rsidRPr="006C717D">
        <w:rPr>
          <w:szCs w:val="22"/>
        </w:rPr>
        <w:t xml:space="preserve"> at coordinates</w:t>
      </w:r>
      <w:r w:rsidRPr="006C717D" w:rsidR="00291606">
        <w:rPr>
          <w:szCs w:val="22"/>
        </w:rPr>
        <w:t xml:space="preserve"> </w:t>
      </w:r>
      <w:r w:rsidR="006A517B">
        <w:rPr>
          <w:szCs w:val="22"/>
        </w:rPr>
        <w:t>4</w:t>
      </w:r>
      <w:r w:rsidR="002964F4">
        <w:rPr>
          <w:szCs w:val="22"/>
        </w:rPr>
        <w:t>4</w:t>
      </w:r>
      <w:r w:rsidRPr="006C717D" w:rsidR="00AE4E35">
        <w:rPr>
          <w:snapToGrid/>
          <w:kern w:val="0"/>
          <w:szCs w:val="22"/>
        </w:rPr>
        <w:t>°</w:t>
      </w:r>
      <w:r w:rsidRPr="006C717D" w:rsidR="00291606">
        <w:rPr>
          <w:szCs w:val="22"/>
        </w:rPr>
        <w:t xml:space="preserve"> </w:t>
      </w:r>
      <w:r w:rsidR="006A517B">
        <w:rPr>
          <w:szCs w:val="22"/>
        </w:rPr>
        <w:t>0</w:t>
      </w:r>
      <w:r w:rsidR="002964F4">
        <w:rPr>
          <w:szCs w:val="22"/>
        </w:rPr>
        <w:t>9</w:t>
      </w:r>
      <w:r w:rsidRPr="006C717D" w:rsidR="00AE4E35">
        <w:rPr>
          <w:snapToGrid/>
          <w:kern w:val="0"/>
          <w:szCs w:val="22"/>
        </w:rPr>
        <w:t>'</w:t>
      </w:r>
      <w:r w:rsidRPr="006C717D" w:rsidR="00291606">
        <w:rPr>
          <w:szCs w:val="22"/>
        </w:rPr>
        <w:t xml:space="preserve"> </w:t>
      </w:r>
      <w:r w:rsidR="002964F4">
        <w:rPr>
          <w:szCs w:val="22"/>
        </w:rPr>
        <w:t>15</w:t>
      </w:r>
      <w:r w:rsidR="006A517B">
        <w:rPr>
          <w:szCs w:val="22"/>
        </w:rPr>
        <w:t>.</w:t>
      </w:r>
      <w:r w:rsidR="002964F4">
        <w:rPr>
          <w:szCs w:val="22"/>
        </w:rPr>
        <w:t>0</w:t>
      </w:r>
      <w:r w:rsidRPr="006C717D" w:rsidR="00AE4E35">
        <w:rPr>
          <w:snapToGrid/>
          <w:kern w:val="0"/>
          <w:szCs w:val="22"/>
        </w:rPr>
        <w:t>"</w:t>
      </w:r>
      <w:r w:rsidRPr="006C717D" w:rsidR="00291606">
        <w:rPr>
          <w:szCs w:val="22"/>
        </w:rPr>
        <w:t xml:space="preserve"> N and </w:t>
      </w:r>
      <w:r w:rsidR="002964F4">
        <w:rPr>
          <w:szCs w:val="22"/>
        </w:rPr>
        <w:t>70</w:t>
      </w:r>
      <w:r w:rsidRPr="006C717D" w:rsidR="00AE4E35">
        <w:rPr>
          <w:snapToGrid/>
          <w:kern w:val="0"/>
          <w:szCs w:val="22"/>
        </w:rPr>
        <w:t>°</w:t>
      </w:r>
      <w:r w:rsidRPr="006C717D" w:rsidR="00291606">
        <w:rPr>
          <w:szCs w:val="22"/>
        </w:rPr>
        <w:t xml:space="preserve"> </w:t>
      </w:r>
      <w:r w:rsidR="002964F4">
        <w:rPr>
          <w:szCs w:val="22"/>
        </w:rPr>
        <w:t>00</w:t>
      </w:r>
      <w:r w:rsidRPr="006C717D" w:rsidR="00AE4E35">
        <w:rPr>
          <w:snapToGrid/>
          <w:kern w:val="0"/>
          <w:szCs w:val="22"/>
        </w:rPr>
        <w:t>'</w:t>
      </w:r>
      <w:r w:rsidRPr="006C717D" w:rsidR="00AE4E35">
        <w:rPr>
          <w:szCs w:val="22"/>
        </w:rPr>
        <w:t xml:space="preserve"> </w:t>
      </w:r>
      <w:r w:rsidR="002964F4">
        <w:rPr>
          <w:szCs w:val="22"/>
        </w:rPr>
        <w:t>35</w:t>
      </w:r>
      <w:r w:rsidRPr="006C717D" w:rsidR="00AE4E35">
        <w:rPr>
          <w:snapToGrid/>
          <w:kern w:val="0"/>
          <w:szCs w:val="22"/>
        </w:rPr>
        <w:t>"</w:t>
      </w:r>
      <w:r w:rsidRPr="006C717D" w:rsidR="00291606">
        <w:rPr>
          <w:szCs w:val="22"/>
        </w:rPr>
        <w:t xml:space="preserve"> W.</w:t>
      </w:r>
      <w:r>
        <w:rPr>
          <w:rStyle w:val="FootnoteReference"/>
          <w:szCs w:val="22"/>
        </w:rPr>
        <w:footnoteReference w:id="9"/>
      </w:r>
      <w:r w:rsidRPr="006C717D">
        <w:rPr>
          <w:szCs w:val="22"/>
        </w:rPr>
        <w:t xml:space="preserve">  </w:t>
      </w:r>
      <w:r w:rsidR="00C53F5E">
        <w:t xml:space="preserve">Although the Petitioner’s proposal would result in a loss of PBS service for a limited number of viewers, we find that the overall benefits of the proposed channel change outweighs any possible harm to the public interest, given the fact that the loss of service is ultimately </w:t>
      </w:r>
      <w:r w:rsidRPr="009F5EB1" w:rsidR="00C53F5E">
        <w:rPr>
          <w:i/>
          <w:iCs/>
        </w:rPr>
        <w:t>de minimis</w:t>
      </w:r>
      <w:r w:rsidRPr="009F5EB1" w:rsidR="00C53F5E">
        <w:t xml:space="preserve"> when taking into account the ability of viewers to access </w:t>
      </w:r>
      <w:r w:rsidR="00C53F5E">
        <w:t>PBS</w:t>
      </w:r>
      <w:r w:rsidRPr="009F5EB1" w:rsidR="00C53F5E">
        <w:t xml:space="preserve"> and other major network and educational programming</w:t>
      </w:r>
      <w:r w:rsidR="00C53F5E">
        <w:t xml:space="preserve"> from other stations.  In total, </w:t>
      </w:r>
      <w:r w:rsidR="00273B1E">
        <w:rPr>
          <w:szCs w:val="22"/>
        </w:rPr>
        <w:t>1</w:t>
      </w:r>
      <w:r w:rsidR="00F55C21">
        <w:rPr>
          <w:szCs w:val="22"/>
        </w:rPr>
        <w:t>44</w:t>
      </w:r>
      <w:r w:rsidR="00273B1E">
        <w:rPr>
          <w:szCs w:val="22"/>
        </w:rPr>
        <w:t xml:space="preserve"> persons would lose PBS service, </w:t>
      </w:r>
      <w:r w:rsidR="00C53F5E">
        <w:rPr>
          <w:szCs w:val="22"/>
        </w:rPr>
        <w:t xml:space="preserve">which </w:t>
      </w:r>
      <w:r w:rsidR="00273B1E">
        <w:rPr>
          <w:szCs w:val="22"/>
        </w:rPr>
        <w:t xml:space="preserve">in the past we have found this number to be </w:t>
      </w:r>
      <w:r w:rsidRPr="005A75A1" w:rsidR="00273B1E">
        <w:rPr>
          <w:i/>
          <w:iCs/>
          <w:szCs w:val="22"/>
        </w:rPr>
        <w:t>de minimis</w:t>
      </w:r>
      <w:r w:rsidR="00273B1E">
        <w:rPr>
          <w:szCs w:val="22"/>
        </w:rPr>
        <w:t>.</w:t>
      </w:r>
      <w:r>
        <w:rPr>
          <w:rStyle w:val="FootnoteReference"/>
          <w:szCs w:val="22"/>
        </w:rPr>
        <w:footnoteReference w:id="10"/>
      </w:r>
      <w:r w:rsidR="00273B1E">
        <w:rPr>
          <w:szCs w:val="22"/>
        </w:rPr>
        <w:t xml:space="preserve">  </w:t>
      </w:r>
      <w:r w:rsidRPr="006C717D">
        <w:rPr>
          <w:szCs w:val="22"/>
        </w:rPr>
        <w:t>In addition, we find that this channel change meets the technical requirements set forth in sections 73.616 and 73.623 of the rules.</w:t>
      </w:r>
      <w:r>
        <w:rPr>
          <w:szCs w:val="22"/>
          <w:vertAlign w:val="superscript"/>
        </w:rPr>
        <w:footnoteReference w:id="11"/>
      </w:r>
      <w:r w:rsidR="002B5E5C">
        <w:rPr>
          <w:szCs w:val="22"/>
        </w:rPr>
        <w:t xml:space="preserve">  </w:t>
      </w:r>
      <w:r w:rsidRPr="002B5E5C" w:rsidR="002B5E5C">
        <w:rPr>
          <w:szCs w:val="22"/>
        </w:rPr>
        <w:t xml:space="preserve">Thus, we </w:t>
      </w:r>
      <w:r w:rsidRPr="002B5E5C">
        <w:rPr>
          <w:szCs w:val="22"/>
        </w:rPr>
        <w:t xml:space="preserve">propose to substitute channel </w:t>
      </w:r>
      <w:r w:rsidRPr="002B5E5C" w:rsidR="00CE1D29">
        <w:rPr>
          <w:szCs w:val="22"/>
        </w:rPr>
        <w:t>*20</w:t>
      </w:r>
      <w:r w:rsidRPr="002B5E5C">
        <w:rPr>
          <w:szCs w:val="22"/>
        </w:rPr>
        <w:t xml:space="preserve"> for channel </w:t>
      </w:r>
      <w:r w:rsidRPr="002B5E5C" w:rsidR="00CE1D29">
        <w:rPr>
          <w:szCs w:val="22"/>
        </w:rPr>
        <w:t>*10</w:t>
      </w:r>
      <w:r w:rsidRPr="002B5E5C">
        <w:rPr>
          <w:szCs w:val="22"/>
        </w:rPr>
        <w:t xml:space="preserve"> for </w:t>
      </w:r>
      <w:r w:rsidRPr="002B5E5C" w:rsidR="00CE1D29">
        <w:rPr>
          <w:szCs w:val="22"/>
        </w:rPr>
        <w:t>WCBB</w:t>
      </w:r>
      <w:r w:rsidRPr="002B5E5C">
        <w:rPr>
          <w:szCs w:val="22"/>
        </w:rPr>
        <w:t xml:space="preserve"> with the following specifications:</w:t>
      </w:r>
    </w:p>
    <w:p w:rsidR="002C41C4" w:rsidRPr="006C717D" w:rsidP="005C521E" w14:paraId="29F7F57E" w14:textId="7778B95D">
      <w:pPr>
        <w:pStyle w:val="ParaNum"/>
        <w:numPr>
          <w:ilvl w:val="0"/>
          <w:numId w:val="0"/>
        </w:numPr>
        <w:ind w:firstLine="720"/>
        <w:rPr>
          <w:szCs w:val="22"/>
        </w:rPr>
      </w:pPr>
      <w:r w:rsidRPr="006C717D">
        <w:rPr>
          <w:szCs w:val="22"/>
          <w:u w:val="single"/>
        </w:rPr>
        <w:t>City and State</w:t>
      </w:r>
      <w:r w:rsidRPr="006C717D">
        <w:rPr>
          <w:szCs w:val="22"/>
        </w:rPr>
        <w:tab/>
      </w:r>
      <w:r w:rsidRPr="006C717D">
        <w:rPr>
          <w:szCs w:val="22"/>
        </w:rPr>
        <w:tab/>
      </w:r>
      <w:r w:rsidRPr="006C717D">
        <w:rPr>
          <w:szCs w:val="22"/>
        </w:rPr>
        <w:tab/>
      </w:r>
      <w:r w:rsidRPr="006C717D">
        <w:rPr>
          <w:szCs w:val="22"/>
          <w:u w:val="single"/>
        </w:rPr>
        <w:t xml:space="preserve"> Channel</w:t>
      </w:r>
      <w:r w:rsidRPr="006C717D">
        <w:rPr>
          <w:szCs w:val="22"/>
        </w:rPr>
        <w:tab/>
      </w:r>
      <w:r w:rsidRPr="006C717D">
        <w:rPr>
          <w:szCs w:val="22"/>
          <w:u w:val="single"/>
        </w:rPr>
        <w:t xml:space="preserve"> Power (kW)</w:t>
      </w:r>
      <w:r w:rsidRPr="006C717D">
        <w:rPr>
          <w:szCs w:val="22"/>
        </w:rPr>
        <w:tab/>
      </w:r>
      <w:r w:rsidRPr="006C717D">
        <w:rPr>
          <w:szCs w:val="22"/>
          <w:u w:val="single"/>
        </w:rPr>
        <w:t>Antenna HAAT (m)</w:t>
      </w:r>
    </w:p>
    <w:p w:rsidR="002C41C4" w:rsidRPr="006C717D" w:rsidP="005C521E" w14:paraId="2891AC48" w14:textId="6F8CCB17">
      <w:pPr>
        <w:pStyle w:val="ParaNum"/>
        <w:numPr>
          <w:ilvl w:val="0"/>
          <w:numId w:val="0"/>
        </w:numPr>
        <w:ind w:firstLine="720"/>
        <w:rPr>
          <w:szCs w:val="22"/>
        </w:rPr>
      </w:pPr>
      <w:r>
        <w:rPr>
          <w:szCs w:val="22"/>
        </w:rPr>
        <w:t>Augusta</w:t>
      </w:r>
      <w:r w:rsidRPr="006C717D" w:rsidR="00120CAA">
        <w:rPr>
          <w:szCs w:val="22"/>
        </w:rPr>
        <w:t xml:space="preserve">, </w:t>
      </w:r>
      <w:r>
        <w:rPr>
          <w:szCs w:val="22"/>
        </w:rPr>
        <w:t>Maine</w:t>
      </w:r>
      <w:r w:rsidRPr="006C717D" w:rsidR="002C2AF9">
        <w:rPr>
          <w:szCs w:val="22"/>
        </w:rPr>
        <w:tab/>
      </w:r>
      <w:r w:rsidRPr="006C717D" w:rsidR="002C2AF9">
        <w:rPr>
          <w:szCs w:val="22"/>
        </w:rPr>
        <w:tab/>
      </w:r>
      <w:r w:rsidRPr="006C717D" w:rsidR="000229FE">
        <w:rPr>
          <w:szCs w:val="22"/>
        </w:rPr>
        <w:t xml:space="preserve">    </w:t>
      </w:r>
      <w:r w:rsidR="00D451F4">
        <w:rPr>
          <w:szCs w:val="22"/>
        </w:rPr>
        <w:tab/>
      </w:r>
      <w:r w:rsidRPr="006C717D" w:rsidR="000229FE">
        <w:rPr>
          <w:szCs w:val="22"/>
        </w:rPr>
        <w:t xml:space="preserve"> </w:t>
      </w:r>
      <w:r>
        <w:rPr>
          <w:szCs w:val="22"/>
        </w:rPr>
        <w:t>*20</w:t>
      </w:r>
      <w:r w:rsidRPr="006C717D" w:rsidR="002C2AF9">
        <w:rPr>
          <w:szCs w:val="22"/>
        </w:rPr>
        <w:tab/>
      </w:r>
      <w:r w:rsidRPr="006C717D" w:rsidR="000229FE">
        <w:rPr>
          <w:szCs w:val="22"/>
        </w:rPr>
        <w:t xml:space="preserve">        </w:t>
      </w:r>
      <w:r w:rsidRPr="006C717D" w:rsidR="002C3F2A">
        <w:rPr>
          <w:szCs w:val="22"/>
        </w:rPr>
        <w:tab/>
        <w:t xml:space="preserve">      </w:t>
      </w:r>
      <w:r w:rsidR="002964F4">
        <w:rPr>
          <w:szCs w:val="22"/>
        </w:rPr>
        <w:t>1000</w:t>
      </w:r>
      <w:r w:rsidRPr="006C717D" w:rsidR="002C2AF9">
        <w:rPr>
          <w:szCs w:val="22"/>
        </w:rPr>
        <w:tab/>
      </w:r>
      <w:r w:rsidRPr="006C717D" w:rsidR="002C2AF9">
        <w:rPr>
          <w:szCs w:val="22"/>
        </w:rPr>
        <w:tab/>
      </w:r>
      <w:r w:rsidR="002964F4">
        <w:rPr>
          <w:szCs w:val="22"/>
        </w:rPr>
        <w:t>304</w:t>
      </w:r>
    </w:p>
    <w:p w:rsidR="002C41C4" w:rsidRPr="006C717D" w:rsidP="005C521E" w14:paraId="778B00E6" w14:textId="6757F4EC">
      <w:pPr>
        <w:pStyle w:val="ParaNum"/>
        <w:rPr>
          <w:szCs w:val="22"/>
        </w:rPr>
      </w:pPr>
      <w:r w:rsidRPr="006C717D">
        <w:rPr>
          <w:szCs w:val="22"/>
        </w:rPr>
        <w:t>Accordingly, we seek comment on the proposed amendment of the Table of Allotments, section 73.622(</w:t>
      </w:r>
      <w:r w:rsidRPr="006C717D" w:rsidR="00C05C39">
        <w:rPr>
          <w:szCs w:val="22"/>
        </w:rPr>
        <w:t>j</w:t>
      </w:r>
      <w:r w:rsidRPr="006C717D">
        <w:rPr>
          <w:szCs w:val="22"/>
        </w:rPr>
        <w:t>) of the rules,</w:t>
      </w:r>
      <w:r>
        <w:rPr>
          <w:rStyle w:val="FootnoteReference"/>
          <w:spacing w:val="-3"/>
          <w:sz w:val="22"/>
          <w:szCs w:val="22"/>
        </w:rPr>
        <w:footnoteReference w:id="12"/>
      </w:r>
      <w:r w:rsidRPr="006C717D">
        <w:rPr>
          <w:szCs w:val="22"/>
        </w:rPr>
        <w:t xml:space="preserve"> for the community listed below, to read as follows:</w:t>
      </w:r>
    </w:p>
    <w:p w:rsidR="002C41C4" w:rsidRPr="006C717D" w:rsidP="005C521E" w14:paraId="2AAE60FB" w14:textId="77777777">
      <w:pPr>
        <w:pStyle w:val="AppNum"/>
        <w:numPr>
          <w:ilvl w:val="0"/>
          <w:numId w:val="0"/>
        </w:numPr>
        <w:spacing w:after="120"/>
        <w:ind w:left="4320"/>
        <w:rPr>
          <w:rFonts w:ascii="Times New Roman" w:hAnsi="Times New Roman"/>
          <w:spacing w:val="-3"/>
          <w:sz w:val="22"/>
          <w:szCs w:val="22"/>
          <w:u w:val="single"/>
        </w:rPr>
      </w:pPr>
      <w:bookmarkStart w:id="1" w:name="_Hlk62218186"/>
      <w:r w:rsidRPr="006C717D">
        <w:rPr>
          <w:rFonts w:ascii="Times New Roman" w:hAnsi="Times New Roman"/>
          <w:spacing w:val="-3"/>
          <w:sz w:val="22"/>
          <w:szCs w:val="22"/>
          <w:u w:val="single"/>
        </w:rPr>
        <w:t>Channel No.</w:t>
      </w:r>
    </w:p>
    <w:p w:rsidR="002C41C4" w:rsidRPr="006C717D" w:rsidP="005C521E" w14:paraId="7ECB4689" w14:textId="55D214C9">
      <w:pPr>
        <w:pStyle w:val="AppNum"/>
        <w:numPr>
          <w:ilvl w:val="0"/>
          <w:numId w:val="0"/>
        </w:numPr>
        <w:spacing w:after="240"/>
        <w:ind w:firstLine="720"/>
        <w:rPr>
          <w:rFonts w:ascii="Times New Roman" w:hAnsi="Times New Roman"/>
          <w:spacing w:val="-3"/>
          <w:sz w:val="22"/>
          <w:szCs w:val="22"/>
        </w:rPr>
      </w:pPr>
      <w:r w:rsidRPr="006C717D">
        <w:rPr>
          <w:rFonts w:ascii="Times New Roman" w:hAnsi="Times New Roman"/>
          <w:spacing w:val="-3"/>
          <w:sz w:val="22"/>
          <w:szCs w:val="22"/>
          <w:u w:val="single"/>
        </w:rPr>
        <w:t>City and State</w:t>
      </w:r>
      <w:r w:rsidRPr="006C717D">
        <w:rPr>
          <w:rFonts w:ascii="Times New Roman" w:hAnsi="Times New Roman"/>
          <w:spacing w:val="-3"/>
          <w:sz w:val="22"/>
          <w:szCs w:val="22"/>
        </w:rPr>
        <w:tab/>
      </w:r>
      <w:r w:rsidRPr="006C717D">
        <w:rPr>
          <w:rFonts w:ascii="Times New Roman" w:hAnsi="Times New Roman"/>
          <w:spacing w:val="-3"/>
          <w:sz w:val="22"/>
          <w:szCs w:val="22"/>
        </w:rPr>
        <w:tab/>
      </w:r>
      <w:r w:rsidRPr="006C717D">
        <w:rPr>
          <w:rFonts w:ascii="Times New Roman" w:hAnsi="Times New Roman"/>
          <w:spacing w:val="-3"/>
          <w:sz w:val="22"/>
          <w:szCs w:val="22"/>
        </w:rPr>
        <w:tab/>
      </w:r>
      <w:r w:rsidRPr="006C717D">
        <w:rPr>
          <w:rFonts w:ascii="Times New Roman" w:hAnsi="Times New Roman"/>
          <w:spacing w:val="-3"/>
          <w:sz w:val="22"/>
          <w:szCs w:val="22"/>
          <w:u w:val="single"/>
        </w:rPr>
        <w:t>Present</w:t>
      </w:r>
      <w:r w:rsidRPr="006C717D">
        <w:rPr>
          <w:rFonts w:ascii="Times New Roman" w:hAnsi="Times New Roman"/>
          <w:spacing w:val="-3"/>
          <w:sz w:val="22"/>
          <w:szCs w:val="22"/>
        </w:rPr>
        <w:tab/>
      </w:r>
      <w:r w:rsidRPr="006C717D">
        <w:rPr>
          <w:rFonts w:ascii="Times New Roman" w:hAnsi="Times New Roman"/>
          <w:spacing w:val="-3"/>
          <w:sz w:val="22"/>
          <w:szCs w:val="22"/>
        </w:rPr>
        <w:tab/>
      </w:r>
      <w:r w:rsidRPr="006C717D" w:rsidR="004F1FE0">
        <w:rPr>
          <w:rFonts w:ascii="Times New Roman" w:hAnsi="Times New Roman"/>
          <w:spacing w:val="-3"/>
          <w:sz w:val="22"/>
          <w:szCs w:val="22"/>
        </w:rPr>
        <w:tab/>
      </w:r>
      <w:r w:rsidRPr="006C717D" w:rsidR="008E0993">
        <w:rPr>
          <w:rFonts w:ascii="Times New Roman" w:hAnsi="Times New Roman"/>
          <w:spacing w:val="-3"/>
          <w:sz w:val="22"/>
          <w:szCs w:val="22"/>
        </w:rPr>
        <w:tab/>
      </w:r>
      <w:r w:rsidRPr="006C717D">
        <w:rPr>
          <w:rFonts w:ascii="Times New Roman" w:hAnsi="Times New Roman"/>
          <w:spacing w:val="-3"/>
          <w:sz w:val="22"/>
          <w:szCs w:val="22"/>
          <w:u w:val="single"/>
        </w:rPr>
        <w:t>Proposed</w:t>
      </w:r>
      <w:r w:rsidRPr="006C717D">
        <w:rPr>
          <w:rFonts w:ascii="Times New Roman" w:hAnsi="Times New Roman"/>
          <w:spacing w:val="-3"/>
          <w:sz w:val="22"/>
          <w:szCs w:val="22"/>
        </w:rPr>
        <w:tab/>
      </w:r>
    </w:p>
    <w:p w:rsidR="002C41C4" w:rsidRPr="006C717D" w:rsidP="005C521E" w14:paraId="575DEF4D" w14:textId="6DB3EAC2">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Augusta</w:t>
      </w:r>
      <w:r w:rsidRPr="006C717D" w:rsidR="00120CAA">
        <w:rPr>
          <w:rFonts w:ascii="Times New Roman" w:hAnsi="Times New Roman"/>
          <w:spacing w:val="-3"/>
          <w:sz w:val="22"/>
          <w:szCs w:val="22"/>
        </w:rPr>
        <w:t xml:space="preserve">, </w:t>
      </w:r>
      <w:r>
        <w:rPr>
          <w:rFonts w:ascii="Times New Roman" w:hAnsi="Times New Roman"/>
          <w:spacing w:val="-3"/>
          <w:sz w:val="22"/>
          <w:szCs w:val="22"/>
        </w:rPr>
        <w:t>Maine</w:t>
      </w:r>
      <w:r w:rsidRPr="006C717D" w:rsidR="002C2AF9">
        <w:rPr>
          <w:rFonts w:ascii="Times New Roman" w:hAnsi="Times New Roman"/>
          <w:spacing w:val="-3"/>
          <w:sz w:val="22"/>
          <w:szCs w:val="22"/>
        </w:rPr>
        <w:tab/>
      </w:r>
      <w:r w:rsidRPr="006C717D" w:rsidR="002C2AF9">
        <w:rPr>
          <w:rFonts w:ascii="Times New Roman" w:hAnsi="Times New Roman"/>
          <w:spacing w:val="-3"/>
          <w:sz w:val="22"/>
          <w:szCs w:val="22"/>
        </w:rPr>
        <w:tab/>
      </w:r>
      <w:r w:rsidR="00340F54">
        <w:rPr>
          <w:rFonts w:ascii="Times New Roman" w:hAnsi="Times New Roman"/>
          <w:spacing w:val="-3"/>
          <w:sz w:val="22"/>
          <w:szCs w:val="22"/>
        </w:rPr>
        <w:t xml:space="preserve"> </w:t>
      </w:r>
      <w:r w:rsidR="00653324">
        <w:rPr>
          <w:rFonts w:ascii="Times New Roman" w:hAnsi="Times New Roman"/>
          <w:spacing w:val="-3"/>
          <w:sz w:val="22"/>
          <w:szCs w:val="22"/>
        </w:rPr>
        <w:tab/>
      </w:r>
      <w:r w:rsidR="00340F54">
        <w:rPr>
          <w:rFonts w:ascii="Times New Roman" w:hAnsi="Times New Roman"/>
          <w:spacing w:val="-3"/>
          <w:sz w:val="22"/>
          <w:szCs w:val="22"/>
        </w:rPr>
        <w:t xml:space="preserve">  </w:t>
      </w:r>
      <w:r w:rsidR="00653324">
        <w:rPr>
          <w:rFonts w:ascii="Times New Roman" w:hAnsi="Times New Roman"/>
          <w:spacing w:val="-3"/>
          <w:sz w:val="22"/>
          <w:szCs w:val="22"/>
        </w:rPr>
        <w:t>*10</w:t>
      </w:r>
      <w:r w:rsidRPr="006C717D" w:rsidR="002C2AF9">
        <w:rPr>
          <w:rFonts w:ascii="Times New Roman" w:hAnsi="Times New Roman"/>
          <w:spacing w:val="-3"/>
          <w:sz w:val="22"/>
          <w:szCs w:val="22"/>
        </w:rPr>
        <w:tab/>
      </w:r>
      <w:r w:rsidR="00B27404">
        <w:rPr>
          <w:rFonts w:ascii="Times New Roman" w:hAnsi="Times New Roman"/>
          <w:spacing w:val="-3"/>
          <w:sz w:val="22"/>
          <w:szCs w:val="22"/>
        </w:rPr>
        <w:tab/>
      </w:r>
      <w:r w:rsidR="00B27404">
        <w:rPr>
          <w:rFonts w:ascii="Times New Roman" w:hAnsi="Times New Roman"/>
          <w:spacing w:val="-3"/>
          <w:sz w:val="22"/>
          <w:szCs w:val="22"/>
        </w:rPr>
        <w:tab/>
      </w:r>
      <w:r w:rsidR="00B27404">
        <w:rPr>
          <w:rFonts w:ascii="Times New Roman" w:hAnsi="Times New Roman"/>
          <w:spacing w:val="-3"/>
          <w:sz w:val="22"/>
          <w:szCs w:val="22"/>
        </w:rPr>
        <w:tab/>
      </w:r>
      <w:r w:rsidR="00340F54">
        <w:rPr>
          <w:rFonts w:ascii="Times New Roman" w:hAnsi="Times New Roman"/>
          <w:spacing w:val="-3"/>
          <w:sz w:val="22"/>
          <w:szCs w:val="22"/>
        </w:rPr>
        <w:t xml:space="preserve">   </w:t>
      </w:r>
      <w:r w:rsidR="00653324">
        <w:rPr>
          <w:rFonts w:ascii="Times New Roman" w:hAnsi="Times New Roman"/>
          <w:spacing w:val="-3"/>
          <w:sz w:val="22"/>
          <w:szCs w:val="22"/>
        </w:rPr>
        <w:t>*20</w:t>
      </w:r>
      <w:r w:rsidRPr="006C717D" w:rsidR="00696F39">
        <w:rPr>
          <w:rFonts w:ascii="Times New Roman" w:hAnsi="Times New Roman"/>
          <w:spacing w:val="-3"/>
          <w:sz w:val="22"/>
          <w:szCs w:val="22"/>
        </w:rPr>
        <w:tab/>
      </w:r>
      <w:r w:rsidRPr="006C717D" w:rsidR="00005B26">
        <w:rPr>
          <w:rFonts w:ascii="Times New Roman" w:hAnsi="Times New Roman"/>
          <w:spacing w:val="-3"/>
          <w:sz w:val="22"/>
          <w:szCs w:val="22"/>
        </w:rPr>
        <w:tab/>
      </w:r>
      <w:r w:rsidRPr="006C717D" w:rsidR="00005B26">
        <w:rPr>
          <w:rFonts w:ascii="Times New Roman" w:hAnsi="Times New Roman"/>
          <w:spacing w:val="-3"/>
          <w:sz w:val="22"/>
          <w:szCs w:val="22"/>
        </w:rPr>
        <w:tab/>
      </w:r>
      <w:r w:rsidRPr="006C717D" w:rsidR="004F1FE0">
        <w:rPr>
          <w:rFonts w:ascii="Times New Roman" w:hAnsi="Times New Roman"/>
          <w:spacing w:val="-3"/>
          <w:sz w:val="22"/>
          <w:szCs w:val="22"/>
        </w:rPr>
        <w:t xml:space="preserve">    </w:t>
      </w:r>
      <w:r w:rsidRPr="006C717D" w:rsidR="000229FE">
        <w:rPr>
          <w:rFonts w:ascii="Times New Roman" w:hAnsi="Times New Roman"/>
          <w:spacing w:val="-3"/>
          <w:sz w:val="22"/>
          <w:szCs w:val="22"/>
        </w:rPr>
        <w:t xml:space="preserve">  </w:t>
      </w:r>
      <w:r w:rsidRPr="006C717D" w:rsidR="0026261B">
        <w:rPr>
          <w:rFonts w:ascii="Times New Roman" w:hAnsi="Times New Roman"/>
          <w:spacing w:val="-3"/>
          <w:sz w:val="22"/>
          <w:szCs w:val="22"/>
        </w:rPr>
        <w:t xml:space="preserve">         </w:t>
      </w:r>
      <w:r w:rsidRPr="006C717D" w:rsidR="000F4D49">
        <w:rPr>
          <w:rFonts w:ascii="Times New Roman" w:hAnsi="Times New Roman"/>
          <w:spacing w:val="-3"/>
          <w:sz w:val="22"/>
          <w:szCs w:val="22"/>
        </w:rPr>
        <w:t xml:space="preserve">  </w:t>
      </w:r>
    </w:p>
    <w:bookmarkEnd w:id="1"/>
    <w:p w:rsidR="002C41C4" w:rsidRPr="00D15A12" w:rsidP="005C521E" w14:paraId="49B24ECA" w14:textId="77777777">
      <w:pPr>
        <w:pStyle w:val="Heading1"/>
        <w:rPr>
          <w:rFonts w:ascii="Times New Roman" w:hAnsi="Times New Roman"/>
          <w:szCs w:val="22"/>
        </w:rPr>
      </w:pPr>
      <w:r w:rsidRPr="00D15A12">
        <w:rPr>
          <w:rFonts w:ascii="Times New Roman" w:hAnsi="Times New Roman"/>
          <w:szCs w:val="22"/>
        </w:rPr>
        <w:t>Procedural matters</w:t>
      </w:r>
    </w:p>
    <w:p w:rsidR="002C41C4" w:rsidRPr="006C717D" w:rsidP="005C521E" w14:paraId="588571D9" w14:textId="77777777">
      <w:pPr>
        <w:pStyle w:val="ParaNum"/>
        <w:rPr>
          <w:szCs w:val="22"/>
        </w:rPr>
      </w:pPr>
      <w:r w:rsidRPr="006C717D">
        <w:rPr>
          <w:i/>
          <w:iCs/>
          <w:szCs w:val="22"/>
        </w:rPr>
        <w:t>Showings Required</w:t>
      </w:r>
      <w:r w:rsidRPr="006C717D">
        <w:rPr>
          <w:szCs w:val="22"/>
        </w:rPr>
        <w:t>.  Comments are invited on the proposal discussed in this Notice of Proposed Rulemaking (</w:t>
      </w:r>
      <w:r w:rsidRPr="006C717D">
        <w:rPr>
          <w:i/>
          <w:iCs/>
          <w:szCs w:val="22"/>
        </w:rPr>
        <w:t>NPRM</w:t>
      </w:r>
      <w:r w:rsidRPr="006C717D">
        <w:rPr>
          <w:szCs w:val="22"/>
        </w:rPr>
        <w:t>).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and, if authorized, to build a station promptly.</w:t>
      </w:r>
      <w:r>
        <w:rPr>
          <w:rStyle w:val="FootnoteReference"/>
          <w:sz w:val="22"/>
          <w:szCs w:val="22"/>
        </w:rPr>
        <w:footnoteReference w:id="13"/>
      </w:r>
      <w:r w:rsidRPr="006C717D">
        <w:rPr>
          <w:szCs w:val="22"/>
        </w:rPr>
        <w:t xml:space="preserve">  Failure to file may lead to denial of the request.  Any requests by a proponent for withdrawal or dismissal of an allotment request must be filed with the Commission in accordance with section 1.420(j) of the rules.</w:t>
      </w:r>
      <w:r>
        <w:rPr>
          <w:rStyle w:val="FootnoteReference"/>
          <w:sz w:val="22"/>
          <w:szCs w:val="22"/>
        </w:rPr>
        <w:footnoteReference w:id="14"/>
      </w:r>
    </w:p>
    <w:p w:rsidR="002C41C4" w:rsidRPr="006C717D" w:rsidP="005C521E" w14:paraId="126D8334" w14:textId="77777777">
      <w:pPr>
        <w:pStyle w:val="ParaNum"/>
        <w:rPr>
          <w:szCs w:val="22"/>
        </w:rPr>
      </w:pPr>
      <w:r w:rsidRPr="006C717D">
        <w:rPr>
          <w:i/>
          <w:iCs/>
          <w:szCs w:val="22"/>
        </w:rPr>
        <w:t>Cut-off Protection</w:t>
      </w:r>
      <w:r w:rsidRPr="006C717D">
        <w:rPr>
          <w:szCs w:val="22"/>
        </w:rPr>
        <w:t>.  The following procedures will govern the consideration of the filings in this proceeding:</w:t>
      </w:r>
    </w:p>
    <w:p w:rsidR="002C41C4" w:rsidP="00536FA0" w14:paraId="0E4F0E8D" w14:textId="77777777">
      <w:pPr>
        <w:widowControl/>
        <w:numPr>
          <w:ilvl w:val="0"/>
          <w:numId w:val="7"/>
        </w:numPr>
        <w:spacing w:after="120"/>
      </w:pPr>
      <w:r w:rsidRPr="006C717D">
        <w:rPr>
          <w:szCs w:val="22"/>
        </w:rPr>
        <w:t>Counterproposals advanced in this proceeding itself will be considered, if a</w:t>
      </w:r>
      <w:r>
        <w:t>dvanced in initial comments, so that parties may comment on them in reply comments.  They will not be considered if advanced in reply comments.</w:t>
      </w:r>
      <w:r>
        <w:rPr>
          <w:rStyle w:val="FootnoteReference"/>
        </w:rPr>
        <w:footnoteReference w:id="15"/>
      </w:r>
      <w:r>
        <w:t xml:space="preserve">  </w:t>
      </w:r>
    </w:p>
    <w:p w:rsidR="002C41C4" w:rsidP="005C521E" w14:paraId="09EDF498" w14:textId="77777777">
      <w:pPr>
        <w:widowControl/>
        <w:numPr>
          <w:ilvl w:val="0"/>
          <w:numId w:val="7"/>
        </w:numPr>
        <w:spacing w:after="120"/>
      </w:pPr>
      <w:r>
        <w:t>The filing of a counterproposal may lead the Commission to allot a different channel than was requested in the Petition.</w:t>
      </w:r>
      <w:r>
        <w:rPr>
          <w:rStyle w:val="FootnoteReference"/>
        </w:rPr>
        <w:footnoteReference w:id="16"/>
      </w:r>
    </w:p>
    <w:p w:rsidR="002C41C4" w:rsidP="005C521E" w14:paraId="08CD15A2" w14:textId="77777777">
      <w:pPr>
        <w:pStyle w:val="ParaNum"/>
      </w:pPr>
      <w:r>
        <w:rPr>
          <w:i/>
          <w:iCs/>
        </w:rPr>
        <w:t>Comments and Reply Comments</w:t>
      </w:r>
      <w:r>
        <w:t xml:space="preserve">.  Pursuant to </w:t>
      </w:r>
      <w:r>
        <w:rPr>
          <w:szCs w:val="22"/>
        </w:rPr>
        <w:t>sections 1.415, 1.419, and 1.420 of the rules,</w:t>
      </w:r>
      <w:r>
        <w:rPr>
          <w:rStyle w:val="FootnoteReference"/>
          <w:szCs w:val="22"/>
        </w:rPr>
        <w:footnoteReference w:id="17"/>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18"/>
      </w:r>
    </w:p>
    <w:p w:rsidR="002C41C4" w:rsidP="005C521E" w14:paraId="3EC393FC"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2C41C4" w:rsidP="005C521E" w14:paraId="701103DC"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2C41C4" w:rsidP="005C521E" w14:paraId="57CDFC8A"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2C41C4" w:rsidP="005C521E" w14:paraId="145E3073" w14:textId="77777777">
      <w:pPr>
        <w:numPr>
          <w:ilvl w:val="0"/>
          <w:numId w:val="10"/>
        </w:numPr>
        <w:spacing w:after="120"/>
        <w:rPr>
          <w:szCs w:val="22"/>
        </w:rPr>
      </w:pPr>
      <w:r>
        <w:rPr>
          <w:szCs w:val="22"/>
        </w:rPr>
        <w:t>U.S. Postal Service first-class, Express, and Priority mail must be addressed to 45 L Street, NE, Washington D.C. 20554.</w:t>
      </w:r>
    </w:p>
    <w:p w:rsidR="002C41C4" w:rsidP="005C521E" w14:paraId="7C7557FB"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9"/>
      </w:r>
    </w:p>
    <w:p w:rsidR="002C41C4" w:rsidP="005C521E" w14:paraId="3CBD3ED5"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2C41C4" w:rsidP="00536FA0" w14:paraId="43203497" w14:textId="77777777">
      <w:pPr>
        <w:pStyle w:val="ParaNum"/>
        <w:widowControl/>
      </w:pPr>
      <w:r>
        <w:rPr>
          <w:i/>
          <w:iCs/>
        </w:rPr>
        <w:t>Service.</w:t>
      </w:r>
      <w:r>
        <w:t xml:space="preserve">  Pursuant </w:t>
      </w:r>
      <w:r w:rsidR="00336D5F">
        <w:t xml:space="preserve">to </w:t>
      </w:r>
      <w:r>
        <w:t>section 1.420 of the rules,</w:t>
      </w:r>
      <w:r>
        <w:rPr>
          <w:rStyle w:val="FootnoteReference"/>
        </w:rPr>
        <w:footnoteReference w:id="20"/>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w:t>
      </w:r>
      <w:r>
        <w:t>directed.  A certificate of service shall accompany such comments and reply comments.</w:t>
      </w:r>
      <w:r>
        <w:rPr>
          <w:rStyle w:val="FootnoteReference"/>
        </w:rPr>
        <w:footnoteReference w:id="21"/>
      </w:r>
      <w:r>
        <w:t xml:space="preserve">  Additionally, a copy of such comments should be served on counsel for </w:t>
      </w:r>
      <w:r w:rsidR="006D6AC4">
        <w:t>the P</w:t>
      </w:r>
      <w:r>
        <w:t>etitioner, as follows:</w:t>
      </w:r>
    </w:p>
    <w:p w:rsidR="002C41C4" w:rsidP="00536FA0" w14:paraId="458E5C12" w14:textId="2A420578">
      <w:pPr>
        <w:pStyle w:val="ParaNum"/>
        <w:keepNext/>
        <w:keepLines/>
        <w:numPr>
          <w:ilvl w:val="0"/>
          <w:numId w:val="0"/>
        </w:numPr>
        <w:spacing w:after="0"/>
        <w:ind w:left="720"/>
      </w:pPr>
      <w:r>
        <w:t>Derek Teslik</w:t>
      </w:r>
      <w:r w:rsidR="002C2AF9">
        <w:t xml:space="preserve">, Esq. </w:t>
      </w:r>
    </w:p>
    <w:p w:rsidR="002C41C4" w:rsidP="00536FA0" w14:paraId="016F08DE" w14:textId="41D8A323">
      <w:pPr>
        <w:pStyle w:val="ParaNum"/>
        <w:keepNext/>
        <w:keepLines/>
        <w:numPr>
          <w:ilvl w:val="0"/>
          <w:numId w:val="0"/>
        </w:numPr>
        <w:spacing w:after="0"/>
        <w:ind w:left="720"/>
      </w:pPr>
      <w:r>
        <w:t>Gray Miller Persh</w:t>
      </w:r>
      <w:r w:rsidR="00944C0D">
        <w:t xml:space="preserve"> </w:t>
      </w:r>
      <w:r w:rsidR="00120CAA">
        <w:t>LLP</w:t>
      </w:r>
    </w:p>
    <w:p w:rsidR="002C41C4" w:rsidP="00536FA0" w14:paraId="1BB3D676" w14:textId="2EF747B0">
      <w:pPr>
        <w:pStyle w:val="ParaNum"/>
        <w:keepNext/>
        <w:keepLines/>
        <w:numPr>
          <w:ilvl w:val="0"/>
          <w:numId w:val="0"/>
        </w:numPr>
        <w:spacing w:after="0"/>
        <w:ind w:left="720"/>
      </w:pPr>
      <w:r>
        <w:t>2</w:t>
      </w:r>
      <w:r w:rsidR="0053447A">
        <w:t>233 Wisconsin Avenue</w:t>
      </w:r>
      <w:r w:rsidR="00015880">
        <w:t>, NW</w:t>
      </w:r>
    </w:p>
    <w:p w:rsidR="000229FE" w:rsidP="00536FA0" w14:paraId="5D372DFB" w14:textId="31CE6AD9">
      <w:pPr>
        <w:pStyle w:val="ParaNum"/>
        <w:keepNext/>
        <w:keepLines/>
        <w:numPr>
          <w:ilvl w:val="0"/>
          <w:numId w:val="0"/>
        </w:numPr>
        <w:spacing w:after="0"/>
        <w:ind w:firstLine="720"/>
      </w:pPr>
      <w:r>
        <w:t>Washington, D.C.  200</w:t>
      </w:r>
      <w:r w:rsidR="0053447A">
        <w:t>07</w:t>
      </w:r>
    </w:p>
    <w:p w:rsidR="000229FE" w:rsidP="00536FA0" w14:paraId="28EBD59B" w14:textId="77777777">
      <w:pPr>
        <w:pStyle w:val="ParaNum"/>
        <w:keepNext/>
        <w:keepLines/>
        <w:numPr>
          <w:ilvl w:val="0"/>
          <w:numId w:val="0"/>
        </w:numPr>
        <w:spacing w:after="0"/>
        <w:ind w:firstLine="720"/>
      </w:pPr>
    </w:p>
    <w:p w:rsidR="002C41C4" w:rsidP="005C521E" w14:paraId="7A6E6E2D" w14:textId="77777777">
      <w:pPr>
        <w:pStyle w:val="ParaNum"/>
      </w:pPr>
      <w:r>
        <w:rPr>
          <w:i/>
          <w:iCs/>
          <w:szCs w:val="22"/>
        </w:rPr>
        <w:t xml:space="preserve">Ex </w:t>
      </w:r>
      <w:r>
        <w:rPr>
          <w:i/>
          <w:iCs/>
          <w:szCs w:val="22"/>
        </w:rPr>
        <w:t>Parte</w:t>
      </w:r>
      <w:r>
        <w:rPr>
          <w:i/>
          <w:iCs/>
          <w:szCs w:val="22"/>
        </w:rPr>
        <w:t xml:space="preserve"> Notices</w:t>
      </w:r>
      <w:r>
        <w:rPr>
          <w:i/>
          <w:szCs w:val="22"/>
        </w:rPr>
        <w:t>– Restricted</w:t>
      </w:r>
      <w:r>
        <w:rPr>
          <w:szCs w:val="22"/>
        </w:rPr>
        <w:t xml:space="preserve">.  The </w:t>
      </w:r>
      <w:r w:rsidRPr="00A97B35">
        <w:t>proceeding</w:t>
      </w:r>
      <w:r>
        <w:rPr>
          <w:szCs w:val="22"/>
        </w:rPr>
        <w:t xml:space="preserve"> this Notice initiates shall be treated as a “restricted”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22"/>
      </w:r>
      <w:r>
        <w:rPr>
          <w:szCs w:val="22"/>
        </w:rPr>
        <w:t xml:space="preserve">  </w:t>
      </w:r>
      <w:r>
        <w:t xml:space="preserve">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3"/>
      </w:r>
      <w:r>
        <w:t xml:space="preserve">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4"/>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5"/>
      </w:r>
      <w:r>
        <w:t xml:space="preserve">  Any comment that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presentation and shall not be considered in the proceeding. </w:t>
      </w:r>
    </w:p>
    <w:p w:rsidR="002C41C4" w:rsidP="005C521E" w14:paraId="7985B080" w14:textId="77777777">
      <w:pPr>
        <w:pStyle w:val="ParaNum"/>
      </w:pPr>
      <w:r>
        <w:rPr>
          <w:i/>
          <w:iCs/>
        </w:rPr>
        <w:t xml:space="preserve">Availability of Documents.  </w:t>
      </w:r>
      <w:r>
        <w:t xml:space="preserve">Comments, reply comments, and </w:t>
      </w:r>
      <w:r>
        <w:rPr>
          <w:i/>
          <w:iCs/>
        </w:rPr>
        <w:t xml:space="preserve">ex </w:t>
      </w:r>
      <w:r>
        <w:rPr>
          <w:i/>
          <w:iCs/>
        </w:rPr>
        <w:t>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2C41C4" w:rsidP="005C521E" w14:paraId="18D11DF5" w14:textId="77777777">
      <w:pPr>
        <w:pStyle w:val="ParaNum"/>
      </w:pPr>
      <w:r>
        <w:rPr>
          <w:i/>
          <w:iCs/>
        </w:rPr>
        <w:t>Paperwork Reduction and Regulatory Flexibility</w:t>
      </w:r>
      <w:r>
        <w:t>.  The Commission has determined that the relevant provisions of the Regulatory Flexibility Act of 1980, as amended,</w:t>
      </w:r>
      <w:r>
        <w:rPr>
          <w:rStyle w:val="FootnoteReference"/>
        </w:rPr>
        <w:footnoteReference w:id="26"/>
      </w:r>
      <w:r>
        <w:t xml:space="preserve"> do not apply to a rulemaking proceeding to amend the DTV Table of Allotments, section 73.622(</w:t>
      </w:r>
      <w:r>
        <w:t>i</w:t>
      </w:r>
      <w:r>
        <w:t>) of the rules.</w:t>
      </w:r>
      <w:r>
        <w:rPr>
          <w:rStyle w:val="FootnoteReference"/>
        </w:rPr>
        <w:footnoteReference w:id="27"/>
      </w:r>
      <w:r>
        <w:t xml:space="preserve">  This document does not contain proposed information collection requirements subject to the Paperwork Reduction Act of 1995.</w:t>
      </w:r>
      <w:r>
        <w:rPr>
          <w:rStyle w:val="FootnoteReference"/>
        </w:rPr>
        <w:footnoteReference w:id="28"/>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9"/>
      </w:r>
    </w:p>
    <w:p w:rsidR="002C41C4" w:rsidP="005C521E" w14:paraId="2976F26F"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w:t>
      </w:r>
      <w:r>
        <w:rPr>
          <w:szCs w:val="22"/>
        </w:rPr>
        <w:t>tty</w:t>
      </w:r>
      <w:r>
        <w:rPr>
          <w:szCs w:val="22"/>
        </w:rPr>
        <w:t>).</w:t>
      </w:r>
    </w:p>
    <w:p w:rsidR="002C41C4" w:rsidP="005C521E" w14:paraId="533F492A"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2C41C4" w:rsidP="005C521E" w14:paraId="3DE6BCFB" w14:textId="77777777">
      <w:pPr>
        <w:pStyle w:val="Heading1"/>
        <w:keepLines/>
        <w:suppressAutoHyphens w:val="0"/>
      </w:pPr>
      <w:r>
        <w:t>Ordering clauses</w:t>
      </w:r>
    </w:p>
    <w:p w:rsidR="002C41C4" w:rsidP="005C521E" w14:paraId="57ECB22A" w14:textId="453318A5">
      <w:pPr>
        <w:pStyle w:val="ParaNum"/>
        <w:keepNext/>
        <w:keepLines/>
        <w:rPr>
          <w:szCs w:val="22"/>
        </w:rPr>
      </w:pPr>
      <w:r>
        <w:rPr>
          <w:b/>
          <w:bCs/>
        </w:rPr>
        <w:t>IT IS ORDERED</w:t>
      </w:r>
      <w:r>
        <w:t xml:space="preserve"> that, pursuant to authority found in 47 U.S.C. sections 4(</w:t>
      </w:r>
      <w:r>
        <w:t>i</w:t>
      </w:r>
      <w:r>
        <w:t>), 5(c)(1), 303(g) and (r), and 307(b) of the Communications Act of 1934, as amended, 47 U.S.C. §§ 154(</w:t>
      </w:r>
      <w:r>
        <w:t>i</w:t>
      </w:r>
      <w:r>
        <w:t xml:space="preserve">), 155(c)(1), 303(g), (r), and 307(b) and sections 0.61, 0.204(b), and 0.283 of the rules, 47 CFR §§ 0.61, 0.204(b), and 0.283, </w:t>
      </w:r>
      <w:r>
        <w:rPr>
          <w:b/>
          <w:bCs/>
        </w:rPr>
        <w:t>IT IS PROPOSED TO AMEND</w:t>
      </w:r>
      <w:r>
        <w:t xml:space="preserve"> the Table of Allotments, section 73.622(</w:t>
      </w:r>
      <w:r w:rsidR="005B303E">
        <w:t>j</w:t>
      </w:r>
      <w:r>
        <w:t>) of the rules, 47 CFR § 73.622(</w:t>
      </w:r>
      <w:r w:rsidR="005B303E">
        <w:t>j</w:t>
      </w:r>
      <w:r>
        <w:t xml:space="preserve">), as set forth in this </w:t>
      </w:r>
      <w:r>
        <w:rPr>
          <w:i/>
          <w:iCs/>
        </w:rPr>
        <w:t>NPRM</w:t>
      </w:r>
      <w:r>
        <w:t xml:space="preserve">, and </w:t>
      </w:r>
      <w:r>
        <w:rPr>
          <w:szCs w:val="22"/>
        </w:rPr>
        <w:t xml:space="preserve">this </w:t>
      </w:r>
      <w:r>
        <w:rPr>
          <w:i/>
          <w:iCs/>
          <w:szCs w:val="22"/>
        </w:rPr>
        <w:t>NPRM</w:t>
      </w:r>
      <w:r>
        <w:rPr>
          <w:szCs w:val="22"/>
        </w:rPr>
        <w:t xml:space="preserve"> </w:t>
      </w:r>
      <w:r>
        <w:rPr>
          <w:b/>
          <w:szCs w:val="22"/>
        </w:rPr>
        <w:t xml:space="preserve">IS ADOPTED.  </w:t>
      </w:r>
    </w:p>
    <w:p w:rsidR="002C41C4" w:rsidP="005C521E" w14:paraId="2E7BCBF4" w14:textId="567EEFD8">
      <w:pPr>
        <w:pStyle w:val="ParaNum"/>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00BE25D4">
        <w:rPr>
          <w:szCs w:val="22"/>
        </w:rPr>
        <w:t>2</w:t>
      </w:r>
      <w:r w:rsidR="00D65EE5">
        <w:rPr>
          <w:szCs w:val="22"/>
        </w:rPr>
        <w:t>2</w:t>
      </w:r>
      <w:r w:rsidR="00BE25D4">
        <w:rPr>
          <w:szCs w:val="22"/>
        </w:rPr>
        <w:t>-</w:t>
      </w:r>
      <w:r w:rsidR="00C25C8D">
        <w:rPr>
          <w:szCs w:val="22"/>
        </w:rPr>
        <w:t>150</w:t>
      </w:r>
      <w:r>
        <w:rPr>
          <w:szCs w:val="22"/>
        </w:rPr>
        <w:t xml:space="preserve"> and </w:t>
      </w:r>
      <w:r w:rsidRPr="00B625C0">
        <w:rPr>
          <w:szCs w:val="22"/>
        </w:rPr>
        <w:t>RM-</w:t>
      </w:r>
      <w:r w:rsidR="00BE25D4">
        <w:rPr>
          <w:szCs w:val="22"/>
        </w:rPr>
        <w:t>11</w:t>
      </w:r>
      <w:r w:rsidR="005E79EE">
        <w:rPr>
          <w:szCs w:val="22"/>
        </w:rPr>
        <w:t>9</w:t>
      </w:r>
      <w:r w:rsidR="00C25C8D">
        <w:rPr>
          <w:szCs w:val="22"/>
        </w:rPr>
        <w:t>26</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2C41C4" w:rsidP="005C521E" w14:paraId="5E4C092F" w14:textId="77777777">
      <w:r>
        <w:tab/>
      </w:r>
      <w:r>
        <w:tab/>
      </w:r>
      <w:r>
        <w:tab/>
      </w:r>
      <w:r>
        <w:tab/>
      </w:r>
      <w:r>
        <w:tab/>
      </w:r>
      <w:r>
        <w:tab/>
        <w:t>FEDERAL COMMUNICATIONS COMMISSION</w:t>
      </w:r>
    </w:p>
    <w:p w:rsidR="002C41C4" w:rsidP="005C521E" w14:paraId="26093D19" w14:textId="77777777"/>
    <w:p w:rsidR="002C41C4" w:rsidP="005C521E" w14:paraId="4B79A692" w14:textId="77777777"/>
    <w:p w:rsidR="002C41C4" w:rsidP="005C521E" w14:paraId="0D481115" w14:textId="77777777"/>
    <w:p w:rsidR="002C41C4" w:rsidP="005C521E" w14:paraId="20C40B34" w14:textId="77777777">
      <w:r>
        <w:tab/>
      </w:r>
      <w:r>
        <w:tab/>
      </w:r>
      <w:r>
        <w:tab/>
      </w:r>
      <w:r>
        <w:tab/>
      </w:r>
      <w:r>
        <w:tab/>
      </w:r>
      <w:r>
        <w:tab/>
        <w:t>Barbara A. Kreisman</w:t>
      </w:r>
    </w:p>
    <w:p w:rsidR="002C41C4" w:rsidP="005C521E" w14:paraId="1BEE82B0" w14:textId="77777777">
      <w:r>
        <w:tab/>
      </w:r>
      <w:r>
        <w:tab/>
      </w:r>
      <w:r>
        <w:tab/>
      </w:r>
      <w:r>
        <w:tab/>
      </w:r>
      <w:r>
        <w:tab/>
      </w:r>
      <w:r>
        <w:tab/>
        <w:t>Chief, Video Division</w:t>
      </w:r>
    </w:p>
    <w:p w:rsidR="00412FC5" w:rsidRPr="002C41C4" w:rsidP="005C521E" w14:paraId="281867A4" w14:textId="77777777">
      <w:r>
        <w:tab/>
      </w:r>
      <w:r>
        <w:tab/>
      </w:r>
      <w:r>
        <w:tab/>
      </w:r>
      <w:r>
        <w:tab/>
      </w:r>
      <w:r>
        <w:tab/>
      </w:r>
      <w:r>
        <w:tab/>
        <w:t>Media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076DB6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ACB22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C521E" w14:paraId="2FB31A0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F3CB5B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69E6" w14:paraId="69F22C22" w14:textId="77777777">
      <w:r>
        <w:separator/>
      </w:r>
    </w:p>
  </w:footnote>
  <w:footnote w:type="continuationSeparator" w:id="1">
    <w:p w:rsidR="00AD69E6" w:rsidP="00C721AC" w14:paraId="6C4D2F9F" w14:textId="77777777">
      <w:pPr>
        <w:spacing w:before="120"/>
        <w:rPr>
          <w:sz w:val="20"/>
        </w:rPr>
      </w:pPr>
      <w:r>
        <w:rPr>
          <w:sz w:val="20"/>
        </w:rPr>
        <w:t xml:space="preserve">(Continued from previous page)  </w:t>
      </w:r>
      <w:r>
        <w:rPr>
          <w:sz w:val="20"/>
        </w:rPr>
        <w:separator/>
      </w:r>
    </w:p>
  </w:footnote>
  <w:footnote w:type="continuationNotice" w:id="2">
    <w:p w:rsidR="00AD69E6" w:rsidP="00C721AC" w14:paraId="7FD615A7" w14:textId="77777777">
      <w:pPr>
        <w:jc w:val="right"/>
        <w:rPr>
          <w:sz w:val="20"/>
        </w:rPr>
      </w:pPr>
      <w:r>
        <w:rPr>
          <w:sz w:val="20"/>
        </w:rPr>
        <w:t>(continued….)</w:t>
      </w:r>
    </w:p>
  </w:footnote>
  <w:footnote w:id="3">
    <w:p w:rsidR="001B273C" w:rsidRPr="00FE601A" w:rsidP="006E319E" w14:paraId="2201D057" w14:textId="21DCDD78">
      <w:pPr>
        <w:spacing w:after="120"/>
        <w:rPr>
          <w:szCs w:val="22"/>
        </w:rPr>
      </w:pPr>
      <w:r>
        <w:rPr>
          <w:rStyle w:val="FootnoteReference"/>
        </w:rPr>
        <w:footnoteRef/>
      </w:r>
      <w:r>
        <w:t xml:space="preserve"> </w:t>
      </w:r>
      <w:r w:rsidRPr="00FE601A">
        <w:rPr>
          <w:sz w:val="20"/>
        </w:rPr>
        <w:t xml:space="preserve">Petition of </w:t>
      </w:r>
      <w:r w:rsidR="00D451F4">
        <w:rPr>
          <w:sz w:val="20"/>
        </w:rPr>
        <w:t>Maine Public Broadcasting Corporation</w:t>
      </w:r>
      <w:r w:rsidRPr="00FE601A">
        <w:rPr>
          <w:sz w:val="20"/>
        </w:rPr>
        <w:t xml:space="preserve"> for Rulemaking (filed</w:t>
      </w:r>
      <w:r w:rsidRPr="00FE601A" w:rsidR="003975D4">
        <w:rPr>
          <w:sz w:val="20"/>
        </w:rPr>
        <w:t xml:space="preserve"> </w:t>
      </w:r>
      <w:r w:rsidR="00564E9A">
        <w:rPr>
          <w:sz w:val="20"/>
        </w:rPr>
        <w:t xml:space="preserve">Mar. </w:t>
      </w:r>
      <w:r w:rsidR="00D451F4">
        <w:rPr>
          <w:sz w:val="20"/>
        </w:rPr>
        <w:t>31</w:t>
      </w:r>
      <w:r w:rsidRPr="00FE601A">
        <w:rPr>
          <w:sz w:val="20"/>
        </w:rPr>
        <w:t>, 202</w:t>
      </w:r>
      <w:r w:rsidR="00564E9A">
        <w:rPr>
          <w:sz w:val="20"/>
        </w:rPr>
        <w:t>2</w:t>
      </w:r>
      <w:r w:rsidRPr="00FE601A">
        <w:rPr>
          <w:sz w:val="20"/>
        </w:rPr>
        <w:t>, LMS File No. 0000</w:t>
      </w:r>
      <w:r w:rsidR="00564E9A">
        <w:rPr>
          <w:sz w:val="20"/>
        </w:rPr>
        <w:t>18</w:t>
      </w:r>
      <w:r w:rsidR="00D451F4">
        <w:rPr>
          <w:sz w:val="20"/>
        </w:rPr>
        <w:t>8079</w:t>
      </w:r>
      <w:r w:rsidRPr="00FE601A" w:rsidR="00B27CC9">
        <w:rPr>
          <w:sz w:val="20"/>
        </w:rPr>
        <w:t>)</w:t>
      </w:r>
      <w:r w:rsidR="00D75A3B">
        <w:rPr>
          <w:sz w:val="20"/>
        </w:rPr>
        <w:t xml:space="preserve"> </w:t>
      </w:r>
      <w:r w:rsidRPr="00FE601A" w:rsidR="00E256F0">
        <w:rPr>
          <w:sz w:val="20"/>
        </w:rPr>
        <w:t>(Petition</w:t>
      </w:r>
      <w:r w:rsidR="00FA6819">
        <w:rPr>
          <w:sz w:val="20"/>
        </w:rPr>
        <w:t>).</w:t>
      </w:r>
      <w:r w:rsidR="00CE1D29">
        <w:rPr>
          <w:sz w:val="20"/>
        </w:rPr>
        <w:t xml:space="preserve"> </w:t>
      </w:r>
      <w:r w:rsidR="00712030">
        <w:rPr>
          <w:sz w:val="20"/>
        </w:rPr>
        <w:t xml:space="preserve"> The Petitioner amended on April 6, 2022 to provide additional analysis regarding predicted loss of PBS programming (Amended Petition).</w:t>
      </w:r>
    </w:p>
  </w:footnote>
  <w:footnote w:id="4">
    <w:p w:rsidR="002C41C4" w:rsidRPr="00CE1D29" w:rsidP="00C53F5E" w14:paraId="5A4FC282" w14:textId="26F2BD5C">
      <w:pPr>
        <w:spacing w:after="120"/>
        <w:rPr>
          <w:sz w:val="20"/>
        </w:rPr>
      </w:pPr>
      <w:r>
        <w:rPr>
          <w:rStyle w:val="FootnoteReference"/>
        </w:rPr>
        <w:footnoteRef/>
      </w:r>
      <w:r w:rsidR="009C5DB5">
        <w:rPr>
          <w:sz w:val="20"/>
        </w:rPr>
        <w:t xml:space="preserve"> </w:t>
      </w:r>
      <w:r w:rsidR="00C05C39">
        <w:rPr>
          <w:sz w:val="20"/>
        </w:rPr>
        <w:t>47 CFR § 73.622(j)</w:t>
      </w:r>
      <w:r>
        <w:rPr>
          <w:sz w:val="20"/>
        </w:rPr>
        <w:t>.</w:t>
      </w:r>
      <w:r w:rsidR="00CE1D29">
        <w:rPr>
          <w:sz w:val="20"/>
        </w:rPr>
        <w:t xml:space="preserve">  </w:t>
      </w:r>
      <w:r w:rsidRPr="00653324" w:rsidR="00CE1D29">
        <w:rPr>
          <w:sz w:val="20"/>
        </w:rPr>
        <w:t>NCE television stations are identified in the Table by an asterisk to indicate they are reserved for noncommercial educational use.  47 CFR § 73.622(a).</w:t>
      </w:r>
    </w:p>
  </w:footnote>
  <w:footnote w:id="5">
    <w:p w:rsidR="00E75A1E" w:rsidP="00536FA0" w14:paraId="7D9281A1" w14:textId="5A4D95AA">
      <w:pPr>
        <w:pStyle w:val="FootnoteText"/>
        <w:widowControl w:val="0"/>
      </w:pPr>
      <w:r>
        <w:rPr>
          <w:rStyle w:val="FootnoteReference"/>
        </w:rPr>
        <w:footnoteRef/>
      </w:r>
      <w:r>
        <w:t xml:space="preserve"> Petition at 1.</w:t>
      </w:r>
      <w:r w:rsidR="00222AAE">
        <w:t xml:space="preserve">  </w:t>
      </w:r>
      <w:r w:rsidRPr="005A75A1" w:rsidR="00222AAE">
        <w:rPr>
          <w:i/>
          <w:iCs/>
        </w:rPr>
        <w:t>See also id</w:t>
      </w:r>
      <w:r w:rsidR="00222AAE">
        <w:t>. at 3 (discussing</w:t>
      </w:r>
      <w:r w:rsidR="005A75A1">
        <w:t xml:space="preserve"> VHF channel characteristics that pose challenges for their use in providing digital television service)</w:t>
      </w:r>
      <w:r w:rsidR="00222AAE">
        <w:t>.</w:t>
      </w:r>
    </w:p>
  </w:footnote>
  <w:footnote w:id="6">
    <w:p w:rsidR="00534D07" w:rsidP="006E319E" w14:paraId="331B0D0D" w14:textId="7DB70E26">
      <w:pPr>
        <w:pStyle w:val="FootnoteText"/>
        <w:widowControl w:val="0"/>
      </w:pPr>
      <w:r>
        <w:rPr>
          <w:rStyle w:val="FootnoteReference"/>
        </w:rPr>
        <w:footnoteRef/>
      </w:r>
      <w:r>
        <w:t xml:space="preserve"> </w:t>
      </w:r>
      <w:r w:rsidRPr="005A75A1" w:rsidR="00222AAE">
        <w:rPr>
          <w:i/>
          <w:iCs/>
        </w:rPr>
        <w:t>Id</w:t>
      </w:r>
      <w:r w:rsidR="00222AAE">
        <w:t>. at 2</w:t>
      </w:r>
      <w:r w:rsidR="005E79EE">
        <w:t>.</w:t>
      </w:r>
    </w:p>
  </w:footnote>
  <w:footnote w:id="7">
    <w:p w:rsidR="005E79EE" w:rsidP="006E319E" w14:paraId="370B7EBE" w14:textId="1A016DDD">
      <w:pPr>
        <w:pStyle w:val="FootnoteText"/>
        <w:widowControl w:val="0"/>
      </w:pPr>
      <w:r>
        <w:rPr>
          <w:rStyle w:val="FootnoteReference"/>
        </w:rPr>
        <w:footnoteRef/>
      </w:r>
      <w:r>
        <w:t xml:space="preserve"> </w:t>
      </w:r>
      <w:r w:rsidR="00F55C21">
        <w:t>Amended Petition at 2.</w:t>
      </w:r>
    </w:p>
  </w:footnote>
  <w:footnote w:id="8">
    <w:p w:rsidR="002C41C4" w:rsidP="00C53F5E" w14:paraId="31E88872" w14:textId="5C460295">
      <w:pPr>
        <w:pStyle w:val="FootnoteText"/>
        <w:widowControl w:val="0"/>
      </w:pPr>
      <w:r>
        <w:rPr>
          <w:rStyle w:val="FootnoteReference"/>
        </w:rPr>
        <w:footnoteRef/>
      </w:r>
      <w:r>
        <w:t xml:space="preserve"> 47 CFR § 73.625(a).</w:t>
      </w:r>
      <w:bookmarkStart w:id="0" w:name="SR;334"/>
      <w:bookmarkEnd w:id="0"/>
    </w:p>
  </w:footnote>
  <w:footnote w:id="9">
    <w:p w:rsidR="002964F4" w14:paraId="0ADE5721" w14:textId="6182D4DE">
      <w:pPr>
        <w:pStyle w:val="FootnoteText"/>
      </w:pPr>
      <w:r>
        <w:rPr>
          <w:rStyle w:val="FootnoteReference"/>
        </w:rPr>
        <w:footnoteRef/>
      </w:r>
      <w:r>
        <w:t xml:space="preserve"> </w:t>
      </w:r>
      <w:r w:rsidR="00CE1D29">
        <w:rPr>
          <w:spacing w:val="-3"/>
          <w:szCs w:val="22"/>
        </w:rPr>
        <w:t>Since the proposed facility is located within the Canadian coordination zone, concurrence from the Canadian government must be obtained for this allotment.</w:t>
      </w:r>
    </w:p>
  </w:footnote>
  <w:footnote w:id="10">
    <w:p w:rsidR="00273B1E" w14:paraId="76A995C2" w14:textId="33F6D1FD">
      <w:pPr>
        <w:pStyle w:val="FootnoteText"/>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 that loss of service to</w:t>
      </w:r>
      <w:r w:rsidRPr="00586AF3">
        <w:t xml:space="preserve"> less than 500 persons is </w:t>
      </w:r>
      <w:r w:rsidRPr="00586AF3">
        <w:rPr>
          <w:i/>
          <w:iCs/>
        </w:rPr>
        <w:t>de minimi</w:t>
      </w:r>
      <w:r>
        <w:rPr>
          <w:i/>
          <w:iCs/>
        </w:rPr>
        <w:t>s).</w:t>
      </w:r>
    </w:p>
  </w:footnote>
  <w:footnote w:id="11">
    <w:p w:rsidR="002C41C4" w:rsidP="005C521E" w14:paraId="40C746C5" w14:textId="77777777">
      <w:pPr>
        <w:pStyle w:val="FootnoteText"/>
        <w:widowControl w:val="0"/>
      </w:pPr>
      <w:r>
        <w:rPr>
          <w:rStyle w:val="FootnoteReference"/>
        </w:rPr>
        <w:footnoteRef/>
      </w:r>
      <w:r>
        <w:t xml:space="preserve"> 47 CFR §§ 73.616, 73.623.</w:t>
      </w:r>
    </w:p>
  </w:footnote>
  <w:footnote w:id="12">
    <w:p w:rsidR="002C41C4" w:rsidP="005C521E" w14:paraId="77BF0BF6" w14:textId="1EE2AA3C">
      <w:pPr>
        <w:pStyle w:val="FootnoteText"/>
        <w:widowControl w:val="0"/>
      </w:pPr>
      <w:r>
        <w:rPr>
          <w:rStyle w:val="FootnoteReference"/>
        </w:rPr>
        <w:footnoteRef/>
      </w:r>
      <w:r>
        <w:t xml:space="preserve"> 47 CFR § 73.622(</w:t>
      </w:r>
      <w:r w:rsidR="00F55C21">
        <w:t>j</w:t>
      </w:r>
      <w:r>
        <w:t>).</w:t>
      </w:r>
    </w:p>
  </w:footnote>
  <w:footnote w:id="13">
    <w:p w:rsidR="002C41C4" w:rsidP="005C521E" w14:paraId="773ACB42" w14:textId="77777777">
      <w:pPr>
        <w:pStyle w:val="FootnoteText"/>
        <w:widowControl w:val="0"/>
      </w:pPr>
      <w:r>
        <w:rPr>
          <w:rStyle w:val="FootnoteReference"/>
        </w:rPr>
        <w:footnoteRef/>
      </w:r>
      <w:r>
        <w:t xml:space="preserve"> </w:t>
      </w:r>
      <w:r w:rsidRPr="00C43C45" w:rsidR="001B714C">
        <w:rPr>
          <w:i/>
          <w:iCs/>
        </w:rPr>
        <w:t>See, e.g., Buffalo, Io</w:t>
      </w:r>
      <w:r w:rsidR="001B714C">
        <w:rPr>
          <w:i/>
          <w:iCs/>
        </w:rPr>
        <w:t>l</w:t>
      </w:r>
      <w:r w:rsidRPr="00C43C45" w:rsidR="001B714C">
        <w:rPr>
          <w:i/>
          <w:iCs/>
        </w:rPr>
        <w:t>a, Normangee, and Madisonville, Texas</w:t>
      </w:r>
      <w:r w:rsidRPr="00C43C45" w:rsidR="001B714C">
        <w:t xml:space="preserve">, </w:t>
      </w:r>
      <w:r w:rsidR="001B714C">
        <w:t xml:space="preserve">MB Docket No. 07-729, </w:t>
      </w:r>
      <w:r w:rsidRPr="00C43C45" w:rsidR="001B714C">
        <w:t>Report and Order</w:t>
      </w:r>
      <w:r w:rsidR="001B714C">
        <w:t>,</w:t>
      </w:r>
      <w:r w:rsidRPr="00C43C45" w:rsidR="001B714C">
        <w:t xml:space="preserve"> 24 FCC </w:t>
      </w:r>
      <w:r w:rsidRPr="00C43C45" w:rsidR="001B714C">
        <w:t>Rcd</w:t>
      </w:r>
      <w:r w:rsidRPr="00C43C45" w:rsidR="001B714C">
        <w:t xml:space="preserve"> 8192, 8194</w:t>
      </w:r>
      <w:r w:rsidR="001B714C">
        <w:t>, para. 9</w:t>
      </w:r>
      <w:r w:rsidRPr="00C43C45" w:rsidR="001B714C">
        <w:t xml:space="preserve"> (</w:t>
      </w:r>
      <w:r w:rsidR="00C87627">
        <w:t xml:space="preserve">Aud. Div. </w:t>
      </w:r>
      <w:r w:rsidRPr="00C43C45" w:rsidR="001B714C">
        <w:t>2009).</w:t>
      </w:r>
    </w:p>
  </w:footnote>
  <w:footnote w:id="14">
    <w:p w:rsidR="002C41C4" w:rsidP="005C521E" w14:paraId="25949C96" w14:textId="77777777">
      <w:pPr>
        <w:pStyle w:val="FootnoteText"/>
        <w:widowControl w:val="0"/>
      </w:pPr>
      <w:r>
        <w:rPr>
          <w:rStyle w:val="FootnoteReference"/>
        </w:rPr>
        <w:footnoteRef/>
      </w:r>
      <w:r>
        <w:t xml:space="preserve"> 47 CFR § 1.420(j).</w:t>
      </w:r>
    </w:p>
  </w:footnote>
  <w:footnote w:id="15">
    <w:p w:rsidR="002C41C4" w:rsidP="005C521E" w14:paraId="5147F8D6" w14:textId="77777777">
      <w:pPr>
        <w:pStyle w:val="FootnoteText"/>
        <w:widowControl w:val="0"/>
      </w:pPr>
      <w:r>
        <w:rPr>
          <w:rStyle w:val="FootnoteReference"/>
        </w:rPr>
        <w:footnoteRef/>
      </w:r>
      <w:r>
        <w:t xml:space="preserve"> 47 CFR §</w:t>
      </w:r>
      <w:r w:rsidR="006D6AC4">
        <w:t xml:space="preserve"> </w:t>
      </w:r>
      <w:r>
        <w:t>1.420(d).</w:t>
      </w:r>
    </w:p>
  </w:footnote>
  <w:footnote w:id="16">
    <w:p w:rsidR="002C41C4" w:rsidP="005C521E" w14:paraId="51221B7C" w14:textId="77777777">
      <w:pPr>
        <w:pStyle w:val="FootnoteText"/>
        <w:widowControl w:val="0"/>
      </w:pPr>
      <w:r>
        <w:rPr>
          <w:rStyle w:val="FootnoteReference"/>
        </w:rPr>
        <w:footnoteRef/>
      </w:r>
      <w:r>
        <w:t xml:space="preserve"> 47 CFR § 1.420(g)(2).</w:t>
      </w:r>
    </w:p>
  </w:footnote>
  <w:footnote w:id="17">
    <w:p w:rsidR="002C41C4" w:rsidP="005C521E" w14:paraId="2485338C" w14:textId="77777777">
      <w:pPr>
        <w:pStyle w:val="FootnoteText"/>
        <w:widowControl w:val="0"/>
      </w:pPr>
      <w:r>
        <w:rPr>
          <w:rStyle w:val="FootnoteReference"/>
        </w:rPr>
        <w:footnoteRef/>
      </w:r>
      <w:r>
        <w:t xml:space="preserve"> 47 CFR §§ 1.415, 1.419, and 1.420.</w:t>
      </w:r>
    </w:p>
  </w:footnote>
  <w:footnote w:id="18">
    <w:p w:rsidR="002C41C4" w:rsidP="005C521E" w14:paraId="251750FC"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19">
    <w:p w:rsidR="002C41C4" w:rsidP="005C521E" w14:paraId="0A8AA632"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xml:space="preserve">, Public Notice, 35 FCC </w:t>
      </w:r>
      <w:r>
        <w:rPr>
          <w:spacing w:val="-3"/>
        </w:rPr>
        <w:t>Rcd</w:t>
      </w:r>
      <w:r>
        <w:rPr>
          <w:spacing w:val="-3"/>
        </w:rPr>
        <w:t xml:space="preserve"> 2788 (2020).</w:t>
      </w:r>
    </w:p>
  </w:footnote>
  <w:footnote w:id="20">
    <w:p w:rsidR="002C41C4" w:rsidP="005C521E" w14:paraId="04168D0E" w14:textId="77777777">
      <w:pPr>
        <w:pStyle w:val="FootnoteText"/>
        <w:widowControl w:val="0"/>
      </w:pPr>
      <w:r>
        <w:rPr>
          <w:rStyle w:val="FootnoteReference"/>
        </w:rPr>
        <w:footnoteRef/>
      </w:r>
      <w:r>
        <w:t xml:space="preserve"> 47 CFR § 1.420.</w:t>
      </w:r>
    </w:p>
  </w:footnote>
  <w:footnote w:id="21">
    <w:p w:rsidR="002C41C4" w:rsidP="005C521E" w14:paraId="702E1119" w14:textId="77777777">
      <w:pPr>
        <w:pStyle w:val="FootnoteText"/>
        <w:widowControl w:val="0"/>
      </w:pPr>
      <w:r>
        <w:rPr>
          <w:rStyle w:val="FootnoteReference"/>
        </w:rPr>
        <w:footnoteRef/>
      </w:r>
      <w:r>
        <w:t xml:space="preserve"> </w:t>
      </w:r>
      <w:r>
        <w:rPr>
          <w:i/>
          <w:iCs/>
        </w:rPr>
        <w:t>See</w:t>
      </w:r>
      <w:r>
        <w:t xml:space="preserve"> 47 CFR §</w:t>
      </w:r>
      <w:r w:rsidR="0038788F">
        <w:t xml:space="preserve"> </w:t>
      </w:r>
      <w:r>
        <w:t>1.420(a), (b) and (c).</w:t>
      </w:r>
    </w:p>
  </w:footnote>
  <w:footnote w:id="22">
    <w:p w:rsidR="002C41C4" w:rsidP="005C521E" w14:paraId="3252E312" w14:textId="77777777">
      <w:pPr>
        <w:pStyle w:val="FootnoteText"/>
        <w:widowControl w:val="0"/>
        <w:rPr>
          <w:i/>
          <w:iCs/>
        </w:rPr>
      </w:pPr>
      <w:r>
        <w:rPr>
          <w:rStyle w:val="FootnoteReference"/>
        </w:rPr>
        <w:footnoteRef/>
      </w:r>
      <w:r>
        <w:t xml:space="preserve"> 47 CFR §§ 1.1200 </w:t>
      </w:r>
      <w:r>
        <w:rPr>
          <w:i/>
          <w:iCs/>
        </w:rPr>
        <w:t>et seq.</w:t>
      </w:r>
    </w:p>
  </w:footnote>
  <w:footnote w:id="23">
    <w:p w:rsidR="002C41C4" w:rsidP="005C521E" w14:paraId="30DDEE1A" w14:textId="77777777">
      <w:pPr>
        <w:pStyle w:val="FootnoteText"/>
        <w:widowControl w:val="0"/>
      </w:pPr>
      <w:r>
        <w:rPr>
          <w:rStyle w:val="FootnoteReference"/>
        </w:rPr>
        <w:footnoteRef/>
      </w:r>
      <w:r>
        <w:t xml:space="preserve"> 47 CFR § 1.1208.</w:t>
      </w:r>
    </w:p>
  </w:footnote>
  <w:footnote w:id="24">
    <w:p w:rsidR="002C41C4" w:rsidP="005C521E" w14:paraId="4D0416A3" w14:textId="77777777">
      <w:pPr>
        <w:pStyle w:val="FootnoteText"/>
        <w:widowControl w:val="0"/>
      </w:pPr>
      <w:r>
        <w:rPr>
          <w:rStyle w:val="FootnoteReference"/>
        </w:rPr>
        <w:footnoteRef/>
      </w:r>
      <w:r>
        <w:t xml:space="preserve"> 47 CFR § 1.1204(a)(10).</w:t>
      </w:r>
    </w:p>
  </w:footnote>
  <w:footnote w:id="25">
    <w:p w:rsidR="002C41C4" w:rsidP="005C521E" w14:paraId="30E55816"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 xml:space="preserve">ex </w:t>
      </w:r>
      <w:r>
        <w:rPr>
          <w:i/>
          <w:iCs/>
        </w:rPr>
        <w:t>parte</w:t>
      </w:r>
      <w:r>
        <w:t xml:space="preserve"> presentation, subject to the same service requirement.  47 CFR § 1.1204(a)(11).</w:t>
      </w:r>
    </w:p>
  </w:footnote>
  <w:footnote w:id="26">
    <w:p w:rsidR="002C41C4" w:rsidP="005C521E" w14:paraId="69711AE8"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27">
    <w:p w:rsidR="002C41C4" w:rsidP="005C521E" w14:paraId="33222B18" w14:textId="77777777">
      <w:pPr>
        <w:pStyle w:val="FootnoteText"/>
        <w:widowControl w:val="0"/>
      </w:pPr>
      <w:r>
        <w:rPr>
          <w:rStyle w:val="FootnoteReference"/>
        </w:rPr>
        <w:footnoteRef/>
      </w:r>
      <w:r>
        <w:t xml:space="preserve"> 47 CFR § 73.622(</w:t>
      </w:r>
      <w:r>
        <w:t>i</w:t>
      </w:r>
      <w:r>
        <w:t>).</w:t>
      </w:r>
    </w:p>
  </w:footnote>
  <w:footnote w:id="28">
    <w:p w:rsidR="002C41C4" w:rsidP="005C521E" w14:paraId="40DC1860"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29">
    <w:p w:rsidR="002C41C4" w:rsidP="005C521E" w14:paraId="56A000DA"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CD589C" w14:textId="004FD808">
    <w:pPr>
      <w:pStyle w:val="Header"/>
      <w:rPr>
        <w:b w:val="0"/>
      </w:rPr>
    </w:pPr>
    <w:r>
      <w:tab/>
    </w:r>
    <w:r>
      <w:t>Federal Communications Commission</w:t>
    </w:r>
    <w:r>
      <w:tab/>
    </w:r>
    <w:r w:rsidR="008671E1">
      <w:t>DA 2</w:t>
    </w:r>
    <w:r w:rsidR="00AA2EBC">
      <w:t>2</w:t>
    </w:r>
    <w:r w:rsidR="008671E1">
      <w:t>-</w:t>
    </w:r>
    <w:r w:rsidR="00C25C8D">
      <w:t>403</w:t>
    </w:r>
  </w:p>
  <w:p w:rsidR="00D25FB5" w14:paraId="48CD0D4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D82FD8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854F71" w14:textId="661685A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8671E1">
      <w:rPr>
        <w:spacing w:val="-2"/>
      </w:rPr>
      <w:t>DA 2</w:t>
    </w:r>
    <w:r w:rsidR="00AA2EBC">
      <w:rPr>
        <w:spacing w:val="-2"/>
      </w:rPr>
      <w:t>2</w:t>
    </w:r>
    <w:r w:rsidR="008671E1">
      <w:rPr>
        <w:spacing w:val="-2"/>
      </w:rPr>
      <w:t>-</w:t>
    </w:r>
    <w:r w:rsidR="00C25C8D">
      <w:rPr>
        <w:spacing w:val="-2"/>
      </w:rPr>
      <w:t>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92042E2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E49266C8"/>
    <w:lvl w:ilvl="0">
      <w:start w:val="1"/>
      <w:numFmt w:val="decimal"/>
      <w:pStyle w:val="ParaNum"/>
      <w:lvlText w:val="%1."/>
      <w:lvlJc w:val="left"/>
      <w:pPr>
        <w:tabs>
          <w:tab w:val="num" w:pos="990"/>
        </w:tabs>
        <w:ind w:left="-90" w:firstLine="720"/>
      </w:pPr>
      <w:rPr>
        <w:rFonts w:ascii="Times New Roman" w:hAnsi="Times New Roman" w:cs="Times New Roman" w:hint="default"/>
        <w:sz w:val="22"/>
        <w:szCs w:val="22"/>
      </w:r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C4"/>
    <w:rsid w:val="00003C42"/>
    <w:rsid w:val="00005B26"/>
    <w:rsid w:val="00010D18"/>
    <w:rsid w:val="00015880"/>
    <w:rsid w:val="000229FE"/>
    <w:rsid w:val="00034252"/>
    <w:rsid w:val="00036039"/>
    <w:rsid w:val="00037F90"/>
    <w:rsid w:val="000418F2"/>
    <w:rsid w:val="00047FF8"/>
    <w:rsid w:val="000573A4"/>
    <w:rsid w:val="00061686"/>
    <w:rsid w:val="00081A21"/>
    <w:rsid w:val="00081CC3"/>
    <w:rsid w:val="000826D1"/>
    <w:rsid w:val="0008564D"/>
    <w:rsid w:val="000875BF"/>
    <w:rsid w:val="00096D8C"/>
    <w:rsid w:val="000A7C1B"/>
    <w:rsid w:val="000C0B65"/>
    <w:rsid w:val="000C1186"/>
    <w:rsid w:val="000C4165"/>
    <w:rsid w:val="000D70D9"/>
    <w:rsid w:val="000E03DB"/>
    <w:rsid w:val="000E05FE"/>
    <w:rsid w:val="000E13B7"/>
    <w:rsid w:val="000E3D42"/>
    <w:rsid w:val="000F4D49"/>
    <w:rsid w:val="0010278A"/>
    <w:rsid w:val="00103294"/>
    <w:rsid w:val="00105AB9"/>
    <w:rsid w:val="00120CAA"/>
    <w:rsid w:val="00122BD5"/>
    <w:rsid w:val="00127E32"/>
    <w:rsid w:val="00133F79"/>
    <w:rsid w:val="00134FFB"/>
    <w:rsid w:val="00156435"/>
    <w:rsid w:val="00194A66"/>
    <w:rsid w:val="001A72E8"/>
    <w:rsid w:val="001B273C"/>
    <w:rsid w:val="001B3094"/>
    <w:rsid w:val="001B4F5B"/>
    <w:rsid w:val="001B714C"/>
    <w:rsid w:val="001B73FE"/>
    <w:rsid w:val="001C3312"/>
    <w:rsid w:val="001D0263"/>
    <w:rsid w:val="001D6BCF"/>
    <w:rsid w:val="001E01CA"/>
    <w:rsid w:val="001E2F73"/>
    <w:rsid w:val="001F339C"/>
    <w:rsid w:val="002030FD"/>
    <w:rsid w:val="00222AAE"/>
    <w:rsid w:val="00224A6C"/>
    <w:rsid w:val="00230BE4"/>
    <w:rsid w:val="00234875"/>
    <w:rsid w:val="0024227B"/>
    <w:rsid w:val="00246BE0"/>
    <w:rsid w:val="00260174"/>
    <w:rsid w:val="0026261B"/>
    <w:rsid w:val="00273B1E"/>
    <w:rsid w:val="00275CF5"/>
    <w:rsid w:val="00276345"/>
    <w:rsid w:val="00280DC5"/>
    <w:rsid w:val="002815A5"/>
    <w:rsid w:val="0028301F"/>
    <w:rsid w:val="00285017"/>
    <w:rsid w:val="00291606"/>
    <w:rsid w:val="002964F4"/>
    <w:rsid w:val="002A2D2E"/>
    <w:rsid w:val="002A52E0"/>
    <w:rsid w:val="002B1C28"/>
    <w:rsid w:val="002B42DF"/>
    <w:rsid w:val="002B5E5C"/>
    <w:rsid w:val="002B7CF4"/>
    <w:rsid w:val="002C00E8"/>
    <w:rsid w:val="002C2AF9"/>
    <w:rsid w:val="002C2D56"/>
    <w:rsid w:val="002C3F2A"/>
    <w:rsid w:val="002C41C4"/>
    <w:rsid w:val="002E7B20"/>
    <w:rsid w:val="002F7169"/>
    <w:rsid w:val="002F79E2"/>
    <w:rsid w:val="00311F39"/>
    <w:rsid w:val="0031393D"/>
    <w:rsid w:val="0031739F"/>
    <w:rsid w:val="00336D5F"/>
    <w:rsid w:val="00340F54"/>
    <w:rsid w:val="00343749"/>
    <w:rsid w:val="003660ED"/>
    <w:rsid w:val="0038442D"/>
    <w:rsid w:val="00385B85"/>
    <w:rsid w:val="0038788F"/>
    <w:rsid w:val="0039399B"/>
    <w:rsid w:val="003975D4"/>
    <w:rsid w:val="003A4881"/>
    <w:rsid w:val="003A4FF1"/>
    <w:rsid w:val="003A7BF4"/>
    <w:rsid w:val="003A7C38"/>
    <w:rsid w:val="003B0550"/>
    <w:rsid w:val="003B2442"/>
    <w:rsid w:val="003B694F"/>
    <w:rsid w:val="003D279B"/>
    <w:rsid w:val="003E3FB3"/>
    <w:rsid w:val="003F171C"/>
    <w:rsid w:val="003F7607"/>
    <w:rsid w:val="004002EC"/>
    <w:rsid w:val="004007A9"/>
    <w:rsid w:val="00412FC5"/>
    <w:rsid w:val="004178D6"/>
    <w:rsid w:val="00422276"/>
    <w:rsid w:val="004242F1"/>
    <w:rsid w:val="004323C2"/>
    <w:rsid w:val="00436FC9"/>
    <w:rsid w:val="004375E9"/>
    <w:rsid w:val="00445A00"/>
    <w:rsid w:val="00446DCF"/>
    <w:rsid w:val="00451B0F"/>
    <w:rsid w:val="00477CC1"/>
    <w:rsid w:val="004A2B13"/>
    <w:rsid w:val="004A3F4E"/>
    <w:rsid w:val="004B71F3"/>
    <w:rsid w:val="004C0CEA"/>
    <w:rsid w:val="004C2EE3"/>
    <w:rsid w:val="004E4A22"/>
    <w:rsid w:val="004E7382"/>
    <w:rsid w:val="004F1FE0"/>
    <w:rsid w:val="004F2025"/>
    <w:rsid w:val="004F3AD3"/>
    <w:rsid w:val="004F4061"/>
    <w:rsid w:val="004F5193"/>
    <w:rsid w:val="005049EA"/>
    <w:rsid w:val="00505565"/>
    <w:rsid w:val="00511968"/>
    <w:rsid w:val="00514AEA"/>
    <w:rsid w:val="0053447A"/>
    <w:rsid w:val="00534D07"/>
    <w:rsid w:val="00535B91"/>
    <w:rsid w:val="00536FA0"/>
    <w:rsid w:val="00542BF1"/>
    <w:rsid w:val="0055049F"/>
    <w:rsid w:val="0055614C"/>
    <w:rsid w:val="00564E9A"/>
    <w:rsid w:val="00566D06"/>
    <w:rsid w:val="00586AF3"/>
    <w:rsid w:val="00596609"/>
    <w:rsid w:val="005A75A1"/>
    <w:rsid w:val="005B2EDD"/>
    <w:rsid w:val="005B303E"/>
    <w:rsid w:val="005B7C2F"/>
    <w:rsid w:val="005C1F7C"/>
    <w:rsid w:val="005C521E"/>
    <w:rsid w:val="005D06EF"/>
    <w:rsid w:val="005D4257"/>
    <w:rsid w:val="005D6603"/>
    <w:rsid w:val="005E14C2"/>
    <w:rsid w:val="005E47CE"/>
    <w:rsid w:val="005E79C0"/>
    <w:rsid w:val="005E79EE"/>
    <w:rsid w:val="0060329F"/>
    <w:rsid w:val="00606691"/>
    <w:rsid w:val="00607BA5"/>
    <w:rsid w:val="0061180A"/>
    <w:rsid w:val="006153AB"/>
    <w:rsid w:val="00622F0E"/>
    <w:rsid w:val="00626EB6"/>
    <w:rsid w:val="00640703"/>
    <w:rsid w:val="00643EF0"/>
    <w:rsid w:val="00653324"/>
    <w:rsid w:val="00655D03"/>
    <w:rsid w:val="00663A1C"/>
    <w:rsid w:val="006724BB"/>
    <w:rsid w:val="00683388"/>
    <w:rsid w:val="00683F84"/>
    <w:rsid w:val="00695A34"/>
    <w:rsid w:val="0069686A"/>
    <w:rsid w:val="00696F39"/>
    <w:rsid w:val="006A464B"/>
    <w:rsid w:val="006A517B"/>
    <w:rsid w:val="006A6A81"/>
    <w:rsid w:val="006B0EC2"/>
    <w:rsid w:val="006B29C2"/>
    <w:rsid w:val="006C717D"/>
    <w:rsid w:val="006D3A52"/>
    <w:rsid w:val="006D6689"/>
    <w:rsid w:val="006D6AC4"/>
    <w:rsid w:val="006D7755"/>
    <w:rsid w:val="006E319E"/>
    <w:rsid w:val="006E6A03"/>
    <w:rsid w:val="006F1855"/>
    <w:rsid w:val="006F7393"/>
    <w:rsid w:val="00701036"/>
    <w:rsid w:val="0070224F"/>
    <w:rsid w:val="00703B02"/>
    <w:rsid w:val="00705769"/>
    <w:rsid w:val="00710FD2"/>
    <w:rsid w:val="007115F7"/>
    <w:rsid w:val="00712030"/>
    <w:rsid w:val="00723BAC"/>
    <w:rsid w:val="00750411"/>
    <w:rsid w:val="00757DEB"/>
    <w:rsid w:val="00760767"/>
    <w:rsid w:val="00764AC1"/>
    <w:rsid w:val="0077274B"/>
    <w:rsid w:val="007803A5"/>
    <w:rsid w:val="00785689"/>
    <w:rsid w:val="00793A9D"/>
    <w:rsid w:val="0079754B"/>
    <w:rsid w:val="007A1E6D"/>
    <w:rsid w:val="007B0C50"/>
    <w:rsid w:val="007B0EB2"/>
    <w:rsid w:val="007C2D57"/>
    <w:rsid w:val="007C7FCB"/>
    <w:rsid w:val="007E5397"/>
    <w:rsid w:val="00810B6F"/>
    <w:rsid w:val="008177CF"/>
    <w:rsid w:val="00822CE0"/>
    <w:rsid w:val="008337BA"/>
    <w:rsid w:val="008363DF"/>
    <w:rsid w:val="0083640E"/>
    <w:rsid w:val="00841AB1"/>
    <w:rsid w:val="00841EBE"/>
    <w:rsid w:val="00843966"/>
    <w:rsid w:val="00845909"/>
    <w:rsid w:val="00846177"/>
    <w:rsid w:val="0086469A"/>
    <w:rsid w:val="008671E1"/>
    <w:rsid w:val="00870831"/>
    <w:rsid w:val="00873405"/>
    <w:rsid w:val="00896A8C"/>
    <w:rsid w:val="008A0759"/>
    <w:rsid w:val="008C1887"/>
    <w:rsid w:val="008C3F4D"/>
    <w:rsid w:val="008C5FC5"/>
    <w:rsid w:val="008C68F1"/>
    <w:rsid w:val="008D55F5"/>
    <w:rsid w:val="008E0993"/>
    <w:rsid w:val="008F4B74"/>
    <w:rsid w:val="008F564D"/>
    <w:rsid w:val="00901E39"/>
    <w:rsid w:val="00911A1F"/>
    <w:rsid w:val="00913DA5"/>
    <w:rsid w:val="00921803"/>
    <w:rsid w:val="00926427"/>
    <w:rsid w:val="00926503"/>
    <w:rsid w:val="00944C0D"/>
    <w:rsid w:val="00961260"/>
    <w:rsid w:val="00961859"/>
    <w:rsid w:val="00970086"/>
    <w:rsid w:val="009726D8"/>
    <w:rsid w:val="00982D42"/>
    <w:rsid w:val="009925D1"/>
    <w:rsid w:val="009971DD"/>
    <w:rsid w:val="009B408A"/>
    <w:rsid w:val="009B73DF"/>
    <w:rsid w:val="009C4621"/>
    <w:rsid w:val="009C4FC1"/>
    <w:rsid w:val="009C5DB5"/>
    <w:rsid w:val="009C79F2"/>
    <w:rsid w:val="009D5446"/>
    <w:rsid w:val="009D7308"/>
    <w:rsid w:val="009F5EB1"/>
    <w:rsid w:val="009F76DB"/>
    <w:rsid w:val="00A037A4"/>
    <w:rsid w:val="00A03AFF"/>
    <w:rsid w:val="00A03C66"/>
    <w:rsid w:val="00A14260"/>
    <w:rsid w:val="00A15EFE"/>
    <w:rsid w:val="00A17D2A"/>
    <w:rsid w:val="00A2266B"/>
    <w:rsid w:val="00A23BBD"/>
    <w:rsid w:val="00A24308"/>
    <w:rsid w:val="00A259D6"/>
    <w:rsid w:val="00A31123"/>
    <w:rsid w:val="00A32C3B"/>
    <w:rsid w:val="00A45F4F"/>
    <w:rsid w:val="00A50800"/>
    <w:rsid w:val="00A50D70"/>
    <w:rsid w:val="00A534B7"/>
    <w:rsid w:val="00A54798"/>
    <w:rsid w:val="00A600A9"/>
    <w:rsid w:val="00A63D43"/>
    <w:rsid w:val="00A67A68"/>
    <w:rsid w:val="00A74CF4"/>
    <w:rsid w:val="00A75ACB"/>
    <w:rsid w:val="00A90A60"/>
    <w:rsid w:val="00A97B35"/>
    <w:rsid w:val="00AA2EBC"/>
    <w:rsid w:val="00AA55B7"/>
    <w:rsid w:val="00AA5B9E"/>
    <w:rsid w:val="00AB1DF8"/>
    <w:rsid w:val="00AB2407"/>
    <w:rsid w:val="00AB53DF"/>
    <w:rsid w:val="00AD024F"/>
    <w:rsid w:val="00AD64D2"/>
    <w:rsid w:val="00AD69E6"/>
    <w:rsid w:val="00AE391A"/>
    <w:rsid w:val="00AE4E35"/>
    <w:rsid w:val="00AE6FC0"/>
    <w:rsid w:val="00AF7345"/>
    <w:rsid w:val="00B07E5C"/>
    <w:rsid w:val="00B213F4"/>
    <w:rsid w:val="00B26A9A"/>
    <w:rsid w:val="00B27404"/>
    <w:rsid w:val="00B27CC9"/>
    <w:rsid w:val="00B311F9"/>
    <w:rsid w:val="00B35E74"/>
    <w:rsid w:val="00B5445E"/>
    <w:rsid w:val="00B625C0"/>
    <w:rsid w:val="00B811F7"/>
    <w:rsid w:val="00B825F9"/>
    <w:rsid w:val="00B8261A"/>
    <w:rsid w:val="00B90601"/>
    <w:rsid w:val="00B96618"/>
    <w:rsid w:val="00BA0650"/>
    <w:rsid w:val="00BA5DC6"/>
    <w:rsid w:val="00BA6196"/>
    <w:rsid w:val="00BB0F45"/>
    <w:rsid w:val="00BC4BE1"/>
    <w:rsid w:val="00BC6D8C"/>
    <w:rsid w:val="00BD3E19"/>
    <w:rsid w:val="00BE25D4"/>
    <w:rsid w:val="00BF1032"/>
    <w:rsid w:val="00BF1B4B"/>
    <w:rsid w:val="00BF234E"/>
    <w:rsid w:val="00C05C39"/>
    <w:rsid w:val="00C22855"/>
    <w:rsid w:val="00C25C8D"/>
    <w:rsid w:val="00C34006"/>
    <w:rsid w:val="00C36B4C"/>
    <w:rsid w:val="00C426B1"/>
    <w:rsid w:val="00C43C45"/>
    <w:rsid w:val="00C5034F"/>
    <w:rsid w:val="00C51F65"/>
    <w:rsid w:val="00C527C4"/>
    <w:rsid w:val="00C53F5E"/>
    <w:rsid w:val="00C560F8"/>
    <w:rsid w:val="00C629C1"/>
    <w:rsid w:val="00C65232"/>
    <w:rsid w:val="00C66160"/>
    <w:rsid w:val="00C70947"/>
    <w:rsid w:val="00C71199"/>
    <w:rsid w:val="00C721AC"/>
    <w:rsid w:val="00C75AFC"/>
    <w:rsid w:val="00C77526"/>
    <w:rsid w:val="00C81CAC"/>
    <w:rsid w:val="00C87627"/>
    <w:rsid w:val="00C90D6A"/>
    <w:rsid w:val="00CA247E"/>
    <w:rsid w:val="00CA6D21"/>
    <w:rsid w:val="00CB1915"/>
    <w:rsid w:val="00CC23A8"/>
    <w:rsid w:val="00CC72B6"/>
    <w:rsid w:val="00CE1D29"/>
    <w:rsid w:val="00CE3C23"/>
    <w:rsid w:val="00CE6688"/>
    <w:rsid w:val="00D0218D"/>
    <w:rsid w:val="00D05252"/>
    <w:rsid w:val="00D115D7"/>
    <w:rsid w:val="00D1527D"/>
    <w:rsid w:val="00D15A12"/>
    <w:rsid w:val="00D212CB"/>
    <w:rsid w:val="00D25FB5"/>
    <w:rsid w:val="00D3551A"/>
    <w:rsid w:val="00D44223"/>
    <w:rsid w:val="00D451F4"/>
    <w:rsid w:val="00D5425E"/>
    <w:rsid w:val="00D6194D"/>
    <w:rsid w:val="00D65EE5"/>
    <w:rsid w:val="00D732FC"/>
    <w:rsid w:val="00D75A3B"/>
    <w:rsid w:val="00D76468"/>
    <w:rsid w:val="00D876CE"/>
    <w:rsid w:val="00D90886"/>
    <w:rsid w:val="00DA0751"/>
    <w:rsid w:val="00DA2529"/>
    <w:rsid w:val="00DA468E"/>
    <w:rsid w:val="00DA7137"/>
    <w:rsid w:val="00DB130A"/>
    <w:rsid w:val="00DB2EBB"/>
    <w:rsid w:val="00DC10A1"/>
    <w:rsid w:val="00DC655F"/>
    <w:rsid w:val="00DD0B59"/>
    <w:rsid w:val="00DD245B"/>
    <w:rsid w:val="00DD399C"/>
    <w:rsid w:val="00DD42B4"/>
    <w:rsid w:val="00DD7EBD"/>
    <w:rsid w:val="00DE2477"/>
    <w:rsid w:val="00DE5368"/>
    <w:rsid w:val="00DE645A"/>
    <w:rsid w:val="00DF40E1"/>
    <w:rsid w:val="00DF62B6"/>
    <w:rsid w:val="00DF770E"/>
    <w:rsid w:val="00E01310"/>
    <w:rsid w:val="00E018F4"/>
    <w:rsid w:val="00E02754"/>
    <w:rsid w:val="00E07225"/>
    <w:rsid w:val="00E17F0E"/>
    <w:rsid w:val="00E256F0"/>
    <w:rsid w:val="00E274A5"/>
    <w:rsid w:val="00E434C0"/>
    <w:rsid w:val="00E5409F"/>
    <w:rsid w:val="00E64702"/>
    <w:rsid w:val="00E727BF"/>
    <w:rsid w:val="00E75A1E"/>
    <w:rsid w:val="00E807B9"/>
    <w:rsid w:val="00E82FC0"/>
    <w:rsid w:val="00E832B6"/>
    <w:rsid w:val="00E90AC8"/>
    <w:rsid w:val="00E97CC5"/>
    <w:rsid w:val="00EB77AA"/>
    <w:rsid w:val="00ED2D8C"/>
    <w:rsid w:val="00EE6488"/>
    <w:rsid w:val="00F021FA"/>
    <w:rsid w:val="00F14238"/>
    <w:rsid w:val="00F27C53"/>
    <w:rsid w:val="00F3289F"/>
    <w:rsid w:val="00F365C6"/>
    <w:rsid w:val="00F55C21"/>
    <w:rsid w:val="00F62E97"/>
    <w:rsid w:val="00F64209"/>
    <w:rsid w:val="00F7283B"/>
    <w:rsid w:val="00F72A1A"/>
    <w:rsid w:val="00F73A13"/>
    <w:rsid w:val="00F77830"/>
    <w:rsid w:val="00F86F5B"/>
    <w:rsid w:val="00F93BF5"/>
    <w:rsid w:val="00FA6819"/>
    <w:rsid w:val="00FB3577"/>
    <w:rsid w:val="00FC32A4"/>
    <w:rsid w:val="00FE601A"/>
    <w:rsid w:val="00FF0804"/>
    <w:rsid w:val="00FF2D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9BBC05"/>
  <w15:chartTrackingRefBased/>
  <w15:docId w15:val="{48C7F419-8D2E-42E1-ADD4-05C5296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990"/>
        <w:tab w:val="num" w:pos="1440"/>
      </w:tabs>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2C41C4"/>
    <w:rPr>
      <w:i/>
      <w:iCs/>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2C41C4"/>
  </w:style>
  <w:style w:type="paragraph" w:customStyle="1" w:styleId="AppNum">
    <w:name w:val="App Num"/>
    <w:basedOn w:val="Normal"/>
    <w:rsid w:val="002C41C4"/>
    <w:pPr>
      <w:numPr>
        <w:numId w:val="8"/>
      </w:numPr>
    </w:pPr>
    <w:rPr>
      <w:rFonts w:ascii="Courier New" w:hAnsi="Courier New"/>
      <w:kern w:val="0"/>
      <w:sz w:val="24"/>
    </w:rPr>
  </w:style>
  <w:style w:type="character" w:customStyle="1" w:styleId="ParaNumChar1">
    <w:name w:val="ParaNum Char1"/>
    <w:link w:val="ParaNum"/>
    <w:locked/>
    <w:rsid w:val="002C41C4"/>
    <w:rPr>
      <w:snapToGrid w:val="0"/>
      <w:kern w:val="28"/>
      <w:sz w:val="22"/>
    </w:rPr>
  </w:style>
  <w:style w:type="paragraph" w:styleId="ListParagraph">
    <w:name w:val="List Paragraph"/>
    <w:basedOn w:val="Normal"/>
    <w:uiPriority w:val="34"/>
    <w:qFormat/>
    <w:rsid w:val="002C41C4"/>
    <w:pPr>
      <w:ind w:left="720"/>
      <w:contextualSpacing/>
    </w:pPr>
  </w:style>
  <w:style w:type="paragraph" w:styleId="BalloonText">
    <w:name w:val="Balloon Text"/>
    <w:basedOn w:val="Normal"/>
    <w:link w:val="BalloonTextChar"/>
    <w:rsid w:val="00D6194D"/>
    <w:rPr>
      <w:rFonts w:ascii="Segoe UI" w:hAnsi="Segoe UI" w:cs="Segoe UI"/>
      <w:sz w:val="18"/>
      <w:szCs w:val="18"/>
    </w:rPr>
  </w:style>
  <w:style w:type="character" w:customStyle="1" w:styleId="BalloonTextChar">
    <w:name w:val="Balloon Text Char"/>
    <w:basedOn w:val="DefaultParagraphFont"/>
    <w:link w:val="BalloonText"/>
    <w:rsid w:val="00D6194D"/>
    <w:rPr>
      <w:rFonts w:ascii="Segoe UI" w:hAnsi="Segoe UI" w:cs="Segoe UI"/>
      <w:snapToGrid w:val="0"/>
      <w:kern w:val="28"/>
      <w:sz w:val="18"/>
      <w:szCs w:val="18"/>
    </w:rPr>
  </w:style>
  <w:style w:type="character" w:styleId="CommentReference">
    <w:name w:val="annotation reference"/>
    <w:basedOn w:val="DefaultParagraphFont"/>
    <w:rsid w:val="003B2442"/>
    <w:rPr>
      <w:sz w:val="16"/>
      <w:szCs w:val="16"/>
    </w:rPr>
  </w:style>
  <w:style w:type="paragraph" w:styleId="CommentText">
    <w:name w:val="annotation text"/>
    <w:basedOn w:val="Normal"/>
    <w:link w:val="CommentTextChar"/>
    <w:rsid w:val="003B2442"/>
    <w:rPr>
      <w:sz w:val="20"/>
    </w:rPr>
  </w:style>
  <w:style w:type="character" w:customStyle="1" w:styleId="CommentTextChar">
    <w:name w:val="Comment Text Char"/>
    <w:basedOn w:val="DefaultParagraphFont"/>
    <w:link w:val="CommentText"/>
    <w:rsid w:val="003B2442"/>
    <w:rPr>
      <w:snapToGrid w:val="0"/>
      <w:kern w:val="28"/>
    </w:rPr>
  </w:style>
  <w:style w:type="paragraph" w:styleId="CommentSubject">
    <w:name w:val="annotation subject"/>
    <w:basedOn w:val="CommentText"/>
    <w:next w:val="CommentText"/>
    <w:link w:val="CommentSubjectChar"/>
    <w:rsid w:val="003B2442"/>
    <w:rPr>
      <w:b/>
      <w:bCs/>
    </w:rPr>
  </w:style>
  <w:style w:type="character" w:customStyle="1" w:styleId="CommentSubjectChar">
    <w:name w:val="Comment Subject Char"/>
    <w:basedOn w:val="CommentTextChar"/>
    <w:link w:val="CommentSubject"/>
    <w:rsid w:val="003B2442"/>
    <w:rPr>
      <w:b/>
      <w:bCs/>
      <w:snapToGrid w:val="0"/>
      <w:kern w:val="28"/>
    </w:rPr>
  </w:style>
  <w:style w:type="paragraph" w:styleId="Revision">
    <w:name w:val="Revision"/>
    <w:hidden/>
    <w:uiPriority w:val="99"/>
    <w:semiHidden/>
    <w:rsid w:val="00F86F5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