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0FD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51ED8B47">
            <w:pPr>
              <w:tabs>
                <w:tab w:val="center" w:pos="4680"/>
              </w:tabs>
              <w:suppressAutoHyphens/>
              <w:rPr>
                <w:spacing w:val="-2"/>
              </w:rPr>
            </w:pPr>
            <w:r w:rsidRPr="00E208EC">
              <w:rPr>
                <w:spacing w:val="-2"/>
              </w:rPr>
              <w:t>(</w:t>
            </w:r>
            <w:r w:rsidR="00315E45">
              <w:rPr>
                <w:spacing w:val="-2"/>
              </w:rPr>
              <w:t>Hampton</w:t>
            </w:r>
            <w:r w:rsidR="00177BB1">
              <w:rPr>
                <w:spacing w:val="-2"/>
              </w:rPr>
              <w:t xml:space="preserve">, </w:t>
            </w:r>
            <w:r w:rsidR="00315E45">
              <w:rPr>
                <w:spacing w:val="-2"/>
              </w:rPr>
              <w:t>Virginia</w:t>
            </w:r>
            <w:r w:rsidR="00177BB1">
              <w:rPr>
                <w:spacing w:val="-2"/>
              </w:rPr>
              <w:t>)</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09F07D36">
            <w:pPr>
              <w:pStyle w:val="TOAHeading"/>
              <w:tabs>
                <w:tab w:val="center" w:pos="4680"/>
              </w:tabs>
              <w:rPr>
                <w:spacing w:val="-2"/>
              </w:rPr>
            </w:pPr>
            <w:r w:rsidRPr="009F2562">
              <w:rPr>
                <w:spacing w:val="-2"/>
              </w:rPr>
              <w:t>MB Docket No. 2</w:t>
            </w:r>
            <w:r w:rsidR="00A51D18">
              <w:rPr>
                <w:spacing w:val="-2"/>
              </w:rPr>
              <w:t>2</w:t>
            </w:r>
            <w:r w:rsidRPr="009F2562">
              <w:rPr>
                <w:spacing w:val="-2"/>
              </w:rPr>
              <w:t>-</w:t>
            </w:r>
            <w:r w:rsidR="0099751F">
              <w:rPr>
                <w:spacing w:val="-2"/>
              </w:rPr>
              <w:t>151</w:t>
            </w:r>
          </w:p>
          <w:p w:rsidR="004C2EE3" w:rsidP="009F2562" w14:paraId="0616FE0C" w14:textId="1F3D5798">
            <w:pPr>
              <w:tabs>
                <w:tab w:val="center" w:pos="4680"/>
              </w:tabs>
              <w:suppressAutoHyphens/>
              <w:rPr>
                <w:spacing w:val="-2"/>
              </w:rPr>
            </w:pPr>
            <w:r w:rsidRPr="009F2562">
              <w:rPr>
                <w:spacing w:val="-2"/>
              </w:rPr>
              <w:t>RM-</w:t>
            </w:r>
            <w:r w:rsidR="0032122C">
              <w:rPr>
                <w:spacing w:val="-2"/>
              </w:rPr>
              <w:t>1</w:t>
            </w:r>
            <w:r w:rsidR="00D21A7E">
              <w:rPr>
                <w:spacing w:val="-2"/>
              </w:rPr>
              <w:t>19</w:t>
            </w:r>
            <w:r w:rsidR="0099751F">
              <w:rPr>
                <w:spacing w:val="-2"/>
              </w:rPr>
              <w:t>27</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640D156F">
      <w:pPr>
        <w:tabs>
          <w:tab w:val="left" w:pos="720"/>
          <w:tab w:val="right" w:pos="9360"/>
        </w:tabs>
        <w:suppressAutoHyphens/>
        <w:spacing w:line="227" w:lineRule="auto"/>
        <w:rPr>
          <w:b/>
          <w:spacing w:val="-2"/>
        </w:rPr>
      </w:pPr>
      <w:r>
        <w:rPr>
          <w:b/>
          <w:spacing w:val="-2"/>
        </w:rPr>
        <w:t xml:space="preserve">Adopted:  </w:t>
      </w:r>
      <w:r w:rsidR="00315E45">
        <w:rPr>
          <w:b/>
          <w:spacing w:val="-2"/>
        </w:rPr>
        <w:t>April</w:t>
      </w:r>
      <w:r w:rsidR="001B3C84">
        <w:rPr>
          <w:b/>
          <w:spacing w:val="-2"/>
        </w:rPr>
        <w:t xml:space="preserve"> </w:t>
      </w:r>
      <w:r w:rsidR="0099751F">
        <w:rPr>
          <w:b/>
          <w:spacing w:val="-2"/>
        </w:rPr>
        <w:t>13</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5E45">
        <w:rPr>
          <w:b/>
          <w:spacing w:val="-2"/>
        </w:rPr>
        <w:t>April</w:t>
      </w:r>
      <w:r w:rsidR="001B3C84">
        <w:rPr>
          <w:b/>
          <w:spacing w:val="-2"/>
        </w:rPr>
        <w:t xml:space="preserve"> </w:t>
      </w:r>
      <w:r w:rsidR="0099751F">
        <w:rPr>
          <w:b/>
          <w:spacing w:val="-2"/>
        </w:rPr>
        <w:t>13</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9F2562" w:rsidP="000E7316" w14:paraId="5C44B886" w14:textId="0D45C683">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315E45">
        <w:t>March</w:t>
      </w:r>
      <w:r w:rsidR="00177BB1">
        <w:t xml:space="preserve"> </w:t>
      </w:r>
      <w:r w:rsidR="00315E45">
        <w:t>3</w:t>
      </w:r>
      <w:r w:rsidR="00622665">
        <w:t>1</w:t>
      </w:r>
      <w:r w:rsidRPr="00E208EC">
        <w:t>, 202</w:t>
      </w:r>
      <w:r w:rsidR="00B771B4">
        <w:t>2</w:t>
      </w:r>
      <w:r w:rsidRPr="00E208EC">
        <w:t xml:space="preserve"> by</w:t>
      </w:r>
      <w:r w:rsidR="0028593A">
        <w:t xml:space="preserve"> WVEC Television,</w:t>
      </w:r>
      <w:r w:rsidR="00177BB1">
        <w:t xml:space="preserve"> L</w:t>
      </w:r>
      <w:r w:rsidR="00B67795">
        <w:t>L</w:t>
      </w:r>
      <w:r w:rsidR="00177BB1">
        <w:t>C</w:t>
      </w:r>
      <w:r w:rsidRPr="00E208EC">
        <w:t xml:space="preserve"> (</w:t>
      </w:r>
      <w:r w:rsidR="00152670">
        <w:t>Petitioner</w:t>
      </w:r>
      <w:r w:rsidRPr="00E208EC">
        <w:t xml:space="preserve">), the licensee of </w:t>
      </w:r>
      <w:r w:rsidR="0028593A">
        <w:t>WVEC</w:t>
      </w:r>
      <w:r w:rsidR="00885FF7">
        <w:t>(TV)</w:t>
      </w:r>
      <w:r w:rsidR="00642828">
        <w:t xml:space="preserve"> (</w:t>
      </w:r>
      <w:r w:rsidR="00885FF7">
        <w:t xml:space="preserve">WVEC or </w:t>
      </w:r>
      <w:r w:rsidR="00597FED">
        <w:t>Station</w:t>
      </w:r>
      <w:r w:rsidR="00642828">
        <w:t>)</w:t>
      </w:r>
      <w:r w:rsidRPr="00E208EC">
        <w:t xml:space="preserve">, channel </w:t>
      </w:r>
      <w:r w:rsidR="0028593A">
        <w:t>11</w:t>
      </w:r>
      <w:r w:rsidRPr="00E208EC">
        <w:t xml:space="preserve">, </w:t>
      </w:r>
      <w:r w:rsidR="00315E45">
        <w:t>Hampton</w:t>
      </w:r>
      <w:r w:rsidR="00C60BBF">
        <w:t xml:space="preserve">, </w:t>
      </w:r>
      <w:r w:rsidR="00315E45">
        <w:t>Virginia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28593A">
        <w:t>35</w:t>
      </w:r>
      <w:r w:rsidRPr="00E208EC">
        <w:t xml:space="preserve"> for channel</w:t>
      </w:r>
      <w:r w:rsidR="00383006">
        <w:t xml:space="preserve"> </w:t>
      </w:r>
      <w:r w:rsidR="0028593A">
        <w:t>11</w:t>
      </w:r>
      <w:r w:rsidRPr="00E208EC">
        <w:t xml:space="preserve"> at </w:t>
      </w:r>
      <w:r w:rsidR="00315E45">
        <w:t>Hampton</w:t>
      </w:r>
      <w:r w:rsidR="00C60BBF">
        <w:t xml:space="preserve">, </w:t>
      </w:r>
      <w:r w:rsidR="00315E45">
        <w:t>Virginia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367D85A" w14:textId="77777777">
      <w:pPr>
        <w:pStyle w:val="Heading1"/>
        <w:keepNext w:val="0"/>
        <w:suppressAutoHyphens w:val="0"/>
      </w:pPr>
      <w:r>
        <w:t>Background</w:t>
      </w:r>
    </w:p>
    <w:p w:rsidR="009F2562" w:rsidP="006F7965" w14:paraId="51E3CF35" w14:textId="5CA497F5">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5"/>
      </w:r>
      <w:r w:rsidR="00F74838">
        <w:t xml:space="preserve">  According to the Petitioner, it has received many complaints from viewers unable to receive a reliable signal on channel </w:t>
      </w:r>
      <w:r w:rsidR="00791925">
        <w:t>11</w:t>
      </w:r>
      <w:r w:rsidR="00684401">
        <w:t>, despite being able to receive the NBC, CBS, and FOX network affiliates in the Norfolk, Virginia market, all of which operate on UHF channels</w:t>
      </w:r>
      <w:r w:rsidR="00F74838">
        <w:t>.</w:t>
      </w:r>
      <w:r>
        <w:rPr>
          <w:rStyle w:val="FootnoteReference"/>
        </w:rPr>
        <w:footnoteReference w:id="6"/>
      </w:r>
      <w:r w:rsidR="00F42454">
        <w:t xml:space="preserve"> </w:t>
      </w:r>
      <w:r w:rsidR="00CB4F8A">
        <w:t xml:space="preserve"> </w:t>
      </w:r>
      <w:bookmarkStart w:id="0" w:name="_Hlk95933709"/>
      <w:r w:rsidR="00684401">
        <w:t>The proposed channel change would not cause any loss of service to viewers of</w:t>
      </w:r>
      <w:r w:rsidR="004524F1">
        <w:t xml:space="preserve"> WVEC’s existing coverage area.</w:t>
      </w:r>
      <w:r>
        <w:rPr>
          <w:rStyle w:val="FootnoteReference"/>
        </w:rPr>
        <w:footnoteReference w:id="7"/>
      </w:r>
    </w:p>
    <w:bookmarkEnd w:id="0"/>
    <w:p w:rsidR="006F1759" w:rsidP="000E7316" w14:paraId="2B910E47" w14:textId="77777777">
      <w:pPr>
        <w:pStyle w:val="Heading1"/>
        <w:keepNext w:val="0"/>
        <w:suppressAutoHyphens w:val="0"/>
      </w:pPr>
      <w:r w:rsidRPr="009F2562">
        <w:t>Discussion</w:t>
      </w:r>
      <w:r>
        <w:t xml:space="preserve"> </w:t>
      </w:r>
    </w:p>
    <w:p w:rsidR="00E208EC" w:rsidRPr="00E208EC" w:rsidP="00C82A34" w14:paraId="76DD9474" w14:textId="5B41E76A">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003626">
        <w:t>35</w:t>
      </w:r>
      <w:r w:rsidRPr="00E208EC">
        <w:t xml:space="preserve"> can be substituted for channel </w:t>
      </w:r>
      <w:r w:rsidR="00003626">
        <w:t>11</w:t>
      </w:r>
      <w:r w:rsidR="00971617">
        <w:t xml:space="preserve"> </w:t>
      </w:r>
      <w:r w:rsidRPr="00E208EC">
        <w:t>at</w:t>
      </w:r>
      <w:r w:rsidR="0003725D">
        <w:t xml:space="preserve"> </w:t>
      </w:r>
      <w:r w:rsidR="00315E45">
        <w:t>Hampton</w:t>
      </w:r>
      <w:r w:rsidR="0003725D">
        <w:t xml:space="preserve">, </w:t>
      </w:r>
      <w:r w:rsidR="00315E45">
        <w:t>Virginia</w:t>
      </w:r>
      <w:r w:rsidRPr="00E208EC">
        <w:t>, as proposed, in compliance with the principal community coverage requirements of section 73.625(a) of the Commission’s rule</w:t>
      </w:r>
      <w:r w:rsidR="00F916B0">
        <w:t>s (rules)</w:t>
      </w:r>
      <w:r w:rsidR="000E7316">
        <w:t>,</w:t>
      </w:r>
      <w:r>
        <w:rPr>
          <w:vertAlign w:val="superscript"/>
        </w:rPr>
        <w:footnoteReference w:id="8"/>
      </w:r>
      <w:r w:rsidRPr="00E208EC">
        <w:t xml:space="preserve"> at coordinates</w:t>
      </w:r>
      <w:r w:rsidR="006964AB">
        <w:t xml:space="preserve"> </w:t>
      </w:r>
      <w:r w:rsidR="00865ED7">
        <w:rPr>
          <w:snapToGrid/>
          <w:kern w:val="0"/>
          <w:szCs w:val="22"/>
        </w:rPr>
        <w:t>36</w:t>
      </w:r>
      <w:r w:rsidRPr="004F0BC4" w:rsidR="006964AB">
        <w:rPr>
          <w:snapToGrid/>
          <w:kern w:val="0"/>
          <w:szCs w:val="22"/>
        </w:rPr>
        <w:t xml:space="preserve">° </w:t>
      </w:r>
      <w:r w:rsidR="00865ED7">
        <w:rPr>
          <w:snapToGrid/>
          <w:kern w:val="0"/>
          <w:szCs w:val="22"/>
        </w:rPr>
        <w:t>49</w:t>
      </w:r>
      <w:r w:rsidRPr="004F0BC4" w:rsidR="006964AB">
        <w:rPr>
          <w:snapToGrid/>
          <w:kern w:val="0"/>
          <w:szCs w:val="22"/>
        </w:rPr>
        <w:t xml:space="preserve">' </w:t>
      </w:r>
      <w:r w:rsidR="004A449C">
        <w:rPr>
          <w:snapToGrid/>
          <w:kern w:val="0"/>
          <w:szCs w:val="22"/>
        </w:rPr>
        <w:t>0</w:t>
      </w:r>
      <w:r w:rsidR="00865ED7">
        <w:rPr>
          <w:snapToGrid/>
          <w:kern w:val="0"/>
          <w:szCs w:val="22"/>
        </w:rPr>
        <w:t>0</w:t>
      </w:r>
      <w:r w:rsidR="004A449C">
        <w:rPr>
          <w:snapToGrid/>
          <w:kern w:val="0"/>
          <w:szCs w:val="22"/>
        </w:rPr>
        <w:t>.</w:t>
      </w:r>
      <w:r w:rsidR="00865ED7">
        <w:rPr>
          <w:snapToGrid/>
          <w:kern w:val="0"/>
          <w:szCs w:val="22"/>
        </w:rPr>
        <w:t>0</w:t>
      </w:r>
      <w:r w:rsidRPr="004F0BC4" w:rsidR="006964AB">
        <w:rPr>
          <w:snapToGrid/>
          <w:kern w:val="0"/>
          <w:szCs w:val="22"/>
        </w:rPr>
        <w:t xml:space="preserve">" N and </w:t>
      </w:r>
      <w:r w:rsidR="00865ED7">
        <w:rPr>
          <w:snapToGrid/>
          <w:kern w:val="0"/>
          <w:szCs w:val="22"/>
        </w:rPr>
        <w:t>76</w:t>
      </w:r>
      <w:r w:rsidRPr="004F0BC4" w:rsidR="006964AB">
        <w:rPr>
          <w:snapToGrid/>
          <w:kern w:val="0"/>
          <w:szCs w:val="22"/>
        </w:rPr>
        <w:t xml:space="preserve">° </w:t>
      </w:r>
      <w:r w:rsidR="00865ED7">
        <w:rPr>
          <w:snapToGrid/>
          <w:kern w:val="0"/>
          <w:szCs w:val="22"/>
        </w:rPr>
        <w:t>28</w:t>
      </w:r>
      <w:r w:rsidRPr="004F0BC4" w:rsidR="006964AB">
        <w:rPr>
          <w:snapToGrid/>
          <w:kern w:val="0"/>
          <w:szCs w:val="22"/>
        </w:rPr>
        <w:t xml:space="preserve">' </w:t>
      </w:r>
      <w:r w:rsidR="004A449C">
        <w:rPr>
          <w:snapToGrid/>
          <w:kern w:val="0"/>
          <w:szCs w:val="22"/>
        </w:rPr>
        <w:t>0</w:t>
      </w:r>
      <w:r w:rsidR="00865ED7">
        <w:rPr>
          <w:snapToGrid/>
          <w:kern w:val="0"/>
          <w:szCs w:val="22"/>
        </w:rPr>
        <w:t>5</w:t>
      </w:r>
      <w:r w:rsidR="00EF21D5">
        <w:rPr>
          <w:snapToGrid/>
          <w:kern w:val="0"/>
          <w:szCs w:val="22"/>
        </w:rPr>
        <w:t>.</w:t>
      </w:r>
      <w:r w:rsidR="00865ED7">
        <w:rPr>
          <w:snapToGrid/>
          <w:kern w:val="0"/>
          <w:szCs w:val="22"/>
        </w:rPr>
        <w:t>0</w:t>
      </w:r>
      <w:r w:rsidRPr="004F0BC4" w:rsidR="006964AB">
        <w:rPr>
          <w:snapToGrid/>
          <w:kern w:val="0"/>
          <w:szCs w:val="22"/>
        </w:rPr>
        <w:t>" W</w:t>
      </w:r>
      <w:r w:rsidRPr="000038B7" w:rsidR="006964AB">
        <w:rPr>
          <w:snapToGrid/>
          <w:kern w:val="0"/>
          <w:szCs w:val="22"/>
        </w:rPr>
        <w:t>.</w:t>
      </w:r>
      <w:r w:rsidRPr="00E208EC">
        <w:t xml:space="preserve">  </w:t>
      </w:r>
      <w:r w:rsidR="00885FF7">
        <w:t>The proposal will not result in any loss</w:t>
      </w:r>
      <w:r w:rsidR="00F82E56">
        <w:t xml:space="preserve"> of service</w:t>
      </w:r>
      <w:r w:rsidR="00885FF7">
        <w:t xml:space="preserve"> </w:t>
      </w:r>
      <w:r w:rsidR="0026155A">
        <w:t>to</w:t>
      </w:r>
      <w:r w:rsidR="00885FF7">
        <w:t xml:space="preserve"> </w:t>
      </w:r>
      <w:r w:rsidR="00885FF7">
        <w:t xml:space="preserve">existing viewers.  </w:t>
      </w:r>
      <w:r w:rsidRPr="00E208EC">
        <w:t xml:space="preserve">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t>
      </w:r>
      <w:r w:rsidR="008000E4">
        <w:t xml:space="preserve"> </w:t>
      </w:r>
      <w:r w:rsidR="00057665">
        <w:t>Thus,</w:t>
      </w:r>
      <w:r w:rsidR="008000E4">
        <w:t xml:space="preserve"> </w:t>
      </w:r>
      <w:r w:rsidR="00464494">
        <w:t>w</w:t>
      </w:r>
      <w:r w:rsidRPr="00E208EC">
        <w:t xml:space="preserve">e propose to substitute channel </w:t>
      </w:r>
      <w:r w:rsidR="00A22B86">
        <w:t>35</w:t>
      </w:r>
      <w:r w:rsidR="003532A0">
        <w:t xml:space="preserve"> </w:t>
      </w:r>
      <w:r w:rsidRPr="00E208EC">
        <w:t xml:space="preserve">for channel </w:t>
      </w:r>
      <w:r w:rsidR="000767AE">
        <w:t xml:space="preserve">11 </w:t>
      </w:r>
      <w:r w:rsidRPr="00E208EC">
        <w:t xml:space="preserve">for </w:t>
      </w:r>
      <w:r w:rsidR="00B67795">
        <w:t>WVEC</w:t>
      </w:r>
      <w:r w:rsidR="00173164">
        <w:t xml:space="preserve"> </w:t>
      </w:r>
      <w:r w:rsidRPr="00E208EC">
        <w:t>with the following specifications:</w:t>
      </w:r>
    </w:p>
    <w:p w:rsidR="00E208EC" w:rsidRPr="00E208EC" w:rsidP="00C82A34" w14:paraId="2D951E1A" w14:textId="77777777">
      <w:pPr>
        <w:pStyle w:val="ParaNum"/>
        <w:numPr>
          <w:ilvl w:val="0"/>
          <w:numId w:val="0"/>
        </w:numPr>
        <w:ind w:firstLine="720"/>
      </w:pPr>
      <w:r w:rsidRPr="00E208EC">
        <w:rPr>
          <w:u w:val="single"/>
        </w:rPr>
        <w:t>City and State</w:t>
      </w:r>
      <w:r w:rsidRPr="00E208EC">
        <w:tab/>
      </w:r>
      <w:r w:rsidRPr="00E208EC">
        <w:tab/>
      </w:r>
      <w:r w:rsidR="00281766">
        <w:rPr>
          <w:u w:val="single"/>
        </w:rPr>
        <w:t xml:space="preserve">Television </w:t>
      </w:r>
      <w:r w:rsidRPr="00E208EC">
        <w:rPr>
          <w:u w:val="single"/>
        </w:rPr>
        <w:t>Channel</w:t>
      </w:r>
      <w:r w:rsidRPr="00E208EC">
        <w:tab/>
      </w:r>
      <w:r w:rsidRPr="00E208EC">
        <w:rPr>
          <w:u w:val="single"/>
        </w:rPr>
        <w:t>Power (kW)</w:t>
      </w:r>
      <w:r w:rsidRPr="00E208EC">
        <w:tab/>
      </w:r>
      <w:r w:rsidRPr="00E208EC">
        <w:rPr>
          <w:u w:val="single"/>
        </w:rPr>
        <w:t>Antenna HAAT (m)</w:t>
      </w:r>
    </w:p>
    <w:p w:rsidR="00E208EC" w:rsidP="00F76835" w14:paraId="4CB09DF1" w14:textId="09173A22">
      <w:pPr>
        <w:pStyle w:val="ParaNum"/>
        <w:numPr>
          <w:ilvl w:val="0"/>
          <w:numId w:val="0"/>
        </w:numPr>
        <w:ind w:firstLine="720"/>
      </w:pPr>
      <w:r>
        <w:t>Hampton</w:t>
      </w:r>
      <w:r w:rsidR="00B90C9B">
        <w:t xml:space="preserve">, </w:t>
      </w:r>
      <w:r>
        <w:t>Virginia</w:t>
      </w:r>
      <w:r w:rsidRPr="00E208EC" w:rsidR="00C27AF2">
        <w:tab/>
      </w:r>
      <w:r w:rsidR="007C16F4">
        <w:tab/>
      </w:r>
      <w:r w:rsidR="00003626">
        <w:t>35</w:t>
      </w:r>
      <w:r w:rsidRPr="00E208EC" w:rsidR="00C27AF2">
        <w:tab/>
      </w:r>
      <w:r w:rsidRPr="00E208EC" w:rsidR="00C27AF2">
        <w:tab/>
      </w:r>
      <w:r w:rsidR="00904DB0">
        <w:t xml:space="preserve">   </w:t>
      </w:r>
      <w:r w:rsidR="004F0BC4">
        <w:t xml:space="preserve">  </w:t>
      </w:r>
      <w:r w:rsidR="00003626">
        <w:t>1000</w:t>
      </w:r>
      <w:r w:rsidRPr="00E208EC" w:rsidR="004F0BC4">
        <w:tab/>
      </w:r>
      <w:r w:rsidR="00E0383D">
        <w:tab/>
      </w:r>
      <w:r w:rsidR="004A449C">
        <w:tab/>
      </w:r>
      <w:r w:rsidR="00003626">
        <w:t>363.9</w:t>
      </w:r>
    </w:p>
    <w:p w:rsidR="00E208EC" w:rsidRPr="005D3FB0" w:rsidP="00F76835" w14:paraId="2EA7FFDE" w14:textId="77777777">
      <w:pPr>
        <w:pStyle w:val="ParaNum"/>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F76835" w14:paraId="7E0FAEE7"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F76835" w14:paraId="3AB5CA28"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F76835" w14:paraId="6B192C48" w14:textId="15EF804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Hampton</w:t>
      </w:r>
      <w:r w:rsidR="00B90C9B">
        <w:rPr>
          <w:rFonts w:ascii="Times New Roman" w:hAnsi="Times New Roman"/>
          <w:spacing w:val="-3"/>
          <w:sz w:val="22"/>
          <w:szCs w:val="22"/>
        </w:rPr>
        <w:t xml:space="preserve">, </w:t>
      </w:r>
      <w:r>
        <w:rPr>
          <w:rFonts w:ascii="Times New Roman" w:hAnsi="Times New Roman"/>
          <w:spacing w:val="-3"/>
          <w:sz w:val="22"/>
          <w:szCs w:val="22"/>
        </w:rPr>
        <w:t>Virginia</w:t>
      </w:r>
      <w:r w:rsidR="00C27AF2">
        <w:rPr>
          <w:rFonts w:ascii="Times New Roman" w:hAnsi="Times New Roman"/>
          <w:spacing w:val="-3"/>
          <w:sz w:val="22"/>
          <w:szCs w:val="22"/>
        </w:rPr>
        <w:tab/>
      </w:r>
      <w:r w:rsidR="00B90C9B">
        <w:rPr>
          <w:rFonts w:ascii="Times New Roman" w:hAnsi="Times New Roman"/>
          <w:spacing w:val="-3"/>
          <w:sz w:val="22"/>
          <w:szCs w:val="22"/>
        </w:rPr>
        <w:tab/>
      </w:r>
      <w:r w:rsidR="00B771B4">
        <w:rPr>
          <w:rFonts w:ascii="Times New Roman" w:hAnsi="Times New Roman"/>
          <w:spacing w:val="-3"/>
          <w:sz w:val="22"/>
          <w:szCs w:val="22"/>
        </w:rPr>
        <w:t xml:space="preserve">   11</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B771B4">
        <w:rPr>
          <w:rFonts w:ascii="Times New Roman" w:hAnsi="Times New Roman"/>
          <w:spacing w:val="-3"/>
          <w:sz w:val="22"/>
          <w:szCs w:val="22"/>
        </w:rPr>
        <w:tab/>
        <w:t xml:space="preserve">    35</w:t>
      </w:r>
      <w:r w:rsidR="000E46B2">
        <w:rPr>
          <w:rFonts w:ascii="Times New Roman" w:hAnsi="Times New Roman"/>
          <w:spacing w:val="-3"/>
          <w:sz w:val="22"/>
          <w:szCs w:val="22"/>
        </w:rPr>
        <w:tab/>
      </w:r>
    </w:p>
    <w:bookmarkEnd w:id="2"/>
    <w:p w:rsidR="00787DB6" w:rsidRPr="005E3497" w:rsidP="00F76835" w14:paraId="3FC4B87F" w14:textId="77777777">
      <w:pPr>
        <w:pStyle w:val="Heading1"/>
      </w:pPr>
      <w:r>
        <w:t>Procedural matters</w:t>
      </w:r>
    </w:p>
    <w:p w:rsidR="00787DB6" w:rsidRPr="009F2562" w:rsidP="003D020A" w14:paraId="78E6C12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49340D" w14:paraId="2EA35101" w14:textId="77777777">
      <w:pPr>
        <w:pStyle w:val="ParaNum"/>
        <w:widowControl/>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F76835" w14:paraId="61035AF9" w14:textId="77777777">
      <w:pPr>
        <w:widowControl/>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123286" w:rsidP="00123286" w14:paraId="58C5E057"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0E7316" w14:paraId="3860F6A4" w14:textId="655C2879">
      <w:pPr>
        <w:pStyle w:val="ParaNum"/>
        <w:keepNext/>
        <w:keepLines/>
        <w:widowControl/>
        <w:numPr>
          <w:ilvl w:val="0"/>
          <w:numId w:val="0"/>
        </w:numPr>
        <w:spacing w:after="0"/>
        <w:ind w:left="720"/>
      </w:pPr>
      <w:r>
        <w:t>Michael Beder</w:t>
      </w:r>
      <w:r w:rsidR="00C27AF2">
        <w:t xml:space="preserve">, Esq. </w:t>
      </w:r>
    </w:p>
    <w:p w:rsidR="00CE5579" w:rsidP="000E7316" w14:paraId="7AE2D408" w14:textId="73707B48">
      <w:pPr>
        <w:pStyle w:val="ParaNum"/>
        <w:keepNext/>
        <w:keepLines/>
        <w:widowControl/>
        <w:numPr>
          <w:ilvl w:val="0"/>
          <w:numId w:val="0"/>
        </w:numPr>
        <w:spacing w:after="0"/>
        <w:ind w:left="720"/>
      </w:pPr>
      <w:r>
        <w:t>Associate General Counsel</w:t>
      </w:r>
    </w:p>
    <w:p w:rsidR="00CE5579" w:rsidP="000E7316" w14:paraId="6AED2AAB" w14:textId="670CF11A">
      <w:pPr>
        <w:pStyle w:val="ParaNum"/>
        <w:keepNext/>
        <w:keepLines/>
        <w:widowControl/>
        <w:numPr>
          <w:ilvl w:val="0"/>
          <w:numId w:val="0"/>
        </w:numPr>
        <w:spacing w:after="0"/>
        <w:ind w:left="720"/>
      </w:pPr>
      <w:r>
        <w:t>TEGNA, Inc.</w:t>
      </w:r>
    </w:p>
    <w:p w:rsidR="000767AE" w:rsidP="009F53E2" w14:paraId="504AED5C" w14:textId="367A31B4">
      <w:pPr>
        <w:pStyle w:val="ParaNum"/>
        <w:keepNext/>
        <w:keepLines/>
        <w:widowControl/>
        <w:numPr>
          <w:ilvl w:val="0"/>
          <w:numId w:val="0"/>
        </w:numPr>
        <w:spacing w:after="0"/>
        <w:ind w:left="720"/>
      </w:pPr>
      <w:r>
        <w:t>8350 Broad Street</w:t>
      </w:r>
    </w:p>
    <w:p w:rsidR="00CE5579" w:rsidP="009F53E2" w14:paraId="278AD463" w14:textId="44FA4478">
      <w:pPr>
        <w:pStyle w:val="ParaNum"/>
        <w:keepNext/>
        <w:keepLines/>
        <w:widowControl/>
        <w:numPr>
          <w:ilvl w:val="0"/>
          <w:numId w:val="0"/>
        </w:numPr>
        <w:spacing w:after="0"/>
        <w:ind w:left="720"/>
      </w:pPr>
      <w:r>
        <w:t>Suite 2000</w:t>
      </w:r>
    </w:p>
    <w:p w:rsidR="000767AE" w:rsidP="000767AE" w14:paraId="1A60BE5F" w14:textId="3B23BED1">
      <w:pPr>
        <w:pStyle w:val="ParaNum"/>
        <w:keepNext/>
        <w:keepLines/>
        <w:widowControl/>
        <w:numPr>
          <w:ilvl w:val="0"/>
          <w:numId w:val="0"/>
        </w:numPr>
        <w:ind w:firstLine="720"/>
      </w:pPr>
      <w:r>
        <w:t>Tysons, Virginia  22102</w:t>
      </w:r>
    </w:p>
    <w:p w:rsidR="000767AE" w:rsidRPr="00CE5579" w:rsidP="000E7316" w14:paraId="51F6EFF2" w14:textId="77777777">
      <w:pPr>
        <w:pStyle w:val="ParaNum"/>
        <w:keepNext/>
        <w:keepLines/>
        <w:widowControl/>
        <w:numPr>
          <w:ilvl w:val="0"/>
          <w:numId w:val="0"/>
        </w:numPr>
        <w:ind w:left="720"/>
      </w:pPr>
    </w:p>
    <w:p w:rsidR="00787DB6" w:rsidP="000E7316" w14:paraId="1402B3F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F76835" w14:paraId="46BE7740" w14:textId="77777777">
      <w:pPr>
        <w:pStyle w:val="ParaNum"/>
        <w:keepNext/>
        <w:keepLines/>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49340D" w14:paraId="38164F08" w14:textId="77777777">
      <w:pPr>
        <w:pStyle w:val="ParaNum"/>
        <w:widowControl/>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EC4D93A" w14:textId="5828210A">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C25714">
        <w:rPr>
          <w:szCs w:val="22"/>
        </w:rPr>
        <w:t>151</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C25714">
        <w:rPr>
          <w:szCs w:val="22"/>
        </w:rPr>
        <w:t>27</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7BFEF331" w14:textId="77777777">
      <w:r>
        <w:separator/>
      </w:r>
    </w:p>
  </w:footnote>
  <w:footnote w:type="continuationSeparator" w:id="1">
    <w:p w:rsidR="00F6286A" w:rsidP="00C721AC" w14:paraId="55BBF637"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315257E5" w14:textId="77777777">
      <w:pPr>
        <w:jc w:val="right"/>
        <w:rPr>
          <w:sz w:val="20"/>
        </w:rPr>
      </w:pPr>
      <w:r>
        <w:rPr>
          <w:sz w:val="20"/>
        </w:rPr>
        <w:t>(continued….)</w:t>
      </w:r>
    </w:p>
  </w:footnote>
  <w:footnote w:id="3">
    <w:p w:rsidR="003B6FA0" w:rsidRPr="00395FEE" w:rsidP="00B76571" w14:paraId="4CF7CF8A" w14:textId="7B54B4D5">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28593A">
        <w:rPr>
          <w:sz w:val="20"/>
        </w:rPr>
        <w:t>WVEC Television,</w:t>
      </w:r>
      <w:r w:rsidR="00177BB1">
        <w:rPr>
          <w:sz w:val="20"/>
        </w:rPr>
        <w:t xml:space="preserve">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28593A">
        <w:rPr>
          <w:sz w:val="20"/>
        </w:rPr>
        <w:t>188568</w:t>
      </w:r>
      <w:r w:rsidR="00AE11FA">
        <w:rPr>
          <w:sz w:val="20"/>
        </w:rPr>
        <w:t>,</w:t>
      </w:r>
      <w:r w:rsidRPr="00395FEE" w:rsidR="00AE11FA">
        <w:rPr>
          <w:sz w:val="20"/>
        </w:rPr>
        <w:t xml:space="preserve"> </w:t>
      </w:r>
      <w:r w:rsidRPr="00395FEE" w:rsidR="00EA0CA8">
        <w:rPr>
          <w:sz w:val="20"/>
        </w:rPr>
        <w:t xml:space="preserve">filed </w:t>
      </w:r>
      <w:r w:rsidR="0028593A">
        <w:rPr>
          <w:sz w:val="20"/>
        </w:rPr>
        <w:t>Mar</w:t>
      </w:r>
      <w:r w:rsidR="00177BB1">
        <w:rPr>
          <w:sz w:val="20"/>
        </w:rPr>
        <w:t xml:space="preserve">. </w:t>
      </w:r>
      <w:r w:rsidR="0028593A">
        <w:rPr>
          <w:sz w:val="20"/>
        </w:rPr>
        <w:t>3</w:t>
      </w:r>
      <w:r w:rsidR="0074131D">
        <w:rPr>
          <w:sz w:val="20"/>
        </w:rPr>
        <w:t>1</w:t>
      </w:r>
      <w:r w:rsidRPr="00395FEE" w:rsidR="00EA0CA8">
        <w:rPr>
          <w:sz w:val="20"/>
        </w:rPr>
        <w:t>, 202</w:t>
      </w:r>
      <w:r w:rsidR="0028593A">
        <w:rPr>
          <w:sz w:val="20"/>
        </w:rPr>
        <w:t>2</w:t>
      </w:r>
      <w:r w:rsidRPr="00395FEE" w:rsidR="00EA0CA8">
        <w:rPr>
          <w:sz w:val="20"/>
        </w:rPr>
        <w:t>)</w:t>
      </w:r>
      <w:r w:rsidR="00597FED">
        <w:rPr>
          <w:sz w:val="20"/>
        </w:rPr>
        <w:t xml:space="preserve"> (Petition)</w:t>
      </w:r>
      <w:r w:rsidR="00433184">
        <w:rPr>
          <w:sz w:val="20"/>
        </w:rPr>
        <w:t>.</w:t>
      </w:r>
      <w:r w:rsidR="00173164">
        <w:rPr>
          <w:sz w:val="20"/>
        </w:rPr>
        <w:t xml:space="preserve"> </w:t>
      </w:r>
      <w:r w:rsidR="000D7760">
        <w:rPr>
          <w:sz w:val="20"/>
        </w:rPr>
        <w:t xml:space="preserve"> The Petitioner amended on </w:t>
      </w:r>
      <w:r w:rsidR="004E64FF">
        <w:rPr>
          <w:sz w:val="20"/>
        </w:rPr>
        <w:t>April</w:t>
      </w:r>
      <w:r w:rsidR="00DE026C">
        <w:rPr>
          <w:sz w:val="20"/>
        </w:rPr>
        <w:t xml:space="preserve"> 4, 2022</w:t>
      </w:r>
      <w:r w:rsidR="004E64FF">
        <w:rPr>
          <w:sz w:val="20"/>
        </w:rPr>
        <w:t xml:space="preserve"> to</w:t>
      </w:r>
      <w:r w:rsidR="00442802">
        <w:rPr>
          <w:sz w:val="20"/>
        </w:rPr>
        <w:t xml:space="preserve"> correct </w:t>
      </w:r>
      <w:r w:rsidR="00BB5EDE">
        <w:rPr>
          <w:sz w:val="20"/>
        </w:rPr>
        <w:t>certain</w:t>
      </w:r>
      <w:r w:rsidR="00442802">
        <w:rPr>
          <w:sz w:val="20"/>
        </w:rPr>
        <w:t xml:space="preserve"> technical parameters</w:t>
      </w:r>
      <w:r w:rsidR="0028593A">
        <w:rPr>
          <w:sz w:val="20"/>
        </w:rPr>
        <w:t xml:space="preserve"> in its petition</w:t>
      </w:r>
      <w:r w:rsidR="00442802">
        <w:rPr>
          <w:sz w:val="20"/>
        </w:rPr>
        <w:t>.</w:t>
      </w:r>
      <w:r w:rsidR="004E64FF">
        <w:rPr>
          <w:sz w:val="20"/>
        </w:rPr>
        <w:t xml:space="preserve"> </w:t>
      </w:r>
    </w:p>
  </w:footnote>
  <w:footnote w:id="4">
    <w:p w:rsidR="004C557D" w:rsidRPr="00395FEE" w:rsidP="00B76571" w14:paraId="59E1B4D4" w14:textId="7A67EC05">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 47 CFR § 73.622(</w:t>
      </w:r>
      <w:r w:rsidR="00315E45">
        <w:rPr>
          <w:sz w:val="20"/>
          <w:szCs w:val="20"/>
        </w:rPr>
        <w:t>j</w:t>
      </w:r>
      <w:r w:rsidRPr="00434B03" w:rsidR="00477336">
        <w:rPr>
          <w:sz w:val="20"/>
          <w:szCs w:val="20"/>
        </w:rPr>
        <w:t>)</w:t>
      </w:r>
      <w:r w:rsidR="00315E45">
        <w:rPr>
          <w:sz w:val="20"/>
          <w:szCs w:val="20"/>
        </w:rPr>
        <w:t>.</w:t>
      </w:r>
      <w:r w:rsidRPr="00434B03" w:rsidR="00477336">
        <w:rPr>
          <w:sz w:val="20"/>
          <w:szCs w:val="20"/>
        </w:rPr>
        <w:t xml:space="preserve"> </w:t>
      </w:r>
    </w:p>
  </w:footnote>
  <w:footnote w:id="5">
    <w:p w:rsidR="00F74838" w:rsidP="00F74838" w14:paraId="42E2FEBC" w14:textId="7DCBBF10">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w:t>
      </w:r>
      <w:r w:rsidR="008B4FC9">
        <w:t>, para. 42</w:t>
      </w:r>
      <w:r>
        <w:t xml:space="preserve"> (2010).</w:t>
      </w:r>
    </w:p>
  </w:footnote>
  <w:footnote w:id="6">
    <w:p w:rsidR="00F74838" w:rsidP="00F74838" w14:paraId="19534459" w14:textId="626B21B3">
      <w:pPr>
        <w:pStyle w:val="FootnoteText"/>
      </w:pPr>
      <w:r>
        <w:rPr>
          <w:rStyle w:val="FootnoteReference"/>
        </w:rPr>
        <w:footnoteRef/>
      </w:r>
      <w:r>
        <w:t xml:space="preserve"> Petition at 2</w:t>
      </w:r>
      <w:r w:rsidR="00D60426">
        <w:t>-3</w:t>
      </w:r>
      <w:r>
        <w:t>.</w:t>
      </w:r>
      <w:r w:rsidR="004524F1">
        <w:t xml:space="preserve">  The Station is an ABC network affiliate.</w:t>
      </w:r>
    </w:p>
  </w:footnote>
  <w:footnote w:id="7">
    <w:p w:rsidR="004524F1" w14:paraId="1DBBF5F2" w14:textId="1FC17B51">
      <w:pPr>
        <w:pStyle w:val="FootnoteText"/>
      </w:pPr>
      <w:r>
        <w:rPr>
          <w:rStyle w:val="FootnoteReference"/>
        </w:rPr>
        <w:footnoteRef/>
      </w:r>
      <w:r>
        <w:t xml:space="preserve"> </w:t>
      </w:r>
      <w:r w:rsidRPr="004524F1">
        <w:rPr>
          <w:i/>
          <w:iCs/>
        </w:rPr>
        <w:t>Id</w:t>
      </w:r>
      <w:r>
        <w:t>. at 6; Engineering Statement at 3-4.</w:t>
      </w:r>
    </w:p>
  </w:footnote>
  <w:footnote w:id="8">
    <w:p w:rsidR="00E208EC" w:rsidRPr="00BE3330" w:rsidP="004A2A44" w14:paraId="4495B78C" w14:textId="77777777">
      <w:pPr>
        <w:pStyle w:val="FootnoteText"/>
        <w:widowControl w:val="0"/>
      </w:pPr>
      <w:r>
        <w:rPr>
          <w:rStyle w:val="FootnoteReference"/>
        </w:rPr>
        <w:footnoteRef/>
      </w:r>
      <w:r>
        <w:t xml:space="preserve"> 47 CFR § 73.625(a).</w:t>
      </w:r>
      <w:bookmarkStart w:id="1" w:name="SR;334"/>
      <w:bookmarkEnd w:id="1"/>
    </w:p>
  </w:footnote>
  <w:footnote w:id="9">
    <w:p w:rsidR="00E208EC" w:rsidP="004A2A44" w14:paraId="3EAF4309" w14:textId="2C112733">
      <w:pPr>
        <w:pStyle w:val="FootnoteText"/>
        <w:widowControl w:val="0"/>
      </w:pPr>
      <w:r w:rsidRPr="003F7A73">
        <w:rPr>
          <w:rStyle w:val="FootnoteReference"/>
        </w:rPr>
        <w:footnoteRef/>
      </w:r>
      <w:r w:rsidRPr="003F7A73">
        <w:t xml:space="preserve"> 47 CFR §§ 73.616, 73.623.</w:t>
      </w:r>
      <w:r w:rsidR="000130BD">
        <w:t xml:space="preserve">  The proposed channel 35 facility causes 1.38% interference to WFMY-TV, Greensboro, North Carolina, in excess of the 0.5% interference allowed in the Commission’s rules.</w:t>
      </w:r>
      <w:r w:rsidR="009C20F1">
        <w:t xml:space="preserve">  </w:t>
      </w:r>
      <w:r w:rsidRPr="00F67B7D" w:rsidR="009C20F1">
        <w:rPr>
          <w:i/>
          <w:iCs/>
        </w:rPr>
        <w:t>See</w:t>
      </w:r>
      <w:r w:rsidR="009C20F1">
        <w:t xml:space="preserve"> 47 CFR § 73.616(d)</w:t>
      </w:r>
      <w:r w:rsidR="00B67795">
        <w:t xml:space="preserve"> </w:t>
      </w:r>
      <w:r w:rsidR="009C20F1">
        <w:t>(“An application will not be accepted if it is predicted to cause interference to more than an additional 0.5 percent of the population served</w:t>
      </w:r>
      <w:r w:rsidR="00117CC8">
        <w:t xml:space="preserve"> by another post-transition DTV station.”).</w:t>
      </w:r>
      <w:r w:rsidR="000130BD">
        <w:t xml:space="preserve">  WFMY-TV and the Petitioner are commonly owned by TEGNA Inc. and the Petitioner provides an Interference Acceptance Consent </w:t>
      </w:r>
      <w:r w:rsidR="00117CC8">
        <w:t xml:space="preserve">letter </w:t>
      </w:r>
      <w:r w:rsidR="000130BD">
        <w:t xml:space="preserve">from WFMY-TV, LLC agreeing to accept the interference from the proposed channel 35 facility.  </w:t>
      </w:r>
      <w:r w:rsidR="00444752">
        <w:t>Petition, Exhibit C.</w:t>
      </w:r>
      <w:r w:rsidR="007338E4">
        <w:t xml:space="preserve">  In addition, the </w:t>
      </w:r>
      <w:r w:rsidRPr="009C20F1" w:rsidR="007338E4">
        <w:t>proposed facility is predicted to cause prohibited interference to WYSJ-CD,</w:t>
      </w:r>
      <w:r w:rsidR="007338E4">
        <w:t xml:space="preserve"> </w:t>
      </w:r>
      <w:r w:rsidRPr="009C20F1" w:rsidR="007338E4">
        <w:t>Yorktown, V</w:t>
      </w:r>
      <w:r w:rsidR="007338E4">
        <w:t>irginia</w:t>
      </w:r>
      <w:r w:rsidRPr="009C20F1" w:rsidR="007338E4">
        <w:t>,</w:t>
      </w:r>
      <w:r w:rsidR="007338E4">
        <w:t xml:space="preserve"> </w:t>
      </w:r>
      <w:r w:rsidRPr="009C20F1" w:rsidR="007338E4">
        <w:t>which is licensed to Jacobs Broadcasting System, Inc.</w:t>
      </w:r>
      <w:r w:rsidR="007338E4">
        <w:t xml:space="preserve">  </w:t>
      </w:r>
      <w:r w:rsidRPr="009C20F1" w:rsidR="007338E4">
        <w:t>An application to assign</w:t>
      </w:r>
      <w:r w:rsidR="007338E4">
        <w:t xml:space="preserve"> the</w:t>
      </w:r>
      <w:r w:rsidRPr="009C20F1" w:rsidR="007338E4">
        <w:t xml:space="preserve"> license to </w:t>
      </w:r>
      <w:r w:rsidR="007338E4">
        <w:t>Petitioner</w:t>
      </w:r>
      <w:r w:rsidRPr="009C20F1" w:rsidR="007338E4">
        <w:t xml:space="preserve"> is pending</w:t>
      </w:r>
      <w:r w:rsidR="007338E4">
        <w:t xml:space="preserve"> (LMS File No. </w:t>
      </w:r>
      <w:r w:rsidRPr="00F67B7D" w:rsidR="00D83BBE">
        <w:t>0000187977</w:t>
      </w:r>
      <w:r w:rsidRPr="00F67B7D" w:rsidR="007338E4">
        <w:t>)</w:t>
      </w:r>
      <w:r w:rsidR="007338E4">
        <w:t xml:space="preserve">, </w:t>
      </w:r>
      <w:r w:rsidRPr="009C20F1" w:rsidR="007338E4">
        <w:t>along with a contingent minor</w:t>
      </w:r>
      <w:r w:rsidR="00F67B7D">
        <w:t xml:space="preserve"> </w:t>
      </w:r>
      <w:r w:rsidRPr="009C20F1" w:rsidR="007338E4">
        <w:t xml:space="preserve">modification application to </w:t>
      </w:r>
      <w:r w:rsidR="007338E4">
        <w:t>co-locate</w:t>
      </w:r>
      <w:r w:rsidRPr="009C20F1" w:rsidR="007338E4">
        <w:t xml:space="preserve"> WYSJ-CD with WVEC’s proposed facility</w:t>
      </w:r>
      <w:r w:rsidR="007338E4">
        <w:t xml:space="preserve"> (LMS File No. </w:t>
      </w:r>
      <w:r w:rsidRPr="00F67B7D" w:rsidR="00F67B7D">
        <w:t>0000187977</w:t>
      </w:r>
      <w:r w:rsidR="007338E4">
        <w:t>),</w:t>
      </w:r>
      <w:r w:rsidRPr="007338E4" w:rsidR="007338E4">
        <w:t xml:space="preserve"> </w:t>
      </w:r>
      <w:r w:rsidRPr="009C20F1" w:rsidR="007338E4">
        <w:t>thus eliminating the adjacent-channel interference.</w:t>
      </w:r>
    </w:p>
  </w:footnote>
  <w:footnote w:id="10">
    <w:p w:rsidR="00E208EC" w:rsidP="004A2A44" w14:paraId="24625FE6" w14:textId="77777777">
      <w:pPr>
        <w:pStyle w:val="FootnoteText"/>
        <w:widowControl w:val="0"/>
      </w:pPr>
      <w:r>
        <w:rPr>
          <w:rStyle w:val="FootnoteReference"/>
        </w:rPr>
        <w:footnoteRef/>
      </w:r>
      <w:r>
        <w:t xml:space="preserve"> 47 CFR § 73.622(</w:t>
      </w:r>
      <w:r w:rsidR="00895844">
        <w:t>j</w:t>
      </w:r>
      <w:r>
        <w:t>).</w:t>
      </w:r>
    </w:p>
  </w:footnote>
  <w:footnote w:id="11">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2">
    <w:p w:rsidR="0025083E" w14:paraId="0E37377A" w14:textId="77777777">
      <w:pPr>
        <w:pStyle w:val="FootnoteText"/>
      </w:pPr>
      <w:r>
        <w:rPr>
          <w:rStyle w:val="FootnoteReference"/>
        </w:rPr>
        <w:footnoteRef/>
      </w:r>
      <w:r>
        <w:t xml:space="preserve"> </w:t>
      </w:r>
      <w:r w:rsidRPr="0025083E">
        <w:t>47 CFR § 1.420(j).</w:t>
      </w:r>
    </w:p>
  </w:footnote>
  <w:footnote w:id="13">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78FF082C" w14:textId="77777777">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0">
    <w:p w:rsidR="00787DB6" w:rsidRPr="00522221" w:rsidP="004A2A44" w14:paraId="1BB0BA2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65E176DA" w14:textId="77777777">
      <w:pPr>
        <w:pStyle w:val="FootnoteText"/>
        <w:widowControl w:val="0"/>
      </w:pPr>
      <w:r>
        <w:rPr>
          <w:rStyle w:val="FootnoteReference"/>
        </w:rPr>
        <w:footnoteRef/>
      </w:r>
      <w:r>
        <w:t xml:space="preserve"> 47 CFR § 1.1208.</w:t>
      </w:r>
    </w:p>
  </w:footnote>
  <w:footnote w:id="22">
    <w:p w:rsidR="00787DB6" w:rsidP="004A2A44" w14:paraId="1599747F" w14:textId="77777777">
      <w:pPr>
        <w:pStyle w:val="FootnoteText"/>
        <w:widowControl w:val="0"/>
      </w:pPr>
      <w:r>
        <w:rPr>
          <w:rStyle w:val="FootnoteReference"/>
        </w:rPr>
        <w:footnoteRef/>
      </w:r>
      <w:r>
        <w:t xml:space="preserve"> 47 CFR § 1.1204(a)(10).</w:t>
      </w:r>
    </w:p>
  </w:footnote>
  <w:footnote w:id="23">
    <w:p w:rsidR="00787DB6" w:rsidP="004A2A44" w14:paraId="3B16E3CF"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26">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0C5D3D79">
    <w:pPr>
      <w:pStyle w:val="Header"/>
      <w:rPr>
        <w:b w:val="0"/>
      </w:rPr>
    </w:pPr>
    <w:r>
      <w:tab/>
    </w:r>
    <w:r>
      <w:t>Federal Communications Commission</w:t>
    </w:r>
    <w:r>
      <w:tab/>
    </w:r>
    <w:r w:rsidR="004A2A44">
      <w:t>DA</w:t>
    </w:r>
    <w:r w:rsidR="00BF05D9">
      <w:t xml:space="preserve"> 2</w:t>
    </w:r>
    <w:r w:rsidR="00F468A9">
      <w:t>2</w:t>
    </w:r>
    <w:r w:rsidR="00BF05D9">
      <w:t>-</w:t>
    </w:r>
    <w:r w:rsidR="00C25714">
      <w:t>404</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51821E3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C25714">
      <w:rPr>
        <w:spacing w:val="-2"/>
      </w:rPr>
      <w:t>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626"/>
    <w:rsid w:val="000038B7"/>
    <w:rsid w:val="00003FD3"/>
    <w:rsid w:val="00005DFD"/>
    <w:rsid w:val="000061EE"/>
    <w:rsid w:val="000103C3"/>
    <w:rsid w:val="00011083"/>
    <w:rsid w:val="000112AE"/>
    <w:rsid w:val="00011B0B"/>
    <w:rsid w:val="000130BD"/>
    <w:rsid w:val="0001481B"/>
    <w:rsid w:val="00021511"/>
    <w:rsid w:val="000219B9"/>
    <w:rsid w:val="00024F0D"/>
    <w:rsid w:val="000349AA"/>
    <w:rsid w:val="00036039"/>
    <w:rsid w:val="0003725D"/>
    <w:rsid w:val="00037F90"/>
    <w:rsid w:val="00040B1B"/>
    <w:rsid w:val="00043719"/>
    <w:rsid w:val="00044E4A"/>
    <w:rsid w:val="00047F98"/>
    <w:rsid w:val="000504A8"/>
    <w:rsid w:val="00057665"/>
    <w:rsid w:val="00067309"/>
    <w:rsid w:val="00070CCF"/>
    <w:rsid w:val="000716A9"/>
    <w:rsid w:val="00073F2A"/>
    <w:rsid w:val="000767AE"/>
    <w:rsid w:val="00083832"/>
    <w:rsid w:val="00084626"/>
    <w:rsid w:val="000875BF"/>
    <w:rsid w:val="0009191D"/>
    <w:rsid w:val="00096D8C"/>
    <w:rsid w:val="000A20C5"/>
    <w:rsid w:val="000A454E"/>
    <w:rsid w:val="000A72DA"/>
    <w:rsid w:val="000B38F9"/>
    <w:rsid w:val="000C0B65"/>
    <w:rsid w:val="000C5F08"/>
    <w:rsid w:val="000C7622"/>
    <w:rsid w:val="000D7760"/>
    <w:rsid w:val="000D7B7B"/>
    <w:rsid w:val="000E0315"/>
    <w:rsid w:val="000E05FE"/>
    <w:rsid w:val="000E3D42"/>
    <w:rsid w:val="000E46B2"/>
    <w:rsid w:val="000E6FC1"/>
    <w:rsid w:val="000E7316"/>
    <w:rsid w:val="000F5DBC"/>
    <w:rsid w:val="00111958"/>
    <w:rsid w:val="00113A6F"/>
    <w:rsid w:val="00117CC8"/>
    <w:rsid w:val="00122BD5"/>
    <w:rsid w:val="00123009"/>
    <w:rsid w:val="00123286"/>
    <w:rsid w:val="001237E2"/>
    <w:rsid w:val="001317A9"/>
    <w:rsid w:val="00133F79"/>
    <w:rsid w:val="00134EA3"/>
    <w:rsid w:val="00144C14"/>
    <w:rsid w:val="00152670"/>
    <w:rsid w:val="00165107"/>
    <w:rsid w:val="001659A0"/>
    <w:rsid w:val="00170F1F"/>
    <w:rsid w:val="00173164"/>
    <w:rsid w:val="001740B7"/>
    <w:rsid w:val="001758B2"/>
    <w:rsid w:val="00177BB1"/>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AF5"/>
    <w:rsid w:val="00206043"/>
    <w:rsid w:val="00212BDD"/>
    <w:rsid w:val="002268F8"/>
    <w:rsid w:val="0022695F"/>
    <w:rsid w:val="00226A10"/>
    <w:rsid w:val="00232DD1"/>
    <w:rsid w:val="00236456"/>
    <w:rsid w:val="00236ABA"/>
    <w:rsid w:val="00242C1F"/>
    <w:rsid w:val="0025083E"/>
    <w:rsid w:val="002565D8"/>
    <w:rsid w:val="0026155A"/>
    <w:rsid w:val="0027358B"/>
    <w:rsid w:val="00273EA0"/>
    <w:rsid w:val="00275CF5"/>
    <w:rsid w:val="00281766"/>
    <w:rsid w:val="00282422"/>
    <w:rsid w:val="0028301F"/>
    <w:rsid w:val="00285017"/>
    <w:rsid w:val="0028593A"/>
    <w:rsid w:val="00293A1A"/>
    <w:rsid w:val="002A2D2E"/>
    <w:rsid w:val="002A4DA5"/>
    <w:rsid w:val="002B2888"/>
    <w:rsid w:val="002C00E8"/>
    <w:rsid w:val="002C2A5E"/>
    <w:rsid w:val="002C3F66"/>
    <w:rsid w:val="002D246D"/>
    <w:rsid w:val="002D6954"/>
    <w:rsid w:val="002D6F2D"/>
    <w:rsid w:val="002D72B9"/>
    <w:rsid w:val="002E27DF"/>
    <w:rsid w:val="002E3A75"/>
    <w:rsid w:val="002F1E86"/>
    <w:rsid w:val="002F6E16"/>
    <w:rsid w:val="003002F5"/>
    <w:rsid w:val="00311E3F"/>
    <w:rsid w:val="0031233E"/>
    <w:rsid w:val="00315E45"/>
    <w:rsid w:val="00315FEE"/>
    <w:rsid w:val="00316968"/>
    <w:rsid w:val="0032122C"/>
    <w:rsid w:val="00327A95"/>
    <w:rsid w:val="00327DD1"/>
    <w:rsid w:val="00331D74"/>
    <w:rsid w:val="00332FCC"/>
    <w:rsid w:val="003356E8"/>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351B"/>
    <w:rsid w:val="0036572B"/>
    <w:rsid w:val="003660ED"/>
    <w:rsid w:val="00367CDB"/>
    <w:rsid w:val="00370034"/>
    <w:rsid w:val="00370A81"/>
    <w:rsid w:val="00383006"/>
    <w:rsid w:val="00383C9E"/>
    <w:rsid w:val="00386604"/>
    <w:rsid w:val="00390A40"/>
    <w:rsid w:val="00395FEE"/>
    <w:rsid w:val="00396CFF"/>
    <w:rsid w:val="003A3CCD"/>
    <w:rsid w:val="003A5244"/>
    <w:rsid w:val="003B0550"/>
    <w:rsid w:val="003B084E"/>
    <w:rsid w:val="003B2BBE"/>
    <w:rsid w:val="003B5AC1"/>
    <w:rsid w:val="003B694F"/>
    <w:rsid w:val="003B6FA0"/>
    <w:rsid w:val="003C239D"/>
    <w:rsid w:val="003C57B3"/>
    <w:rsid w:val="003D020A"/>
    <w:rsid w:val="003D702A"/>
    <w:rsid w:val="003D7856"/>
    <w:rsid w:val="003F171C"/>
    <w:rsid w:val="003F4717"/>
    <w:rsid w:val="003F5FC9"/>
    <w:rsid w:val="003F6A3A"/>
    <w:rsid w:val="003F7895"/>
    <w:rsid w:val="003F7A73"/>
    <w:rsid w:val="0040430E"/>
    <w:rsid w:val="00406272"/>
    <w:rsid w:val="00411C58"/>
    <w:rsid w:val="00412FC5"/>
    <w:rsid w:val="004144C7"/>
    <w:rsid w:val="00417699"/>
    <w:rsid w:val="00420D92"/>
    <w:rsid w:val="004210A9"/>
    <w:rsid w:val="00422276"/>
    <w:rsid w:val="004242F1"/>
    <w:rsid w:val="00425EAC"/>
    <w:rsid w:val="00433184"/>
    <w:rsid w:val="00434B03"/>
    <w:rsid w:val="00434C04"/>
    <w:rsid w:val="00436BE4"/>
    <w:rsid w:val="00437790"/>
    <w:rsid w:val="004418B6"/>
    <w:rsid w:val="00442802"/>
    <w:rsid w:val="00444629"/>
    <w:rsid w:val="00444752"/>
    <w:rsid w:val="00444C77"/>
    <w:rsid w:val="00445A00"/>
    <w:rsid w:val="00446B77"/>
    <w:rsid w:val="00451B0F"/>
    <w:rsid w:val="00451CA9"/>
    <w:rsid w:val="004524F1"/>
    <w:rsid w:val="00464494"/>
    <w:rsid w:val="00465053"/>
    <w:rsid w:val="00475411"/>
    <w:rsid w:val="00477336"/>
    <w:rsid w:val="00481E5A"/>
    <w:rsid w:val="0048464E"/>
    <w:rsid w:val="00484F99"/>
    <w:rsid w:val="00493354"/>
    <w:rsid w:val="0049340D"/>
    <w:rsid w:val="00494BBF"/>
    <w:rsid w:val="004A2A44"/>
    <w:rsid w:val="004A3C48"/>
    <w:rsid w:val="004A449C"/>
    <w:rsid w:val="004A5916"/>
    <w:rsid w:val="004B33FE"/>
    <w:rsid w:val="004B59E1"/>
    <w:rsid w:val="004C2EE3"/>
    <w:rsid w:val="004C557D"/>
    <w:rsid w:val="004C638D"/>
    <w:rsid w:val="004D6FE1"/>
    <w:rsid w:val="004E3A6F"/>
    <w:rsid w:val="004E4A22"/>
    <w:rsid w:val="004E64FF"/>
    <w:rsid w:val="004F0BC4"/>
    <w:rsid w:val="004F2D74"/>
    <w:rsid w:val="004F7ED5"/>
    <w:rsid w:val="00506DB1"/>
    <w:rsid w:val="00507BFC"/>
    <w:rsid w:val="005109B3"/>
    <w:rsid w:val="00511968"/>
    <w:rsid w:val="00522221"/>
    <w:rsid w:val="005242D3"/>
    <w:rsid w:val="005249D1"/>
    <w:rsid w:val="00534DA3"/>
    <w:rsid w:val="00540ED1"/>
    <w:rsid w:val="005411A9"/>
    <w:rsid w:val="00543469"/>
    <w:rsid w:val="00554467"/>
    <w:rsid w:val="00555584"/>
    <w:rsid w:val="0055614C"/>
    <w:rsid w:val="0056206B"/>
    <w:rsid w:val="00563090"/>
    <w:rsid w:val="00566D06"/>
    <w:rsid w:val="00574B44"/>
    <w:rsid w:val="005757D6"/>
    <w:rsid w:val="00583133"/>
    <w:rsid w:val="00586AF3"/>
    <w:rsid w:val="00594FC0"/>
    <w:rsid w:val="00597FED"/>
    <w:rsid w:val="005A0E14"/>
    <w:rsid w:val="005A2607"/>
    <w:rsid w:val="005A7F82"/>
    <w:rsid w:val="005B1762"/>
    <w:rsid w:val="005B3D01"/>
    <w:rsid w:val="005B5964"/>
    <w:rsid w:val="005D07C4"/>
    <w:rsid w:val="005D3FB0"/>
    <w:rsid w:val="005E14C2"/>
    <w:rsid w:val="005E3497"/>
    <w:rsid w:val="005E58E3"/>
    <w:rsid w:val="005E6B99"/>
    <w:rsid w:val="005F32E9"/>
    <w:rsid w:val="005F375B"/>
    <w:rsid w:val="006005E2"/>
    <w:rsid w:val="00607BA5"/>
    <w:rsid w:val="0061180A"/>
    <w:rsid w:val="00614BF2"/>
    <w:rsid w:val="00614EBA"/>
    <w:rsid w:val="00622665"/>
    <w:rsid w:val="00625F14"/>
    <w:rsid w:val="00626EB6"/>
    <w:rsid w:val="00636D47"/>
    <w:rsid w:val="006404B4"/>
    <w:rsid w:val="00642828"/>
    <w:rsid w:val="00647E02"/>
    <w:rsid w:val="00655D03"/>
    <w:rsid w:val="00662635"/>
    <w:rsid w:val="00662BAE"/>
    <w:rsid w:val="006704F5"/>
    <w:rsid w:val="00683388"/>
    <w:rsid w:val="00683F81"/>
    <w:rsid w:val="00683F84"/>
    <w:rsid w:val="00684401"/>
    <w:rsid w:val="00692E04"/>
    <w:rsid w:val="00695325"/>
    <w:rsid w:val="006964AB"/>
    <w:rsid w:val="006A16D7"/>
    <w:rsid w:val="006A3717"/>
    <w:rsid w:val="006A4BFB"/>
    <w:rsid w:val="006A6A81"/>
    <w:rsid w:val="006A7A0C"/>
    <w:rsid w:val="006B4A57"/>
    <w:rsid w:val="006C2BDB"/>
    <w:rsid w:val="006C7C34"/>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338E4"/>
    <w:rsid w:val="0074131D"/>
    <w:rsid w:val="00745508"/>
    <w:rsid w:val="00747A4A"/>
    <w:rsid w:val="0075166D"/>
    <w:rsid w:val="007524CD"/>
    <w:rsid w:val="007558FB"/>
    <w:rsid w:val="0077474A"/>
    <w:rsid w:val="00780924"/>
    <w:rsid w:val="00783ACC"/>
    <w:rsid w:val="00785689"/>
    <w:rsid w:val="00785CD8"/>
    <w:rsid w:val="00787ADA"/>
    <w:rsid w:val="00787DB6"/>
    <w:rsid w:val="00791925"/>
    <w:rsid w:val="007965EA"/>
    <w:rsid w:val="00796CDB"/>
    <w:rsid w:val="0079754B"/>
    <w:rsid w:val="007A0571"/>
    <w:rsid w:val="007A163B"/>
    <w:rsid w:val="007A1E6D"/>
    <w:rsid w:val="007A3BAB"/>
    <w:rsid w:val="007A4133"/>
    <w:rsid w:val="007A716F"/>
    <w:rsid w:val="007B0CC4"/>
    <w:rsid w:val="007B0EB2"/>
    <w:rsid w:val="007C16F4"/>
    <w:rsid w:val="007C5386"/>
    <w:rsid w:val="007D4249"/>
    <w:rsid w:val="007E3A08"/>
    <w:rsid w:val="007F7B96"/>
    <w:rsid w:val="008000E4"/>
    <w:rsid w:val="008101E9"/>
    <w:rsid w:val="00810450"/>
    <w:rsid w:val="0081046E"/>
    <w:rsid w:val="00810B6F"/>
    <w:rsid w:val="00822CE0"/>
    <w:rsid w:val="008248C2"/>
    <w:rsid w:val="00825703"/>
    <w:rsid w:val="00832FE4"/>
    <w:rsid w:val="00836EF4"/>
    <w:rsid w:val="0084005D"/>
    <w:rsid w:val="00840FF0"/>
    <w:rsid w:val="00841AB1"/>
    <w:rsid w:val="00844F1E"/>
    <w:rsid w:val="008470CB"/>
    <w:rsid w:val="00847350"/>
    <w:rsid w:val="00855099"/>
    <w:rsid w:val="00865ED7"/>
    <w:rsid w:val="008675C6"/>
    <w:rsid w:val="0087360E"/>
    <w:rsid w:val="00885FF7"/>
    <w:rsid w:val="0088770A"/>
    <w:rsid w:val="00892071"/>
    <w:rsid w:val="008928FA"/>
    <w:rsid w:val="008934F7"/>
    <w:rsid w:val="00895844"/>
    <w:rsid w:val="00896190"/>
    <w:rsid w:val="00897354"/>
    <w:rsid w:val="0089784D"/>
    <w:rsid w:val="008A58AA"/>
    <w:rsid w:val="008B497D"/>
    <w:rsid w:val="008B4DE5"/>
    <w:rsid w:val="008B4FC9"/>
    <w:rsid w:val="008B6B96"/>
    <w:rsid w:val="008C140E"/>
    <w:rsid w:val="008C24D4"/>
    <w:rsid w:val="008C68F1"/>
    <w:rsid w:val="008D0271"/>
    <w:rsid w:val="008D29D1"/>
    <w:rsid w:val="008E6B05"/>
    <w:rsid w:val="00904DB0"/>
    <w:rsid w:val="00915C3B"/>
    <w:rsid w:val="00916924"/>
    <w:rsid w:val="00921398"/>
    <w:rsid w:val="00921803"/>
    <w:rsid w:val="009243CF"/>
    <w:rsid w:val="00926503"/>
    <w:rsid w:val="00927113"/>
    <w:rsid w:val="009415AE"/>
    <w:rsid w:val="00945222"/>
    <w:rsid w:val="00945D64"/>
    <w:rsid w:val="009543FD"/>
    <w:rsid w:val="00971617"/>
    <w:rsid w:val="0097202E"/>
    <w:rsid w:val="009726D8"/>
    <w:rsid w:val="00985BD1"/>
    <w:rsid w:val="00990D14"/>
    <w:rsid w:val="00991731"/>
    <w:rsid w:val="00993E1E"/>
    <w:rsid w:val="0099751F"/>
    <w:rsid w:val="009A210D"/>
    <w:rsid w:val="009A6869"/>
    <w:rsid w:val="009B3A35"/>
    <w:rsid w:val="009B575F"/>
    <w:rsid w:val="009B7B38"/>
    <w:rsid w:val="009C1BF1"/>
    <w:rsid w:val="009C20F1"/>
    <w:rsid w:val="009C6F27"/>
    <w:rsid w:val="009D2478"/>
    <w:rsid w:val="009D7308"/>
    <w:rsid w:val="009D7448"/>
    <w:rsid w:val="009E136D"/>
    <w:rsid w:val="009F2562"/>
    <w:rsid w:val="009F3F4C"/>
    <w:rsid w:val="009F53E2"/>
    <w:rsid w:val="009F76DB"/>
    <w:rsid w:val="00A210FD"/>
    <w:rsid w:val="00A22799"/>
    <w:rsid w:val="00A22B86"/>
    <w:rsid w:val="00A23F74"/>
    <w:rsid w:val="00A24130"/>
    <w:rsid w:val="00A32C3B"/>
    <w:rsid w:val="00A3421A"/>
    <w:rsid w:val="00A42382"/>
    <w:rsid w:val="00A424EE"/>
    <w:rsid w:val="00A45F4F"/>
    <w:rsid w:val="00A46B85"/>
    <w:rsid w:val="00A46F73"/>
    <w:rsid w:val="00A51D18"/>
    <w:rsid w:val="00A600A9"/>
    <w:rsid w:val="00A63CF8"/>
    <w:rsid w:val="00A66590"/>
    <w:rsid w:val="00A70BA0"/>
    <w:rsid w:val="00A71673"/>
    <w:rsid w:val="00A724A0"/>
    <w:rsid w:val="00A73D10"/>
    <w:rsid w:val="00A81FFB"/>
    <w:rsid w:val="00A83DF0"/>
    <w:rsid w:val="00A83EFE"/>
    <w:rsid w:val="00A86487"/>
    <w:rsid w:val="00A929B1"/>
    <w:rsid w:val="00AA2793"/>
    <w:rsid w:val="00AA55B7"/>
    <w:rsid w:val="00AA5B9E"/>
    <w:rsid w:val="00AA6025"/>
    <w:rsid w:val="00AB2407"/>
    <w:rsid w:val="00AB53DF"/>
    <w:rsid w:val="00AB6B83"/>
    <w:rsid w:val="00AC7242"/>
    <w:rsid w:val="00AD0E91"/>
    <w:rsid w:val="00AD1D48"/>
    <w:rsid w:val="00AD4402"/>
    <w:rsid w:val="00AD7DCD"/>
    <w:rsid w:val="00AE11FA"/>
    <w:rsid w:val="00AE5614"/>
    <w:rsid w:val="00AF0D12"/>
    <w:rsid w:val="00AF2890"/>
    <w:rsid w:val="00AF3663"/>
    <w:rsid w:val="00AF64E5"/>
    <w:rsid w:val="00AF6613"/>
    <w:rsid w:val="00B0367B"/>
    <w:rsid w:val="00B065A0"/>
    <w:rsid w:val="00B07E5C"/>
    <w:rsid w:val="00B1464E"/>
    <w:rsid w:val="00B27F12"/>
    <w:rsid w:val="00B3073B"/>
    <w:rsid w:val="00B31FCC"/>
    <w:rsid w:val="00B32A7C"/>
    <w:rsid w:val="00B3441D"/>
    <w:rsid w:val="00B40DF2"/>
    <w:rsid w:val="00B41FF0"/>
    <w:rsid w:val="00B420E8"/>
    <w:rsid w:val="00B46B03"/>
    <w:rsid w:val="00B63EB3"/>
    <w:rsid w:val="00B67795"/>
    <w:rsid w:val="00B76333"/>
    <w:rsid w:val="00B76571"/>
    <w:rsid w:val="00B771B4"/>
    <w:rsid w:val="00B811F7"/>
    <w:rsid w:val="00B85C11"/>
    <w:rsid w:val="00B90C9B"/>
    <w:rsid w:val="00B97DD3"/>
    <w:rsid w:val="00BA0BA9"/>
    <w:rsid w:val="00BA5DC6"/>
    <w:rsid w:val="00BA5F37"/>
    <w:rsid w:val="00BA6196"/>
    <w:rsid w:val="00BA6349"/>
    <w:rsid w:val="00BA6DA3"/>
    <w:rsid w:val="00BB5EDE"/>
    <w:rsid w:val="00BC3F35"/>
    <w:rsid w:val="00BC5600"/>
    <w:rsid w:val="00BC6649"/>
    <w:rsid w:val="00BC69ED"/>
    <w:rsid w:val="00BC6D8C"/>
    <w:rsid w:val="00BC7687"/>
    <w:rsid w:val="00BD036E"/>
    <w:rsid w:val="00BD68DC"/>
    <w:rsid w:val="00BE3330"/>
    <w:rsid w:val="00BE4C80"/>
    <w:rsid w:val="00BF05D9"/>
    <w:rsid w:val="00BF1951"/>
    <w:rsid w:val="00BF346A"/>
    <w:rsid w:val="00C04BE8"/>
    <w:rsid w:val="00C11D50"/>
    <w:rsid w:val="00C16F3A"/>
    <w:rsid w:val="00C2158D"/>
    <w:rsid w:val="00C256D8"/>
    <w:rsid w:val="00C25714"/>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97DE7"/>
    <w:rsid w:val="00CA247E"/>
    <w:rsid w:val="00CA6D21"/>
    <w:rsid w:val="00CB4F8A"/>
    <w:rsid w:val="00CC0934"/>
    <w:rsid w:val="00CC45E7"/>
    <w:rsid w:val="00CC72B6"/>
    <w:rsid w:val="00CD634C"/>
    <w:rsid w:val="00CD6C73"/>
    <w:rsid w:val="00CE0F47"/>
    <w:rsid w:val="00CE2876"/>
    <w:rsid w:val="00CE35EF"/>
    <w:rsid w:val="00CE5579"/>
    <w:rsid w:val="00D0218D"/>
    <w:rsid w:val="00D04B63"/>
    <w:rsid w:val="00D12303"/>
    <w:rsid w:val="00D134AA"/>
    <w:rsid w:val="00D13E34"/>
    <w:rsid w:val="00D2014A"/>
    <w:rsid w:val="00D21A7E"/>
    <w:rsid w:val="00D2308F"/>
    <w:rsid w:val="00D2371E"/>
    <w:rsid w:val="00D25FB5"/>
    <w:rsid w:val="00D34511"/>
    <w:rsid w:val="00D37680"/>
    <w:rsid w:val="00D405A3"/>
    <w:rsid w:val="00D40C1D"/>
    <w:rsid w:val="00D44223"/>
    <w:rsid w:val="00D562DC"/>
    <w:rsid w:val="00D60426"/>
    <w:rsid w:val="00D62C5A"/>
    <w:rsid w:val="00D734A5"/>
    <w:rsid w:val="00D83BBE"/>
    <w:rsid w:val="00D978C7"/>
    <w:rsid w:val="00DA059A"/>
    <w:rsid w:val="00DA1E69"/>
    <w:rsid w:val="00DA2529"/>
    <w:rsid w:val="00DB0AFE"/>
    <w:rsid w:val="00DB130A"/>
    <w:rsid w:val="00DB2EBB"/>
    <w:rsid w:val="00DB358A"/>
    <w:rsid w:val="00DB6CA7"/>
    <w:rsid w:val="00DB7C4F"/>
    <w:rsid w:val="00DC10A1"/>
    <w:rsid w:val="00DC15EC"/>
    <w:rsid w:val="00DC3384"/>
    <w:rsid w:val="00DC655F"/>
    <w:rsid w:val="00DC746F"/>
    <w:rsid w:val="00DD0B59"/>
    <w:rsid w:val="00DD5445"/>
    <w:rsid w:val="00DD7EBD"/>
    <w:rsid w:val="00DE026C"/>
    <w:rsid w:val="00DE05D8"/>
    <w:rsid w:val="00DE199A"/>
    <w:rsid w:val="00DE7BB3"/>
    <w:rsid w:val="00DF445A"/>
    <w:rsid w:val="00DF5C24"/>
    <w:rsid w:val="00DF62B6"/>
    <w:rsid w:val="00E0049C"/>
    <w:rsid w:val="00E01251"/>
    <w:rsid w:val="00E024FE"/>
    <w:rsid w:val="00E0270B"/>
    <w:rsid w:val="00E0383D"/>
    <w:rsid w:val="00E07225"/>
    <w:rsid w:val="00E14316"/>
    <w:rsid w:val="00E208EC"/>
    <w:rsid w:val="00E20B16"/>
    <w:rsid w:val="00E24A53"/>
    <w:rsid w:val="00E334A8"/>
    <w:rsid w:val="00E462E9"/>
    <w:rsid w:val="00E50821"/>
    <w:rsid w:val="00E509E7"/>
    <w:rsid w:val="00E5257E"/>
    <w:rsid w:val="00E5409F"/>
    <w:rsid w:val="00E560B4"/>
    <w:rsid w:val="00E63A33"/>
    <w:rsid w:val="00E756A0"/>
    <w:rsid w:val="00E76017"/>
    <w:rsid w:val="00E84F87"/>
    <w:rsid w:val="00E874DE"/>
    <w:rsid w:val="00E87A27"/>
    <w:rsid w:val="00E90241"/>
    <w:rsid w:val="00E909B8"/>
    <w:rsid w:val="00E917B1"/>
    <w:rsid w:val="00EA0CA8"/>
    <w:rsid w:val="00EA23F6"/>
    <w:rsid w:val="00EB3C25"/>
    <w:rsid w:val="00EC216A"/>
    <w:rsid w:val="00ED40CC"/>
    <w:rsid w:val="00ED7593"/>
    <w:rsid w:val="00EE6488"/>
    <w:rsid w:val="00EF21D5"/>
    <w:rsid w:val="00EF7BFB"/>
    <w:rsid w:val="00F021FA"/>
    <w:rsid w:val="00F03492"/>
    <w:rsid w:val="00F05280"/>
    <w:rsid w:val="00F06D58"/>
    <w:rsid w:val="00F116DD"/>
    <w:rsid w:val="00F118DD"/>
    <w:rsid w:val="00F11D79"/>
    <w:rsid w:val="00F14545"/>
    <w:rsid w:val="00F1797D"/>
    <w:rsid w:val="00F21E13"/>
    <w:rsid w:val="00F24E3B"/>
    <w:rsid w:val="00F30797"/>
    <w:rsid w:val="00F31CFF"/>
    <w:rsid w:val="00F34D95"/>
    <w:rsid w:val="00F356C6"/>
    <w:rsid w:val="00F4141B"/>
    <w:rsid w:val="00F42454"/>
    <w:rsid w:val="00F468A9"/>
    <w:rsid w:val="00F47477"/>
    <w:rsid w:val="00F47BAD"/>
    <w:rsid w:val="00F52BAB"/>
    <w:rsid w:val="00F54F12"/>
    <w:rsid w:val="00F6286A"/>
    <w:rsid w:val="00F62E97"/>
    <w:rsid w:val="00F64209"/>
    <w:rsid w:val="00F67B7D"/>
    <w:rsid w:val="00F73852"/>
    <w:rsid w:val="00F74838"/>
    <w:rsid w:val="00F76835"/>
    <w:rsid w:val="00F80C91"/>
    <w:rsid w:val="00F82E56"/>
    <w:rsid w:val="00F913E5"/>
    <w:rsid w:val="00F916B0"/>
    <w:rsid w:val="00F91E0E"/>
    <w:rsid w:val="00F9390A"/>
    <w:rsid w:val="00F93BF5"/>
    <w:rsid w:val="00FA44C2"/>
    <w:rsid w:val="00FA5F4B"/>
    <w:rsid w:val="00FA6A2C"/>
    <w:rsid w:val="00FB0FB9"/>
    <w:rsid w:val="00FB7347"/>
    <w:rsid w:val="00FC226D"/>
    <w:rsid w:val="00FE1CFD"/>
    <w:rsid w:val="00FE708A"/>
    <w:rsid w:val="00FE790F"/>
    <w:rsid w:val="00FF1000"/>
    <w:rsid w:val="00FF1BB8"/>
    <w:rsid w:val="00FF1C4C"/>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1F"/>
    <w:pPr>
      <w:widowControl w:val="0"/>
    </w:pPr>
    <w:rPr>
      <w:snapToGrid w:val="0"/>
      <w:kern w:val="28"/>
      <w:sz w:val="22"/>
    </w:rPr>
  </w:style>
  <w:style w:type="paragraph" w:styleId="Heading1">
    <w:name w:val="heading 1"/>
    <w:basedOn w:val="Normal"/>
    <w:next w:val="ParaNum"/>
    <w:qFormat/>
    <w:rsid w:val="009975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51F"/>
    <w:pPr>
      <w:keepNext/>
      <w:numPr>
        <w:ilvl w:val="1"/>
        <w:numId w:val="3"/>
      </w:numPr>
      <w:spacing w:after="120"/>
      <w:outlineLvl w:val="1"/>
    </w:pPr>
    <w:rPr>
      <w:b/>
    </w:rPr>
  </w:style>
  <w:style w:type="paragraph" w:styleId="Heading3">
    <w:name w:val="heading 3"/>
    <w:basedOn w:val="Normal"/>
    <w:next w:val="ParaNum"/>
    <w:qFormat/>
    <w:rsid w:val="0099751F"/>
    <w:pPr>
      <w:keepNext/>
      <w:numPr>
        <w:ilvl w:val="2"/>
        <w:numId w:val="3"/>
      </w:numPr>
      <w:tabs>
        <w:tab w:val="left" w:pos="2160"/>
      </w:tabs>
      <w:spacing w:after="120"/>
      <w:outlineLvl w:val="2"/>
    </w:pPr>
    <w:rPr>
      <w:b/>
    </w:rPr>
  </w:style>
  <w:style w:type="paragraph" w:styleId="Heading4">
    <w:name w:val="heading 4"/>
    <w:basedOn w:val="Normal"/>
    <w:next w:val="ParaNum"/>
    <w:qFormat/>
    <w:rsid w:val="0099751F"/>
    <w:pPr>
      <w:keepNext/>
      <w:numPr>
        <w:ilvl w:val="3"/>
        <w:numId w:val="3"/>
      </w:numPr>
      <w:tabs>
        <w:tab w:val="left" w:pos="2880"/>
      </w:tabs>
      <w:spacing w:after="120"/>
      <w:outlineLvl w:val="3"/>
    </w:pPr>
    <w:rPr>
      <w:b/>
    </w:rPr>
  </w:style>
  <w:style w:type="paragraph" w:styleId="Heading5">
    <w:name w:val="heading 5"/>
    <w:basedOn w:val="Normal"/>
    <w:next w:val="ParaNum"/>
    <w:qFormat/>
    <w:rsid w:val="0099751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751F"/>
    <w:pPr>
      <w:numPr>
        <w:ilvl w:val="5"/>
        <w:numId w:val="3"/>
      </w:numPr>
      <w:tabs>
        <w:tab w:val="left" w:pos="4320"/>
      </w:tabs>
      <w:spacing w:after="120"/>
      <w:outlineLvl w:val="5"/>
    </w:pPr>
    <w:rPr>
      <w:b/>
    </w:rPr>
  </w:style>
  <w:style w:type="paragraph" w:styleId="Heading7">
    <w:name w:val="heading 7"/>
    <w:basedOn w:val="Normal"/>
    <w:next w:val="ParaNum"/>
    <w:qFormat/>
    <w:rsid w:val="009975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75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75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75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51F"/>
  </w:style>
  <w:style w:type="paragraph" w:customStyle="1" w:styleId="ParaNum">
    <w:name w:val="ParaNum"/>
    <w:basedOn w:val="Normal"/>
    <w:link w:val="ParaNumChar1"/>
    <w:rsid w:val="0099751F"/>
    <w:pPr>
      <w:numPr>
        <w:numId w:val="2"/>
      </w:numPr>
      <w:tabs>
        <w:tab w:val="clear" w:pos="1080"/>
        <w:tab w:val="num" w:pos="1440"/>
      </w:tabs>
      <w:spacing w:after="120"/>
    </w:pPr>
  </w:style>
  <w:style w:type="paragraph" w:styleId="EndnoteText">
    <w:name w:val="endnote text"/>
    <w:basedOn w:val="Normal"/>
    <w:semiHidden/>
    <w:rsid w:val="0099751F"/>
    <w:rPr>
      <w:sz w:val="20"/>
    </w:rPr>
  </w:style>
  <w:style w:type="character" w:styleId="EndnoteReference">
    <w:name w:val="endnote reference"/>
    <w:semiHidden/>
    <w:rsid w:val="0099751F"/>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99751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9751F"/>
    <w:rPr>
      <w:rFonts w:ascii="Times New Roman" w:hAnsi="Times New Roman"/>
      <w:dstrike w:val="0"/>
      <w:color w:val="auto"/>
      <w:sz w:val="20"/>
      <w:vertAlign w:val="superscript"/>
    </w:rPr>
  </w:style>
  <w:style w:type="paragraph" w:styleId="TOC1">
    <w:name w:val="toc 1"/>
    <w:basedOn w:val="Normal"/>
    <w:next w:val="Normal"/>
    <w:semiHidden/>
    <w:rsid w:val="009975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751F"/>
    <w:pPr>
      <w:tabs>
        <w:tab w:val="left" w:pos="720"/>
        <w:tab w:val="right" w:leader="dot" w:pos="9360"/>
      </w:tabs>
      <w:suppressAutoHyphens/>
      <w:ind w:left="720" w:right="720" w:hanging="360"/>
    </w:pPr>
    <w:rPr>
      <w:noProof/>
    </w:rPr>
  </w:style>
  <w:style w:type="paragraph" w:styleId="TOC3">
    <w:name w:val="toc 3"/>
    <w:basedOn w:val="Normal"/>
    <w:next w:val="Normal"/>
    <w:semiHidden/>
    <w:rsid w:val="009975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75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75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75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75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75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75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751F"/>
    <w:pPr>
      <w:tabs>
        <w:tab w:val="right" w:pos="9360"/>
      </w:tabs>
      <w:suppressAutoHyphens/>
    </w:pPr>
  </w:style>
  <w:style w:type="character" w:customStyle="1" w:styleId="EquationCaption">
    <w:name w:val="_Equation Caption"/>
    <w:rsid w:val="0099751F"/>
  </w:style>
  <w:style w:type="paragraph" w:styleId="Header">
    <w:name w:val="header"/>
    <w:basedOn w:val="Normal"/>
    <w:autoRedefine/>
    <w:rsid w:val="0099751F"/>
    <w:pPr>
      <w:tabs>
        <w:tab w:val="center" w:pos="4680"/>
        <w:tab w:val="right" w:pos="9360"/>
      </w:tabs>
    </w:pPr>
    <w:rPr>
      <w:b/>
    </w:rPr>
  </w:style>
  <w:style w:type="paragraph" w:styleId="Footer">
    <w:name w:val="footer"/>
    <w:basedOn w:val="Normal"/>
    <w:link w:val="FooterChar"/>
    <w:uiPriority w:val="99"/>
    <w:rsid w:val="0099751F"/>
    <w:pPr>
      <w:tabs>
        <w:tab w:val="center" w:pos="4320"/>
        <w:tab w:val="right" w:pos="8640"/>
      </w:tabs>
    </w:pPr>
  </w:style>
  <w:style w:type="character" w:styleId="PageNumber">
    <w:name w:val="page number"/>
    <w:basedOn w:val="DefaultParagraphFont"/>
    <w:rsid w:val="0099751F"/>
  </w:style>
  <w:style w:type="paragraph" w:styleId="BlockText">
    <w:name w:val="Block Text"/>
    <w:basedOn w:val="Normal"/>
    <w:rsid w:val="0099751F"/>
    <w:pPr>
      <w:spacing w:after="240"/>
      <w:ind w:left="1440" w:right="1440"/>
    </w:pPr>
  </w:style>
  <w:style w:type="paragraph" w:customStyle="1" w:styleId="Paratitle">
    <w:name w:val="Para title"/>
    <w:basedOn w:val="Normal"/>
    <w:rsid w:val="0099751F"/>
    <w:pPr>
      <w:tabs>
        <w:tab w:val="center" w:pos="9270"/>
      </w:tabs>
      <w:spacing w:after="240"/>
    </w:pPr>
    <w:rPr>
      <w:spacing w:val="-2"/>
    </w:rPr>
  </w:style>
  <w:style w:type="paragraph" w:customStyle="1" w:styleId="Bullet">
    <w:name w:val="Bullet"/>
    <w:basedOn w:val="Normal"/>
    <w:rsid w:val="0099751F"/>
    <w:pPr>
      <w:tabs>
        <w:tab w:val="left" w:pos="2160"/>
      </w:tabs>
      <w:spacing w:after="220"/>
      <w:ind w:left="2160" w:hanging="720"/>
    </w:pPr>
  </w:style>
  <w:style w:type="paragraph" w:customStyle="1" w:styleId="TableFormat">
    <w:name w:val="TableFormat"/>
    <w:basedOn w:val="Bullet"/>
    <w:rsid w:val="0099751F"/>
    <w:pPr>
      <w:tabs>
        <w:tab w:val="clear" w:pos="2160"/>
        <w:tab w:val="left" w:pos="5040"/>
      </w:tabs>
      <w:ind w:left="5040" w:hanging="3600"/>
    </w:pPr>
  </w:style>
  <w:style w:type="paragraph" w:customStyle="1" w:styleId="TOCTitle">
    <w:name w:val="TOC Title"/>
    <w:basedOn w:val="Normal"/>
    <w:rsid w:val="009975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751F"/>
    <w:pPr>
      <w:jc w:val="center"/>
    </w:pPr>
    <w:rPr>
      <w:rFonts w:ascii="Times New Roman Bold" w:hAnsi="Times New Roman Bold"/>
      <w:b/>
      <w:bCs/>
      <w:caps/>
      <w:szCs w:val="22"/>
    </w:rPr>
  </w:style>
  <w:style w:type="character" w:styleId="Hyperlink">
    <w:name w:val="Hyperlink"/>
    <w:rsid w:val="0099751F"/>
    <w:rPr>
      <w:color w:val="0000FF"/>
      <w:u w:val="single"/>
    </w:rPr>
  </w:style>
  <w:style w:type="character" w:customStyle="1" w:styleId="FooterChar">
    <w:name w:val="Footer Char"/>
    <w:link w:val="Footer"/>
    <w:uiPriority w:val="99"/>
    <w:rsid w:val="0099751F"/>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