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E5136" w14:paraId="772BAE8A" w14:textId="7A5D7112">
      <w:pPr>
        <w:jc w:val="right"/>
        <w:rPr>
          <w:sz w:val="24"/>
        </w:rPr>
      </w:pPr>
    </w:p>
    <w:p w:rsidR="007E5136" w:rsidRPr="00AB20E2" w:rsidP="007E5136" w14:paraId="040ACCF9" w14:textId="77777777">
      <w:pPr>
        <w:jc w:val="right"/>
        <w:rPr>
          <w:b/>
          <w:bCs/>
        </w:rPr>
      </w:pPr>
      <w:r w:rsidRPr="00AB20E2">
        <w:rPr>
          <w:b/>
          <w:bCs/>
        </w:rPr>
        <w:t>DA 22-</w:t>
      </w:r>
      <w:r>
        <w:rPr>
          <w:b/>
          <w:bCs/>
        </w:rPr>
        <w:t>408</w:t>
      </w:r>
    </w:p>
    <w:p w:rsidR="007E5136" w:rsidRPr="00AB20E2" w:rsidP="007E5136" w14:paraId="2D66106D" w14:textId="77777777">
      <w:pPr>
        <w:spacing w:before="60"/>
        <w:jc w:val="right"/>
        <w:rPr>
          <w:b/>
          <w:bCs/>
        </w:rPr>
      </w:pPr>
      <w:r w:rsidRPr="551A5F20">
        <w:rPr>
          <w:b/>
          <w:bCs/>
        </w:rPr>
        <w:t xml:space="preserve">Released:  April </w:t>
      </w:r>
      <w:r>
        <w:rPr>
          <w:b/>
          <w:bCs/>
        </w:rPr>
        <w:t>14</w:t>
      </w:r>
      <w:r w:rsidRPr="551A5F20">
        <w:rPr>
          <w:b/>
          <w:bCs/>
        </w:rPr>
        <w:t>, 2022</w:t>
      </w:r>
    </w:p>
    <w:p w:rsidR="007E5136" w:rsidRPr="002073A5" w:rsidP="007E5136" w14:paraId="3F90E044" w14:textId="77777777">
      <w:pPr>
        <w:jc w:val="right"/>
        <w:rPr>
          <w:b/>
          <w:bCs/>
          <w:caps/>
        </w:rPr>
      </w:pPr>
    </w:p>
    <w:p w:rsidR="007E5136" w:rsidRPr="002073A5" w:rsidP="007E5136" w14:paraId="33F87329" w14:textId="77777777">
      <w:pPr>
        <w:spacing w:after="240"/>
        <w:jc w:val="center"/>
        <w:rPr>
          <w:b/>
          <w:bCs/>
          <w:caps/>
        </w:rPr>
      </w:pPr>
      <w:r w:rsidRPr="55D4A2CE">
        <w:rPr>
          <w:b/>
          <w:bCs/>
          <w:caps/>
        </w:rPr>
        <w:t>BROADBAND DATA TASK FORCE AND OFFICE OF ENGINEERING AND TECHNOLOGY ANNOUNCE procedures for THIRD-PARTY mobile SPEED TEST APPLICATIONS SEEKING APPROVAL</w:t>
      </w:r>
      <w:r w:rsidRPr="715FF7B2">
        <w:rPr>
          <w:b/>
          <w:bCs/>
          <w:caps/>
        </w:rPr>
        <w:t xml:space="preserve"> FOR</w:t>
      </w:r>
      <w:r w:rsidRPr="55D4A2CE">
        <w:rPr>
          <w:b/>
          <w:bCs/>
          <w:caps/>
        </w:rPr>
        <w:t xml:space="preserve"> USE IN THE FCC’S BROADBAND DATA COLLECTION </w:t>
      </w:r>
    </w:p>
    <w:p w:rsidR="007E5136" w:rsidRPr="00AB20E2" w:rsidP="007E5136" w14:paraId="5D66B94B" w14:textId="77777777">
      <w:pPr>
        <w:ind w:left="360" w:right="450" w:firstLine="360"/>
        <w:jc w:val="center"/>
        <w:rPr>
          <w:b/>
          <w:bCs/>
        </w:rPr>
      </w:pPr>
      <w:r w:rsidRPr="00AB20E2">
        <w:rPr>
          <w:b/>
          <w:bCs/>
        </w:rPr>
        <w:t>WC Docket No. 19-195</w:t>
      </w:r>
    </w:p>
    <w:p w:rsidR="007E5136" w:rsidRPr="00AB20E2" w:rsidP="007E5136" w14:paraId="48DF6470" w14:textId="77777777">
      <w:pPr>
        <w:ind w:left="360" w:right="450" w:firstLine="360"/>
        <w:jc w:val="center"/>
        <w:rPr>
          <w:b/>
          <w:bCs/>
        </w:rPr>
      </w:pPr>
      <w:r w:rsidRPr="00AB20E2">
        <w:rPr>
          <w:b/>
          <w:bCs/>
        </w:rPr>
        <w:t>ET Docket No. 22-</w:t>
      </w:r>
      <w:r>
        <w:rPr>
          <w:b/>
          <w:bCs/>
        </w:rPr>
        <w:t>152</w:t>
      </w:r>
    </w:p>
    <w:p w:rsidR="007E5136" w:rsidRPr="00AB20E2" w:rsidP="007E5136" w14:paraId="3D1CEFA2" w14:textId="77777777">
      <w:pPr>
        <w:rPr>
          <w:b/>
          <w:szCs w:val="22"/>
        </w:rPr>
      </w:pPr>
    </w:p>
    <w:p w:rsidR="007E5136" w:rsidRPr="00AB20E2" w:rsidP="007E5136" w14:paraId="1A21F69E" w14:textId="77777777">
      <w:pPr>
        <w:pStyle w:val="Heading1"/>
        <w:rPr>
          <w:rFonts w:ascii="Times New Roman" w:hAnsi="Times New Roman"/>
        </w:rPr>
      </w:pPr>
      <w:r w:rsidRPr="00AB20E2">
        <w:rPr>
          <w:rFonts w:ascii="Times New Roman" w:hAnsi="Times New Roman"/>
        </w:rPr>
        <w:t>INTRODUCTION</w:t>
      </w:r>
    </w:p>
    <w:p w:rsidR="007E5136" w:rsidRPr="007E5136" w:rsidP="00462EEB" w14:paraId="23FEB9EE" w14:textId="3BF58C51">
      <w:pPr>
        <w:pStyle w:val="ParaNum"/>
        <w:rPr>
          <w:rFonts w:ascii="Calibri" w:hAnsi="Calibri"/>
          <w:i/>
          <w:iCs/>
        </w:rPr>
      </w:pPr>
      <w:r w:rsidRPr="00624DF9">
        <w:t xml:space="preserve">By this </w:t>
      </w:r>
      <w:r w:rsidRPr="55D4A2CE">
        <w:rPr>
          <w:i/>
          <w:iCs/>
        </w:rPr>
        <w:t>Public Notice</w:t>
      </w:r>
      <w:r w:rsidRPr="00624DF9">
        <w:t xml:space="preserve">, the </w:t>
      </w:r>
      <w:r>
        <w:t xml:space="preserve">Broadband Data Task Force and the </w:t>
      </w:r>
      <w:r w:rsidRPr="00624DF9">
        <w:t>Office of Engineering and Technology (OET) of the Federal Communications Commission (FCC or Co</w:t>
      </w:r>
      <w:r w:rsidRPr="00624DF9">
        <w:t>mmission)</w:t>
      </w:r>
      <w:r>
        <w:t xml:space="preserve"> adopt and</w:t>
      </w:r>
      <w:r w:rsidRPr="00624DF9">
        <w:t xml:space="preserve"> </w:t>
      </w:r>
      <w:r>
        <w:t>announce</w:t>
      </w:r>
      <w:r w:rsidRPr="00624DF9">
        <w:t xml:space="preserve"> procedures for third-party mobile speed test application developers (third-party app developers) to submit, for OET review and approval,</w:t>
      </w:r>
      <w:r>
        <w:t xml:space="preserve"> </w:t>
      </w:r>
      <w:r w:rsidRPr="00624DF9">
        <w:t xml:space="preserve">proposals for mobile speed test applications for use in collecting and submitting mobile </w:t>
      </w:r>
      <w:r>
        <w:t>n</w:t>
      </w:r>
      <w:r>
        <w:t xml:space="preserve">etwork performance </w:t>
      </w:r>
      <w:r w:rsidRPr="00624DF9">
        <w:t xml:space="preserve">data as part of the Commission’s Broadband Data Collection (BDC).  This </w:t>
      </w:r>
      <w:r w:rsidRPr="55D4A2CE">
        <w:rPr>
          <w:i/>
          <w:iCs/>
        </w:rPr>
        <w:t xml:space="preserve">Public Notice </w:t>
      </w:r>
      <w:r w:rsidRPr="00624DF9">
        <w:t xml:space="preserve">provides information on third-party speed test app requirements and describes the process that OET will use to seek public comment on and to review </w:t>
      </w:r>
      <w:r>
        <w:t>pro</w:t>
      </w:r>
      <w:r>
        <w:t xml:space="preserve">posals for </w:t>
      </w:r>
      <w:r w:rsidRPr="00624DF9">
        <w:t xml:space="preserve">third-party apps.  With the release of this </w:t>
      </w:r>
      <w:r w:rsidRPr="55D4A2CE">
        <w:rPr>
          <w:i/>
          <w:iCs/>
        </w:rPr>
        <w:t>Public Notice</w:t>
      </w:r>
      <w:r w:rsidRPr="00624DF9">
        <w:t xml:space="preserve">, third-party app developers may begin submitting their proposals to OET for review and approval, and OET will </w:t>
      </w:r>
      <w:r>
        <w:t>endeavor</w:t>
      </w:r>
      <w:r w:rsidRPr="00624DF9">
        <w:t xml:space="preserve"> to complete its review of </w:t>
      </w:r>
      <w:r>
        <w:t>proposals</w:t>
      </w:r>
      <w:r w:rsidRPr="00624DF9">
        <w:t xml:space="preserve"> received</w:t>
      </w:r>
      <w:r>
        <w:t xml:space="preserve"> on or before</w:t>
      </w:r>
      <w:r w:rsidRPr="00624DF9">
        <w:t xml:space="preserve"> </w:t>
      </w:r>
      <w:r>
        <w:t>June 9, 20</w:t>
      </w:r>
      <w:r>
        <w:t>22</w:t>
      </w:r>
      <w:r w:rsidRPr="00624DF9">
        <w:t xml:space="preserve"> </w:t>
      </w:r>
      <w:r>
        <w:t xml:space="preserve">in advance of the FCC’s </w:t>
      </w:r>
      <w:r w:rsidRPr="00624DF9">
        <w:t>publication of the initial versions of the broadband availability maps required under the Broadband DATA Act.</w:t>
      </w:r>
      <w:r>
        <w:rPr>
          <w:rStyle w:val="FootnoteReference"/>
        </w:rPr>
        <w:footnoteReference w:id="3"/>
      </w:r>
      <w:r w:rsidRPr="00624DF9">
        <w:t xml:space="preserve">  In </w:t>
      </w:r>
      <w:r>
        <w:t>OET Bulletin 75,</w:t>
      </w:r>
      <w:r>
        <w:rPr>
          <w:rStyle w:val="FootnoteReference"/>
        </w:rPr>
        <w:footnoteReference w:id="4"/>
      </w:r>
      <w:r>
        <w:t xml:space="preserve"> released contemporaneously with this </w:t>
      </w:r>
      <w:r w:rsidRPr="55D4A2CE">
        <w:rPr>
          <w:i/>
          <w:iCs/>
        </w:rPr>
        <w:t>Public Notice</w:t>
      </w:r>
      <w:r w:rsidRPr="63305319">
        <w:rPr>
          <w:rStyle w:val="FootnoteReference"/>
        </w:rPr>
        <w:t xml:space="preserve"> </w:t>
      </w:r>
      <w:r>
        <w:t xml:space="preserve">and Appendix A (Template for Third-Party App Proposals) to the </w:t>
      </w:r>
      <w:r w:rsidRPr="55D4A2CE">
        <w:rPr>
          <w:i/>
          <w:iCs/>
        </w:rPr>
        <w:t>Public Notice</w:t>
      </w:r>
      <w:r>
        <w:t xml:space="preserve"> (Template), </w:t>
      </w:r>
      <w:r w:rsidRPr="00624DF9">
        <w:t xml:space="preserve">OET provides technical guidance regarding how third-party app </w:t>
      </w:r>
      <w:r>
        <w:t xml:space="preserve">developers may </w:t>
      </w:r>
      <w:r w:rsidRPr="00624DF9">
        <w:t xml:space="preserve">present </w:t>
      </w:r>
      <w:r>
        <w:t xml:space="preserve">supporting </w:t>
      </w:r>
      <w:r w:rsidRPr="00624DF9">
        <w:t xml:space="preserve">information </w:t>
      </w:r>
      <w:r>
        <w:t xml:space="preserve">and other documentation </w:t>
      </w:r>
      <w:r w:rsidRPr="00624DF9">
        <w:t>as part of the</w:t>
      </w:r>
      <w:r>
        <w:t>ir</w:t>
      </w:r>
      <w:r w:rsidRPr="00624DF9">
        <w:t xml:space="preserve"> </w:t>
      </w:r>
      <w:r>
        <w:t>proposals.</w:t>
      </w:r>
      <w:r>
        <w:rPr>
          <w:rStyle w:val="FootnoteReference"/>
        </w:rPr>
        <w:footnoteReference w:id="5"/>
      </w:r>
      <w:r w:rsidRPr="00624DF9">
        <w:rPr>
          <w:rStyle w:val="FootnoteReference"/>
        </w:rPr>
        <w:t xml:space="preserve"> </w:t>
      </w:r>
    </w:p>
    <w:p w:rsidR="007E5136" w:rsidRPr="00624DF9" w:rsidP="007E5136" w14:paraId="7E2FB194" w14:textId="77777777">
      <w:pPr>
        <w:pStyle w:val="Heading1"/>
        <w:rPr>
          <w:rFonts w:ascii="Times New Roman" w:hAnsi="Times New Roman"/>
        </w:rPr>
      </w:pPr>
      <w:r w:rsidRPr="00624DF9">
        <w:rPr>
          <w:rFonts w:ascii="Times New Roman" w:hAnsi="Times New Roman"/>
        </w:rPr>
        <w:t>BACK</w:t>
      </w:r>
      <w:r w:rsidRPr="00624DF9">
        <w:rPr>
          <w:rFonts w:ascii="Times New Roman" w:hAnsi="Times New Roman"/>
        </w:rPr>
        <w:t>GROUND</w:t>
      </w:r>
    </w:p>
    <w:p w:rsidR="007E5136" w:rsidRPr="00624DF9" w:rsidP="00462EEB" w14:paraId="06BC7DF8" w14:textId="77777777">
      <w:pPr>
        <w:pStyle w:val="ParaNum"/>
        <w:widowControl/>
        <w:rPr>
          <w:snapToGrid/>
          <w:kern w:val="0"/>
          <w:sz w:val="24"/>
          <w:szCs w:val="24"/>
        </w:rPr>
      </w:pPr>
      <w:r w:rsidRPr="00624DF9">
        <w:t>As part of the Broadband Deployment Accuracy and Technological Availability Act</w:t>
      </w:r>
      <w:r>
        <w:t xml:space="preserve"> (Broadband DATA Act)</w:t>
      </w:r>
      <w:r w:rsidRPr="00624DF9">
        <w:t>,</w:t>
      </w:r>
      <w:r>
        <w:rPr>
          <w:rStyle w:val="FootnoteReference"/>
        </w:rPr>
        <w:footnoteReference w:id="6"/>
      </w:r>
      <w:r w:rsidRPr="00624DF9">
        <w:t xml:space="preserve"> Congress mandated that the Commission “establish a user-friendly challenge process through which consumers, State, local, and Tribal governmental</w:t>
      </w:r>
      <w:r w:rsidRPr="00624DF9">
        <w:t xml:space="preserve"> entities, and other entities or </w:t>
      </w:r>
      <w:r w:rsidRPr="00624DF9">
        <w:t>individuals may submit coverage data to the Commission to challenge [the coverage maps created pursuant to the Broadband DATA Act or the underlying broadband availability data forming the basis of the coverage maps].”</w:t>
      </w:r>
      <w:r>
        <w:rPr>
          <w:rStyle w:val="FootnoteReference"/>
        </w:rPr>
        <w:footnoteReference w:id="7"/>
      </w:r>
      <w:r w:rsidRPr="00624DF9">
        <w:t xml:space="preserve">  Th</w:t>
      </w:r>
      <w:r w:rsidRPr="00624DF9">
        <w:t>e legislation also requires that the Commission develop a crowdsourcing process “through which entities or individuals . . . may submit specific information about the deployment and availability of broadband internet access service . . . on an ongoing basi</w:t>
      </w:r>
      <w:r w:rsidRPr="00624DF9">
        <w:t>s so that the information may be used to verify and supplement information provided by providers . . . for inclusion in the [broadband coverage] maps.”</w:t>
      </w:r>
      <w:r>
        <w:rPr>
          <w:rStyle w:val="FootnoteReference"/>
        </w:rPr>
        <w:footnoteReference w:id="8"/>
      </w:r>
      <w:r w:rsidRPr="00624DF9">
        <w:t xml:space="preserve">  These processes are intended to allow consumers and other entities opportunities to submit data that </w:t>
      </w:r>
      <w:r w:rsidRPr="00624DF9">
        <w:t xml:space="preserve">will help to validate and improve the accuracy of broadband availability data supplied by broadband service providers.   </w:t>
      </w:r>
    </w:p>
    <w:p w:rsidR="007E5136" w:rsidRPr="00624DF9" w:rsidP="00462EEB" w14:paraId="083948AC" w14:textId="77777777">
      <w:pPr>
        <w:pStyle w:val="ParaNum"/>
        <w:widowControl/>
        <w:rPr>
          <w:snapToGrid/>
          <w:kern w:val="0"/>
          <w:sz w:val="24"/>
          <w:szCs w:val="24"/>
        </w:rPr>
      </w:pPr>
      <w:r w:rsidRPr="00624DF9">
        <w:t xml:space="preserve">In the </w:t>
      </w:r>
      <w:r w:rsidRPr="2D04B7CC">
        <w:rPr>
          <w:i/>
          <w:iCs/>
        </w:rPr>
        <w:t xml:space="preserve">Second Report and Order </w:t>
      </w:r>
      <w:r w:rsidRPr="00624DF9">
        <w:t>adopted in this proceeding, the Commission directed OET, the Office of Economics and Analytics (OEA), t</w:t>
      </w:r>
      <w:r w:rsidRPr="00624DF9">
        <w:t>he Wireline Competition Bureau (WCB), and the Wireless Telecommunications Bureau (WTB) “to develop and refine a process for entities and individuals to submit third-party fixed and mobile crowdsourced data consistent with the Broadband DATA Act’s requireme</w:t>
      </w:r>
      <w:r w:rsidRPr="00624DF9">
        <w:t>nts and the Commission’s policies.”</w:t>
      </w:r>
      <w:r>
        <w:rPr>
          <w:rStyle w:val="FootnoteReference"/>
        </w:rPr>
        <w:footnoteReference w:id="9"/>
      </w:r>
      <w:r w:rsidRPr="00624DF9">
        <w:t xml:space="preserve">  </w:t>
      </w:r>
      <w:r>
        <w:t>C</w:t>
      </w:r>
      <w:r w:rsidRPr="00624DF9">
        <w:t xml:space="preserve">rowdsourced data </w:t>
      </w:r>
      <w:r>
        <w:t>will be used</w:t>
      </w:r>
      <w:r w:rsidRPr="00624DF9">
        <w:t xml:space="preserve"> to “identify individual instances or patterns of potentially inaccurate or incomplete deployment or availability data that warrant further investigation or review.”</w:t>
      </w:r>
      <w:r>
        <w:rPr>
          <w:vertAlign w:val="superscript"/>
        </w:rPr>
        <w:footnoteReference w:id="10"/>
      </w:r>
      <w:r w:rsidRPr="00624DF9">
        <w:t xml:space="preserve">  </w:t>
      </w:r>
    </w:p>
    <w:p w:rsidR="007E5136" w:rsidRPr="00624DF9" w:rsidP="00462EEB" w14:paraId="18A59D18" w14:textId="77777777">
      <w:pPr>
        <w:pStyle w:val="ParaNum"/>
        <w:widowControl/>
        <w:rPr>
          <w:snapToGrid/>
          <w:kern w:val="0"/>
          <w:sz w:val="24"/>
          <w:szCs w:val="24"/>
        </w:rPr>
      </w:pPr>
      <w:r w:rsidRPr="00624DF9">
        <w:t xml:space="preserve">In the </w:t>
      </w:r>
      <w:r w:rsidRPr="2D04B7CC">
        <w:rPr>
          <w:i/>
          <w:iCs/>
        </w:rPr>
        <w:t>Third Report and Order</w:t>
      </w:r>
      <w:r w:rsidRPr="00624DF9">
        <w:t>, the Commission required consumers to submit speed test data in support of challenges to mobile broadband coverage data.</w:t>
      </w:r>
      <w:r>
        <w:rPr>
          <w:rStyle w:val="FootnoteReference"/>
        </w:rPr>
        <w:footnoteReference w:id="11"/>
      </w:r>
      <w:r w:rsidRPr="00624DF9">
        <w:t xml:space="preserve">  In order “[t]o ensure that consumer challenge data meet necessary reporting requirements, [the Commission] re</w:t>
      </w:r>
      <w:r w:rsidRPr="00624DF9">
        <w:t xml:space="preserve">quire[s] consumers to use a speed test application that has been designated by OET, in consultation with OEA and WTB, for use in </w:t>
      </w:r>
      <w:r>
        <w:t>the [mobile]</w:t>
      </w:r>
      <w:r w:rsidRPr="00624DF9">
        <w:t xml:space="preserve"> challenge</w:t>
      </w:r>
      <w:r>
        <w:t xml:space="preserve"> proces</w:t>
      </w:r>
      <w:r w:rsidRPr="00624DF9">
        <w:t>s.”</w:t>
      </w:r>
      <w:r>
        <w:rPr>
          <w:rStyle w:val="FootnoteReference"/>
        </w:rPr>
        <w:footnoteReference w:id="12"/>
      </w:r>
      <w:r w:rsidRPr="00624DF9">
        <w:t xml:space="preserve">  The </w:t>
      </w:r>
      <w:r w:rsidRPr="2D04B7CC">
        <w:rPr>
          <w:i/>
          <w:iCs/>
        </w:rPr>
        <w:t xml:space="preserve">Third Report and Order </w:t>
      </w:r>
      <w:r w:rsidRPr="00624DF9">
        <w:t>included minimum requirements for all speed test applications an</w:t>
      </w:r>
      <w:r w:rsidRPr="00624DF9">
        <w:t xml:space="preserve">d directed OET to </w:t>
      </w:r>
      <w:r>
        <w:t>develop</w:t>
      </w:r>
      <w:r w:rsidRPr="00624DF9">
        <w:t xml:space="preserve"> data elements that mobile speed tests must include to qualify as a valid mobile challenge process submission</w:t>
      </w:r>
      <w:r>
        <w:t xml:space="preserve"> and procedures to approve qualified third-party apps</w:t>
      </w:r>
      <w:r w:rsidRPr="00624DF9">
        <w:t>.</w:t>
      </w:r>
      <w:r>
        <w:rPr>
          <w:rStyle w:val="FootnoteReference"/>
        </w:rPr>
        <w:footnoteReference w:id="13"/>
      </w:r>
      <w:r w:rsidRPr="00624DF9">
        <w:t xml:space="preserve">  Third-party apps may also include, as an add-on to the challenge</w:t>
      </w:r>
      <w:r w:rsidRPr="00624DF9">
        <w:t xml:space="preserve"> process system features, capabilities for consumers to submit crowdsourced mobile coverage data to the Commission.</w:t>
      </w:r>
      <w:r>
        <w:rPr>
          <w:rStyle w:val="FootnoteReference"/>
        </w:rPr>
        <w:footnoteReference w:id="14"/>
      </w:r>
      <w:r w:rsidRPr="00624DF9">
        <w:t xml:space="preserve">  </w:t>
      </w:r>
    </w:p>
    <w:p w:rsidR="007E5136" w:rsidRPr="00624DF9" w:rsidP="00462EEB" w14:paraId="24885472" w14:textId="77777777">
      <w:pPr>
        <w:pStyle w:val="ParaNum"/>
        <w:widowControl/>
      </w:pPr>
      <w:r w:rsidRPr="00624DF9">
        <w:t xml:space="preserve">Most recently, in the </w:t>
      </w:r>
      <w:r w:rsidRPr="2D04B7CC">
        <w:rPr>
          <w:i/>
          <w:iCs/>
        </w:rPr>
        <w:t>Mobile Technical Requirements Order</w:t>
      </w:r>
      <w:r w:rsidRPr="00624DF9">
        <w:t>, OEA, WTB, and OET outlined the process by which OET w</w:t>
      </w:r>
      <w:r>
        <w:t>ill receiv</w:t>
      </w:r>
      <w:r w:rsidRPr="00624DF9">
        <w:t>e proposals for designation of third-party apps approved to submit mobile challenge and</w:t>
      </w:r>
      <w:r>
        <w:t>, if implemented,</w:t>
      </w:r>
      <w:r w:rsidRPr="00624DF9">
        <w:t xml:space="preserve"> crowdsourced data</w:t>
      </w:r>
      <w:r>
        <w:t>,</w:t>
      </w:r>
      <w:r w:rsidRPr="00624DF9">
        <w:t xml:space="preserve"> into the BDC.</w:t>
      </w:r>
      <w:r>
        <w:rPr>
          <w:rStyle w:val="FootnoteReference"/>
        </w:rPr>
        <w:footnoteReference w:id="15"/>
      </w:r>
      <w:r w:rsidRPr="00624DF9">
        <w:t xml:space="preserve">  This framework will </w:t>
      </w:r>
      <w:r w:rsidRPr="00624DF9">
        <w:t xml:space="preserve">provide consumers, government entities (including Tribal governments), and other </w:t>
      </w:r>
      <w:r>
        <w:t>third parties</w:t>
      </w:r>
      <w:r w:rsidRPr="00624DF9">
        <w:t xml:space="preserve"> </w:t>
      </w:r>
      <w:r w:rsidRPr="00624DF9">
        <w:t>with the flexibility to choose among and between the publicly available FCC Speed Test app</w:t>
      </w:r>
      <w:r>
        <w:rPr>
          <w:rStyle w:val="FootnoteReference"/>
        </w:rPr>
        <w:footnoteReference w:id="16"/>
      </w:r>
      <w:r w:rsidRPr="00624DF9">
        <w:t xml:space="preserve"> and OET-approved third-party apps for challenging mobile broadband coverage and</w:t>
      </w:r>
      <w:r>
        <w:t>, optionally,</w:t>
      </w:r>
      <w:r w:rsidRPr="00624DF9">
        <w:t xml:space="preserve"> for filing crowdsourced data.  Any speed test data submitted from appr</w:t>
      </w:r>
      <w:r w:rsidRPr="00624DF9">
        <w:t>oved third-party apps must include the specified metrics and parameters for the challenge and</w:t>
      </w:r>
      <w:r>
        <w:t>, if implemented,</w:t>
      </w:r>
      <w:r w:rsidRPr="00624DF9">
        <w:t xml:space="preserve"> crowdsource processes</w:t>
      </w:r>
      <w:r w:rsidRPr="00624DF9">
        <w:rPr>
          <w:rStyle w:val="FootnoteReference"/>
        </w:rPr>
        <w:t>.</w:t>
      </w:r>
      <w:r>
        <w:rPr>
          <w:rStyle w:val="FootnoteReference"/>
        </w:rPr>
        <w:footnoteReference w:id="17"/>
      </w:r>
      <w:r w:rsidRPr="00624DF9">
        <w:t xml:space="preserve">  The procedures for OET approval of third-party apps for both the consumer challenge process and receiving crowdsourced </w:t>
      </w:r>
      <w:r w:rsidRPr="00624DF9">
        <w:t>data are the same.</w:t>
      </w:r>
      <w:r>
        <w:rPr>
          <w:rStyle w:val="FootnoteReference"/>
        </w:rPr>
        <w:footnoteReference w:id="18"/>
      </w:r>
      <w:r w:rsidRPr="00624DF9">
        <w:t xml:space="preserve">    </w:t>
      </w:r>
    </w:p>
    <w:p w:rsidR="007E5136" w:rsidRPr="00624DF9" w:rsidP="007E5136" w14:paraId="1D1C7222" w14:textId="77777777">
      <w:pPr>
        <w:pStyle w:val="Heading1"/>
        <w:rPr>
          <w:rFonts w:ascii="Times New Roman" w:hAnsi="Times New Roman"/>
        </w:rPr>
      </w:pPr>
      <w:r w:rsidRPr="00624DF9">
        <w:rPr>
          <w:rFonts w:ascii="Times New Roman" w:hAnsi="Times New Roman"/>
        </w:rPr>
        <w:t>DISCUSSION</w:t>
      </w:r>
    </w:p>
    <w:p w:rsidR="007E5136" w:rsidRPr="007E5136" w:rsidP="00462EEB" w14:paraId="67533839" w14:textId="77777777">
      <w:pPr>
        <w:pStyle w:val="ParaNum"/>
        <w:widowControl/>
      </w:pPr>
      <w:r>
        <w:t>Third-party app developers seeking OET approval of their apps for the collection and submission of mobile challenge data (and, if implemented, crowdsourced data) must submit a separate proposal for iOS and Android operat</w:t>
      </w:r>
      <w:r>
        <w:t>ing systems using the procedures described below.  Third-party app developers may now begin submitting their proposals, and OET will endeavor to perform an initial review of, seek comment upon, and make final determinations for proposals submitted on or be</w:t>
      </w:r>
      <w:r>
        <w:t>fore June 9, 2022 by the end of August, contemporaneously with the close of the inaugural filing window for the initial versions of the broadband availability maps required under the Broadband DATA Act.  This will allow third-party apps, in addition to the</w:t>
      </w:r>
      <w:r>
        <w:t xml:space="preserve"> FCC Speed Test app,</w:t>
      </w:r>
      <w:r>
        <w:rPr>
          <w:vertAlign w:val="superscript"/>
        </w:rPr>
        <w:footnoteReference w:id="19"/>
      </w:r>
      <w:r>
        <w:t xml:space="preserve"> to be made available to consumers and other entities to begin submitting mobile challenge and crowdsource data into the BDC system once the mobile broadband availability maps are published.    </w:t>
      </w:r>
    </w:p>
    <w:p w:rsidR="007E5136" w:rsidRPr="00624DF9" w:rsidP="007E5136" w14:paraId="7EA0D38C" w14:textId="77777777">
      <w:pPr>
        <w:pStyle w:val="Heading2"/>
      </w:pPr>
      <w:r>
        <w:t xml:space="preserve">Third-Party Application Proposals </w:t>
      </w:r>
    </w:p>
    <w:p w:rsidR="007E5136" w:rsidRPr="00462EEB" w:rsidP="00462EEB" w14:paraId="7AE090D3" w14:textId="1539D566">
      <w:pPr>
        <w:pStyle w:val="ParaNum"/>
      </w:pPr>
      <w:r w:rsidRPr="002D7BC5">
        <w:t>As s</w:t>
      </w:r>
      <w:r w:rsidRPr="002D7BC5">
        <w:t xml:space="preserve">pecified in the </w:t>
      </w:r>
      <w:r w:rsidRPr="2D04B7CC">
        <w:rPr>
          <w:i/>
          <w:iCs/>
        </w:rPr>
        <w:t>Mobile Technical Requirements Order</w:t>
      </w:r>
      <w:r w:rsidRPr="002D7BC5">
        <w:t xml:space="preserve">, third-party app developers seeking approval for use in the challenge </w:t>
      </w:r>
      <w:r>
        <w:t xml:space="preserve">and, if implemented, </w:t>
      </w:r>
      <w:r w:rsidRPr="002D7BC5">
        <w:t>crowdsourcing processes must include information indicating how the third-party app complies with the requirement</w:t>
      </w:r>
      <w:r w:rsidRPr="002D7BC5">
        <w:t xml:space="preserve">s for the </w:t>
      </w:r>
      <w:r>
        <w:t xml:space="preserve">collection of </w:t>
      </w:r>
      <w:r w:rsidRPr="002D7BC5">
        <w:t xml:space="preserve">mobile challenge </w:t>
      </w:r>
      <w:r>
        <w:t>data (</w:t>
      </w:r>
      <w:r w:rsidRPr="002D7BC5">
        <w:t>and crowdsourced data</w:t>
      </w:r>
      <w:r>
        <w:t>, if applicable).</w:t>
      </w:r>
      <w:r>
        <w:rPr>
          <w:rStyle w:val="FootnoteReference"/>
        </w:rPr>
        <w:footnoteReference w:id="20"/>
      </w:r>
      <w:r>
        <w:t xml:space="preserve">  OET has outlined the various requirements in OET Bulletin 75, released contemporaneously with this </w:t>
      </w:r>
      <w:r w:rsidRPr="2D04B7CC">
        <w:rPr>
          <w:i/>
          <w:iCs/>
        </w:rPr>
        <w:t>Public Notice</w:t>
      </w:r>
      <w:r>
        <w:t>, and</w:t>
      </w:r>
      <w:r w:rsidRPr="2D04B7CC">
        <w:rPr>
          <w:rStyle w:val="CommentReference"/>
        </w:rPr>
        <w:t xml:space="preserve"> </w:t>
      </w:r>
      <w:r>
        <w:t xml:space="preserve">the Template in Appendix A attached hereto.  The </w:t>
      </w:r>
      <w:r>
        <w:t xml:space="preserve">third-party app developer must describe how the proposed third-party app meets all requirements (i.e., those described as “must” or “shall” in Bulletin 75 and specified in this </w:t>
      </w:r>
      <w:r w:rsidRPr="16D43491">
        <w:rPr>
          <w:i/>
        </w:rPr>
        <w:t>Public Notice</w:t>
      </w:r>
      <w:r>
        <w:t>).  For any third-party app proposal that deviates from these requ</w:t>
      </w:r>
      <w:r>
        <w:t xml:space="preserve">irements or does not implement recommended practices (i.e., those described as “may” or “should” herein), the third-party app </w:t>
      </w:r>
      <w:r>
        <w:t>developer must (1) explain its reasoning why its particular circumstances warranted a deviation from the requirements or recommend</w:t>
      </w:r>
      <w:r>
        <w:t xml:space="preserve">ed practices, and (2) show that such a deviation will serve the public interest.  </w:t>
      </w:r>
      <w:r w:rsidRPr="00624DF9">
        <w:t xml:space="preserve">All third-party app proposals (including </w:t>
      </w:r>
      <w:r>
        <w:t xml:space="preserve">supporting documentation and any </w:t>
      </w:r>
      <w:r w:rsidRPr="00624DF9">
        <w:t xml:space="preserve">supplements thereto) must be filed with the Commission </w:t>
      </w:r>
      <w:r>
        <w:t>in the Commission’s Electronic Comment Filing</w:t>
      </w:r>
      <w:r>
        <w:t xml:space="preserve"> System (ECFS) and adhere to the format specified in the Template</w:t>
      </w:r>
      <w:r w:rsidRPr="00624DF9">
        <w:t xml:space="preserve">.  The </w:t>
      </w:r>
      <w:r>
        <w:t xml:space="preserve">Template </w:t>
      </w:r>
      <w:r w:rsidRPr="00624DF9">
        <w:t xml:space="preserve">includes </w:t>
      </w:r>
      <w:r>
        <w:t xml:space="preserve">prompts </w:t>
      </w:r>
      <w:r w:rsidRPr="00624DF9">
        <w:t xml:space="preserve">for responses </w:t>
      </w:r>
      <w:r>
        <w:t>addressing</w:t>
      </w:r>
      <w:r w:rsidRPr="00624DF9">
        <w:t xml:space="preserve"> the issues and information described in OET Bulletin 75</w:t>
      </w:r>
      <w:r>
        <w:t>,</w:t>
      </w:r>
      <w:r w:rsidRPr="00624DF9">
        <w:t xml:space="preserve"> </w:t>
      </w:r>
      <w:r>
        <w:t>which</w:t>
      </w:r>
      <w:r w:rsidRPr="00624DF9">
        <w:t xml:space="preserve"> </w:t>
      </w:r>
      <w:r>
        <w:t xml:space="preserve">consolidates the various Commission requirements into one resource, </w:t>
      </w:r>
      <w:r w:rsidRPr="00624DF9">
        <w:t xml:space="preserve">and certifications necessary to ensure that a third-party app will operate as required under </w:t>
      </w:r>
      <w:r>
        <w:t xml:space="preserve">this </w:t>
      </w:r>
      <w:r w:rsidRPr="2D04B7CC">
        <w:rPr>
          <w:i/>
          <w:iCs/>
        </w:rPr>
        <w:t>Public Notice</w:t>
      </w:r>
      <w:r>
        <w:t>,</w:t>
      </w:r>
      <w:r w:rsidRPr="00624DF9">
        <w:t xml:space="preserve"> the Commission’s prior orders</w:t>
      </w:r>
      <w:r>
        <w:t>,</w:t>
      </w:r>
      <w:r>
        <w:rPr>
          <w:rStyle w:val="FootnoteReference"/>
        </w:rPr>
        <w:footnoteReference w:id="21"/>
      </w:r>
      <w:r w:rsidRPr="00624DF9">
        <w:t xml:space="preserve"> the </w:t>
      </w:r>
      <w:r w:rsidRPr="2D04B7CC">
        <w:rPr>
          <w:i/>
          <w:iCs/>
        </w:rPr>
        <w:t>Mobile Technical Requirements Order</w:t>
      </w:r>
      <w:r>
        <w:t>,</w:t>
      </w:r>
      <w:r>
        <w:rPr>
          <w:rStyle w:val="FootnoteReference"/>
        </w:rPr>
        <w:footnoteReference w:id="22"/>
      </w:r>
      <w:r w:rsidRPr="00624DF9">
        <w:t xml:space="preserve"> </w:t>
      </w:r>
      <w:r>
        <w:t xml:space="preserve">and the </w:t>
      </w:r>
      <w:r w:rsidRPr="2D04B7CC">
        <w:rPr>
          <w:i/>
          <w:iCs/>
        </w:rPr>
        <w:t>BDC - Data Specifications for Mobile Speed Test Data</w:t>
      </w:r>
      <w:r>
        <w:t>.</w:t>
      </w:r>
      <w:r>
        <w:rPr>
          <w:rStyle w:val="FootnoteReference"/>
        </w:rPr>
        <w:footnoteReference w:id="23"/>
      </w:r>
      <w:r w:rsidRPr="00624DF9">
        <w:t xml:space="preserve">  </w:t>
      </w:r>
      <w:r>
        <w:t>T</w:t>
      </w:r>
      <w:r w:rsidRPr="00624DF9">
        <w:t xml:space="preserve">hird-party app developers </w:t>
      </w:r>
      <w:r>
        <w:t xml:space="preserve">may </w:t>
      </w:r>
      <w:r w:rsidRPr="00624DF9">
        <w:t>request confidential treatment of information contained in their proposals</w:t>
      </w:r>
      <w:r>
        <w:t xml:space="preserve"> consistent with section 0.459 of the Commission’s rules and the instructions the FCC</w:t>
      </w:r>
      <w:r>
        <w:t xml:space="preserve"> has provided for submission of confidential materials during the COVID-19 pandemic</w:t>
      </w:r>
      <w:r w:rsidRPr="00624DF9">
        <w:t>.</w:t>
      </w:r>
      <w:r>
        <w:rPr>
          <w:rStyle w:val="FootnoteReference"/>
        </w:rPr>
        <w:footnoteReference w:id="24"/>
      </w:r>
    </w:p>
    <w:p w:rsidR="007E5136" w:rsidRPr="007E5136" w:rsidP="00462EEB" w14:paraId="1420EF4F" w14:textId="77777777">
      <w:pPr>
        <w:pStyle w:val="ParaNum"/>
      </w:pPr>
      <w:r w:rsidRPr="00624DF9">
        <w:t>As specified in the</w:t>
      </w:r>
      <w:r w:rsidRPr="2D04B7CC">
        <w:rPr>
          <w:i/>
          <w:iCs/>
        </w:rPr>
        <w:t xml:space="preserve"> Mobile Technical Requirements Order</w:t>
      </w:r>
      <w:r w:rsidRPr="00624DF9">
        <w:rPr>
          <w:szCs w:val="22"/>
        </w:rPr>
        <w:t>,</w:t>
      </w:r>
      <w:r w:rsidRPr="00624DF9">
        <w:t xml:space="preserve"> a third-party app developer submitting a proposal is </w:t>
      </w:r>
      <w:r>
        <w:t>“</w:t>
      </w:r>
      <w:r w:rsidRPr="00624DF9">
        <w:t xml:space="preserve">required to </w:t>
      </w:r>
      <w:r>
        <w:t xml:space="preserve">describe [its] performance-centric speed test </w:t>
      </w:r>
      <w:r>
        <w:t>methodologies and</w:t>
      </w:r>
      <w:r w:rsidRPr="00624DF9">
        <w:t xml:space="preserve"> how </w:t>
      </w:r>
      <w:r>
        <w:t>[its]</w:t>
      </w:r>
      <w:r w:rsidRPr="00624DF9">
        <w:t xml:space="preserve"> app complies with the </w:t>
      </w:r>
      <w:r>
        <w:t xml:space="preserve">data collection </w:t>
      </w:r>
      <w:r w:rsidRPr="00624DF9">
        <w:t>requirements</w:t>
      </w:r>
      <w:r>
        <w:t>”</w:t>
      </w:r>
      <w:r w:rsidRPr="00624DF9">
        <w:t xml:space="preserve"> for the mobile challenge and crowdsourced data collections</w:t>
      </w:r>
      <w:r>
        <w:t>.</w:t>
      </w:r>
      <w:r>
        <w:rPr>
          <w:rStyle w:val="FootnoteReference"/>
        </w:rPr>
        <w:footnoteReference w:id="25"/>
      </w:r>
      <w:r>
        <w:t xml:space="preserve">  These requirements are set forth</w:t>
      </w:r>
      <w:r w:rsidRPr="00624DF9">
        <w:t xml:space="preserve"> in the </w:t>
      </w:r>
      <w:r w:rsidRPr="2D04B7CC">
        <w:rPr>
          <w:i/>
          <w:iCs/>
        </w:rPr>
        <w:t>Mobile Technical Requirements Order</w:t>
      </w:r>
      <w:r>
        <w:t>,</w:t>
      </w:r>
      <w:r>
        <w:rPr>
          <w:rStyle w:val="FootnoteReference"/>
        </w:rPr>
        <w:footnoteReference w:id="26"/>
      </w:r>
      <w:r>
        <w:t xml:space="preserve"> the Commission’s prior orders,</w:t>
      </w:r>
      <w:r>
        <w:rPr>
          <w:rStyle w:val="FootnoteReference"/>
        </w:rPr>
        <w:footnoteReference w:id="27"/>
      </w:r>
      <w:r>
        <w:t xml:space="preserve"> a</w:t>
      </w:r>
      <w:r>
        <w:t xml:space="preserve">nd the </w:t>
      </w:r>
      <w:r w:rsidRPr="2D04B7CC">
        <w:rPr>
          <w:i/>
          <w:iCs/>
        </w:rPr>
        <w:t>BDC - Data Specifications for Mobile Speed Test Data</w:t>
      </w:r>
      <w:r>
        <w:t>.</w:t>
      </w:r>
      <w:r>
        <w:rPr>
          <w:rStyle w:val="FootnoteReference"/>
        </w:rPr>
        <w:footnoteReference w:id="28"/>
      </w:r>
      <w:r w:rsidRPr="00624DF9">
        <w:t xml:space="preserve">  </w:t>
      </w:r>
    </w:p>
    <w:p w:rsidR="007E5136" w:rsidRPr="007E5136" w:rsidP="00462EEB" w14:paraId="4E895887" w14:textId="77777777">
      <w:pPr>
        <w:pStyle w:val="ParaNum"/>
      </w:pPr>
      <w:r w:rsidRPr="007E5136">
        <w:t xml:space="preserve">In the </w:t>
      </w:r>
      <w:r w:rsidRPr="007E5136">
        <w:rPr>
          <w:i/>
          <w:iCs/>
        </w:rPr>
        <w:t>Mobile Technical Requirements Order</w:t>
      </w:r>
      <w:r w:rsidRPr="007E5136">
        <w:t>, WTB, OET, and OEA stated that they will require that third-party apps meet the same or similar technical standards as the FCC Speed Test app.</w:t>
      </w:r>
      <w:r>
        <w:rPr>
          <w:rStyle w:val="FootnoteReference"/>
        </w:rPr>
        <w:footnoteReference w:id="29"/>
      </w:r>
      <w:r w:rsidRPr="007E5136">
        <w:t xml:space="preserve">  As</w:t>
      </w:r>
      <w:r w:rsidRPr="007E5136">
        <w:t xml:space="preserve"> part of these technical standards, WTB, OET, and OEA concluded that all speed test apps must “use </w:t>
      </w:r>
      <w:r w:rsidRPr="007E5136">
        <w:t>multiple servers that are geographically diverse.”</w:t>
      </w:r>
      <w:r>
        <w:rPr>
          <w:rStyle w:val="FootnoteReference"/>
        </w:rPr>
        <w:footnoteReference w:id="30"/>
      </w:r>
      <w:r w:rsidRPr="007E5136">
        <w:t xml:space="preserve">  Although WTB, OET, and OEA did not dictate how a speed test app must meet these requirements, they described the FCC Speed Test app’s system architecture in detail and found that it provides “robust and reproducible test results for effective representat</w:t>
      </w:r>
      <w:r w:rsidRPr="007E5136">
        <w:t>ion of network performance”</w:t>
      </w:r>
      <w:r>
        <w:rPr>
          <w:rStyle w:val="FootnoteReference"/>
        </w:rPr>
        <w:footnoteReference w:id="31"/>
      </w:r>
      <w:r w:rsidRPr="007E5136">
        <w:t xml:space="preserve"> and that it “provides sufficient diversity to meet this geographic-diversity criterion.”</w:t>
      </w:r>
      <w:r>
        <w:rPr>
          <w:rStyle w:val="FootnoteReference"/>
        </w:rPr>
        <w:footnoteReference w:id="32"/>
      </w:r>
      <w:r w:rsidRPr="007E5136">
        <w:t xml:space="preserve">  As noted in that Order, the FCC Speed Test app system architecture is designed to prevent overdemand in server capacity, including a t</w:t>
      </w:r>
      <w:r w:rsidRPr="007E5136">
        <w:t>arget utilization rate which triggers the provisioning of additional servers to stabilize load across the platform.</w:t>
      </w:r>
      <w:r>
        <w:rPr>
          <w:rStyle w:val="FootnoteReference"/>
        </w:rPr>
        <w:footnoteReference w:id="33"/>
      </w:r>
      <w:r w:rsidRPr="007E5136">
        <w:t xml:space="preserve">  The FCC Speed Test app also includes multiple redundant and meshed servers to allow for traffic failover and appropriate selection of an </w:t>
      </w:r>
      <w:r w:rsidRPr="007E5136">
        <w:t>optimal measurement server during the test sequence initialization.</w:t>
      </w:r>
      <w:r>
        <w:rPr>
          <w:rStyle w:val="FootnoteReference"/>
        </w:rPr>
        <w:footnoteReference w:id="34"/>
      </w:r>
      <w:r w:rsidRPr="007E5136">
        <w:t xml:space="preserve">  Given the importance of these issues to potential commenters, we will require, as part of their proposal, that third-party app developers demonstrate their compliance with these technic</w:t>
      </w:r>
      <w:r w:rsidRPr="007E5136">
        <w:t>al standards by submitting a complete description of the proposed system architecture and describing their plans for initial measurement server capacity, monitoring capability of the health and quality of the measurement infrastructure and the collected da</w:t>
      </w:r>
      <w:r w:rsidRPr="007E5136">
        <w:t xml:space="preserve">ta, and capacity upgrade thresholds. </w:t>
      </w:r>
    </w:p>
    <w:p w:rsidR="007E5136" w:rsidRPr="007E5136" w:rsidP="00462EEB" w14:paraId="0616210B" w14:textId="77777777">
      <w:pPr>
        <w:pStyle w:val="ParaNum"/>
        <w:widowControl/>
      </w:pPr>
      <w:r w:rsidRPr="007E5136">
        <w:t>Similarly, we expect that, for any third-party apps designed to serve a limited geographic area (e.g., state, city, or community), the third-party app developer’s data repository system would compile and filter the col</w:t>
      </w:r>
      <w:r w:rsidRPr="007E5136">
        <w:t xml:space="preserve">lected data to the designated area’s boundary prior to transmission to the BDC system.  The collected data should be </w:t>
      </w:r>
      <w:r>
        <w:t>transmitted, stored, and maintained to a third-party app developer’s data repository system located within the United States after the comp</w:t>
      </w:r>
      <w:r>
        <w:t xml:space="preserve">letion of active test measurements.  </w:t>
      </w:r>
      <w:r w:rsidRPr="007E5136">
        <w:t xml:space="preserve">As noted in response to the </w:t>
      </w:r>
      <w:r w:rsidRPr="007E5136">
        <w:rPr>
          <w:i/>
          <w:iCs/>
        </w:rPr>
        <w:t>Mobile Technical Requirements Order</w:t>
      </w:r>
      <w:r w:rsidRPr="007E5136">
        <w:t>,</w:t>
      </w:r>
      <w:r>
        <w:rPr>
          <w:rStyle w:val="FootnoteReference"/>
        </w:rPr>
        <w:footnoteReference w:id="35"/>
      </w:r>
      <w:r w:rsidRPr="007E5136">
        <w:t xml:space="preserve"> the geographic limitations of a particular app may potentially affect testing results.</w:t>
      </w:r>
      <w:r>
        <w:rPr>
          <w:rStyle w:val="FootnoteReference"/>
        </w:rPr>
        <w:footnoteReference w:id="36"/>
      </w:r>
      <w:r w:rsidRPr="007E5136">
        <w:t xml:space="preserve">  For this reason, to the extent that a third-party app is not designed to serve the entire United States, we also expect that the third-party app would inform end use</w:t>
      </w:r>
      <w:r w:rsidRPr="007E5136">
        <w:t xml:space="preserve">rs, within the app, of any designated geographic limitations on the app’s testing capabilities.  A third-party app developer that seeks approval of an app designed to serve a limited geographic area that does </w:t>
      </w:r>
      <w:r w:rsidRPr="007E5136">
        <w:t xml:space="preserve">not meet these expectations should explain why </w:t>
      </w:r>
      <w:r w:rsidRPr="007E5136">
        <w:t xml:space="preserve">its app nevertheless meets the same technical standards as the FCC Speed Test app. </w:t>
      </w:r>
    </w:p>
    <w:p w:rsidR="007E5136" w:rsidRPr="007E5136" w:rsidP="00462EEB" w14:paraId="19FE48FD" w14:textId="77777777">
      <w:pPr>
        <w:pStyle w:val="ParaNum"/>
        <w:widowControl/>
      </w:pPr>
      <w:r w:rsidRPr="007E5136">
        <w:t xml:space="preserve">The </w:t>
      </w:r>
      <w:r w:rsidRPr="007E5136">
        <w:rPr>
          <w:i/>
          <w:iCs/>
        </w:rPr>
        <w:t>Third Report and Order</w:t>
      </w:r>
      <w:r w:rsidRPr="007E5136">
        <w:t xml:space="preserve"> also requires that each third-party app developer provide “appropriate” privacy documentation about how consumer data will be “stored, used, and </w:t>
      </w:r>
      <w:r w:rsidRPr="007E5136">
        <w:t>protected.”</w:t>
      </w:r>
      <w:r>
        <w:rPr>
          <w:rStyle w:val="FootnoteReference"/>
        </w:rPr>
        <w:footnoteReference w:id="37"/>
      </w:r>
      <w:r w:rsidRPr="007E5136">
        <w:t xml:space="preserve">  To satisfy this obligation, a third-party app developer must have both a brief privacy </w:t>
      </w:r>
      <w:r w:rsidRPr="007E5136">
        <w:rPr>
          <w:i/>
          <w:iCs/>
        </w:rPr>
        <w:t>notice</w:t>
      </w:r>
      <w:r w:rsidRPr="007E5136">
        <w:t xml:space="preserve"> for both challenge and, if implemented, crowdsource processes that is displayed to end users at the point of collection, and a comprehensive privac</w:t>
      </w:r>
      <w:r w:rsidRPr="007E5136">
        <w:t xml:space="preserve">y </w:t>
      </w:r>
      <w:r w:rsidRPr="007E5136">
        <w:rPr>
          <w:i/>
          <w:iCs/>
        </w:rPr>
        <w:t>policy</w:t>
      </w:r>
      <w:r w:rsidRPr="007E5136">
        <w:t xml:space="preserve">, </w:t>
      </w:r>
      <w:bookmarkStart w:id="1" w:name="_Hlk99012507"/>
      <w:r w:rsidRPr="007E5136">
        <w:t>which must document the developer’s practices with respect to storage, use, and protection</w:t>
      </w:r>
      <w:bookmarkEnd w:id="1"/>
      <w:r w:rsidRPr="007E5136">
        <w:t xml:space="preserve"> of challenge data.</w:t>
      </w:r>
      <w:r>
        <w:rPr>
          <w:rStyle w:val="FootnoteReference"/>
        </w:rPr>
        <w:footnoteReference w:id="38"/>
      </w:r>
      <w:r w:rsidRPr="007E5136">
        <w:t xml:space="preserve">  This requirement is consistent with the Commission’s broader determination that, except for “information about the location that is t</w:t>
      </w:r>
      <w:r w:rsidRPr="007E5136">
        <w:t>he subject of the challenge . . . , the name of the [challenged] provider, and any relevant details concerning the basis for the challenge . . . all other challenge information, such as individual contact information,” should be “private”</w:t>
      </w:r>
      <w:r w:rsidRPr="00624DF9">
        <w:t xml:space="preserve"> </w:t>
      </w:r>
      <w:r w:rsidRPr="007E5136">
        <w:t>to protect the pe</w:t>
      </w:r>
      <w:r w:rsidRPr="007E5136">
        <w:t>rsonal privacy interests of those who participate in the challenge process.</w:t>
      </w:r>
      <w:r>
        <w:rPr>
          <w:rStyle w:val="FootnoteReference"/>
        </w:rPr>
        <w:footnoteReference w:id="39"/>
      </w:r>
      <w:r w:rsidRPr="007E5136">
        <w:t xml:space="preserve">  </w:t>
      </w:r>
      <w:r>
        <w:t>To ensure that an approved third-</w:t>
      </w:r>
      <w:r w:rsidRPr="00AB20E2">
        <w:t>party app protects those interests,</w:t>
      </w:r>
      <w:r w:rsidRPr="00AB20E2">
        <w:rPr>
          <w:szCs w:val="22"/>
        </w:rPr>
        <w:t xml:space="preserve"> </w:t>
      </w:r>
      <w:r w:rsidRPr="707E9CF4">
        <w:t>t</w:t>
      </w:r>
      <w:r w:rsidRPr="00AB20E2">
        <w:t>he Commission delegate</w:t>
      </w:r>
      <w:r w:rsidRPr="707E9CF4">
        <w:t>d to OET a</w:t>
      </w:r>
      <w:r>
        <w:t>uthority to approve speed test applications that achieve certain minimum re</w:t>
      </w:r>
      <w:r>
        <w:t>quirements,</w:t>
      </w:r>
      <w:bookmarkStart w:id="2" w:name="_ftnref1"/>
      <w:r>
        <w:t xml:space="preserve"> which include documenting appropriate protections for how data </w:t>
      </w:r>
      <w:r w:rsidRPr="00624DF9">
        <w:t>will be stored, used, and protected.</w:t>
      </w:r>
      <w:bookmarkEnd w:id="2"/>
      <w:r>
        <w:rPr>
          <w:rStyle w:val="FootnoteReference"/>
        </w:rPr>
        <w:footnoteReference w:id="40"/>
      </w:r>
      <w:r>
        <w:t xml:space="preserve">  </w:t>
      </w:r>
    </w:p>
    <w:p w:rsidR="007E5136" w:rsidRPr="007E5136" w:rsidP="00462EEB" w14:paraId="4B42C8E8" w14:textId="77777777">
      <w:pPr>
        <w:pStyle w:val="ParaNum"/>
        <w:widowControl/>
      </w:pPr>
      <w:r w:rsidRPr="007E5136">
        <w:rPr>
          <w:color w:val="000000"/>
          <w:lang w:val="en"/>
        </w:rPr>
        <w:t xml:space="preserve">At a minimum, the developer’s privacy </w:t>
      </w:r>
      <w:r w:rsidRPr="007E5136">
        <w:rPr>
          <w:i/>
          <w:iCs/>
          <w:color w:val="000000"/>
          <w:lang w:val="en"/>
        </w:rPr>
        <w:t>notice</w:t>
      </w:r>
      <w:r w:rsidRPr="007E5136">
        <w:rPr>
          <w:color w:val="000000"/>
          <w:lang w:val="en"/>
        </w:rPr>
        <w:t xml:space="preserve"> shall disclose that the Commission will make public the coordinates (latitude and longitude) of</w:t>
      </w:r>
      <w:r w:rsidRPr="007E5136">
        <w:rPr>
          <w:color w:val="000000"/>
          <w:lang w:val="en"/>
        </w:rPr>
        <w:t xml:space="preserve"> the location of the challenge, the name of the provider, and relevant details concerning the basis for the challenge; but individual contact information will not be disclosed.</w:t>
      </w:r>
      <w:r>
        <w:rPr>
          <w:rStyle w:val="FootnoteReference"/>
          <w:lang w:val="en"/>
        </w:rPr>
        <w:footnoteReference w:id="41"/>
      </w:r>
      <w:r w:rsidRPr="007E5136">
        <w:rPr>
          <w:color w:val="000000"/>
          <w:lang w:val="en"/>
        </w:rPr>
        <w:t xml:space="preserve">  </w:t>
      </w:r>
      <w:r w:rsidRPr="007E5136">
        <w:t>The third-party app must additionally include all necessary opt-in provision</w:t>
      </w:r>
      <w:r w:rsidRPr="007E5136">
        <w:t xml:space="preserve">s, including a prompt </w:t>
      </w:r>
      <w:r>
        <w:t>for end users to grant location permissions for the third-party app to assist in reporting geographic coordinates for the start and end of each test metric</w:t>
      </w:r>
      <w:r>
        <w:rPr>
          <w:rStyle w:val="FootnoteReference"/>
        </w:rPr>
        <w:footnoteReference w:id="42"/>
      </w:r>
      <w:r>
        <w:t xml:space="preserve"> and a prompt for end users to grant their consent to allow the end user’s se</w:t>
      </w:r>
      <w:r>
        <w:t>rvice provider to divulge customer-specific information to the FCC (such as IP address and service plan details) as necessary to respond to challenges.</w:t>
      </w:r>
      <w:r>
        <w:rPr>
          <w:rStyle w:val="FootnoteReference"/>
        </w:rPr>
        <w:footnoteReference w:id="43"/>
      </w:r>
    </w:p>
    <w:p w:rsidR="007E5136" w:rsidRPr="007E5136" w:rsidP="00462EEB" w14:paraId="5C22528F" w14:textId="77777777">
      <w:pPr>
        <w:pStyle w:val="ParaNum"/>
        <w:widowControl/>
      </w:pPr>
      <w:r>
        <w:t xml:space="preserve">Likewise, an “appropriate” privacy </w:t>
      </w:r>
      <w:r w:rsidRPr="2D04B7CC">
        <w:rPr>
          <w:i/>
          <w:iCs/>
        </w:rPr>
        <w:t>policy</w:t>
      </w:r>
      <w:r>
        <w:t xml:space="preserve"> must be easily accessible to prospective challengers.  Such </w:t>
      </w:r>
      <w:r>
        <w:t>a policy must be clear and concise, and it must be written in plain language.  Privacy policies that are overly technical, vague, opaque, or lengthy—or that require specialized knowledge—do not meaningfully apprise prospective challengers of how their chal</w:t>
      </w:r>
      <w:r>
        <w:t>lenge data will be stored, used, and protected, and thus cannot be characterized as “appropriate.”</w:t>
      </w:r>
    </w:p>
    <w:p w:rsidR="007E5136" w:rsidRPr="007E5136" w:rsidP="00462EEB" w14:paraId="2BC60F78" w14:textId="77777777">
      <w:pPr>
        <w:pStyle w:val="ParaNum"/>
        <w:widowControl/>
        <w:rPr>
          <w:rFonts w:ascii="Calibri" w:hAnsi="Calibri"/>
        </w:rPr>
      </w:pPr>
      <w:r w:rsidRPr="00624DF9">
        <w:t xml:space="preserve">To </w:t>
      </w:r>
      <w:r>
        <w:t>demonstrate</w:t>
      </w:r>
      <w:r w:rsidRPr="00624DF9">
        <w:t xml:space="preserve"> how data will be “stored” and “protected,” </w:t>
      </w:r>
      <w:r>
        <w:t>a third-party app developer will be required to include in its privacy policy,</w:t>
      </w:r>
      <w:r w:rsidRPr="00624DF9">
        <w:t xml:space="preserve"> at a minimum, </w:t>
      </w:r>
      <w:r>
        <w:t>a high</w:t>
      </w:r>
      <w:r>
        <w:t xml:space="preserve">-level description of </w:t>
      </w:r>
      <w:r w:rsidRPr="00624DF9">
        <w:t xml:space="preserve">what safeguards and controls </w:t>
      </w:r>
      <w:r>
        <w:t>it</w:t>
      </w:r>
      <w:r w:rsidRPr="00624DF9">
        <w:t xml:space="preserve"> </w:t>
      </w:r>
      <w:r>
        <w:t xml:space="preserve">has </w:t>
      </w:r>
      <w:r w:rsidRPr="00624DF9">
        <w:t>adopt</w:t>
      </w:r>
      <w:r>
        <w:t>ed</w:t>
      </w:r>
      <w:r w:rsidRPr="00624DF9">
        <w:t xml:space="preserve"> regarding the possession, maintenance, and transmission of challenge data</w:t>
      </w:r>
      <w:r>
        <w:t>, including for example,</w:t>
      </w:r>
      <w:r w:rsidRPr="00624DF9">
        <w:t xml:space="preserve"> </w:t>
      </w:r>
      <w:r w:rsidRPr="06D059F8">
        <w:t xml:space="preserve">access restrictions, physical or network security, authentication </w:t>
      </w:r>
      <w:r w:rsidRPr="06D059F8">
        <w:t>methods, and other measures that will be employed to protect individualized challenge data</w:t>
      </w:r>
      <w:r w:rsidRPr="00624DF9">
        <w:t>.</w:t>
      </w:r>
      <w:r>
        <w:rPr>
          <w:rStyle w:val="FootnoteReference"/>
        </w:rPr>
        <w:footnoteReference w:id="44"/>
      </w:r>
      <w:r w:rsidRPr="00624DF9">
        <w:t xml:space="preserve">  </w:t>
      </w:r>
      <w:r>
        <w:t>This description must specifically address whether the developer will maintain all test data co</w:t>
      </w:r>
      <w:r>
        <w:t>ntaining Personal Identifiable Information (PII) within the United States, or, if not, what alternative measures the developer is taking to ensure the security of the data in a foreign jurisdiction.</w:t>
      </w:r>
      <w:r>
        <w:rPr>
          <w:rStyle w:val="FootnoteReference"/>
        </w:rPr>
        <w:footnoteReference w:id="45"/>
      </w:r>
      <w:r>
        <w:t xml:space="preserve">  </w:t>
      </w:r>
      <w:r w:rsidRPr="00624DF9">
        <w:t>Similarly, t</w:t>
      </w:r>
      <w:r>
        <w:t xml:space="preserve">o appropriately document how data will be </w:t>
      </w:r>
      <w:r>
        <w:t xml:space="preserve">“used,” a privacy policy must address more than </w:t>
      </w:r>
      <w:r w:rsidRPr="00624DF9">
        <w:t>a mere recitation of</w:t>
      </w:r>
      <w:r>
        <w:t xml:space="preserve"> how the challenge data will support functionality of the application or facilitate providers’ responses to challenges.  For example, an appropriate privacy policy must </w:t>
      </w:r>
      <w:r w:rsidRPr="551A5F20">
        <w:t xml:space="preserve">explain how, if at </w:t>
      </w:r>
      <w:r w:rsidRPr="551A5F20">
        <w:t>all, the developer plans to monetize individualized challenge data (</w:t>
      </w:r>
      <w:r w:rsidRPr="00624DF9">
        <w:t>e.g., through the delivery of advertisements or the promotion of the developer’s other products and services).</w:t>
      </w:r>
      <w:r>
        <w:t xml:space="preserve">  </w:t>
      </w:r>
    </w:p>
    <w:p w:rsidR="007E5136" w:rsidRPr="007E5136" w:rsidP="00462EEB" w14:paraId="684C2810" w14:textId="77777777">
      <w:pPr>
        <w:pStyle w:val="ParaNum"/>
        <w:widowControl/>
        <w:rPr>
          <w:rFonts w:ascii="Calibri" w:hAnsi="Calibri"/>
          <w:i/>
          <w:color w:val="000000"/>
        </w:rPr>
      </w:pPr>
      <w:r w:rsidRPr="007E5136">
        <w:rPr>
          <w:color w:val="000000"/>
        </w:rPr>
        <w:t xml:space="preserve">The third-party app developer shall indicate in their proposal if the test </w:t>
      </w:r>
      <w:r w:rsidRPr="007E5136">
        <w:rPr>
          <w:color w:val="000000"/>
        </w:rPr>
        <w:t xml:space="preserve">result data transmitted to the BDC system from its servers through an application programming interface (API) in a JavaScript Object Notation (JSON) format matches the structure in accordance with the </w:t>
      </w:r>
      <w:r w:rsidRPr="007E5136">
        <w:rPr>
          <w:i/>
          <w:color w:val="000000"/>
        </w:rPr>
        <w:t xml:space="preserve">BDC - Data Specifications for Mobile Speed Test Data, </w:t>
      </w:r>
      <w:r w:rsidRPr="007E5136">
        <w:rPr>
          <w:color w:val="000000"/>
        </w:rPr>
        <w:t>a</w:t>
      </w:r>
      <w:r w:rsidRPr="007E5136">
        <w:rPr>
          <w:color w:val="000000"/>
        </w:rPr>
        <w:t>nd must provide JSON sample(s) of the collected data</w:t>
      </w:r>
      <w:r w:rsidRPr="007E5136">
        <w:rPr>
          <w:i/>
          <w:color w:val="000000"/>
        </w:rPr>
        <w:t>.</w:t>
      </w:r>
      <w:r>
        <w:t xml:space="preserve">  The developer may also supplement its proposal with speed test data showing a statistical assessment of the proposed third-party app’s overall performance.  In reviewing a third-party app proposal, OET</w:t>
      </w:r>
      <w:r>
        <w:t xml:space="preserve"> will rely on a flexible approach to analyze the supplemental speed test data.  Although each analysis will turn on the relevant facts and circumstances, we outline one possible example of an approach to analyzing the speed test data in Appendix A of OET B</w:t>
      </w:r>
      <w:r>
        <w:t xml:space="preserve">ulletin 75, in an effort to provide guidance to third-party app developers.  A third-party app developer may alternatively submit a description of its own preferred test methodology along with testing data, and if applicable, the third-party app developer </w:t>
      </w:r>
      <w:r>
        <w:t>will make the supplemental speed test data and test methodologies available to interested parties for comment.</w:t>
      </w:r>
    </w:p>
    <w:p w:rsidR="007E5136" w:rsidRPr="00624DF9" w:rsidP="007E5136" w14:paraId="4CA9D3DD" w14:textId="77777777">
      <w:pPr>
        <w:pStyle w:val="Heading2"/>
      </w:pPr>
      <w:r>
        <w:t xml:space="preserve">Third-Party Application Approval Process </w:t>
      </w:r>
    </w:p>
    <w:p w:rsidR="007E5136" w:rsidRPr="00AB20E2" w:rsidP="00462EEB" w14:paraId="2A31AE43" w14:textId="77777777">
      <w:pPr>
        <w:pStyle w:val="ParaNum"/>
      </w:pPr>
      <w:r w:rsidRPr="00624DF9">
        <w:t xml:space="preserve">Following receipt of a </w:t>
      </w:r>
      <w:r>
        <w:t xml:space="preserve">proposal </w:t>
      </w:r>
      <w:r w:rsidRPr="00AB20E2">
        <w:t>in the Commission’s ECFS in ET Docket No</w:t>
      </w:r>
      <w:r w:rsidRPr="00A629C3">
        <w:t>. 22-</w:t>
      </w:r>
      <w:r>
        <w:t>152</w:t>
      </w:r>
      <w:r w:rsidRPr="00A629C3">
        <w:t xml:space="preserve">, </w:t>
      </w:r>
      <w:r>
        <w:t>staff will conduct an</w:t>
      </w:r>
      <w:r>
        <w:t xml:space="preserve"> initial review to ensure that the third-party app developer has provided sufficient information and details related to the various requirements for approval, and then issue a public notice specifying a</w:t>
      </w:r>
      <w:r w:rsidRPr="00AB20E2">
        <w:t xml:space="preserve"> new docket created for the </w:t>
      </w:r>
      <w:r>
        <w:t>particular proposal and an</w:t>
      </w:r>
      <w:r>
        <w:t>nouncing the comment and reply comment dates for that proposal</w:t>
      </w:r>
      <w:r w:rsidRPr="00AB20E2">
        <w:t xml:space="preserve">.  </w:t>
      </w:r>
      <w:r>
        <w:t xml:space="preserve">Interested </w:t>
      </w:r>
      <w:r w:rsidRPr="00AB20E2">
        <w:t>parties will be able to review and file comments and reply comments.</w:t>
      </w:r>
      <w:r w:rsidRPr="007600F6">
        <w:t xml:space="preserve"> </w:t>
      </w:r>
      <w:r w:rsidRPr="00AB20E2">
        <w:t xml:space="preserve"> Comments will be due </w:t>
      </w:r>
      <w:r>
        <w:t xml:space="preserve">no later than </w:t>
      </w:r>
      <w:r w:rsidRPr="00AB20E2">
        <w:t>30 days from the date</w:t>
      </w:r>
      <w:r>
        <w:t xml:space="preserve"> of the public notice</w:t>
      </w:r>
      <w:r w:rsidRPr="00AB20E2">
        <w:t xml:space="preserve"> and reply comments will be due 4</w:t>
      </w:r>
      <w:r w:rsidRPr="00AB20E2">
        <w:t xml:space="preserve">5 days </w:t>
      </w:r>
      <w:r>
        <w:t xml:space="preserve">from the date of the public notice.  </w:t>
      </w:r>
      <w:r w:rsidRPr="00AB20E2">
        <w:t xml:space="preserve">Comments may be filed </w:t>
      </w:r>
      <w:r>
        <w:t xml:space="preserve">by </w:t>
      </w:r>
      <w:r w:rsidRPr="00AB20E2">
        <w:t xml:space="preserve">using </w:t>
      </w:r>
      <w:r>
        <w:t>ECFS</w:t>
      </w:r>
      <w:r w:rsidRPr="00AB20E2">
        <w:t xml:space="preserve"> or by filing paper copies.</w:t>
      </w:r>
      <w:r>
        <w:rPr>
          <w:rStyle w:val="FootnoteReference"/>
        </w:rPr>
        <w:footnoteReference w:id="46"/>
      </w:r>
      <w:r w:rsidRPr="00AB20E2">
        <w:t xml:space="preserve">  </w:t>
      </w:r>
    </w:p>
    <w:p w:rsidR="007E5136" w:rsidP="00462EEB" w14:paraId="4EF7062C" w14:textId="77777777">
      <w:pPr>
        <w:pStyle w:val="ParaNum"/>
        <w:widowControl/>
      </w:pPr>
      <w:r>
        <w:t>We require third-party app developers, concurrent with the date their proposal is submitted to the Commission, to either (1) make their third-par</w:t>
      </w:r>
      <w:r>
        <w:t xml:space="preserve">ty apps available for download, use, and testing on all applicable app stores, e.g., Google Play and/or Apple App Store (or if beta versions, Google Play Console, Apple TestFlight, or similar media), and indicate in their proposal how to find/download the </w:t>
      </w:r>
      <w:r>
        <w:t>app; or (2) if the app is not available for download, to provide detailed “wireframes” depicting each screen of the planned end user interface for the third-party app, along with actual test data results and a detailed speed test measurement methodology de</w:t>
      </w:r>
      <w:r>
        <w:t xml:space="preserve">scription, for OET staff and other interested parties to confirm that the underlying testing methodology meets the minimum requirements established by the </w:t>
      </w:r>
      <w:r>
        <w:t xml:space="preserve">Commission.  To the extent a third-party app developer submits only wireframes or a beta version for </w:t>
      </w:r>
      <w:r>
        <w:t>review, any approval of such proposal by OET will be conditional on the production version of the third-party app’s compliance with applicable technical requirements.  All conditionally approved proposals are required to submit, prior to BDC system registr</w:t>
      </w:r>
      <w:r>
        <w:t>ation, the production version of the app for OET’s full review and approval.  Assuming the production version of the app meets all stated requirements, it will be designated by OET for use in the mobile challenge and, if implemented, crowdsource processes.</w:t>
      </w:r>
      <w:r>
        <w:t xml:space="preserve">  Additionally, any deviations in the production version from the conditionally approved wireframes or beta version will be subject to either the minor or major change procedures set forth below and described in OET Bulletin 75.</w:t>
      </w:r>
    </w:p>
    <w:p w:rsidR="007E5136" w:rsidP="00462EEB" w14:paraId="75B4AAE9" w14:textId="77777777">
      <w:pPr>
        <w:pStyle w:val="ParaNum"/>
      </w:pPr>
      <w:r>
        <w:t xml:space="preserve">Any modification to an app </w:t>
      </w:r>
      <w:r>
        <w:t>that affects its testing methodology or compliance with technical and data requirements, including a change to the upload, download, or latency testing protocols, or to the measurement procedures, will be considered a “major” change.  A third-party app dev</w:t>
      </w:r>
      <w:r>
        <w:t xml:space="preserve">eloper that makes a major change in its app must submit a new proposal that follows the Template in Appendix A, and must file the new proposal in ECFS using the Docket Number associated with the initial proposal.  </w:t>
      </w:r>
    </w:p>
    <w:p w:rsidR="007E5136" w:rsidRPr="007E5136" w:rsidP="00462EEB" w14:paraId="2F0DA02F" w14:textId="77777777">
      <w:pPr>
        <w:pStyle w:val="ParaNum"/>
        <w:rPr>
          <w:rFonts w:ascii="Calibri" w:hAnsi="Calibri"/>
          <w:szCs w:val="22"/>
        </w:rPr>
      </w:pPr>
      <w:r>
        <w:t xml:space="preserve">A minor change is one that does not </w:t>
      </w:r>
      <w:r>
        <w:t>modify the third-party app’s testing methodology or technical and data requirements.  Minor changes may include updates to the end user’s interface, adding support for new operating system versions and hardware, security updates, or withdrawal.  A third-pa</w:t>
      </w:r>
      <w:r>
        <w:t>rty app developer does not need approval from OET to make a minor change, but, when it intends to make such a change, it must notify OET of the proposed change prior to updating the third-party app in an app store.  Notice of a minor change must be filed i</w:t>
      </w:r>
      <w:r>
        <w:t>n ECFS using the Docket Number associated with the initial proposal.  When a third-party app developer submits such notification, it must include a description of the change, identify the new third-party app version, and indicate the date when older third-</w:t>
      </w:r>
      <w:r>
        <w:t>party app versions will no longer be used for BDC challenge data submissions (and crowdsourced submissions, if applicable).  OET may choose whether to use challenge and crowdsourced data submitted after the minor change, and OET reserves discretion to requ</w:t>
      </w:r>
      <w:r>
        <w:t xml:space="preserve">ire the third-party app developer to file a minor change as a major change. </w:t>
      </w:r>
    </w:p>
    <w:p w:rsidR="007E5136" w:rsidRPr="00AB20E2" w:rsidP="00462EEB" w14:paraId="38C70883" w14:textId="77777777">
      <w:pPr>
        <w:pStyle w:val="ParaNum"/>
        <w:widowControl/>
      </w:pPr>
      <w:r>
        <w:t>Comments on third-party app proposals should address technical deficiencies in the submission(s), including whether any required information is missing from the proposal (notwiths</w:t>
      </w:r>
      <w:r>
        <w:t xml:space="preserve">tanding OET’s initial review); whether the proposed test system architecture would prevent the Commission, mobile broadband service providers, or other interested parties from reliably receiving the data needed to adjudicate a challenge or evaluate mobile </w:t>
      </w:r>
      <w:r>
        <w:t>crowdsourced submissions; whether the proposal fails to satisfy applicable privacy, security, or other policy requirements; or whether the proposal has any other shortcomings of the requirements as described in OET Bulletin 75.  Commenters may also provide</w:t>
      </w:r>
      <w:r>
        <w:t xml:space="preserve"> information or comments on specific testing methodologies underlying the third-party app, which OET may consider as part of its evaluation and review of the third-party app proposal.   </w:t>
      </w:r>
    </w:p>
    <w:p w:rsidR="007E5136" w:rsidRPr="00AB20E2" w:rsidP="00462EEB" w14:paraId="469E5079" w14:textId="77777777">
      <w:pPr>
        <w:pStyle w:val="ParaNum"/>
        <w:widowControl/>
      </w:pPr>
      <w:r>
        <w:t xml:space="preserve">OET will continue to review the qualifications of the </w:t>
      </w:r>
      <w:r>
        <w:t>third-party app throughout and after the review and approval process.  This review may include, but is not limited to, requiring a third-party app developer that submitted a proposal to participate in workshops and/or meetings.  A third-party app developer</w:t>
      </w:r>
      <w:r>
        <w:t xml:space="preserve"> must comply with all instructions from OET and provide any requested information in a timely manner as a condition of receiving and maintaining approval. </w:t>
      </w:r>
    </w:p>
    <w:p w:rsidR="007E5136" w:rsidRPr="00AB20E2" w:rsidP="00462EEB" w14:paraId="4282055A" w14:textId="77777777">
      <w:pPr>
        <w:pStyle w:val="ParaNum"/>
        <w:widowControl/>
      </w:pPr>
      <w:r w:rsidRPr="00AB20E2">
        <w:t>OET will announce any approvals of third-party apps via public notice, and will publish and maintain</w:t>
      </w:r>
      <w:r w:rsidRPr="00AB20E2">
        <w:t xml:space="preserve"> a webpage reflecting a list of approved third-party apps as well as any available data specifications for third-party apps.</w:t>
      </w:r>
      <w:r>
        <w:rPr>
          <w:rStyle w:val="FootnoteReference"/>
        </w:rPr>
        <w:footnoteReference w:id="47"/>
      </w:r>
      <w:r w:rsidRPr="00AB20E2">
        <w:t xml:space="preserve">  Proposals will not be considered mutually exclusive, and OET will approve as many proposals as are </w:t>
      </w:r>
      <w:r>
        <w:t xml:space="preserve">determined </w:t>
      </w:r>
      <w:r w:rsidRPr="00AB20E2">
        <w:t>to satisfy all BDC</w:t>
      </w:r>
      <w:r w:rsidRPr="00AB20E2">
        <w:t xml:space="preserve"> system requirements.</w:t>
      </w:r>
      <w:r>
        <w:rPr>
          <w:rStyle w:val="FootnoteReference"/>
        </w:rPr>
        <w:footnoteReference w:id="48"/>
      </w:r>
      <w:r w:rsidRPr="00AB20E2">
        <w:t xml:space="preserve">  </w:t>
      </w:r>
    </w:p>
    <w:p w:rsidR="007E5136" w:rsidRPr="00D70C96" w:rsidP="00462EEB" w14:paraId="11142DE8" w14:textId="77777777">
      <w:pPr>
        <w:pStyle w:val="ParaNum"/>
        <w:widowControl/>
      </w:pPr>
      <w:r w:rsidRPr="00AB20E2">
        <w:t xml:space="preserve">Approval of third-party apps shall be for a term </w:t>
      </w:r>
      <w:r>
        <w:t>of</w:t>
      </w:r>
      <w:r w:rsidRPr="00AB20E2">
        <w:t xml:space="preserve"> five years.  Third-party app developers may request, </w:t>
      </w:r>
      <w:r>
        <w:t xml:space="preserve">between </w:t>
      </w:r>
      <w:r w:rsidRPr="00AB20E2">
        <w:t>six months</w:t>
      </w:r>
      <w:r>
        <w:t xml:space="preserve"> and three months</w:t>
      </w:r>
      <w:r w:rsidRPr="00AB20E2">
        <w:t xml:space="preserve"> prior to the end of the initial term, renewal of their app approval for an additional ter</w:t>
      </w:r>
      <w:r w:rsidRPr="00AB20E2">
        <w:t xml:space="preserve">m of up to five years.  In the </w:t>
      </w:r>
      <w:r w:rsidRPr="2622ACF6">
        <w:rPr>
          <w:i/>
          <w:iCs/>
        </w:rPr>
        <w:t>Mobile Technical Requirements Public Notice</w:t>
      </w:r>
      <w:r w:rsidRPr="00AB20E2">
        <w:t xml:space="preserve">, OEA, WTB, and OET sought comment on periodically evaluating approved third-party apps, proposing that OET </w:t>
      </w:r>
      <w:r>
        <w:t>“</w:t>
      </w:r>
      <w:r w:rsidRPr="00AB20E2">
        <w:t>would provide periodic review and offer guidance for designated third par</w:t>
      </w:r>
      <w:r w:rsidRPr="00AB20E2">
        <w:t xml:space="preserve">ty apps to ensure </w:t>
      </w:r>
      <w:r w:rsidRPr="00D70C96">
        <w:t>continued compliance with all technical and program requirements</w:t>
      </w:r>
      <w:r>
        <w:t>.”</w:t>
      </w:r>
      <w:r>
        <w:rPr>
          <w:rStyle w:val="FootnoteReference"/>
        </w:rPr>
        <w:footnoteReference w:id="49"/>
      </w:r>
      <w:r w:rsidRPr="00D70C96">
        <w:t xml:space="preserve">  While no parties commented on specific initial or renewal approval terms in response to the </w:t>
      </w:r>
      <w:r w:rsidRPr="2622ACF6">
        <w:rPr>
          <w:i/>
          <w:iCs/>
        </w:rPr>
        <w:t>Mobile Technical Requirements Public Notice</w:t>
      </w:r>
      <w:r w:rsidRPr="00D70C96">
        <w:t>, we find that adopting such term</w:t>
      </w:r>
      <w:r w:rsidRPr="00D70C96">
        <w:t>s is a reasonable means of implementing the proposal to provide periodic review of approved apps.  Moreover, commenters did express support for adopting robust requirements for speed test apps that will help ensure that the apps produce accurate data.</w:t>
      </w:r>
      <w:r>
        <w:rPr>
          <w:rStyle w:val="FootnoteReference"/>
        </w:rPr>
        <w:footnoteReference w:id="50"/>
      </w:r>
      <w:r w:rsidRPr="00D70C96">
        <w:t xml:space="preserve">  W</w:t>
      </w:r>
      <w:r w:rsidRPr="00D70C96">
        <w:t>e find that, by creating a process that will allow Commission staff to conduct periodic review of approved apps, adopting initial and renewal approval terms will help ensure that approved third-party apps continue to produce accurate data and demonstrate c</w:t>
      </w:r>
      <w:r w:rsidRPr="00D70C96">
        <w:t xml:space="preserve">ontinued reliability.  </w:t>
      </w:r>
    </w:p>
    <w:p w:rsidR="007E5136" w:rsidRPr="00D70C96" w:rsidP="00462EEB" w14:paraId="4E31D973" w14:textId="77777777">
      <w:pPr>
        <w:pStyle w:val="ParaNum"/>
        <w:widowControl/>
      </w:pPr>
      <w:r w:rsidRPr="00D70C96">
        <w:t xml:space="preserve">Relatedly, in the </w:t>
      </w:r>
      <w:r w:rsidRPr="2622ACF6">
        <w:rPr>
          <w:i/>
          <w:iCs/>
        </w:rPr>
        <w:t>Second Report and Order</w:t>
      </w:r>
      <w:r w:rsidRPr="00D70C96">
        <w:t>, the Commission directed OET, OEA, WCB, and WTB to modify the process for the collection of mobile crowdsourced data over time, to the extent necessary, recognizing that there may be changes</w:t>
      </w:r>
      <w:r w:rsidRPr="00D70C96">
        <w:t xml:space="preserve"> in technology, availability of different types of crowdsourced data, or other considerations that may require </w:t>
      </w:r>
      <w:r>
        <w:t>reevaluation</w:t>
      </w:r>
      <w:r w:rsidRPr="00D70C96">
        <w:t xml:space="preserve"> and possible modifications of these initial determinations.</w:t>
      </w:r>
      <w:r>
        <w:rPr>
          <w:rStyle w:val="FootnoteReference"/>
        </w:rPr>
        <w:footnoteReference w:id="51"/>
      </w:r>
      <w:r w:rsidRPr="00D70C96">
        <w:t xml:space="preserve">  As a condition of approving third-party apps, </w:t>
      </w:r>
      <w:r>
        <w:t>to the extent that apps</w:t>
      </w:r>
      <w:r>
        <w:t xml:space="preserve"> have implemented crowdsource capabilities, </w:t>
      </w:r>
      <w:r w:rsidRPr="00D70C96">
        <w:t>we will require those apps to continue to follow and implement modifications that satisfy the Act’s provisions for submitting crowdsourced data on an ongoing basis, which will provide greater flexibility to adjus</w:t>
      </w:r>
      <w:r w:rsidRPr="00D70C96">
        <w:t>t and improve our data collection process over time.</w:t>
      </w:r>
    </w:p>
    <w:p w:rsidR="007E5136" w:rsidRPr="007E5136" w:rsidP="00462EEB" w14:paraId="696FE525" w14:textId="77777777">
      <w:pPr>
        <w:pStyle w:val="ParaNum"/>
        <w:widowControl/>
        <w:rPr>
          <w:rFonts w:ascii="Calibri" w:hAnsi="Calibri"/>
        </w:rPr>
      </w:pPr>
      <w:r w:rsidRPr="00D70C96">
        <w:t xml:space="preserve">Any third-party app developer that wishes to discontinue </w:t>
      </w:r>
      <w:r>
        <w:t>their approved third-party app’s</w:t>
      </w:r>
      <w:r w:rsidRPr="00D70C96">
        <w:t xml:space="preserve"> participation in the BDC program must </w:t>
      </w:r>
      <w:r>
        <w:t xml:space="preserve">notify </w:t>
      </w:r>
      <w:r w:rsidRPr="00D70C96">
        <w:t>the Commission</w:t>
      </w:r>
      <w:r>
        <w:t xml:space="preserve"> at least 60 days</w:t>
      </w:r>
      <w:r w:rsidRPr="00D70C96">
        <w:t xml:space="preserve"> in advance of such discontinuance.  </w:t>
      </w:r>
      <w:r w:rsidRPr="00D70C96">
        <w:t>Additionally,</w:t>
      </w:r>
      <w:r w:rsidRPr="007E5136">
        <w:rPr>
          <w:color w:val="000000"/>
        </w:rPr>
        <w:t xml:space="preserve"> the third-party app provider must provide notice to all affected end users at least 30 days before such discontinuance to minimize disruptions in data collection.</w:t>
      </w:r>
      <w:r w:rsidRPr="00D70C96">
        <w:t xml:space="preserve">  In the case </w:t>
      </w:r>
      <w:r>
        <w:t>that either a</w:t>
      </w:r>
      <w:r w:rsidRPr="00D70C96">
        <w:t xml:space="preserve"> third-party app developer </w:t>
      </w:r>
      <w:r>
        <w:t xml:space="preserve">desires discontinuance of </w:t>
      </w:r>
      <w:r>
        <w:t xml:space="preserve">their app or </w:t>
      </w:r>
      <w:r w:rsidRPr="00D70C96">
        <w:t>approv</w:t>
      </w:r>
      <w:r>
        <w:t>al is not</w:t>
      </w:r>
      <w:r w:rsidRPr="00D70C96">
        <w:t xml:space="preserve"> renew</w:t>
      </w:r>
      <w:r>
        <w:t>ed</w:t>
      </w:r>
      <w:r w:rsidRPr="00D70C96">
        <w:t xml:space="preserve">, such discontinuance will be </w:t>
      </w:r>
      <w:r>
        <w:t xml:space="preserve">noted </w:t>
      </w:r>
      <w:r w:rsidRPr="00D70C96">
        <w:t>on the Commission’s webpage.  The Commission will then de-register the third-party app from the BDC system, and any data collected by the third-party app subsequent to the discontinuan</w:t>
      </w:r>
      <w:r w:rsidRPr="00D70C96">
        <w:t>ce or termination effective date may no longer be considered as mobile challenge or crowdsource data in the Commission’s publicly available reported data.</w:t>
      </w:r>
      <w:r>
        <w:rPr>
          <w:rStyle w:val="FootnoteReference"/>
        </w:rPr>
        <w:footnoteReference w:id="52"/>
      </w:r>
      <w:r w:rsidRPr="00D70C96">
        <w:t xml:space="preserve">  </w:t>
      </w:r>
    </w:p>
    <w:p w:rsidR="007E5136" w:rsidRPr="00D70C96" w:rsidP="00462EEB" w14:paraId="04B6AA84" w14:textId="77777777">
      <w:pPr>
        <w:pStyle w:val="ParaNum"/>
        <w:widowControl/>
      </w:pPr>
      <w:r>
        <w:t>Processes by designated third-party app developers to: (1) change or upgrade testing methodology;</w:t>
      </w:r>
      <w:r>
        <w:t xml:space="preserve"> (2) change or upgrade software or user interface unrelated to the testing methodology; (3) renew the five-year approval period; or (4) withdraw designation as a third-party app developer, must be filed with the Commission and will be processed by OET on a</w:t>
      </w:r>
      <w:r>
        <w:t xml:space="preserve"> case-by-case basis; any changes necessitating additional opportunity for comment, such as changes or upgrades to the testing methodology used by a third-party app, may delay the assessment of such app.  </w:t>
      </w:r>
    </w:p>
    <w:p w:rsidR="007E5136" w:rsidRPr="00D70C96" w:rsidP="00462EEB" w14:paraId="6EB836E8" w14:textId="77777777">
      <w:pPr>
        <w:pStyle w:val="ParaNum"/>
      </w:pPr>
      <w:r w:rsidRPr="2622ACF6">
        <w:rPr>
          <w:i/>
          <w:iCs/>
        </w:rPr>
        <w:t>People with Disabilities</w:t>
      </w:r>
      <w:r>
        <w:t xml:space="preserve">.  To request materials in </w:t>
      </w:r>
      <w:r>
        <w:t xml:space="preserve">accessible formats for people with disabilities (braille, large print, electronic files, audio format), send an e-mail to </w:t>
      </w:r>
      <w:r w:rsidRPr="2622ACF6">
        <w:rPr>
          <w:color w:val="0000FF"/>
          <w:u w:val="single"/>
        </w:rPr>
        <w:t>fcc504@fcc.gov</w:t>
      </w:r>
      <w:r>
        <w:t xml:space="preserve"> or call the Consumer and Governmental Affairs Bureau at 202-418-0530 (voice), 202-418-0432 (tty).</w:t>
      </w:r>
    </w:p>
    <w:p w:rsidR="007E5136" w:rsidRPr="00D70C96" w:rsidP="00462EEB" w14:paraId="2C1F61E3" w14:textId="77777777">
      <w:pPr>
        <w:pStyle w:val="ParaNum"/>
      </w:pPr>
      <w:r w:rsidRPr="2622ACF6">
        <w:rPr>
          <w:i/>
          <w:iCs/>
        </w:rPr>
        <w:t xml:space="preserve">Congressional Review </w:t>
      </w:r>
      <w:r w:rsidRPr="2622ACF6">
        <w:rPr>
          <w:i/>
          <w:iCs/>
        </w:rPr>
        <w:t>Act</w:t>
      </w:r>
      <w:r>
        <w:t xml:space="preserve">.  The Commission has determined, and the Administrator of the Office of Information and Regulatory Affairs, Office of Management and Budget, concurs, that this </w:t>
      </w:r>
      <w:r>
        <w:t xml:space="preserve">rule is “non-major” under the Congressional Review Act, 5 U.S.C. § 804(2).  The </w:t>
      </w:r>
      <w:r>
        <w:t xml:space="preserve">Commission will send a copy of this </w:t>
      </w:r>
      <w:r w:rsidRPr="2622ACF6">
        <w:rPr>
          <w:i/>
          <w:iCs/>
        </w:rPr>
        <w:t>Public Notice</w:t>
      </w:r>
      <w:r>
        <w:t xml:space="preserve"> to Congress and the Government Accountability Office pursuant to 5 U.S.C § 801(a)(1)(A).</w:t>
      </w:r>
    </w:p>
    <w:p w:rsidR="007E5136" w:rsidRPr="00D70C96" w:rsidP="00462EEB" w14:paraId="4AFB01D4" w14:textId="77777777">
      <w:pPr>
        <w:pStyle w:val="ParaNum"/>
      </w:pPr>
      <w:r w:rsidRPr="2622ACF6">
        <w:rPr>
          <w:i/>
          <w:iCs/>
        </w:rPr>
        <w:t>Paperwork Reduction Act</w:t>
      </w:r>
      <w:r w:rsidRPr="00D70C96">
        <w:t xml:space="preserve">.  </w:t>
      </w:r>
      <w:r>
        <w:t xml:space="preserve">The requirements adopted in this </w:t>
      </w:r>
      <w:r w:rsidRPr="2622ACF6">
        <w:rPr>
          <w:i/>
          <w:iCs/>
        </w:rPr>
        <w:t>Public Notice</w:t>
      </w:r>
      <w:r>
        <w:t xml:space="preserve"> are statutorily exempted from the requiremen</w:t>
      </w:r>
      <w:r>
        <w:t xml:space="preserve">ts of </w:t>
      </w:r>
      <w:r w:rsidRPr="00D70C96">
        <w:t>the Paperwork Reduction Act of 1995 (PRA), Public Law 104-13.</w:t>
      </w:r>
      <w:r>
        <w:rPr>
          <w:rStyle w:val="FootnoteReference"/>
        </w:rPr>
        <w:footnoteReference w:id="53"/>
      </w:r>
      <w:r w:rsidRPr="00D70C96">
        <w:t xml:space="preserve">  As a result, the </w:t>
      </w:r>
      <w:r w:rsidRPr="2622ACF6">
        <w:rPr>
          <w:i/>
          <w:iCs/>
        </w:rPr>
        <w:t xml:space="preserve">Public Notice </w:t>
      </w:r>
      <w:r w:rsidRPr="00D70C96">
        <w:t>will not be submitted to OMB for review under section 3507(d) of the PRA.</w:t>
      </w:r>
    </w:p>
    <w:p w:rsidR="007E5136" w:rsidRPr="005E046C" w:rsidP="00462EEB" w14:paraId="1A81FCFB" w14:textId="545181E8">
      <w:pPr>
        <w:pStyle w:val="ParaNum"/>
        <w:widowControl/>
      </w:pPr>
      <w:r w:rsidRPr="2622ACF6">
        <w:rPr>
          <w:i/>
          <w:iCs/>
        </w:rPr>
        <w:t>Further Information</w:t>
      </w:r>
      <w:r>
        <w:t xml:space="preserve">. </w:t>
      </w:r>
      <w:r w:rsidRPr="2622ACF6">
        <w:rPr>
          <w:i/>
          <w:iCs/>
        </w:rPr>
        <w:t xml:space="preserve"> </w:t>
      </w:r>
      <w:r>
        <w:t xml:space="preserve">Questions regarding this </w:t>
      </w:r>
      <w:r w:rsidRPr="2622ACF6">
        <w:rPr>
          <w:i/>
          <w:iCs/>
        </w:rPr>
        <w:t>Public Notice</w:t>
      </w:r>
      <w:r>
        <w:t xml:space="preserve"> may be directed to </w:t>
      </w:r>
      <w:r>
        <w:t xml:space="preserve">Sean Yun, Deputy Division Chief, Office of Engineering and Technology, at </w:t>
      </w:r>
      <w:hyperlink r:id="rId5" w:history="1">
        <w:r>
          <w:t xml:space="preserve">Sean.Yun@fcc.gov </w:t>
        </w:r>
      </w:hyperlink>
      <w:r>
        <w:t>or (202) 418-0980.</w:t>
      </w:r>
    </w:p>
    <w:p w:rsidR="007E5136" w:rsidRPr="00AB20E2" w:rsidP="007E5136" w14:paraId="42592F2F" w14:textId="77777777">
      <w:pPr>
        <w:widowControl/>
        <w:spacing w:after="120"/>
        <w:jc w:val="center"/>
        <w:rPr>
          <w:b/>
          <w:bCs/>
          <w:snapToGrid/>
          <w:kern w:val="0"/>
        </w:rPr>
      </w:pPr>
      <w:r w:rsidRPr="00AB20E2">
        <w:rPr>
          <w:b/>
          <w:bCs/>
          <w:snapToGrid/>
          <w:kern w:val="0"/>
        </w:rPr>
        <w:t>–FCC–</w:t>
      </w:r>
    </w:p>
    <w:p w:rsidR="007E5136" w:rsidP="007E5136" w14:paraId="354566FC" w14:textId="77777777">
      <w:pPr>
        <w:rPr>
          <w:b/>
          <w:bCs/>
        </w:rPr>
      </w:pPr>
    </w:p>
    <w:p w:rsidR="007E5136" w:rsidP="007E5136" w14:paraId="7273F1EB" w14:textId="45505122">
      <w:pPr>
        <w:rPr>
          <w:b/>
          <w:bCs/>
        </w:rPr>
        <w:sectPr w:rsidSect="007E5136">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7E5136" w:rsidP="007E5136" w14:paraId="6514A806" w14:textId="77777777">
      <w:pPr>
        <w:jc w:val="center"/>
        <w:rPr>
          <w:b/>
          <w:bCs/>
        </w:rPr>
      </w:pPr>
      <w:r w:rsidRPr="36D4D44B">
        <w:rPr>
          <w:b/>
          <w:bCs/>
        </w:rPr>
        <w:t>A</w:t>
      </w:r>
      <w:r w:rsidRPr="007E5136">
        <w:rPr>
          <w:rFonts w:ascii="Times New Roman Bold" w:hAnsi="Times New Roman Bold"/>
          <w:b/>
          <w:bCs/>
          <w:caps/>
        </w:rPr>
        <w:t>ppendix</w:t>
      </w:r>
      <w:r w:rsidRPr="36D4D44B">
        <w:rPr>
          <w:b/>
          <w:bCs/>
        </w:rPr>
        <w:t xml:space="preserve"> A</w:t>
      </w:r>
    </w:p>
    <w:p w:rsidR="007E5136" w:rsidP="007E5136" w14:paraId="647EDE7F" w14:textId="77777777">
      <w:pPr>
        <w:jc w:val="center"/>
        <w:rPr>
          <w:b/>
          <w:bCs/>
        </w:rPr>
      </w:pPr>
    </w:p>
    <w:p w:rsidR="007E5136" w:rsidP="007E5136" w14:paraId="722A92B0" w14:textId="77777777">
      <w:pPr>
        <w:jc w:val="center"/>
        <w:rPr>
          <w:b/>
          <w:bCs/>
        </w:rPr>
      </w:pPr>
      <w:r w:rsidRPr="36D4D44B">
        <w:rPr>
          <w:b/>
          <w:bCs/>
        </w:rPr>
        <w:t>Template for Third-Party App Proposals</w:t>
      </w:r>
    </w:p>
    <w:p w:rsidR="007E5136" w:rsidP="000944AF" w14:paraId="664A60FF" w14:textId="54E59E53">
      <w:pPr>
        <w:spacing w:after="120"/>
        <w:jc w:val="center"/>
        <w:rPr>
          <w:b/>
          <w:bCs/>
        </w:rPr>
      </w:pPr>
    </w:p>
    <w:p w:rsidR="007E5136" w:rsidP="000944AF" w14:paraId="4E78089A" w14:textId="77777777">
      <w:pPr>
        <w:pStyle w:val="ParaNum"/>
        <w:numPr>
          <w:ilvl w:val="0"/>
          <w:numId w:val="0"/>
        </w:numPr>
        <w:rPr>
          <w:i/>
          <w:iCs/>
        </w:rPr>
      </w:pPr>
      <w:r w:rsidRPr="36D4D44B">
        <w:t>In order for a</w:t>
      </w:r>
      <w:r>
        <w:t xml:space="preserve"> third-party app developer’s</w:t>
      </w:r>
      <w:r w:rsidRPr="36D4D44B">
        <w:t xml:space="preserve"> mobile app to be approved for use in the FCC’s Broadband Data Collection (BDC) mobile challenge and crowdsourcing processes, the proposal must follow the template outlined below.  The </w:t>
      </w:r>
      <w:r>
        <w:t>third-party app developer</w:t>
      </w:r>
      <w:r w:rsidRPr="36D4D44B">
        <w:t xml:space="preserve"> must, at a minimum, provide the information r</w:t>
      </w:r>
      <w:r w:rsidRPr="36D4D44B">
        <w:t xml:space="preserve">equested in this template, and in the format of the template.  </w:t>
      </w:r>
      <w:r>
        <w:t>R</w:t>
      </w:r>
      <w:r w:rsidRPr="36D4D44B">
        <w:t xml:space="preserve">esponses to this template as well as any additional information provided as part of the </w:t>
      </w:r>
      <w:r>
        <w:t>proposal</w:t>
      </w:r>
      <w:r w:rsidRPr="36D4D44B">
        <w:t xml:space="preserve"> demonstrating compliance with the requirements adopted in the </w:t>
      </w:r>
      <w:r w:rsidRPr="36D4D44B">
        <w:rPr>
          <w:i/>
          <w:iCs/>
        </w:rPr>
        <w:t>BDC - Data Specifications for Mob</w:t>
      </w:r>
      <w:r w:rsidRPr="36D4D44B">
        <w:rPr>
          <w:i/>
          <w:iCs/>
        </w:rPr>
        <w:t xml:space="preserve">ile Speed Test Data </w:t>
      </w:r>
      <w:r w:rsidRPr="36D4D44B">
        <w:t xml:space="preserve">will be reviewed to determine whether the app will be approved for use as part of the BDC.  Additional guidance regarding the template and requirements can be found in OET Bulletin 75, </w:t>
      </w:r>
      <w:r w:rsidRPr="36D4D44B">
        <w:rPr>
          <w:i/>
          <w:iCs/>
        </w:rPr>
        <w:t>Broadband Data Collection Program: Third-Party Spee</w:t>
      </w:r>
      <w:r w:rsidRPr="36D4D44B">
        <w:rPr>
          <w:i/>
          <w:iCs/>
        </w:rPr>
        <w:t>d Test Mobile Application Approval Process Guidance.</w:t>
      </w:r>
    </w:p>
    <w:p w:rsidR="007E5136" w:rsidRPr="00D3128F" w:rsidP="007E5136" w14:paraId="6DEEE059" w14:textId="77777777"/>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8074"/>
      </w:tblGrid>
      <w:tr w14:paraId="07B39DB8" w14:textId="77777777" w:rsidTr="0007766E">
        <w:tblPrEx>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tcPr>
          <w:p w:rsidR="000944AF" w:rsidRPr="0007766E" w:rsidP="0007766E" w14:paraId="253BF1AF" w14:textId="77777777">
            <w:pPr>
              <w:jc w:val="center"/>
              <w:rPr>
                <w:rFonts w:eastAsia="Calibri"/>
                <w:szCs w:val="22"/>
              </w:rPr>
            </w:pPr>
            <w:r w:rsidRPr="0007766E">
              <w:rPr>
                <w:rFonts w:eastAsia="Calibri"/>
                <w:b/>
                <w:bCs/>
                <w:szCs w:val="22"/>
              </w:rPr>
              <w:t>Section A. Filer Information</w:t>
            </w:r>
          </w:p>
        </w:tc>
      </w:tr>
      <w:tr w14:paraId="0AA4E660" w14:textId="77777777" w:rsidTr="0007766E">
        <w:tblPrEx>
          <w:tblW w:w="4991" w:type="pct"/>
          <w:tblLook w:val="04A0"/>
        </w:tblPrEx>
        <w:tc>
          <w:tcPr>
            <w:tcW w:w="777" w:type="pct"/>
            <w:shd w:val="clear" w:color="auto" w:fill="auto"/>
            <w:vAlign w:val="center"/>
          </w:tcPr>
          <w:p w:rsidR="000944AF" w:rsidRPr="0007766E" w:rsidP="0007766E" w14:paraId="10B658D7" w14:textId="77777777">
            <w:pPr>
              <w:jc w:val="center"/>
              <w:rPr>
                <w:rFonts w:eastAsia="Calibri"/>
                <w:szCs w:val="22"/>
              </w:rPr>
            </w:pPr>
            <w:r w:rsidRPr="0007766E">
              <w:rPr>
                <w:rFonts w:eastAsia="Calibri"/>
                <w:b/>
                <w:bCs/>
                <w:szCs w:val="22"/>
              </w:rPr>
              <w:t>Requirement ID</w:t>
            </w:r>
          </w:p>
        </w:tc>
        <w:tc>
          <w:tcPr>
            <w:tcW w:w="4223" w:type="pct"/>
            <w:shd w:val="clear" w:color="auto" w:fill="auto"/>
            <w:vAlign w:val="center"/>
          </w:tcPr>
          <w:p w:rsidR="000944AF" w:rsidRPr="0007766E" w:rsidP="0007766E" w14:paraId="3E7ADE09" w14:textId="77777777">
            <w:pPr>
              <w:jc w:val="center"/>
              <w:rPr>
                <w:rFonts w:eastAsia="Calibri"/>
                <w:szCs w:val="22"/>
              </w:rPr>
            </w:pPr>
            <w:r w:rsidRPr="0007766E">
              <w:rPr>
                <w:rFonts w:eastAsia="Calibri"/>
                <w:b/>
                <w:bCs/>
                <w:szCs w:val="22"/>
              </w:rPr>
              <w:t>Description</w:t>
            </w:r>
          </w:p>
        </w:tc>
      </w:tr>
      <w:tr w14:paraId="5EDACD2F" w14:textId="77777777" w:rsidTr="0007766E">
        <w:tblPrEx>
          <w:tblW w:w="4991" w:type="pct"/>
          <w:tblLook w:val="04A0"/>
        </w:tblPrEx>
        <w:tc>
          <w:tcPr>
            <w:tcW w:w="777" w:type="pct"/>
            <w:shd w:val="clear" w:color="auto" w:fill="auto"/>
          </w:tcPr>
          <w:p w:rsidR="000944AF" w:rsidRPr="0007766E" w:rsidP="000944AF" w14:paraId="7326A1F3" w14:textId="77777777">
            <w:pPr>
              <w:rPr>
                <w:rFonts w:eastAsia="Calibri"/>
                <w:szCs w:val="22"/>
              </w:rPr>
            </w:pPr>
            <w:r w:rsidRPr="0007766E">
              <w:rPr>
                <w:rFonts w:eastAsia="Calibri"/>
                <w:szCs w:val="22"/>
              </w:rPr>
              <w:t>A.1</w:t>
            </w:r>
          </w:p>
        </w:tc>
        <w:tc>
          <w:tcPr>
            <w:tcW w:w="4223" w:type="pct"/>
            <w:shd w:val="clear" w:color="auto" w:fill="auto"/>
          </w:tcPr>
          <w:p w:rsidR="000944AF" w:rsidRPr="0007766E" w:rsidP="000944AF" w14:paraId="2C1FE682" w14:textId="77777777">
            <w:pPr>
              <w:rPr>
                <w:rFonts w:eastAsia="Calibri"/>
                <w:szCs w:val="22"/>
              </w:rPr>
            </w:pPr>
            <w:r w:rsidRPr="0007766E">
              <w:rPr>
                <w:rFonts w:eastAsia="Calibri"/>
                <w:szCs w:val="22"/>
              </w:rPr>
              <w:t>Entity Legal Name (Filer Information, p. 8)</w:t>
            </w:r>
            <w:r>
              <w:rPr>
                <w:rFonts w:eastAsia="Calibri"/>
                <w:szCs w:val="22"/>
                <w:vertAlign w:val="superscript"/>
              </w:rPr>
              <w:footnoteReference w:id="54"/>
            </w:r>
          </w:p>
        </w:tc>
      </w:tr>
      <w:tr w14:paraId="61D077B9" w14:textId="77777777" w:rsidTr="0007766E">
        <w:tblPrEx>
          <w:tblW w:w="4991" w:type="pct"/>
          <w:tblLook w:val="04A0"/>
        </w:tblPrEx>
        <w:tc>
          <w:tcPr>
            <w:tcW w:w="777" w:type="pct"/>
            <w:shd w:val="clear" w:color="auto" w:fill="auto"/>
          </w:tcPr>
          <w:p w:rsidR="000944AF" w:rsidRPr="0007766E" w:rsidP="000944AF" w14:paraId="0AFE7A9D" w14:textId="77777777">
            <w:pPr>
              <w:rPr>
                <w:rFonts w:eastAsia="Calibri"/>
                <w:szCs w:val="22"/>
              </w:rPr>
            </w:pPr>
            <w:r w:rsidRPr="0007766E">
              <w:rPr>
                <w:rFonts w:eastAsia="Calibri"/>
                <w:szCs w:val="22"/>
              </w:rPr>
              <w:t>A.2</w:t>
            </w:r>
          </w:p>
        </w:tc>
        <w:tc>
          <w:tcPr>
            <w:tcW w:w="4223" w:type="pct"/>
            <w:shd w:val="clear" w:color="auto" w:fill="auto"/>
          </w:tcPr>
          <w:p w:rsidR="000944AF" w:rsidRPr="0007766E" w:rsidP="000944AF" w14:paraId="5FB29A25" w14:textId="77777777">
            <w:pPr>
              <w:rPr>
                <w:rFonts w:eastAsia="Calibri"/>
                <w:szCs w:val="22"/>
              </w:rPr>
            </w:pPr>
            <w:r w:rsidRPr="0007766E">
              <w:rPr>
                <w:rFonts w:eastAsia="Calibri"/>
                <w:szCs w:val="22"/>
              </w:rPr>
              <w:t>Business Name (if applicable) (Filer Information, p. 8)</w:t>
            </w:r>
          </w:p>
        </w:tc>
      </w:tr>
      <w:tr w14:paraId="67DAD7CD" w14:textId="77777777" w:rsidTr="0007766E">
        <w:tblPrEx>
          <w:tblW w:w="4991" w:type="pct"/>
          <w:tblLook w:val="04A0"/>
        </w:tblPrEx>
        <w:tc>
          <w:tcPr>
            <w:tcW w:w="777" w:type="pct"/>
            <w:shd w:val="clear" w:color="auto" w:fill="auto"/>
          </w:tcPr>
          <w:p w:rsidR="000944AF" w:rsidRPr="0007766E" w:rsidP="000944AF" w14:paraId="158DDED5" w14:textId="77777777">
            <w:pPr>
              <w:rPr>
                <w:rFonts w:eastAsia="Calibri"/>
                <w:szCs w:val="22"/>
              </w:rPr>
            </w:pPr>
            <w:r w:rsidRPr="0007766E">
              <w:rPr>
                <w:rFonts w:eastAsia="Calibri"/>
                <w:szCs w:val="22"/>
              </w:rPr>
              <w:t>A.3</w:t>
            </w:r>
          </w:p>
        </w:tc>
        <w:tc>
          <w:tcPr>
            <w:tcW w:w="4223" w:type="pct"/>
            <w:shd w:val="clear" w:color="auto" w:fill="auto"/>
          </w:tcPr>
          <w:p w:rsidR="000944AF" w:rsidRPr="0007766E" w:rsidP="000944AF" w14:paraId="7EAA570F" w14:textId="77777777">
            <w:pPr>
              <w:rPr>
                <w:rFonts w:eastAsia="Calibri"/>
                <w:szCs w:val="22"/>
              </w:rPr>
            </w:pPr>
            <w:r w:rsidRPr="0007766E">
              <w:rPr>
                <w:rFonts w:eastAsia="Calibri"/>
                <w:szCs w:val="22"/>
              </w:rPr>
              <w:t>Mailing Address (Street Address, City, State, Zip Code) (Filer Information, p. 8)</w:t>
            </w:r>
          </w:p>
        </w:tc>
      </w:tr>
      <w:tr w14:paraId="54DD7B0C" w14:textId="77777777" w:rsidTr="0007766E">
        <w:tblPrEx>
          <w:tblW w:w="4991" w:type="pct"/>
          <w:tblLook w:val="04A0"/>
        </w:tblPrEx>
        <w:tc>
          <w:tcPr>
            <w:tcW w:w="777" w:type="pct"/>
            <w:shd w:val="clear" w:color="auto" w:fill="auto"/>
          </w:tcPr>
          <w:p w:rsidR="000944AF" w:rsidRPr="0007766E" w:rsidP="000944AF" w14:paraId="5195CF54" w14:textId="77777777">
            <w:pPr>
              <w:rPr>
                <w:rFonts w:eastAsia="Calibri"/>
                <w:szCs w:val="22"/>
              </w:rPr>
            </w:pPr>
            <w:r w:rsidRPr="0007766E">
              <w:rPr>
                <w:rFonts w:eastAsia="Calibri"/>
                <w:szCs w:val="22"/>
              </w:rPr>
              <w:t>A.4</w:t>
            </w:r>
          </w:p>
        </w:tc>
        <w:tc>
          <w:tcPr>
            <w:tcW w:w="4223" w:type="pct"/>
            <w:shd w:val="clear" w:color="auto" w:fill="auto"/>
          </w:tcPr>
          <w:p w:rsidR="000944AF" w:rsidRPr="0007766E" w:rsidP="000944AF" w14:paraId="7B3FAD04" w14:textId="77777777">
            <w:pPr>
              <w:rPr>
                <w:rFonts w:eastAsia="Calibri"/>
                <w:szCs w:val="22"/>
              </w:rPr>
            </w:pPr>
            <w:r w:rsidRPr="0007766E">
              <w:rPr>
                <w:rFonts w:eastAsia="Calibri"/>
                <w:szCs w:val="22"/>
              </w:rPr>
              <w:t>Third-Party App Name (Filer Information, p. 8)</w:t>
            </w:r>
          </w:p>
        </w:tc>
      </w:tr>
      <w:tr w14:paraId="4035397B" w14:textId="77777777" w:rsidTr="0007766E">
        <w:tblPrEx>
          <w:tblW w:w="4991" w:type="pct"/>
          <w:tblLook w:val="04A0"/>
        </w:tblPrEx>
        <w:tc>
          <w:tcPr>
            <w:tcW w:w="777" w:type="pct"/>
            <w:shd w:val="clear" w:color="auto" w:fill="auto"/>
          </w:tcPr>
          <w:p w:rsidR="000944AF" w:rsidRPr="0007766E" w:rsidP="000944AF" w14:paraId="4FC65A4B" w14:textId="77777777">
            <w:pPr>
              <w:rPr>
                <w:rFonts w:eastAsia="Calibri"/>
                <w:szCs w:val="22"/>
              </w:rPr>
            </w:pPr>
            <w:r w:rsidRPr="0007766E">
              <w:rPr>
                <w:rFonts w:eastAsia="Calibri"/>
                <w:szCs w:val="22"/>
              </w:rPr>
              <w:t>A.5</w:t>
            </w:r>
          </w:p>
        </w:tc>
        <w:tc>
          <w:tcPr>
            <w:tcW w:w="4223" w:type="pct"/>
            <w:shd w:val="clear" w:color="auto" w:fill="auto"/>
          </w:tcPr>
          <w:p w:rsidR="000944AF" w:rsidRPr="0007766E" w:rsidP="000944AF" w14:paraId="0782CE69" w14:textId="77777777">
            <w:pPr>
              <w:rPr>
                <w:rFonts w:eastAsia="Calibri"/>
                <w:szCs w:val="22"/>
              </w:rPr>
            </w:pPr>
            <w:r w:rsidRPr="0007766E">
              <w:rPr>
                <w:rFonts w:eastAsia="Calibri"/>
                <w:szCs w:val="22"/>
              </w:rPr>
              <w:t>Third-Party App Version Number (Filer Information, p. 8)</w:t>
            </w:r>
          </w:p>
        </w:tc>
      </w:tr>
    </w:tbl>
    <w:p w:rsidR="000944AF" w:rsidRPr="000944AF" w:rsidP="000944AF" w14:paraId="54EB0B62"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8125"/>
      </w:tblGrid>
      <w:tr w14:paraId="755E0EDB"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5"/>
        </w:trPr>
        <w:tc>
          <w:tcPr>
            <w:tcW w:w="5000" w:type="pct"/>
            <w:gridSpan w:val="2"/>
            <w:shd w:val="clear" w:color="auto" w:fill="D9D9D9"/>
            <w:vAlign w:val="center"/>
          </w:tcPr>
          <w:p w:rsidR="000944AF" w:rsidRPr="0007766E" w:rsidP="0007766E" w14:paraId="5820976D" w14:textId="77777777">
            <w:pPr>
              <w:jc w:val="center"/>
              <w:rPr>
                <w:rFonts w:eastAsia="Calibri"/>
                <w:b/>
                <w:bCs/>
                <w:szCs w:val="22"/>
              </w:rPr>
            </w:pPr>
            <w:r w:rsidRPr="0007766E">
              <w:rPr>
                <w:rFonts w:eastAsia="Calibri"/>
                <w:b/>
                <w:bCs/>
                <w:szCs w:val="22"/>
              </w:rPr>
              <w:t>Section B. Applicant Contact Information</w:t>
            </w:r>
          </w:p>
        </w:tc>
      </w:tr>
      <w:tr w14:paraId="36144B9F" w14:textId="77777777" w:rsidTr="0007766E">
        <w:tblPrEx>
          <w:tblW w:w="5000" w:type="pct"/>
          <w:tblLook w:val="04A0"/>
        </w:tblPrEx>
        <w:tc>
          <w:tcPr>
            <w:tcW w:w="719" w:type="pct"/>
            <w:shd w:val="clear" w:color="auto" w:fill="auto"/>
            <w:vAlign w:val="center"/>
          </w:tcPr>
          <w:p w:rsidR="000944AF" w:rsidRPr="0007766E" w:rsidP="0007766E" w14:paraId="346CD4BB" w14:textId="77777777">
            <w:pPr>
              <w:jc w:val="center"/>
              <w:rPr>
                <w:rFonts w:eastAsia="Calibri"/>
                <w:b/>
                <w:bCs/>
                <w:szCs w:val="22"/>
              </w:rPr>
            </w:pPr>
            <w:r w:rsidRPr="0007766E">
              <w:rPr>
                <w:rFonts w:eastAsia="Calibri"/>
                <w:b/>
                <w:bCs/>
                <w:szCs w:val="22"/>
              </w:rPr>
              <w:t>Requirement ID</w:t>
            </w:r>
          </w:p>
        </w:tc>
        <w:tc>
          <w:tcPr>
            <w:tcW w:w="4281" w:type="pct"/>
            <w:shd w:val="clear" w:color="auto" w:fill="auto"/>
            <w:vAlign w:val="center"/>
          </w:tcPr>
          <w:p w:rsidR="000944AF" w:rsidRPr="0007766E" w:rsidP="0007766E" w14:paraId="4E29D66F" w14:textId="77777777">
            <w:pPr>
              <w:jc w:val="center"/>
              <w:rPr>
                <w:rFonts w:eastAsia="Calibri"/>
                <w:b/>
                <w:bCs/>
                <w:szCs w:val="22"/>
              </w:rPr>
            </w:pPr>
            <w:r w:rsidRPr="0007766E">
              <w:rPr>
                <w:rFonts w:eastAsia="Calibri"/>
                <w:b/>
                <w:bCs/>
                <w:szCs w:val="22"/>
              </w:rPr>
              <w:t>Description</w:t>
            </w:r>
          </w:p>
        </w:tc>
      </w:tr>
      <w:tr w14:paraId="1B162DAB" w14:textId="77777777" w:rsidTr="0007766E">
        <w:tblPrEx>
          <w:tblW w:w="5000" w:type="pct"/>
          <w:tblLook w:val="04A0"/>
        </w:tblPrEx>
        <w:tc>
          <w:tcPr>
            <w:tcW w:w="719" w:type="pct"/>
            <w:shd w:val="clear" w:color="auto" w:fill="auto"/>
          </w:tcPr>
          <w:p w:rsidR="000944AF" w:rsidRPr="0007766E" w:rsidP="000944AF" w14:paraId="43A5F0CC" w14:textId="77777777">
            <w:pPr>
              <w:rPr>
                <w:rFonts w:eastAsia="Calibri"/>
                <w:szCs w:val="22"/>
              </w:rPr>
            </w:pPr>
            <w:r w:rsidRPr="0007766E">
              <w:rPr>
                <w:rFonts w:eastAsia="Calibri"/>
                <w:szCs w:val="22"/>
              </w:rPr>
              <w:t>B.1</w:t>
            </w:r>
          </w:p>
        </w:tc>
        <w:tc>
          <w:tcPr>
            <w:tcW w:w="4281" w:type="pct"/>
            <w:shd w:val="clear" w:color="auto" w:fill="auto"/>
          </w:tcPr>
          <w:p w:rsidR="000944AF" w:rsidRPr="0007766E" w:rsidP="000944AF" w14:paraId="50139A60" w14:textId="77777777">
            <w:pPr>
              <w:rPr>
                <w:rFonts w:eastAsia="Calibri"/>
                <w:szCs w:val="22"/>
              </w:rPr>
            </w:pPr>
            <w:r w:rsidRPr="0007766E">
              <w:rPr>
                <w:rFonts w:eastAsia="Calibri"/>
                <w:szCs w:val="22"/>
              </w:rPr>
              <w:t>Contact First Name (Contact Information, p. 8)</w:t>
            </w:r>
          </w:p>
        </w:tc>
      </w:tr>
      <w:tr w14:paraId="18C3BA57" w14:textId="77777777" w:rsidTr="0007766E">
        <w:tblPrEx>
          <w:tblW w:w="5000" w:type="pct"/>
          <w:tblLook w:val="04A0"/>
        </w:tblPrEx>
        <w:tc>
          <w:tcPr>
            <w:tcW w:w="719" w:type="pct"/>
            <w:shd w:val="clear" w:color="auto" w:fill="auto"/>
          </w:tcPr>
          <w:p w:rsidR="000944AF" w:rsidRPr="0007766E" w:rsidP="000944AF" w14:paraId="3CE2B5F7" w14:textId="77777777">
            <w:pPr>
              <w:rPr>
                <w:rFonts w:eastAsia="Calibri"/>
                <w:szCs w:val="22"/>
              </w:rPr>
            </w:pPr>
            <w:r w:rsidRPr="0007766E">
              <w:rPr>
                <w:rFonts w:eastAsia="Calibri"/>
                <w:szCs w:val="22"/>
              </w:rPr>
              <w:t>B.2</w:t>
            </w:r>
          </w:p>
        </w:tc>
        <w:tc>
          <w:tcPr>
            <w:tcW w:w="4281" w:type="pct"/>
            <w:shd w:val="clear" w:color="auto" w:fill="auto"/>
          </w:tcPr>
          <w:p w:rsidR="000944AF" w:rsidRPr="0007766E" w:rsidP="000944AF" w14:paraId="606B8B16" w14:textId="77777777">
            <w:pPr>
              <w:rPr>
                <w:rFonts w:eastAsia="Calibri"/>
                <w:szCs w:val="22"/>
              </w:rPr>
            </w:pPr>
            <w:r w:rsidRPr="0007766E">
              <w:rPr>
                <w:rFonts w:eastAsia="Calibri"/>
                <w:szCs w:val="22"/>
              </w:rPr>
              <w:t>Contact Last Name (Contact Information, p. 8)</w:t>
            </w:r>
          </w:p>
        </w:tc>
      </w:tr>
      <w:tr w14:paraId="34E2C5F5" w14:textId="77777777" w:rsidTr="0007766E">
        <w:tblPrEx>
          <w:tblW w:w="5000" w:type="pct"/>
          <w:tblLook w:val="04A0"/>
        </w:tblPrEx>
        <w:tc>
          <w:tcPr>
            <w:tcW w:w="719" w:type="pct"/>
            <w:shd w:val="clear" w:color="auto" w:fill="auto"/>
          </w:tcPr>
          <w:p w:rsidR="000944AF" w:rsidRPr="0007766E" w:rsidP="000944AF" w14:paraId="27D04BF0" w14:textId="77777777">
            <w:pPr>
              <w:rPr>
                <w:rFonts w:eastAsia="Calibri"/>
                <w:szCs w:val="22"/>
              </w:rPr>
            </w:pPr>
            <w:r w:rsidRPr="0007766E">
              <w:rPr>
                <w:rFonts w:eastAsia="Calibri"/>
                <w:szCs w:val="22"/>
              </w:rPr>
              <w:t>B.3</w:t>
            </w:r>
          </w:p>
        </w:tc>
        <w:tc>
          <w:tcPr>
            <w:tcW w:w="4281" w:type="pct"/>
            <w:shd w:val="clear" w:color="auto" w:fill="auto"/>
          </w:tcPr>
          <w:p w:rsidR="000944AF" w:rsidRPr="0007766E" w:rsidP="000944AF" w14:paraId="7CFDEFBB" w14:textId="77777777">
            <w:pPr>
              <w:rPr>
                <w:rFonts w:eastAsia="Calibri"/>
                <w:szCs w:val="22"/>
              </w:rPr>
            </w:pPr>
            <w:r w:rsidRPr="0007766E">
              <w:rPr>
                <w:rFonts w:eastAsia="Calibri"/>
                <w:szCs w:val="22"/>
              </w:rPr>
              <w:t>Contact Phone Number (Contact Information, p. 8)</w:t>
            </w:r>
          </w:p>
        </w:tc>
      </w:tr>
      <w:tr w14:paraId="560E076A" w14:textId="77777777" w:rsidTr="0007766E">
        <w:tblPrEx>
          <w:tblW w:w="5000" w:type="pct"/>
          <w:tblLook w:val="04A0"/>
        </w:tblPrEx>
        <w:tc>
          <w:tcPr>
            <w:tcW w:w="719" w:type="pct"/>
            <w:shd w:val="clear" w:color="auto" w:fill="auto"/>
          </w:tcPr>
          <w:p w:rsidR="000944AF" w:rsidRPr="0007766E" w:rsidP="000944AF" w14:paraId="7AD10691" w14:textId="77777777">
            <w:pPr>
              <w:rPr>
                <w:rFonts w:eastAsia="Calibri"/>
                <w:szCs w:val="22"/>
              </w:rPr>
            </w:pPr>
            <w:r w:rsidRPr="0007766E">
              <w:rPr>
                <w:rFonts w:eastAsia="Calibri"/>
                <w:szCs w:val="22"/>
              </w:rPr>
              <w:t>B.4</w:t>
            </w:r>
          </w:p>
        </w:tc>
        <w:tc>
          <w:tcPr>
            <w:tcW w:w="4281" w:type="pct"/>
            <w:shd w:val="clear" w:color="auto" w:fill="auto"/>
          </w:tcPr>
          <w:p w:rsidR="000944AF" w:rsidRPr="0007766E" w:rsidP="000944AF" w14:paraId="3FF5DC37" w14:textId="77777777">
            <w:pPr>
              <w:rPr>
                <w:rFonts w:eastAsia="Calibri"/>
                <w:szCs w:val="22"/>
              </w:rPr>
            </w:pPr>
            <w:r w:rsidRPr="0007766E">
              <w:rPr>
                <w:rFonts w:eastAsia="Calibri"/>
                <w:szCs w:val="22"/>
              </w:rPr>
              <w:t>Contact Email Address (Contact Information, p. 8)</w:t>
            </w:r>
          </w:p>
        </w:tc>
      </w:tr>
      <w:tr w14:paraId="13D46883" w14:textId="77777777" w:rsidTr="0007766E">
        <w:tblPrEx>
          <w:tblW w:w="5000" w:type="pct"/>
          <w:tblLook w:val="04A0"/>
        </w:tblPrEx>
        <w:tc>
          <w:tcPr>
            <w:tcW w:w="719" w:type="pct"/>
            <w:shd w:val="clear" w:color="auto" w:fill="auto"/>
          </w:tcPr>
          <w:p w:rsidR="000944AF" w:rsidRPr="0007766E" w:rsidP="000944AF" w14:paraId="733F5AC0" w14:textId="77777777">
            <w:pPr>
              <w:rPr>
                <w:rFonts w:eastAsia="Calibri"/>
                <w:szCs w:val="22"/>
              </w:rPr>
            </w:pPr>
            <w:r w:rsidRPr="0007766E">
              <w:rPr>
                <w:rFonts w:eastAsia="Calibri"/>
                <w:szCs w:val="22"/>
              </w:rPr>
              <w:t>B.5</w:t>
            </w:r>
          </w:p>
        </w:tc>
        <w:tc>
          <w:tcPr>
            <w:tcW w:w="4281" w:type="pct"/>
            <w:shd w:val="clear" w:color="auto" w:fill="auto"/>
          </w:tcPr>
          <w:p w:rsidR="000944AF" w:rsidRPr="0007766E" w:rsidP="000944AF" w14:paraId="60897182" w14:textId="77777777">
            <w:pPr>
              <w:rPr>
                <w:rFonts w:eastAsia="Calibri"/>
                <w:szCs w:val="22"/>
              </w:rPr>
            </w:pPr>
            <w:r w:rsidRPr="0007766E">
              <w:rPr>
                <w:rFonts w:eastAsia="Calibri"/>
                <w:szCs w:val="22"/>
              </w:rPr>
              <w:t>Contact Mailing Address (Street Address, City, State, Zip Code) (Contact Information, p. 8)</w:t>
            </w:r>
          </w:p>
        </w:tc>
      </w:tr>
    </w:tbl>
    <w:p w:rsidR="000944AF" w:rsidRPr="000944AF" w:rsidP="000944AF" w14:paraId="56BA2CB9"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090"/>
      </w:tblGrid>
      <w:tr w14:paraId="61965F5E"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3F52ABD2" w14:textId="77777777">
            <w:pPr>
              <w:jc w:val="center"/>
              <w:rPr>
                <w:rFonts w:eastAsia="Calibri"/>
                <w:b/>
                <w:bCs/>
                <w:szCs w:val="22"/>
              </w:rPr>
            </w:pPr>
            <w:bookmarkStart w:id="3" w:name="_Hlk99307774"/>
            <w:r w:rsidRPr="0007766E">
              <w:rPr>
                <w:rFonts w:eastAsia="Calibri"/>
                <w:b/>
                <w:bCs/>
                <w:szCs w:val="22"/>
              </w:rPr>
              <w:t>Section C. System Architecture</w:t>
            </w:r>
          </w:p>
        </w:tc>
      </w:tr>
      <w:tr w14:paraId="030BF931" w14:textId="77777777" w:rsidTr="0007766E">
        <w:tblPrEx>
          <w:tblW w:w="5000" w:type="pct"/>
          <w:tblLook w:val="04A0"/>
        </w:tblPrEx>
        <w:tc>
          <w:tcPr>
            <w:tcW w:w="776" w:type="pct"/>
            <w:shd w:val="clear" w:color="auto" w:fill="auto"/>
            <w:vAlign w:val="center"/>
          </w:tcPr>
          <w:p w:rsidR="000944AF" w:rsidRPr="0007766E" w:rsidP="0007766E" w14:paraId="60D58F4F" w14:textId="77777777">
            <w:pPr>
              <w:jc w:val="center"/>
              <w:rPr>
                <w:rFonts w:eastAsia="Calibri"/>
                <w:b/>
                <w:bCs/>
                <w:szCs w:val="22"/>
              </w:rPr>
            </w:pPr>
            <w:r w:rsidRPr="0007766E">
              <w:rPr>
                <w:rFonts w:eastAsia="Calibri"/>
                <w:b/>
                <w:bCs/>
                <w:szCs w:val="22"/>
              </w:rPr>
              <w:t>Requirement ID</w:t>
            </w:r>
          </w:p>
        </w:tc>
        <w:tc>
          <w:tcPr>
            <w:tcW w:w="4224" w:type="pct"/>
            <w:shd w:val="clear" w:color="auto" w:fill="auto"/>
            <w:vAlign w:val="center"/>
          </w:tcPr>
          <w:p w:rsidR="000944AF" w:rsidRPr="0007766E" w:rsidP="0007766E" w14:paraId="7BE7B4B2" w14:textId="77777777">
            <w:pPr>
              <w:jc w:val="center"/>
              <w:rPr>
                <w:rFonts w:eastAsia="Calibri"/>
                <w:b/>
                <w:bCs/>
                <w:szCs w:val="22"/>
              </w:rPr>
            </w:pPr>
            <w:r w:rsidRPr="0007766E">
              <w:rPr>
                <w:rFonts w:eastAsia="Calibri"/>
                <w:b/>
                <w:bCs/>
                <w:szCs w:val="22"/>
              </w:rPr>
              <w:t>Description</w:t>
            </w:r>
          </w:p>
        </w:tc>
      </w:tr>
      <w:tr w14:paraId="7DA480D4" w14:textId="77777777" w:rsidTr="0007766E">
        <w:tblPrEx>
          <w:tblW w:w="5000" w:type="pct"/>
          <w:tblLook w:val="04A0"/>
        </w:tblPrEx>
        <w:tc>
          <w:tcPr>
            <w:tcW w:w="776" w:type="pct"/>
            <w:shd w:val="clear" w:color="auto" w:fill="auto"/>
          </w:tcPr>
          <w:p w:rsidR="000944AF" w:rsidRPr="0007766E" w:rsidP="000944AF" w14:paraId="7D638F42" w14:textId="77777777">
            <w:pPr>
              <w:rPr>
                <w:rFonts w:eastAsia="Calibri"/>
                <w:szCs w:val="22"/>
              </w:rPr>
            </w:pPr>
            <w:r w:rsidRPr="0007766E">
              <w:rPr>
                <w:rFonts w:eastAsia="Calibri"/>
                <w:szCs w:val="22"/>
              </w:rPr>
              <w:t>C.1</w:t>
            </w:r>
          </w:p>
        </w:tc>
        <w:tc>
          <w:tcPr>
            <w:tcW w:w="4224" w:type="pct"/>
            <w:shd w:val="clear" w:color="auto" w:fill="auto"/>
          </w:tcPr>
          <w:p w:rsidR="000944AF" w:rsidRPr="0007766E" w:rsidP="000944AF" w14:paraId="6F7BDB99" w14:textId="77777777">
            <w:pPr>
              <w:rPr>
                <w:rFonts w:eastAsia="Calibri"/>
                <w:szCs w:val="22"/>
              </w:rPr>
            </w:pPr>
            <w:r w:rsidRPr="0007766E">
              <w:rPr>
                <w:rFonts w:eastAsia="Calibri"/>
                <w:szCs w:val="22"/>
              </w:rPr>
              <w:t>Provide a complete description of the proposed test system architecture the app will use. (Architecture Description, p. 8)</w:t>
            </w:r>
          </w:p>
        </w:tc>
      </w:tr>
      <w:tr w14:paraId="31EDE83D" w14:textId="77777777" w:rsidTr="0007766E">
        <w:tblPrEx>
          <w:tblW w:w="5000" w:type="pct"/>
          <w:tblLook w:val="04A0"/>
        </w:tblPrEx>
        <w:tc>
          <w:tcPr>
            <w:tcW w:w="776" w:type="pct"/>
            <w:shd w:val="clear" w:color="auto" w:fill="auto"/>
          </w:tcPr>
          <w:p w:rsidR="000944AF" w:rsidRPr="0007766E" w:rsidP="000944AF" w14:paraId="2AEF35C9" w14:textId="77777777">
            <w:pPr>
              <w:rPr>
                <w:rFonts w:eastAsia="Calibri"/>
                <w:szCs w:val="22"/>
              </w:rPr>
            </w:pPr>
            <w:r w:rsidRPr="0007766E">
              <w:rPr>
                <w:rFonts w:eastAsia="Calibri"/>
                <w:szCs w:val="22"/>
              </w:rPr>
              <w:t>C.2</w:t>
            </w:r>
          </w:p>
        </w:tc>
        <w:tc>
          <w:tcPr>
            <w:tcW w:w="4224" w:type="pct"/>
            <w:shd w:val="clear" w:color="auto" w:fill="auto"/>
          </w:tcPr>
          <w:p w:rsidR="000944AF" w:rsidRPr="0007766E" w:rsidP="000944AF" w14:paraId="35EF21BC" w14:textId="77777777">
            <w:pPr>
              <w:rPr>
                <w:rFonts w:eastAsia="Calibri"/>
                <w:szCs w:val="22"/>
              </w:rPr>
            </w:pPr>
            <w:r w:rsidRPr="0007766E">
              <w:rPr>
                <w:rFonts w:eastAsia="Calibri"/>
                <w:szCs w:val="22"/>
              </w:rPr>
              <w:t>Insert a technical diagram of the proposed system architecture used by the app. (Architecture Description, p. 8)</w:t>
            </w:r>
          </w:p>
        </w:tc>
      </w:tr>
      <w:tr w14:paraId="5C1B2A7D" w14:textId="77777777" w:rsidTr="0007766E">
        <w:tblPrEx>
          <w:tblW w:w="5000" w:type="pct"/>
          <w:tblLook w:val="04A0"/>
        </w:tblPrEx>
        <w:tc>
          <w:tcPr>
            <w:tcW w:w="776" w:type="pct"/>
            <w:shd w:val="clear" w:color="auto" w:fill="auto"/>
          </w:tcPr>
          <w:p w:rsidR="000944AF" w:rsidRPr="0007766E" w:rsidP="000944AF" w14:paraId="0EF335D1" w14:textId="77777777">
            <w:pPr>
              <w:rPr>
                <w:rFonts w:eastAsia="Calibri"/>
                <w:szCs w:val="22"/>
              </w:rPr>
            </w:pPr>
            <w:r w:rsidRPr="0007766E">
              <w:rPr>
                <w:rFonts w:eastAsia="Calibri"/>
                <w:szCs w:val="22"/>
              </w:rPr>
              <w:t>C.3</w:t>
            </w:r>
          </w:p>
        </w:tc>
        <w:tc>
          <w:tcPr>
            <w:tcW w:w="4224" w:type="pct"/>
            <w:shd w:val="clear" w:color="auto" w:fill="auto"/>
          </w:tcPr>
          <w:p w:rsidR="000944AF" w:rsidRPr="0007766E" w:rsidP="000944AF" w14:paraId="23645B9C" w14:textId="77777777">
            <w:pPr>
              <w:rPr>
                <w:rFonts w:eastAsia="Calibri"/>
                <w:szCs w:val="22"/>
              </w:rPr>
            </w:pPr>
            <w:r w:rsidRPr="0007766E">
              <w:rPr>
                <w:rFonts w:eastAsia="Calibri"/>
                <w:szCs w:val="22"/>
              </w:rPr>
              <w:t>Describe t</w:t>
            </w:r>
            <w:r w:rsidRPr="0007766E">
              <w:rPr>
                <w:rFonts w:eastAsia="Calibri"/>
                <w:szCs w:val="22"/>
              </w:rPr>
              <w:t>he testing methodologies, including test flows and calculations, the app will use to collect speed test data. (Architecture Description, p. 8)</w:t>
            </w:r>
          </w:p>
        </w:tc>
      </w:tr>
      <w:tr w14:paraId="59B34F36" w14:textId="77777777" w:rsidTr="0007766E">
        <w:tblPrEx>
          <w:tblW w:w="5000" w:type="pct"/>
          <w:tblLook w:val="04A0"/>
        </w:tblPrEx>
        <w:tc>
          <w:tcPr>
            <w:tcW w:w="776" w:type="pct"/>
            <w:shd w:val="clear" w:color="auto" w:fill="auto"/>
          </w:tcPr>
          <w:p w:rsidR="000944AF" w:rsidRPr="0007766E" w:rsidP="000944AF" w14:paraId="1939EDCE" w14:textId="77777777">
            <w:pPr>
              <w:rPr>
                <w:rFonts w:eastAsia="Calibri"/>
                <w:szCs w:val="22"/>
              </w:rPr>
            </w:pPr>
            <w:r w:rsidRPr="0007766E">
              <w:rPr>
                <w:rFonts w:eastAsia="Calibri"/>
                <w:szCs w:val="22"/>
              </w:rPr>
              <w:t>C.4</w:t>
            </w:r>
          </w:p>
        </w:tc>
        <w:tc>
          <w:tcPr>
            <w:tcW w:w="4224" w:type="pct"/>
            <w:shd w:val="clear" w:color="auto" w:fill="auto"/>
          </w:tcPr>
          <w:p w:rsidR="000944AF" w:rsidRPr="0007766E" w:rsidP="000944AF" w14:paraId="5E64BCFE" w14:textId="77777777">
            <w:pPr>
              <w:rPr>
                <w:rFonts w:eastAsia="Calibri"/>
                <w:szCs w:val="22"/>
              </w:rPr>
            </w:pPr>
            <w:r w:rsidRPr="0007766E">
              <w:rPr>
                <w:rFonts w:eastAsia="Calibri"/>
                <w:szCs w:val="22"/>
              </w:rPr>
              <w:t>Indicate whether this proposal is for an app designed for the Android or the iOS mobile operating system (OS</w:t>
            </w:r>
            <w:r w:rsidRPr="0007766E">
              <w:rPr>
                <w:rFonts w:eastAsia="Calibri"/>
                <w:szCs w:val="22"/>
              </w:rPr>
              <w:t>).  Each OS design requires its own separate proposal. (Architecture Description, p. 8)</w:t>
            </w:r>
          </w:p>
        </w:tc>
      </w:tr>
      <w:tr w14:paraId="5FB7E617" w14:textId="77777777" w:rsidTr="0007766E">
        <w:tblPrEx>
          <w:tblW w:w="5000" w:type="pct"/>
          <w:tblLook w:val="04A0"/>
        </w:tblPrEx>
        <w:tc>
          <w:tcPr>
            <w:tcW w:w="776" w:type="pct"/>
            <w:shd w:val="clear" w:color="auto" w:fill="auto"/>
          </w:tcPr>
          <w:p w:rsidR="000944AF" w:rsidRPr="0007766E" w:rsidP="0007766E" w14:paraId="4EF2BCE2" w14:textId="77777777">
            <w:pPr>
              <w:keepNext/>
              <w:widowControl/>
              <w:rPr>
                <w:rFonts w:eastAsia="Calibri"/>
                <w:szCs w:val="22"/>
              </w:rPr>
            </w:pPr>
            <w:r w:rsidRPr="0007766E">
              <w:rPr>
                <w:rFonts w:eastAsia="Calibri"/>
                <w:szCs w:val="22"/>
              </w:rPr>
              <w:t>C.5</w:t>
            </w:r>
          </w:p>
        </w:tc>
        <w:tc>
          <w:tcPr>
            <w:tcW w:w="4224" w:type="pct"/>
            <w:shd w:val="clear" w:color="auto" w:fill="auto"/>
          </w:tcPr>
          <w:p w:rsidR="000944AF" w:rsidRPr="0007766E" w:rsidP="000944AF" w14:paraId="51450404" w14:textId="77777777">
            <w:pPr>
              <w:rPr>
                <w:rFonts w:eastAsia="Calibri"/>
                <w:szCs w:val="22"/>
              </w:rPr>
            </w:pPr>
            <w:r w:rsidRPr="0007766E">
              <w:rPr>
                <w:rFonts w:eastAsia="Calibri"/>
                <w:szCs w:val="22"/>
              </w:rPr>
              <w:t>Indicate whether the app is available for download. (Architecture Description, p. 8)</w:t>
            </w:r>
          </w:p>
        </w:tc>
      </w:tr>
      <w:tr w14:paraId="7059DA06" w14:textId="77777777" w:rsidTr="0007766E">
        <w:tblPrEx>
          <w:tblW w:w="5000" w:type="pct"/>
          <w:tblLook w:val="04A0"/>
        </w:tblPrEx>
        <w:tc>
          <w:tcPr>
            <w:tcW w:w="776" w:type="pct"/>
            <w:shd w:val="clear" w:color="auto" w:fill="auto"/>
          </w:tcPr>
          <w:p w:rsidR="000944AF" w:rsidRPr="0007766E" w:rsidP="000944AF" w14:paraId="6689E782" w14:textId="77777777">
            <w:pPr>
              <w:rPr>
                <w:rFonts w:eastAsia="Calibri"/>
                <w:szCs w:val="22"/>
              </w:rPr>
            </w:pPr>
            <w:r w:rsidRPr="0007766E">
              <w:rPr>
                <w:rFonts w:eastAsia="Calibri"/>
                <w:szCs w:val="22"/>
              </w:rPr>
              <w:t>C.5.1</w:t>
            </w:r>
          </w:p>
        </w:tc>
        <w:tc>
          <w:tcPr>
            <w:tcW w:w="4224" w:type="pct"/>
            <w:shd w:val="clear" w:color="auto" w:fill="auto"/>
          </w:tcPr>
          <w:p w:rsidR="000944AF" w:rsidRPr="0007766E" w:rsidP="000944AF" w14:paraId="538354D2" w14:textId="77777777">
            <w:pPr>
              <w:rPr>
                <w:rFonts w:eastAsia="Calibri"/>
                <w:szCs w:val="22"/>
              </w:rPr>
            </w:pPr>
            <w:r w:rsidRPr="0007766E">
              <w:rPr>
                <w:rFonts w:eastAsia="Calibri"/>
                <w:szCs w:val="22"/>
              </w:rPr>
              <w:t>If the app is available for download, indicate whether the available version is a production or beta version of the app, and provide access information for FCC staff and the public to download and review the app. Optionally, speed test data and a descripti</w:t>
            </w:r>
            <w:r w:rsidRPr="0007766E">
              <w:rPr>
                <w:rFonts w:eastAsia="Calibri"/>
                <w:szCs w:val="22"/>
              </w:rPr>
              <w:t>on of the test configuration used to capture the speed test measurements may be included. (Architecture Description, p. 8)</w:t>
            </w:r>
          </w:p>
        </w:tc>
      </w:tr>
      <w:tr w14:paraId="6BF13C87" w14:textId="77777777" w:rsidTr="0007766E">
        <w:tblPrEx>
          <w:tblW w:w="5000" w:type="pct"/>
          <w:tblLook w:val="04A0"/>
        </w:tblPrEx>
        <w:tc>
          <w:tcPr>
            <w:tcW w:w="776" w:type="pct"/>
            <w:shd w:val="clear" w:color="auto" w:fill="auto"/>
          </w:tcPr>
          <w:p w:rsidR="000944AF" w:rsidRPr="0007766E" w:rsidP="000944AF" w14:paraId="420DFAEF" w14:textId="77777777">
            <w:pPr>
              <w:rPr>
                <w:rFonts w:eastAsia="Calibri"/>
                <w:szCs w:val="22"/>
              </w:rPr>
            </w:pPr>
            <w:r w:rsidRPr="0007766E">
              <w:rPr>
                <w:rFonts w:eastAsia="Calibri"/>
                <w:szCs w:val="22"/>
              </w:rPr>
              <w:t>C.5.2</w:t>
            </w:r>
          </w:p>
        </w:tc>
        <w:tc>
          <w:tcPr>
            <w:tcW w:w="4224" w:type="pct"/>
            <w:shd w:val="clear" w:color="auto" w:fill="auto"/>
          </w:tcPr>
          <w:p w:rsidR="000944AF" w:rsidRPr="0007766E" w:rsidP="000944AF" w14:paraId="2D608C40" w14:textId="77777777">
            <w:pPr>
              <w:rPr>
                <w:rFonts w:eastAsia="Calibri"/>
                <w:szCs w:val="22"/>
              </w:rPr>
            </w:pPr>
            <w:r w:rsidRPr="0007766E">
              <w:rPr>
                <w:rFonts w:eastAsia="Calibri"/>
                <w:szCs w:val="22"/>
              </w:rPr>
              <w:t>If a working version of the app is not available for download, provide “wireframes” that must depict each screen (user interfa</w:t>
            </w:r>
            <w:r w:rsidRPr="0007766E">
              <w:rPr>
                <w:rFonts w:eastAsia="Calibri"/>
                <w:szCs w:val="22"/>
              </w:rPr>
              <w:t>ce) of the third-party app, and a detailed speed measurement methodology description, along with actual test data results demonstrating compliance with applicable requirements. (Architecture Description, p. 9)</w:t>
            </w:r>
          </w:p>
        </w:tc>
      </w:tr>
      <w:tr w14:paraId="3B34581C" w14:textId="77777777" w:rsidTr="0007766E">
        <w:tblPrEx>
          <w:tblW w:w="5000" w:type="pct"/>
          <w:tblLook w:val="04A0"/>
        </w:tblPrEx>
        <w:tc>
          <w:tcPr>
            <w:tcW w:w="776" w:type="pct"/>
            <w:shd w:val="clear" w:color="auto" w:fill="auto"/>
          </w:tcPr>
          <w:p w:rsidR="000944AF" w:rsidRPr="0007766E" w:rsidP="000944AF" w14:paraId="20ABF99C" w14:textId="77777777">
            <w:pPr>
              <w:rPr>
                <w:rFonts w:eastAsia="Calibri"/>
                <w:szCs w:val="22"/>
              </w:rPr>
            </w:pPr>
            <w:r w:rsidRPr="0007766E">
              <w:rPr>
                <w:rFonts w:eastAsia="Calibri"/>
                <w:szCs w:val="22"/>
              </w:rPr>
              <w:t>C.6</w:t>
            </w:r>
          </w:p>
        </w:tc>
        <w:tc>
          <w:tcPr>
            <w:tcW w:w="4224" w:type="pct"/>
            <w:shd w:val="clear" w:color="auto" w:fill="auto"/>
          </w:tcPr>
          <w:p w:rsidR="000944AF" w:rsidRPr="0007766E" w:rsidP="000944AF" w14:paraId="0093A52D" w14:textId="77777777">
            <w:pPr>
              <w:rPr>
                <w:rFonts w:eastAsia="Calibri"/>
                <w:szCs w:val="22"/>
              </w:rPr>
            </w:pPr>
            <w:r w:rsidRPr="0007766E">
              <w:rPr>
                <w:rFonts w:eastAsia="Calibri"/>
                <w:szCs w:val="22"/>
              </w:rPr>
              <w:t>Indicate whether the app will collect dat</w:t>
            </w:r>
            <w:r w:rsidRPr="0007766E">
              <w:rPr>
                <w:rFonts w:eastAsia="Calibri"/>
                <w:szCs w:val="22"/>
              </w:rPr>
              <w:t>a for the mobile challenge process only, or for both the mobile challenge process and crowdsourcing process. (Architecture Description, p. 9)</w:t>
            </w:r>
          </w:p>
        </w:tc>
      </w:tr>
      <w:bookmarkEnd w:id="3"/>
    </w:tbl>
    <w:p w:rsidR="000944AF" w:rsidRPr="000944AF" w:rsidP="000944AF" w14:paraId="6224FCD1"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8125"/>
      </w:tblGrid>
      <w:tr w14:paraId="6D6800F0"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4003D0A4" w14:textId="77777777">
            <w:pPr>
              <w:jc w:val="center"/>
              <w:rPr>
                <w:rFonts w:eastAsia="Calibri"/>
                <w:b/>
                <w:bCs/>
                <w:szCs w:val="22"/>
              </w:rPr>
            </w:pPr>
            <w:r w:rsidRPr="0007766E">
              <w:rPr>
                <w:rFonts w:eastAsia="Calibri"/>
                <w:b/>
                <w:bCs/>
                <w:szCs w:val="22"/>
              </w:rPr>
              <w:t>Section D. Privacy Notice and End User Consent Requirements</w:t>
            </w:r>
          </w:p>
        </w:tc>
      </w:tr>
      <w:tr w14:paraId="35676017" w14:textId="77777777" w:rsidTr="0007766E">
        <w:tblPrEx>
          <w:tblW w:w="5000" w:type="pct"/>
          <w:tblLook w:val="04A0"/>
        </w:tblPrEx>
        <w:tc>
          <w:tcPr>
            <w:tcW w:w="719" w:type="pct"/>
            <w:shd w:val="clear" w:color="auto" w:fill="auto"/>
            <w:vAlign w:val="center"/>
          </w:tcPr>
          <w:p w:rsidR="000944AF" w:rsidRPr="0007766E" w:rsidP="0007766E" w14:paraId="49F8DD77" w14:textId="77777777">
            <w:pPr>
              <w:spacing w:line="259" w:lineRule="auto"/>
              <w:jc w:val="center"/>
              <w:rPr>
                <w:rFonts w:eastAsia="Calibri"/>
                <w:b/>
                <w:bCs/>
                <w:szCs w:val="22"/>
              </w:rPr>
            </w:pPr>
            <w:r w:rsidRPr="0007766E">
              <w:rPr>
                <w:rFonts w:eastAsia="Calibri"/>
                <w:b/>
                <w:bCs/>
                <w:szCs w:val="22"/>
              </w:rPr>
              <w:t>Requirement ID</w:t>
            </w:r>
          </w:p>
        </w:tc>
        <w:tc>
          <w:tcPr>
            <w:tcW w:w="4281" w:type="pct"/>
            <w:shd w:val="clear" w:color="auto" w:fill="auto"/>
            <w:vAlign w:val="center"/>
          </w:tcPr>
          <w:p w:rsidR="000944AF" w:rsidRPr="0007766E" w:rsidP="0007766E" w14:paraId="6B54F5D2" w14:textId="77777777">
            <w:pPr>
              <w:spacing w:line="259" w:lineRule="auto"/>
              <w:jc w:val="center"/>
              <w:rPr>
                <w:rFonts w:eastAsia="Calibri"/>
                <w:b/>
                <w:bCs/>
                <w:szCs w:val="22"/>
                <w:u w:val="single"/>
              </w:rPr>
            </w:pPr>
            <w:r w:rsidRPr="0007766E">
              <w:rPr>
                <w:rFonts w:eastAsia="Calibri"/>
                <w:b/>
                <w:bCs/>
                <w:szCs w:val="22"/>
              </w:rPr>
              <w:t>Description</w:t>
            </w:r>
          </w:p>
        </w:tc>
      </w:tr>
      <w:tr w14:paraId="64E8D652" w14:textId="77777777" w:rsidTr="0007766E">
        <w:tblPrEx>
          <w:tblW w:w="5000" w:type="pct"/>
          <w:tblLook w:val="04A0"/>
        </w:tblPrEx>
        <w:tc>
          <w:tcPr>
            <w:tcW w:w="719" w:type="pct"/>
            <w:shd w:val="clear" w:color="auto" w:fill="auto"/>
          </w:tcPr>
          <w:p w:rsidR="000944AF" w:rsidRPr="0007766E" w:rsidP="0007766E" w14:paraId="59DE3449" w14:textId="77777777">
            <w:pPr>
              <w:spacing w:line="259" w:lineRule="auto"/>
              <w:rPr>
                <w:rFonts w:eastAsia="Calibri"/>
                <w:szCs w:val="22"/>
              </w:rPr>
            </w:pPr>
            <w:r w:rsidRPr="0007766E">
              <w:rPr>
                <w:rFonts w:eastAsia="Calibri"/>
                <w:szCs w:val="22"/>
              </w:rPr>
              <w:t>D.1</w:t>
            </w:r>
          </w:p>
        </w:tc>
        <w:tc>
          <w:tcPr>
            <w:tcW w:w="4281" w:type="pct"/>
            <w:shd w:val="clear" w:color="auto" w:fill="auto"/>
          </w:tcPr>
          <w:p w:rsidR="000944AF" w:rsidRPr="0007766E" w:rsidP="000944AF" w14:paraId="3C88BDDF" w14:textId="77777777">
            <w:pPr>
              <w:rPr>
                <w:rFonts w:eastAsia="Calibri"/>
                <w:szCs w:val="22"/>
              </w:rPr>
            </w:pPr>
            <w:r w:rsidRPr="0007766E">
              <w:rPr>
                <w:rFonts w:eastAsia="Calibri"/>
                <w:szCs w:val="22"/>
              </w:rPr>
              <w:t>Confirm that the app includes, for both challenge and, if implemented, crowdsource processes, a brief a privacy notice at the point of collection that explains how all of the data collected by the app, including personally identifiable information (PII), w</w:t>
            </w:r>
            <w:r w:rsidRPr="0007766E">
              <w:rPr>
                <w:rFonts w:eastAsia="Calibri"/>
                <w:szCs w:val="22"/>
              </w:rPr>
              <w:t>ill be stored, used, and protected consistent with the minimum requirements set forth in applicable privacy and security policies. (Privacy Notice and End User Consent Requirements, p. 9)</w:t>
            </w:r>
          </w:p>
        </w:tc>
      </w:tr>
      <w:tr w14:paraId="7F9FD130" w14:textId="77777777" w:rsidTr="0007766E">
        <w:tblPrEx>
          <w:tblW w:w="5000" w:type="pct"/>
          <w:tblLook w:val="04A0"/>
        </w:tblPrEx>
        <w:tc>
          <w:tcPr>
            <w:tcW w:w="719" w:type="pct"/>
            <w:shd w:val="clear" w:color="auto" w:fill="auto"/>
          </w:tcPr>
          <w:p w:rsidR="000944AF" w:rsidRPr="0007766E" w:rsidP="0007766E" w14:paraId="5372FE7A" w14:textId="77777777">
            <w:pPr>
              <w:spacing w:line="259" w:lineRule="auto"/>
              <w:rPr>
                <w:rFonts w:eastAsia="Calibri"/>
                <w:szCs w:val="22"/>
              </w:rPr>
            </w:pPr>
            <w:r w:rsidRPr="0007766E">
              <w:rPr>
                <w:rFonts w:eastAsia="Calibri"/>
                <w:szCs w:val="22"/>
              </w:rPr>
              <w:t>D.2</w:t>
            </w:r>
          </w:p>
        </w:tc>
        <w:tc>
          <w:tcPr>
            <w:tcW w:w="4281" w:type="pct"/>
            <w:shd w:val="clear" w:color="auto" w:fill="auto"/>
          </w:tcPr>
          <w:p w:rsidR="000944AF" w:rsidRPr="0007766E" w:rsidP="000944AF" w14:paraId="7D995D5E" w14:textId="77777777">
            <w:pPr>
              <w:rPr>
                <w:rFonts w:eastAsia="Calibri"/>
                <w:szCs w:val="22"/>
              </w:rPr>
            </w:pPr>
            <w:r w:rsidRPr="0007766E">
              <w:rPr>
                <w:rFonts w:eastAsia="Calibri"/>
                <w:szCs w:val="22"/>
              </w:rPr>
              <w:t xml:space="preserve">Confirm that the privacy notice discloses </w:t>
            </w:r>
            <w:r w:rsidRPr="0007766E">
              <w:rPr>
                <w:rFonts w:eastAsia="Calibri"/>
                <w:color w:val="000000"/>
                <w:szCs w:val="22"/>
                <w:lang w:val="en"/>
              </w:rPr>
              <w:t>that the Commission w</w:t>
            </w:r>
            <w:r w:rsidRPr="0007766E">
              <w:rPr>
                <w:rFonts w:eastAsia="Calibri"/>
                <w:color w:val="000000"/>
                <w:szCs w:val="22"/>
                <w:lang w:val="en"/>
              </w:rPr>
              <w:t>ill make public the coordinates (latitude and longitude), the name of the provider, and relevant details concerning the basis for the challenge, but that individual contact information</w:t>
            </w:r>
            <w:r w:rsidRPr="0007766E">
              <w:rPr>
                <w:rFonts w:eastAsia="Calibri"/>
                <w:szCs w:val="22"/>
              </w:rPr>
              <w:t xml:space="preserve"> </w:t>
            </w:r>
            <w:r w:rsidRPr="0007766E">
              <w:rPr>
                <w:rFonts w:eastAsia="Calibri"/>
                <w:color w:val="000000"/>
                <w:szCs w:val="22"/>
                <w:lang w:val="en"/>
              </w:rPr>
              <w:t xml:space="preserve">will not be disclosed. </w:t>
            </w:r>
            <w:r w:rsidRPr="0007766E">
              <w:rPr>
                <w:rFonts w:eastAsia="Calibri"/>
                <w:szCs w:val="22"/>
              </w:rPr>
              <w:t xml:space="preserve">(Privacy Notice and End User Consent </w:t>
            </w:r>
            <w:r w:rsidRPr="0007766E">
              <w:rPr>
                <w:rFonts w:eastAsia="Calibri"/>
                <w:szCs w:val="22"/>
              </w:rPr>
              <w:t>Requirements, p. 9)</w:t>
            </w:r>
          </w:p>
        </w:tc>
      </w:tr>
      <w:tr w14:paraId="773165AF" w14:textId="77777777" w:rsidTr="0007766E">
        <w:tblPrEx>
          <w:tblW w:w="5000" w:type="pct"/>
          <w:tblLook w:val="04A0"/>
        </w:tblPrEx>
        <w:tc>
          <w:tcPr>
            <w:tcW w:w="719" w:type="pct"/>
            <w:shd w:val="clear" w:color="auto" w:fill="auto"/>
          </w:tcPr>
          <w:p w:rsidR="000944AF" w:rsidRPr="0007766E" w:rsidP="000944AF" w14:paraId="312909F6" w14:textId="77777777">
            <w:pPr>
              <w:rPr>
                <w:rFonts w:eastAsia="Calibri"/>
                <w:szCs w:val="22"/>
              </w:rPr>
            </w:pPr>
            <w:r w:rsidRPr="0007766E">
              <w:rPr>
                <w:rFonts w:eastAsia="Calibri"/>
                <w:szCs w:val="22"/>
              </w:rPr>
              <w:t>D.3</w:t>
            </w:r>
          </w:p>
        </w:tc>
        <w:tc>
          <w:tcPr>
            <w:tcW w:w="4281" w:type="pct"/>
            <w:shd w:val="clear" w:color="auto" w:fill="auto"/>
          </w:tcPr>
          <w:p w:rsidR="000944AF" w:rsidRPr="0007766E" w:rsidP="000944AF" w14:paraId="0E6FEF06" w14:textId="77777777">
            <w:pPr>
              <w:rPr>
                <w:rFonts w:eastAsia="Calibri"/>
                <w:szCs w:val="22"/>
              </w:rPr>
            </w:pPr>
            <w:r w:rsidRPr="0007766E">
              <w:rPr>
                <w:rFonts w:eastAsia="Calibri"/>
                <w:szCs w:val="22"/>
              </w:rPr>
              <w:t xml:space="preserve">Describe how the app will obtain required privacy-related consents and </w:t>
            </w:r>
            <w:r w:rsidRPr="0007766E">
              <w:rPr>
                <w:rFonts w:eastAsia="Calibri"/>
                <w:color w:val="000000"/>
                <w:szCs w:val="22"/>
              </w:rPr>
              <w:t>include all necessary opt-in provisions</w:t>
            </w:r>
            <w:r w:rsidRPr="0007766E">
              <w:rPr>
                <w:rFonts w:eastAsia="Calibri"/>
                <w:szCs w:val="22"/>
              </w:rPr>
              <w:t xml:space="preserve">. </w:t>
            </w:r>
            <w:r w:rsidRPr="0007766E">
              <w:rPr>
                <w:rFonts w:eastAsia="Calibri"/>
                <w:szCs w:val="22"/>
              </w:rPr>
              <w:br/>
            </w:r>
            <w:r w:rsidRPr="0007766E">
              <w:rPr>
                <w:rFonts w:eastAsia="Calibri"/>
                <w:i/>
                <w:iCs/>
                <w:szCs w:val="22"/>
              </w:rPr>
              <w:t>These opt-in provisions must include prompts for end users to grant location permissions (for the app to assist in rep</w:t>
            </w:r>
            <w:r w:rsidRPr="0007766E">
              <w:rPr>
                <w:rFonts w:eastAsia="Calibri"/>
                <w:i/>
                <w:iCs/>
                <w:szCs w:val="22"/>
              </w:rPr>
              <w:t>orting geographic coordinates for the start and end of each test metric) and for users to grant their consent to allow their service provider to report customer-specific information to the FCC (such as IP address and service plan details) as necessary to r</w:t>
            </w:r>
            <w:r w:rsidRPr="0007766E">
              <w:rPr>
                <w:rFonts w:eastAsia="Calibri"/>
                <w:i/>
                <w:iCs/>
                <w:szCs w:val="22"/>
              </w:rPr>
              <w:t>espond to challenges</w:t>
            </w:r>
            <w:r w:rsidRPr="0007766E">
              <w:rPr>
                <w:rFonts w:eastAsia="Calibri"/>
                <w:szCs w:val="22"/>
              </w:rPr>
              <w:t>. (Privacy Notice and End User Consent Requirements, p. 9)</w:t>
            </w:r>
          </w:p>
        </w:tc>
      </w:tr>
    </w:tbl>
    <w:p w:rsidR="000944AF" w:rsidRPr="000944AF" w:rsidP="000944AF" w14:paraId="3D16E6BB"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090"/>
      </w:tblGrid>
      <w:tr w14:paraId="02C957E6"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329E6D06" w14:textId="77777777">
            <w:pPr>
              <w:jc w:val="center"/>
              <w:rPr>
                <w:rFonts w:eastAsia="Calibri"/>
                <w:b/>
                <w:bCs/>
                <w:szCs w:val="22"/>
              </w:rPr>
            </w:pPr>
            <w:r w:rsidRPr="0007766E">
              <w:rPr>
                <w:rFonts w:eastAsia="Calibri"/>
                <w:b/>
                <w:bCs/>
                <w:szCs w:val="22"/>
              </w:rPr>
              <w:t>Section E. Certification, Testing Environment, and Display</w:t>
            </w:r>
          </w:p>
        </w:tc>
      </w:tr>
      <w:tr w14:paraId="1B4E44A8" w14:textId="77777777" w:rsidTr="0007766E">
        <w:tblPrEx>
          <w:tblW w:w="5000" w:type="pct"/>
          <w:tblLook w:val="04A0"/>
        </w:tblPrEx>
        <w:tc>
          <w:tcPr>
            <w:tcW w:w="776" w:type="pct"/>
            <w:shd w:val="clear" w:color="auto" w:fill="auto"/>
            <w:vAlign w:val="center"/>
          </w:tcPr>
          <w:p w:rsidR="000944AF" w:rsidRPr="0007766E" w:rsidP="0007766E" w14:paraId="013DC86F" w14:textId="77777777">
            <w:pPr>
              <w:spacing w:line="259" w:lineRule="auto"/>
              <w:jc w:val="center"/>
              <w:rPr>
                <w:rFonts w:eastAsia="Calibri"/>
                <w:b/>
                <w:bCs/>
                <w:szCs w:val="22"/>
              </w:rPr>
            </w:pPr>
            <w:r w:rsidRPr="0007766E">
              <w:rPr>
                <w:rFonts w:eastAsia="Calibri"/>
                <w:b/>
                <w:bCs/>
                <w:szCs w:val="22"/>
              </w:rPr>
              <w:t>Requirement ID</w:t>
            </w:r>
          </w:p>
        </w:tc>
        <w:tc>
          <w:tcPr>
            <w:tcW w:w="4224" w:type="pct"/>
            <w:shd w:val="clear" w:color="auto" w:fill="auto"/>
            <w:vAlign w:val="center"/>
          </w:tcPr>
          <w:p w:rsidR="000944AF" w:rsidRPr="0007766E" w:rsidP="0007766E" w14:paraId="3A3EEE71" w14:textId="77777777">
            <w:pPr>
              <w:spacing w:line="259" w:lineRule="auto"/>
              <w:jc w:val="center"/>
              <w:rPr>
                <w:rFonts w:eastAsia="Calibri"/>
                <w:b/>
                <w:bCs/>
                <w:szCs w:val="22"/>
                <w:u w:val="single"/>
              </w:rPr>
            </w:pPr>
            <w:r w:rsidRPr="0007766E">
              <w:rPr>
                <w:rFonts w:eastAsia="Calibri"/>
                <w:b/>
                <w:bCs/>
                <w:szCs w:val="22"/>
              </w:rPr>
              <w:t>Description</w:t>
            </w:r>
          </w:p>
        </w:tc>
      </w:tr>
      <w:tr w14:paraId="1EBF7388" w14:textId="77777777" w:rsidTr="0007766E">
        <w:tblPrEx>
          <w:tblW w:w="5000" w:type="pct"/>
          <w:tblLook w:val="04A0"/>
        </w:tblPrEx>
        <w:tc>
          <w:tcPr>
            <w:tcW w:w="776" w:type="pct"/>
            <w:shd w:val="clear" w:color="auto" w:fill="auto"/>
          </w:tcPr>
          <w:p w:rsidR="000944AF" w:rsidRPr="0007766E" w:rsidP="0007766E" w14:paraId="24AC9F13" w14:textId="77777777">
            <w:pPr>
              <w:spacing w:line="259" w:lineRule="auto"/>
              <w:rPr>
                <w:rFonts w:eastAsia="Calibri"/>
                <w:szCs w:val="22"/>
              </w:rPr>
            </w:pPr>
            <w:r w:rsidRPr="0007766E">
              <w:rPr>
                <w:rFonts w:eastAsia="Calibri"/>
                <w:szCs w:val="22"/>
              </w:rPr>
              <w:t>E.1</w:t>
            </w:r>
          </w:p>
        </w:tc>
        <w:tc>
          <w:tcPr>
            <w:tcW w:w="4224" w:type="pct"/>
            <w:shd w:val="clear" w:color="auto" w:fill="auto"/>
          </w:tcPr>
          <w:p w:rsidR="000944AF" w:rsidRPr="0007766E" w:rsidP="000944AF" w14:paraId="0D5F5EAB" w14:textId="77777777">
            <w:pPr>
              <w:rPr>
                <w:rFonts w:eastAsia="Calibri"/>
                <w:szCs w:val="22"/>
              </w:rPr>
            </w:pPr>
            <w:r w:rsidRPr="0007766E">
              <w:rPr>
                <w:rFonts w:eastAsia="Calibri"/>
                <w:szCs w:val="22"/>
              </w:rPr>
              <w:t>If the app includes the crowdsourcing capability, describe how the third-party app requires the end user, prior to conducting a speed test, to indicate whether the test is intended for the challenge process or the crowdsourcing process. (Certification, Tes</w:t>
            </w:r>
            <w:r w:rsidRPr="0007766E">
              <w:rPr>
                <w:rFonts w:eastAsia="Calibri"/>
                <w:szCs w:val="22"/>
              </w:rPr>
              <w:t>ting Environment, and Display, p. 10)</w:t>
            </w:r>
          </w:p>
        </w:tc>
      </w:tr>
      <w:tr w14:paraId="60DFC32A" w14:textId="77777777" w:rsidTr="0007766E">
        <w:tblPrEx>
          <w:tblW w:w="5000" w:type="pct"/>
          <w:tblLook w:val="04A0"/>
        </w:tblPrEx>
        <w:tc>
          <w:tcPr>
            <w:tcW w:w="776" w:type="pct"/>
            <w:shd w:val="clear" w:color="auto" w:fill="auto"/>
          </w:tcPr>
          <w:p w:rsidR="000944AF" w:rsidRPr="0007766E" w:rsidP="000944AF" w14:paraId="31BFDEBB" w14:textId="77777777">
            <w:pPr>
              <w:rPr>
                <w:rFonts w:eastAsia="Calibri"/>
                <w:szCs w:val="22"/>
              </w:rPr>
            </w:pPr>
            <w:r w:rsidRPr="0007766E">
              <w:rPr>
                <w:rFonts w:eastAsia="Calibri"/>
                <w:szCs w:val="22"/>
              </w:rPr>
              <w:t>E.2</w:t>
            </w:r>
          </w:p>
        </w:tc>
        <w:tc>
          <w:tcPr>
            <w:tcW w:w="4224" w:type="pct"/>
            <w:shd w:val="clear" w:color="auto" w:fill="auto"/>
          </w:tcPr>
          <w:p w:rsidR="000944AF" w:rsidRPr="0007766E" w:rsidP="000944AF" w14:paraId="28D079DC" w14:textId="77777777">
            <w:pPr>
              <w:rPr>
                <w:rFonts w:eastAsia="Calibri"/>
                <w:szCs w:val="22"/>
              </w:rPr>
            </w:pPr>
            <w:r w:rsidRPr="0007766E">
              <w:rPr>
                <w:rFonts w:eastAsia="Calibri"/>
                <w:szCs w:val="22"/>
              </w:rPr>
              <w:t xml:space="preserve">Confirm that the app requires the end user to certify, prior to conducting a speed test for the challenge process, that the end user is a subscriber or authorized user of the provider being challenged. </w:t>
            </w:r>
            <w:r w:rsidRPr="0007766E">
              <w:rPr>
                <w:rFonts w:eastAsia="Calibri"/>
                <w:szCs w:val="22"/>
              </w:rPr>
              <w:t>(Certification, Testing Environment, and Display, p. 10)</w:t>
            </w:r>
          </w:p>
        </w:tc>
      </w:tr>
      <w:tr w14:paraId="663E6BAD" w14:textId="77777777" w:rsidTr="0007766E">
        <w:tblPrEx>
          <w:tblW w:w="5000" w:type="pct"/>
          <w:tblLook w:val="04A0"/>
        </w:tblPrEx>
        <w:tc>
          <w:tcPr>
            <w:tcW w:w="776" w:type="pct"/>
            <w:shd w:val="clear" w:color="auto" w:fill="auto"/>
          </w:tcPr>
          <w:p w:rsidR="000944AF" w:rsidRPr="0007766E" w:rsidP="000944AF" w14:paraId="034EFEB9" w14:textId="77777777">
            <w:pPr>
              <w:rPr>
                <w:rFonts w:eastAsia="Calibri"/>
                <w:szCs w:val="22"/>
              </w:rPr>
            </w:pPr>
            <w:r w:rsidRPr="0007766E">
              <w:rPr>
                <w:rFonts w:eastAsia="Calibri"/>
                <w:szCs w:val="22"/>
              </w:rPr>
              <w:t>E.3</w:t>
            </w:r>
          </w:p>
        </w:tc>
        <w:tc>
          <w:tcPr>
            <w:tcW w:w="4224" w:type="pct"/>
            <w:shd w:val="clear" w:color="auto" w:fill="auto"/>
          </w:tcPr>
          <w:p w:rsidR="000944AF" w:rsidRPr="0007766E" w:rsidP="000944AF" w14:paraId="088EB83B" w14:textId="77777777">
            <w:pPr>
              <w:rPr>
                <w:rFonts w:eastAsia="Calibri"/>
                <w:szCs w:val="22"/>
              </w:rPr>
            </w:pPr>
            <w:r w:rsidRPr="0007766E">
              <w:rPr>
                <w:rFonts w:eastAsia="Calibri"/>
                <w:szCs w:val="22"/>
              </w:rPr>
              <w:t>Confirm that the app requires the end user to certify, prior to conducting a speed test for the challenge process, that the speed test measurements were taken outdoors. (Certification, Testing E</w:t>
            </w:r>
            <w:r w:rsidRPr="0007766E">
              <w:rPr>
                <w:rFonts w:eastAsia="Calibri"/>
                <w:szCs w:val="22"/>
              </w:rPr>
              <w:t>nvironment, and Display, p. 10)</w:t>
            </w:r>
          </w:p>
        </w:tc>
      </w:tr>
      <w:tr w14:paraId="70ACC40C" w14:textId="77777777" w:rsidTr="0007766E">
        <w:tblPrEx>
          <w:tblW w:w="5000" w:type="pct"/>
          <w:tblLook w:val="04A0"/>
        </w:tblPrEx>
        <w:tc>
          <w:tcPr>
            <w:tcW w:w="776" w:type="pct"/>
            <w:shd w:val="clear" w:color="auto" w:fill="auto"/>
          </w:tcPr>
          <w:p w:rsidR="000944AF" w:rsidRPr="0007766E" w:rsidP="0007766E" w14:paraId="373DF51F" w14:textId="77777777">
            <w:pPr>
              <w:keepNext/>
              <w:widowControl/>
              <w:rPr>
                <w:rFonts w:eastAsia="Calibri"/>
                <w:szCs w:val="22"/>
              </w:rPr>
            </w:pPr>
            <w:r w:rsidRPr="0007766E">
              <w:rPr>
                <w:rFonts w:eastAsia="Calibri"/>
                <w:szCs w:val="22"/>
              </w:rPr>
              <w:t>E.4</w:t>
            </w:r>
          </w:p>
        </w:tc>
        <w:tc>
          <w:tcPr>
            <w:tcW w:w="4224" w:type="pct"/>
            <w:shd w:val="clear" w:color="auto" w:fill="auto"/>
          </w:tcPr>
          <w:p w:rsidR="000944AF" w:rsidRPr="0007766E" w:rsidP="000944AF" w14:paraId="5EF1789B" w14:textId="77777777">
            <w:pPr>
              <w:rPr>
                <w:rFonts w:eastAsia="Calibri"/>
                <w:szCs w:val="22"/>
              </w:rPr>
            </w:pPr>
            <w:r w:rsidRPr="0007766E">
              <w:rPr>
                <w:rFonts w:eastAsia="Calibri"/>
                <w:szCs w:val="22"/>
              </w:rPr>
              <w:t>Confirm that the app requires the end user to certify, prior to conducting a speed test for the challenge process, that to the best of the person’s actual knowledge, information, and belief, the handset and the speed te</w:t>
            </w:r>
            <w:r w:rsidRPr="0007766E">
              <w:rPr>
                <w:rFonts w:eastAsia="Calibri"/>
                <w:szCs w:val="22"/>
              </w:rPr>
              <w:t>st application are in ordinary working order and all statements of fact contained in the submission are true and correct. (Certification, Testing Environment, and Display, p. 10)</w:t>
            </w:r>
          </w:p>
        </w:tc>
      </w:tr>
      <w:tr w14:paraId="377718E5" w14:textId="77777777" w:rsidTr="0007766E">
        <w:tblPrEx>
          <w:tblW w:w="5000" w:type="pct"/>
          <w:tblLook w:val="04A0"/>
        </w:tblPrEx>
        <w:tc>
          <w:tcPr>
            <w:tcW w:w="776" w:type="pct"/>
            <w:shd w:val="clear" w:color="auto" w:fill="auto"/>
          </w:tcPr>
          <w:p w:rsidR="000944AF" w:rsidRPr="0007766E" w:rsidP="000944AF" w14:paraId="2EE9F639" w14:textId="77777777">
            <w:pPr>
              <w:rPr>
                <w:rFonts w:eastAsia="Calibri"/>
                <w:szCs w:val="22"/>
              </w:rPr>
            </w:pPr>
            <w:r w:rsidRPr="0007766E">
              <w:rPr>
                <w:rFonts w:eastAsia="Calibri"/>
                <w:szCs w:val="22"/>
              </w:rPr>
              <w:t>E.5</w:t>
            </w:r>
          </w:p>
        </w:tc>
        <w:tc>
          <w:tcPr>
            <w:tcW w:w="4224" w:type="pct"/>
            <w:shd w:val="clear" w:color="auto" w:fill="auto"/>
          </w:tcPr>
          <w:p w:rsidR="000944AF" w:rsidRPr="0007766E" w:rsidP="000944AF" w14:paraId="6097B7E8" w14:textId="77777777">
            <w:pPr>
              <w:rPr>
                <w:rFonts w:eastAsia="Calibri"/>
                <w:szCs w:val="22"/>
              </w:rPr>
            </w:pPr>
            <w:r w:rsidRPr="0007766E">
              <w:rPr>
                <w:rFonts w:eastAsia="Calibri"/>
                <w:szCs w:val="22"/>
              </w:rPr>
              <w:t>Describe how the app is designed and configured to ensure that the end u</w:t>
            </w:r>
            <w:r w:rsidRPr="0007766E">
              <w:rPr>
                <w:rFonts w:eastAsia="Calibri"/>
                <w:szCs w:val="22"/>
              </w:rPr>
              <w:t xml:space="preserve">ser can certify the challenge data submission requirements </w:t>
            </w:r>
            <w:r w:rsidRPr="0007766E">
              <w:rPr>
                <w:rFonts w:eastAsia="Calibri"/>
                <w:i/>
                <w:szCs w:val="22"/>
              </w:rPr>
              <w:t>prior to</w:t>
            </w:r>
            <w:r w:rsidRPr="0007766E">
              <w:rPr>
                <w:rFonts w:eastAsia="Calibri"/>
                <w:szCs w:val="22"/>
              </w:rPr>
              <w:t xml:space="preserve"> initiating the network performance test sequence and, once the test sequence is initiated, that all test results are automatically submitted to avoid potential biases in the challenge proc</w:t>
            </w:r>
            <w:r w:rsidRPr="0007766E">
              <w:rPr>
                <w:rFonts w:eastAsia="Calibri"/>
                <w:szCs w:val="22"/>
              </w:rPr>
              <w:t>ess data. (Certification, Testing Environment, and Display, p. 10)</w:t>
            </w:r>
          </w:p>
        </w:tc>
      </w:tr>
      <w:tr w14:paraId="15C900C0" w14:textId="77777777" w:rsidTr="0007766E">
        <w:tblPrEx>
          <w:tblW w:w="5000" w:type="pct"/>
          <w:tblLook w:val="04A0"/>
        </w:tblPrEx>
        <w:tc>
          <w:tcPr>
            <w:tcW w:w="776" w:type="pct"/>
            <w:shd w:val="clear" w:color="auto" w:fill="auto"/>
          </w:tcPr>
          <w:p w:rsidR="000944AF" w:rsidRPr="0007766E" w:rsidP="000944AF" w14:paraId="6F02EC52" w14:textId="77777777">
            <w:pPr>
              <w:rPr>
                <w:rFonts w:eastAsia="Calibri"/>
                <w:szCs w:val="22"/>
              </w:rPr>
            </w:pPr>
            <w:r w:rsidRPr="0007766E">
              <w:rPr>
                <w:rFonts w:eastAsia="Calibri"/>
                <w:szCs w:val="22"/>
              </w:rPr>
              <w:t>E.6</w:t>
            </w:r>
          </w:p>
        </w:tc>
        <w:tc>
          <w:tcPr>
            <w:tcW w:w="4224" w:type="pct"/>
            <w:shd w:val="clear" w:color="auto" w:fill="auto"/>
          </w:tcPr>
          <w:p w:rsidR="000944AF" w:rsidRPr="0007766E" w:rsidP="000944AF" w14:paraId="5E30EB8A" w14:textId="77777777">
            <w:pPr>
              <w:rPr>
                <w:rFonts w:eastAsia="Calibri"/>
                <w:szCs w:val="22"/>
              </w:rPr>
            </w:pPr>
            <w:r w:rsidRPr="0007766E">
              <w:rPr>
                <w:rFonts w:eastAsia="Calibri"/>
                <w:szCs w:val="22"/>
              </w:rPr>
              <w:t xml:space="preserve">Confirm that the app requires the end user to certify, prior to conducting a speed test for the crowdsource process, that to the best of the filer’s actual knowledge, </w:t>
            </w:r>
            <w:r w:rsidRPr="0007766E">
              <w:rPr>
                <w:rFonts w:eastAsia="Calibri"/>
                <w:szCs w:val="22"/>
              </w:rPr>
              <w:t>information, and belief, all statements in the filing are true and correct. (Certification, Testing Environment, and Display, p. 10)</w:t>
            </w:r>
          </w:p>
        </w:tc>
      </w:tr>
      <w:tr w14:paraId="31530C37" w14:textId="77777777" w:rsidTr="0007766E">
        <w:tblPrEx>
          <w:tblW w:w="5000" w:type="pct"/>
          <w:tblLook w:val="04A0"/>
        </w:tblPrEx>
        <w:tc>
          <w:tcPr>
            <w:tcW w:w="776" w:type="pct"/>
            <w:shd w:val="clear" w:color="auto" w:fill="auto"/>
          </w:tcPr>
          <w:p w:rsidR="000944AF" w:rsidRPr="0007766E" w:rsidP="0007766E" w14:paraId="5B2E83A4" w14:textId="77777777">
            <w:pPr>
              <w:spacing w:line="259" w:lineRule="auto"/>
              <w:rPr>
                <w:rFonts w:eastAsia="Calibri"/>
                <w:szCs w:val="22"/>
              </w:rPr>
            </w:pPr>
            <w:r w:rsidRPr="0007766E">
              <w:rPr>
                <w:rFonts w:eastAsia="Calibri"/>
                <w:szCs w:val="22"/>
              </w:rPr>
              <w:t>E.7</w:t>
            </w:r>
          </w:p>
        </w:tc>
        <w:tc>
          <w:tcPr>
            <w:tcW w:w="4224" w:type="pct"/>
            <w:shd w:val="clear" w:color="auto" w:fill="auto"/>
          </w:tcPr>
          <w:p w:rsidR="000944AF" w:rsidRPr="0007766E" w:rsidP="0007766E" w14:paraId="227D05C5" w14:textId="77777777">
            <w:pPr>
              <w:spacing w:line="259" w:lineRule="auto"/>
              <w:rPr>
                <w:rFonts w:eastAsia="Calibri"/>
                <w:szCs w:val="22"/>
              </w:rPr>
            </w:pPr>
            <w:r w:rsidRPr="0007766E">
              <w:rPr>
                <w:rFonts w:eastAsia="Calibri"/>
                <w:szCs w:val="22"/>
              </w:rPr>
              <w:t xml:space="preserve">Confirm that the app requires end users to indicate whether the test was taken in an in-vehicle mobile environment or </w:t>
            </w:r>
            <w:r w:rsidRPr="0007766E">
              <w:rPr>
                <w:rFonts w:eastAsia="Calibri"/>
                <w:szCs w:val="22"/>
              </w:rPr>
              <w:t>an outdoor, pedestrian stationary environment. (Certification, Testing Environment, and Display, p. 11)</w:t>
            </w:r>
          </w:p>
        </w:tc>
      </w:tr>
      <w:tr w14:paraId="575B1BB2" w14:textId="77777777" w:rsidTr="0007766E">
        <w:tblPrEx>
          <w:tblW w:w="5000" w:type="pct"/>
          <w:tblLook w:val="04A0"/>
        </w:tblPrEx>
        <w:tc>
          <w:tcPr>
            <w:tcW w:w="776" w:type="pct"/>
            <w:shd w:val="clear" w:color="auto" w:fill="auto"/>
          </w:tcPr>
          <w:p w:rsidR="000944AF" w:rsidRPr="0007766E" w:rsidP="000944AF" w14:paraId="5A0875EB" w14:textId="77777777">
            <w:pPr>
              <w:rPr>
                <w:rFonts w:eastAsia="Calibri"/>
                <w:szCs w:val="22"/>
              </w:rPr>
            </w:pPr>
            <w:r w:rsidRPr="0007766E">
              <w:rPr>
                <w:rFonts w:eastAsia="Calibri"/>
                <w:szCs w:val="22"/>
              </w:rPr>
              <w:t>E.8</w:t>
            </w:r>
          </w:p>
        </w:tc>
        <w:tc>
          <w:tcPr>
            <w:tcW w:w="4224" w:type="pct"/>
            <w:shd w:val="clear" w:color="auto" w:fill="auto"/>
          </w:tcPr>
          <w:p w:rsidR="000944AF" w:rsidRPr="0007766E" w:rsidP="000944AF" w14:paraId="11A08D58" w14:textId="77777777">
            <w:pPr>
              <w:rPr>
                <w:rFonts w:eastAsia="Calibri"/>
                <w:szCs w:val="22"/>
              </w:rPr>
            </w:pPr>
            <w:r w:rsidRPr="0007766E">
              <w:rPr>
                <w:rFonts w:eastAsia="Calibri"/>
                <w:szCs w:val="22"/>
              </w:rPr>
              <w:t xml:space="preserve">For in-vehicle tests, describe how the app will capture and report the speed the vehicle was traveling when the test was taken, where </w:t>
            </w:r>
            <w:r w:rsidRPr="0007766E">
              <w:rPr>
                <w:rFonts w:eastAsia="Calibri"/>
                <w:szCs w:val="22"/>
              </w:rPr>
              <w:t>available, and the speed accuracy of measured velocity for each location measurement. (Certification, Testing Environment, and Display, p. 11)</w:t>
            </w:r>
          </w:p>
        </w:tc>
      </w:tr>
      <w:tr w14:paraId="6228B7CC" w14:textId="77777777" w:rsidTr="0007766E">
        <w:tblPrEx>
          <w:tblW w:w="5000" w:type="pct"/>
          <w:tblLook w:val="04A0"/>
        </w:tblPrEx>
        <w:tc>
          <w:tcPr>
            <w:tcW w:w="776" w:type="pct"/>
            <w:shd w:val="clear" w:color="auto" w:fill="auto"/>
          </w:tcPr>
          <w:p w:rsidR="000944AF" w:rsidRPr="0007766E" w:rsidP="000944AF" w14:paraId="5D425461" w14:textId="77777777">
            <w:pPr>
              <w:rPr>
                <w:rFonts w:eastAsia="Calibri"/>
                <w:szCs w:val="22"/>
              </w:rPr>
            </w:pPr>
            <w:r w:rsidRPr="0007766E">
              <w:rPr>
                <w:rFonts w:eastAsia="Calibri"/>
                <w:szCs w:val="22"/>
              </w:rPr>
              <w:t>E.9</w:t>
            </w:r>
          </w:p>
        </w:tc>
        <w:tc>
          <w:tcPr>
            <w:tcW w:w="4224" w:type="pct"/>
            <w:shd w:val="clear" w:color="auto" w:fill="auto"/>
          </w:tcPr>
          <w:p w:rsidR="000944AF" w:rsidRPr="0007766E" w:rsidP="000944AF" w14:paraId="54ABE979" w14:textId="77777777">
            <w:pPr>
              <w:rPr>
                <w:rFonts w:eastAsia="Calibri"/>
                <w:szCs w:val="22"/>
              </w:rPr>
            </w:pPr>
            <w:r w:rsidRPr="0007766E">
              <w:rPr>
                <w:rFonts w:eastAsia="Calibri"/>
                <w:szCs w:val="22"/>
              </w:rPr>
              <w:t>Indicate whether the app displays all of the following information to an end user at the end of each test: d</w:t>
            </w:r>
            <w:r w:rsidRPr="0007766E">
              <w:rPr>
                <w:rFonts w:eastAsia="Calibri"/>
                <w:szCs w:val="22"/>
              </w:rPr>
              <w:t>ownload speed, upload speed, latency, date and time at which the test submission data were transmitted to the app’s servers, the network technology used (e.g., 3G, 4G, or 5G), the service provider that the end user used, and an indication of whether the te</w:t>
            </w:r>
            <w:r w:rsidRPr="0007766E">
              <w:rPr>
                <w:rFonts w:eastAsia="Calibri"/>
                <w:szCs w:val="22"/>
              </w:rPr>
              <w:t>st was taken on a home network or performed while roaming. (Certification, Testing Environment, and Display, p. 11)</w:t>
            </w:r>
          </w:p>
        </w:tc>
      </w:tr>
      <w:tr w14:paraId="0B3FEDD6" w14:textId="77777777" w:rsidTr="0007766E">
        <w:tblPrEx>
          <w:tblW w:w="5000" w:type="pct"/>
          <w:tblLook w:val="04A0"/>
        </w:tblPrEx>
        <w:tc>
          <w:tcPr>
            <w:tcW w:w="776" w:type="pct"/>
            <w:shd w:val="clear" w:color="auto" w:fill="auto"/>
          </w:tcPr>
          <w:p w:rsidR="000944AF" w:rsidRPr="0007766E" w:rsidP="000944AF" w14:paraId="4F1FFC14" w14:textId="77777777">
            <w:pPr>
              <w:rPr>
                <w:rFonts w:eastAsia="Calibri"/>
                <w:szCs w:val="22"/>
              </w:rPr>
            </w:pPr>
            <w:r w:rsidRPr="0007766E">
              <w:rPr>
                <w:rFonts w:eastAsia="Calibri"/>
                <w:szCs w:val="22"/>
              </w:rPr>
              <w:t>E.10</w:t>
            </w:r>
          </w:p>
        </w:tc>
        <w:tc>
          <w:tcPr>
            <w:tcW w:w="4224" w:type="pct"/>
            <w:shd w:val="clear" w:color="auto" w:fill="auto"/>
          </w:tcPr>
          <w:p w:rsidR="000944AF" w:rsidRPr="0007766E" w:rsidP="000944AF" w14:paraId="1916657B" w14:textId="77777777">
            <w:pPr>
              <w:rPr>
                <w:rFonts w:eastAsia="Calibri"/>
                <w:szCs w:val="22"/>
                <w:lang w:val="en-GB"/>
              </w:rPr>
            </w:pPr>
            <w:r w:rsidRPr="0007766E">
              <w:rPr>
                <w:rFonts w:eastAsia="Calibri"/>
                <w:szCs w:val="22"/>
                <w:lang w:val="en-GB"/>
              </w:rPr>
              <w:t xml:space="preserve">Confirm if any metric listed in E.9 fails to be collected (e.g., connection with mobile network is not established), indicate whether </w:t>
            </w:r>
            <w:r w:rsidRPr="0007766E">
              <w:rPr>
                <w:rFonts w:eastAsia="Calibri"/>
                <w:szCs w:val="22"/>
                <w:lang w:val="en-GB"/>
              </w:rPr>
              <w:t xml:space="preserve">the third-party app displays “-” instead of “0” (or other values). </w:t>
            </w:r>
            <w:r w:rsidRPr="0007766E">
              <w:rPr>
                <w:rFonts w:eastAsia="Calibri"/>
                <w:szCs w:val="22"/>
              </w:rPr>
              <w:t>(Certification, Testing Environment, and Display, p. 11)</w:t>
            </w:r>
          </w:p>
        </w:tc>
      </w:tr>
    </w:tbl>
    <w:p w:rsidR="000944AF" w:rsidRPr="000944AF" w:rsidP="000944AF" w14:paraId="2E93EF87"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8107"/>
      </w:tblGrid>
      <w:tr w14:paraId="784EEB95"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7C58DE23" w14:textId="77777777">
            <w:pPr>
              <w:jc w:val="center"/>
              <w:rPr>
                <w:rFonts w:eastAsia="Calibri"/>
                <w:b/>
                <w:bCs/>
                <w:szCs w:val="22"/>
              </w:rPr>
            </w:pPr>
            <w:r w:rsidRPr="0007766E">
              <w:rPr>
                <w:rFonts w:eastAsia="Calibri"/>
                <w:b/>
                <w:bCs/>
                <w:szCs w:val="22"/>
              </w:rPr>
              <w:t>Section F. Test Servers</w:t>
            </w:r>
          </w:p>
        </w:tc>
      </w:tr>
      <w:tr w14:paraId="29CB0E1C" w14:textId="77777777" w:rsidTr="0007766E">
        <w:tblPrEx>
          <w:tblW w:w="5000" w:type="pct"/>
          <w:tblLook w:val="04A0"/>
        </w:tblPrEx>
        <w:tc>
          <w:tcPr>
            <w:tcW w:w="767" w:type="pct"/>
            <w:shd w:val="clear" w:color="auto" w:fill="auto"/>
            <w:vAlign w:val="center"/>
          </w:tcPr>
          <w:p w:rsidR="000944AF" w:rsidRPr="0007766E" w:rsidP="0007766E" w14:paraId="06B0B189" w14:textId="77777777">
            <w:pPr>
              <w:spacing w:line="259" w:lineRule="auto"/>
              <w:jc w:val="center"/>
              <w:rPr>
                <w:rFonts w:eastAsia="Calibri"/>
                <w:b/>
                <w:bCs/>
                <w:szCs w:val="22"/>
              </w:rPr>
            </w:pPr>
            <w:r w:rsidRPr="0007766E">
              <w:rPr>
                <w:rFonts w:eastAsia="Calibri"/>
                <w:b/>
                <w:bCs/>
                <w:szCs w:val="22"/>
              </w:rPr>
              <w:t>Requirement ID</w:t>
            </w:r>
          </w:p>
        </w:tc>
        <w:tc>
          <w:tcPr>
            <w:tcW w:w="4233" w:type="pct"/>
            <w:shd w:val="clear" w:color="auto" w:fill="auto"/>
            <w:vAlign w:val="center"/>
          </w:tcPr>
          <w:p w:rsidR="000944AF" w:rsidRPr="0007766E" w:rsidP="0007766E" w14:paraId="439798BB" w14:textId="77777777">
            <w:pPr>
              <w:spacing w:line="259" w:lineRule="auto"/>
              <w:jc w:val="center"/>
              <w:rPr>
                <w:rFonts w:eastAsia="Calibri"/>
                <w:b/>
                <w:bCs/>
                <w:szCs w:val="22"/>
              </w:rPr>
            </w:pPr>
            <w:r w:rsidRPr="0007766E">
              <w:rPr>
                <w:rFonts w:eastAsia="Calibri"/>
                <w:b/>
                <w:bCs/>
                <w:szCs w:val="22"/>
              </w:rPr>
              <w:t>Description</w:t>
            </w:r>
          </w:p>
        </w:tc>
      </w:tr>
      <w:tr w14:paraId="0874F850" w14:textId="77777777" w:rsidTr="0007766E">
        <w:tblPrEx>
          <w:tblW w:w="5000" w:type="pct"/>
          <w:tblLook w:val="04A0"/>
        </w:tblPrEx>
        <w:tc>
          <w:tcPr>
            <w:tcW w:w="767" w:type="pct"/>
            <w:shd w:val="clear" w:color="auto" w:fill="auto"/>
          </w:tcPr>
          <w:p w:rsidR="000944AF" w:rsidRPr="0007766E" w:rsidP="0007766E" w14:paraId="6DE90948" w14:textId="77777777">
            <w:pPr>
              <w:spacing w:line="259" w:lineRule="auto"/>
              <w:rPr>
                <w:rFonts w:eastAsia="Calibri"/>
                <w:szCs w:val="22"/>
              </w:rPr>
            </w:pPr>
            <w:r w:rsidRPr="0007766E">
              <w:rPr>
                <w:rFonts w:eastAsia="Calibri"/>
                <w:szCs w:val="22"/>
              </w:rPr>
              <w:t>F.1</w:t>
            </w:r>
          </w:p>
        </w:tc>
        <w:tc>
          <w:tcPr>
            <w:tcW w:w="4233" w:type="pct"/>
            <w:shd w:val="clear" w:color="auto" w:fill="auto"/>
          </w:tcPr>
          <w:p w:rsidR="000944AF" w:rsidRPr="0007766E" w:rsidP="0007766E" w14:paraId="20160971" w14:textId="77777777">
            <w:pPr>
              <w:spacing w:line="259" w:lineRule="auto"/>
              <w:rPr>
                <w:rFonts w:eastAsia="Calibri"/>
                <w:szCs w:val="22"/>
              </w:rPr>
            </w:pPr>
            <w:r w:rsidRPr="0007766E">
              <w:rPr>
                <w:rFonts w:eastAsia="Calibri"/>
                <w:szCs w:val="22"/>
              </w:rPr>
              <w:t>Describe in detail how the third-party app will collect data using a set of geographically distributed measurement servers that are statistically sound proportional to the user base and minimize the impact of latency for each test. (Test Servers, p. 11)</w:t>
            </w:r>
          </w:p>
        </w:tc>
      </w:tr>
      <w:tr w14:paraId="606266A8" w14:textId="77777777" w:rsidTr="0007766E">
        <w:tblPrEx>
          <w:tblW w:w="5000" w:type="pct"/>
          <w:tblLook w:val="04A0"/>
        </w:tblPrEx>
        <w:tc>
          <w:tcPr>
            <w:tcW w:w="767" w:type="pct"/>
            <w:shd w:val="clear" w:color="auto" w:fill="auto"/>
          </w:tcPr>
          <w:p w:rsidR="000944AF" w:rsidRPr="0007766E" w:rsidP="000944AF" w14:paraId="0A66DAC0" w14:textId="77777777">
            <w:pPr>
              <w:rPr>
                <w:rFonts w:eastAsia="Calibri"/>
                <w:szCs w:val="22"/>
              </w:rPr>
            </w:pPr>
            <w:r w:rsidRPr="0007766E">
              <w:rPr>
                <w:rFonts w:eastAsia="Calibri"/>
                <w:szCs w:val="22"/>
              </w:rPr>
              <w:t>F</w:t>
            </w:r>
            <w:r w:rsidRPr="0007766E">
              <w:rPr>
                <w:rFonts w:eastAsia="Calibri"/>
                <w:szCs w:val="22"/>
              </w:rPr>
              <w:t>.2</w:t>
            </w:r>
          </w:p>
        </w:tc>
        <w:tc>
          <w:tcPr>
            <w:tcW w:w="4233" w:type="pct"/>
            <w:shd w:val="clear" w:color="auto" w:fill="auto"/>
          </w:tcPr>
          <w:p w:rsidR="000944AF" w:rsidRPr="0007766E" w:rsidP="000944AF" w14:paraId="26E2A861" w14:textId="77777777">
            <w:pPr>
              <w:rPr>
                <w:rFonts w:eastAsia="Calibri"/>
                <w:szCs w:val="22"/>
              </w:rPr>
            </w:pPr>
            <w:r w:rsidRPr="0007766E">
              <w:rPr>
                <w:rFonts w:eastAsia="Calibri"/>
                <w:szCs w:val="22"/>
              </w:rPr>
              <w:t>Describe how the third-party app will report the location of the test servers (e.g., hostname or IP address) to the Commission. (Test Servers, p. 12)</w:t>
            </w:r>
          </w:p>
        </w:tc>
      </w:tr>
      <w:tr w14:paraId="0AA67708" w14:textId="77777777" w:rsidTr="0007766E">
        <w:tblPrEx>
          <w:tblW w:w="5000" w:type="pct"/>
          <w:tblLook w:val="04A0"/>
        </w:tblPrEx>
        <w:tc>
          <w:tcPr>
            <w:tcW w:w="767" w:type="pct"/>
            <w:shd w:val="clear" w:color="auto" w:fill="auto"/>
          </w:tcPr>
          <w:p w:rsidR="000944AF" w:rsidRPr="0007766E" w:rsidP="0007766E" w14:paraId="3A091792" w14:textId="77777777">
            <w:pPr>
              <w:spacing w:line="259" w:lineRule="auto"/>
              <w:rPr>
                <w:rFonts w:eastAsia="Calibri"/>
                <w:szCs w:val="22"/>
              </w:rPr>
            </w:pPr>
            <w:r w:rsidRPr="0007766E">
              <w:rPr>
                <w:rFonts w:eastAsia="Calibri"/>
                <w:szCs w:val="22"/>
              </w:rPr>
              <w:t>F.3</w:t>
            </w:r>
          </w:p>
        </w:tc>
        <w:tc>
          <w:tcPr>
            <w:tcW w:w="4233" w:type="pct"/>
            <w:shd w:val="clear" w:color="auto" w:fill="auto"/>
          </w:tcPr>
          <w:p w:rsidR="000944AF" w:rsidRPr="0007766E" w:rsidP="0007766E" w14:paraId="09D9FC08" w14:textId="77777777">
            <w:pPr>
              <w:spacing w:line="259" w:lineRule="auto"/>
              <w:rPr>
                <w:rFonts w:eastAsia="Calibri"/>
                <w:szCs w:val="22"/>
              </w:rPr>
            </w:pPr>
            <w:r w:rsidRPr="0007766E">
              <w:rPr>
                <w:rFonts w:eastAsia="Calibri"/>
                <w:szCs w:val="22"/>
              </w:rPr>
              <w:t>Describe the third-party app developer’s plan for establishing initial measurement server capacity</w:t>
            </w:r>
            <w:r w:rsidRPr="0007766E">
              <w:rPr>
                <w:rFonts w:eastAsia="Calibri"/>
                <w:szCs w:val="22"/>
              </w:rPr>
              <w:t>. (Test Servers, p. 12)</w:t>
            </w:r>
          </w:p>
        </w:tc>
      </w:tr>
      <w:tr w14:paraId="400B7416" w14:textId="77777777" w:rsidTr="0007766E">
        <w:tblPrEx>
          <w:tblW w:w="5000" w:type="pct"/>
          <w:tblLook w:val="04A0"/>
        </w:tblPrEx>
        <w:tc>
          <w:tcPr>
            <w:tcW w:w="767" w:type="pct"/>
            <w:shd w:val="clear" w:color="auto" w:fill="auto"/>
          </w:tcPr>
          <w:p w:rsidR="000944AF" w:rsidRPr="0007766E" w:rsidP="000944AF" w14:paraId="2F312342" w14:textId="77777777">
            <w:pPr>
              <w:rPr>
                <w:rFonts w:eastAsia="Calibri"/>
                <w:szCs w:val="22"/>
              </w:rPr>
            </w:pPr>
            <w:r w:rsidRPr="0007766E">
              <w:rPr>
                <w:rFonts w:eastAsia="Calibri"/>
                <w:szCs w:val="22"/>
              </w:rPr>
              <w:t>F.4</w:t>
            </w:r>
          </w:p>
        </w:tc>
        <w:tc>
          <w:tcPr>
            <w:tcW w:w="4233" w:type="pct"/>
            <w:shd w:val="clear" w:color="auto" w:fill="auto"/>
          </w:tcPr>
          <w:p w:rsidR="000944AF" w:rsidRPr="0007766E" w:rsidP="000944AF" w14:paraId="0B225B0B" w14:textId="77777777">
            <w:pPr>
              <w:rPr>
                <w:rFonts w:eastAsia="Calibri"/>
                <w:szCs w:val="22"/>
              </w:rPr>
            </w:pPr>
            <w:r w:rsidRPr="0007766E">
              <w:rPr>
                <w:rFonts w:eastAsia="Calibri"/>
                <w:szCs w:val="22"/>
              </w:rPr>
              <w:t>Describe how the third-party app developer will monitor the health and quality of the measurement infrastructure and the collected data, including how the third-party app developer will maintain test servers so their operationa</w:t>
            </w:r>
            <w:r w:rsidRPr="0007766E">
              <w:rPr>
                <w:rFonts w:eastAsia="Calibri"/>
                <w:szCs w:val="22"/>
              </w:rPr>
              <w:t>l capacity is not exceeded. (Test Servers, p. 12)</w:t>
            </w:r>
          </w:p>
        </w:tc>
      </w:tr>
      <w:tr w14:paraId="46F45D64" w14:textId="77777777" w:rsidTr="0007766E">
        <w:tblPrEx>
          <w:tblW w:w="5000" w:type="pct"/>
          <w:tblLook w:val="04A0"/>
        </w:tblPrEx>
        <w:tc>
          <w:tcPr>
            <w:tcW w:w="767" w:type="pct"/>
            <w:shd w:val="clear" w:color="auto" w:fill="auto"/>
          </w:tcPr>
          <w:p w:rsidR="000944AF" w:rsidRPr="0007766E" w:rsidP="000944AF" w14:paraId="12714796" w14:textId="77777777">
            <w:pPr>
              <w:rPr>
                <w:rFonts w:eastAsia="Calibri"/>
                <w:szCs w:val="22"/>
              </w:rPr>
            </w:pPr>
            <w:r w:rsidRPr="0007766E">
              <w:rPr>
                <w:rFonts w:eastAsia="Calibri"/>
                <w:szCs w:val="22"/>
              </w:rPr>
              <w:t>F.5</w:t>
            </w:r>
          </w:p>
        </w:tc>
        <w:tc>
          <w:tcPr>
            <w:tcW w:w="4233" w:type="pct"/>
            <w:shd w:val="clear" w:color="auto" w:fill="auto"/>
          </w:tcPr>
          <w:p w:rsidR="000944AF" w:rsidRPr="0007766E" w:rsidP="000944AF" w14:paraId="1ED405EF" w14:textId="77777777">
            <w:pPr>
              <w:rPr>
                <w:rFonts w:eastAsia="Calibri"/>
                <w:szCs w:val="22"/>
              </w:rPr>
            </w:pPr>
            <w:r w:rsidRPr="0007766E">
              <w:rPr>
                <w:rFonts w:eastAsia="Calibri"/>
                <w:szCs w:val="22"/>
              </w:rPr>
              <w:t>Describe how the third-party app developer will establish capacity-upgrade thresholds for the third-party app developer’s servers. (Test Servers, p. 12)</w:t>
            </w:r>
          </w:p>
        </w:tc>
      </w:tr>
      <w:tr w14:paraId="6A3FE400" w14:textId="77777777" w:rsidTr="0007766E">
        <w:tblPrEx>
          <w:tblW w:w="5000" w:type="pct"/>
          <w:tblLook w:val="04A0"/>
        </w:tblPrEx>
        <w:tc>
          <w:tcPr>
            <w:tcW w:w="767" w:type="pct"/>
            <w:shd w:val="clear" w:color="auto" w:fill="auto"/>
          </w:tcPr>
          <w:p w:rsidR="000944AF" w:rsidRPr="0007766E" w:rsidP="000944AF" w14:paraId="27AFAEAE" w14:textId="77777777">
            <w:pPr>
              <w:rPr>
                <w:rFonts w:eastAsia="Calibri"/>
                <w:szCs w:val="22"/>
              </w:rPr>
            </w:pPr>
            <w:r w:rsidRPr="0007766E">
              <w:rPr>
                <w:rFonts w:eastAsia="Calibri"/>
                <w:szCs w:val="22"/>
              </w:rPr>
              <w:t>F.6</w:t>
            </w:r>
          </w:p>
        </w:tc>
        <w:tc>
          <w:tcPr>
            <w:tcW w:w="4233" w:type="pct"/>
            <w:shd w:val="clear" w:color="auto" w:fill="auto"/>
          </w:tcPr>
          <w:p w:rsidR="000944AF" w:rsidRPr="0007766E" w:rsidP="000944AF" w14:paraId="19CD0B86" w14:textId="77777777">
            <w:pPr>
              <w:rPr>
                <w:rFonts w:eastAsia="Calibri"/>
                <w:szCs w:val="22"/>
              </w:rPr>
            </w:pPr>
            <w:r w:rsidRPr="0007766E">
              <w:rPr>
                <w:rFonts w:eastAsia="Calibri"/>
                <w:szCs w:val="22"/>
              </w:rPr>
              <w:t xml:space="preserve">Describe how the third-party app developer will monitor the system for server failures. (Test </w:t>
            </w:r>
            <w:r w:rsidRPr="0007766E">
              <w:rPr>
                <w:rFonts w:eastAsia="Calibri"/>
                <w:szCs w:val="22"/>
              </w:rPr>
              <w:t>Servers, p. 12)</w:t>
            </w:r>
          </w:p>
        </w:tc>
      </w:tr>
      <w:tr w14:paraId="38BFFD72" w14:textId="77777777" w:rsidTr="0007766E">
        <w:tblPrEx>
          <w:tblW w:w="5000" w:type="pct"/>
          <w:tblLook w:val="04A0"/>
        </w:tblPrEx>
        <w:tc>
          <w:tcPr>
            <w:tcW w:w="767" w:type="pct"/>
            <w:shd w:val="clear" w:color="auto" w:fill="auto"/>
          </w:tcPr>
          <w:p w:rsidR="000944AF" w:rsidRPr="0007766E" w:rsidP="000944AF" w14:paraId="301AC96A" w14:textId="77777777">
            <w:pPr>
              <w:rPr>
                <w:rFonts w:eastAsia="Calibri"/>
                <w:szCs w:val="22"/>
              </w:rPr>
            </w:pPr>
            <w:r w:rsidRPr="0007766E">
              <w:rPr>
                <w:rFonts w:eastAsia="Calibri"/>
                <w:szCs w:val="22"/>
              </w:rPr>
              <w:t>F.7</w:t>
            </w:r>
          </w:p>
        </w:tc>
        <w:tc>
          <w:tcPr>
            <w:tcW w:w="4233" w:type="pct"/>
            <w:shd w:val="clear" w:color="auto" w:fill="auto"/>
          </w:tcPr>
          <w:p w:rsidR="000944AF" w:rsidRPr="0007766E" w:rsidP="000944AF" w14:paraId="0EADB330" w14:textId="77777777">
            <w:pPr>
              <w:rPr>
                <w:rFonts w:eastAsia="Calibri"/>
                <w:szCs w:val="22"/>
              </w:rPr>
            </w:pPr>
            <w:r w:rsidRPr="0007766E">
              <w:rPr>
                <w:rFonts w:eastAsia="Calibri"/>
                <w:szCs w:val="22"/>
              </w:rPr>
              <w:t>Describe the third-party app developer’s failover strategy to maintain a high system availability rate for end users. (Test Servers, p. 12)</w:t>
            </w:r>
          </w:p>
        </w:tc>
      </w:tr>
      <w:tr w14:paraId="4FDAF69E" w14:textId="77777777" w:rsidTr="0007766E">
        <w:tblPrEx>
          <w:tblW w:w="5000" w:type="pct"/>
          <w:tblLook w:val="04A0"/>
        </w:tblPrEx>
        <w:tc>
          <w:tcPr>
            <w:tcW w:w="767" w:type="pct"/>
            <w:shd w:val="clear" w:color="auto" w:fill="auto"/>
          </w:tcPr>
          <w:p w:rsidR="000944AF" w:rsidRPr="0007766E" w:rsidP="0007766E" w14:paraId="386AE36B" w14:textId="77777777">
            <w:pPr>
              <w:keepNext/>
              <w:widowControl/>
              <w:spacing w:line="259" w:lineRule="auto"/>
              <w:rPr>
                <w:rFonts w:eastAsia="Calibri"/>
                <w:szCs w:val="22"/>
              </w:rPr>
            </w:pPr>
            <w:r w:rsidRPr="0007766E">
              <w:rPr>
                <w:rFonts w:eastAsia="Calibri"/>
                <w:szCs w:val="22"/>
              </w:rPr>
              <w:t>F.8</w:t>
            </w:r>
          </w:p>
        </w:tc>
        <w:tc>
          <w:tcPr>
            <w:tcW w:w="4233" w:type="pct"/>
            <w:shd w:val="clear" w:color="auto" w:fill="auto"/>
          </w:tcPr>
          <w:p w:rsidR="000944AF" w:rsidRPr="0007766E" w:rsidP="0007766E" w14:paraId="77A35403" w14:textId="77777777">
            <w:pPr>
              <w:spacing w:line="259" w:lineRule="auto"/>
              <w:rPr>
                <w:rFonts w:eastAsia="Calibri"/>
                <w:szCs w:val="22"/>
                <w:lang w:val="en-GB"/>
              </w:rPr>
            </w:pPr>
            <w:r w:rsidRPr="0007766E">
              <w:rPr>
                <w:rFonts w:eastAsia="Calibri"/>
                <w:szCs w:val="22"/>
              </w:rPr>
              <w:t>Describe the third-party app developer’s processes and procedures for performing tests aga</w:t>
            </w:r>
            <w:r w:rsidRPr="0007766E">
              <w:rPr>
                <w:rFonts w:eastAsia="Calibri"/>
                <w:szCs w:val="22"/>
              </w:rPr>
              <w:t xml:space="preserve">inst an optimal test server (including how optimal server selection will be determined </w:t>
            </w:r>
            <w:r w:rsidRPr="0007766E">
              <w:rPr>
                <w:rFonts w:eastAsia="Calibri"/>
                <w:szCs w:val="22"/>
                <w:lang w:val="en-GB"/>
              </w:rPr>
              <w:t>at the start of each test sequence and a confirmation that the same server will be used for all tests in that sequence).</w:t>
            </w:r>
            <w:r w:rsidRPr="0007766E">
              <w:rPr>
                <w:rFonts w:eastAsia="Calibri"/>
                <w:szCs w:val="22"/>
              </w:rPr>
              <w:t xml:space="preserve"> (Test Servers, p. 12)</w:t>
            </w:r>
          </w:p>
        </w:tc>
      </w:tr>
      <w:tr w14:paraId="0C55AA06" w14:textId="77777777" w:rsidTr="0007766E">
        <w:tblPrEx>
          <w:tblW w:w="5000" w:type="pct"/>
          <w:tblLook w:val="04A0"/>
        </w:tblPrEx>
        <w:tc>
          <w:tcPr>
            <w:tcW w:w="767" w:type="pct"/>
            <w:shd w:val="clear" w:color="auto" w:fill="auto"/>
          </w:tcPr>
          <w:p w:rsidR="000944AF" w:rsidRPr="0007766E" w:rsidP="0007766E" w14:paraId="1E33EB3C" w14:textId="77777777">
            <w:pPr>
              <w:spacing w:line="259" w:lineRule="auto"/>
              <w:rPr>
                <w:rFonts w:eastAsia="Calibri"/>
                <w:szCs w:val="22"/>
              </w:rPr>
            </w:pPr>
            <w:r w:rsidRPr="0007766E">
              <w:rPr>
                <w:rFonts w:eastAsia="Calibri"/>
                <w:szCs w:val="22"/>
              </w:rPr>
              <w:t>F.9</w:t>
            </w:r>
          </w:p>
        </w:tc>
        <w:tc>
          <w:tcPr>
            <w:tcW w:w="4233" w:type="pct"/>
            <w:shd w:val="clear" w:color="auto" w:fill="auto"/>
          </w:tcPr>
          <w:p w:rsidR="000944AF" w:rsidRPr="0007766E" w:rsidP="0007766E" w14:paraId="48D41C7C" w14:textId="77777777">
            <w:pPr>
              <w:spacing w:line="259" w:lineRule="auto"/>
              <w:rPr>
                <w:rFonts w:eastAsia="Calibri"/>
                <w:szCs w:val="22"/>
              </w:rPr>
            </w:pPr>
            <w:r w:rsidRPr="0007766E">
              <w:rPr>
                <w:rFonts w:eastAsia="Calibri"/>
                <w:szCs w:val="22"/>
              </w:rPr>
              <w:t>Indicate if the optim</w:t>
            </w:r>
            <w:r w:rsidRPr="0007766E">
              <w:rPr>
                <w:rFonts w:eastAsia="Calibri"/>
                <w:szCs w:val="22"/>
              </w:rPr>
              <w:t>al measurement server(s) will be located outside the mobile service provider’s network (off-net server) to ensure unbiased measurements. (Test Servers, p. 12)</w:t>
            </w:r>
          </w:p>
        </w:tc>
      </w:tr>
      <w:tr w14:paraId="5C2AE2FE" w14:textId="77777777" w:rsidTr="0007766E">
        <w:tblPrEx>
          <w:tblW w:w="5000" w:type="pct"/>
          <w:tblLook w:val="04A0"/>
        </w:tblPrEx>
        <w:tc>
          <w:tcPr>
            <w:tcW w:w="767" w:type="pct"/>
            <w:shd w:val="clear" w:color="auto" w:fill="auto"/>
          </w:tcPr>
          <w:p w:rsidR="000944AF" w:rsidRPr="0007766E" w:rsidP="000944AF" w14:paraId="4D686E03" w14:textId="77777777">
            <w:pPr>
              <w:rPr>
                <w:rFonts w:eastAsia="Calibri"/>
                <w:szCs w:val="22"/>
              </w:rPr>
            </w:pPr>
            <w:r w:rsidRPr="0007766E">
              <w:rPr>
                <w:rFonts w:eastAsia="Calibri"/>
                <w:szCs w:val="22"/>
              </w:rPr>
              <w:t>F.10</w:t>
            </w:r>
          </w:p>
        </w:tc>
        <w:tc>
          <w:tcPr>
            <w:tcW w:w="4233" w:type="pct"/>
            <w:shd w:val="clear" w:color="auto" w:fill="auto"/>
          </w:tcPr>
          <w:p w:rsidR="000944AF" w:rsidRPr="0007766E" w:rsidP="000944AF" w14:paraId="3A514E05" w14:textId="77777777">
            <w:pPr>
              <w:rPr>
                <w:rFonts w:eastAsia="Calibri"/>
                <w:szCs w:val="22"/>
              </w:rPr>
            </w:pPr>
            <w:r w:rsidRPr="0007766E">
              <w:rPr>
                <w:rFonts w:eastAsia="Calibri"/>
                <w:szCs w:val="22"/>
              </w:rPr>
              <w:t>Describe the third-party app developer’s processes and procedures for determining whether e</w:t>
            </w:r>
            <w:r w:rsidRPr="0007766E">
              <w:rPr>
                <w:rFonts w:eastAsia="Calibri"/>
                <w:szCs w:val="22"/>
              </w:rPr>
              <w:t>ach measurement server has sufficient network capacity. (Test Servers, p. 12)</w:t>
            </w:r>
          </w:p>
        </w:tc>
      </w:tr>
      <w:tr w14:paraId="6856379D" w14:textId="77777777" w:rsidTr="0007766E">
        <w:tblPrEx>
          <w:tblW w:w="5000" w:type="pct"/>
          <w:tblLook w:val="04A0"/>
        </w:tblPrEx>
        <w:tc>
          <w:tcPr>
            <w:tcW w:w="767" w:type="pct"/>
            <w:shd w:val="clear" w:color="auto" w:fill="auto"/>
          </w:tcPr>
          <w:p w:rsidR="000944AF" w:rsidRPr="0007766E" w:rsidP="000944AF" w14:paraId="7453078E" w14:textId="77777777">
            <w:pPr>
              <w:rPr>
                <w:rFonts w:eastAsia="Calibri"/>
                <w:szCs w:val="22"/>
              </w:rPr>
            </w:pPr>
            <w:r w:rsidRPr="0007766E">
              <w:rPr>
                <w:rFonts w:eastAsia="Calibri"/>
                <w:szCs w:val="22"/>
              </w:rPr>
              <w:t>F.11</w:t>
            </w:r>
          </w:p>
        </w:tc>
        <w:tc>
          <w:tcPr>
            <w:tcW w:w="4233" w:type="pct"/>
            <w:shd w:val="clear" w:color="auto" w:fill="auto"/>
          </w:tcPr>
          <w:p w:rsidR="000944AF" w:rsidRPr="0007766E" w:rsidP="000944AF" w14:paraId="3055D842" w14:textId="77777777">
            <w:pPr>
              <w:rPr>
                <w:rFonts w:eastAsia="Calibri"/>
                <w:szCs w:val="22"/>
              </w:rPr>
            </w:pPr>
            <w:r w:rsidRPr="0007766E">
              <w:rPr>
                <w:rFonts w:eastAsia="Calibri"/>
                <w:szCs w:val="22"/>
              </w:rPr>
              <w:t xml:space="preserve">Describe the third-party app developer’s processes and procedures for monitoring and maintaining the test servers so that the operational capacity is not exceeded. </w:t>
            </w:r>
            <w:r w:rsidRPr="0007766E">
              <w:rPr>
                <w:rFonts w:eastAsia="Calibri"/>
                <w:szCs w:val="22"/>
              </w:rPr>
              <w:t>(Test Servers, p. 13)</w:t>
            </w:r>
          </w:p>
        </w:tc>
      </w:tr>
      <w:tr w14:paraId="3052158D" w14:textId="77777777" w:rsidTr="0007766E">
        <w:tblPrEx>
          <w:tblW w:w="5000" w:type="pct"/>
          <w:tblLook w:val="04A0"/>
        </w:tblPrEx>
        <w:tc>
          <w:tcPr>
            <w:tcW w:w="767" w:type="pct"/>
            <w:shd w:val="clear" w:color="auto" w:fill="auto"/>
          </w:tcPr>
          <w:p w:rsidR="000944AF" w:rsidRPr="0007766E" w:rsidP="000944AF" w14:paraId="4EA0617E" w14:textId="77777777">
            <w:pPr>
              <w:rPr>
                <w:rFonts w:eastAsia="Calibri"/>
                <w:szCs w:val="22"/>
              </w:rPr>
            </w:pPr>
            <w:r w:rsidRPr="0007766E">
              <w:rPr>
                <w:rFonts w:eastAsia="Calibri"/>
                <w:szCs w:val="22"/>
              </w:rPr>
              <w:t>F.12</w:t>
            </w:r>
          </w:p>
        </w:tc>
        <w:tc>
          <w:tcPr>
            <w:tcW w:w="4233" w:type="pct"/>
            <w:shd w:val="clear" w:color="auto" w:fill="auto"/>
          </w:tcPr>
          <w:p w:rsidR="000944AF" w:rsidRPr="0007766E" w:rsidP="000944AF" w14:paraId="79C90858" w14:textId="77777777">
            <w:pPr>
              <w:rPr>
                <w:rFonts w:eastAsia="Calibri"/>
                <w:szCs w:val="22"/>
              </w:rPr>
            </w:pPr>
            <w:r w:rsidRPr="0007766E">
              <w:rPr>
                <w:rFonts w:eastAsia="Calibri"/>
                <w:szCs w:val="22"/>
                <w:lang w:val="en-GB"/>
              </w:rPr>
              <w:t>The third-party app developer should describe its processes and procedures for ensuring these requirements are continuously met</w:t>
            </w:r>
            <w:r w:rsidRPr="0007766E">
              <w:rPr>
                <w:rFonts w:eastAsia="Calibri"/>
                <w:szCs w:val="22"/>
              </w:rPr>
              <w:t>. (Test Servers, p. 13)</w:t>
            </w:r>
          </w:p>
        </w:tc>
      </w:tr>
    </w:tbl>
    <w:p w:rsidR="000944AF" w:rsidRPr="000944AF" w:rsidP="000944AF" w14:paraId="5811862E" w14:textId="77777777">
      <w:pPr>
        <w:ind w:left="630" w:hanging="63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090"/>
      </w:tblGrid>
      <w:tr w14:paraId="737F1D5C"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33558940" w14:textId="77777777">
            <w:pPr>
              <w:jc w:val="center"/>
              <w:rPr>
                <w:rFonts w:eastAsia="Calibri"/>
                <w:b/>
                <w:bCs/>
                <w:szCs w:val="22"/>
              </w:rPr>
            </w:pPr>
            <w:r w:rsidRPr="0007766E">
              <w:rPr>
                <w:rFonts w:eastAsia="Calibri"/>
                <w:b/>
                <w:bCs/>
                <w:szCs w:val="22"/>
              </w:rPr>
              <w:t>Section G. Mobile Broadband Performance</w:t>
            </w:r>
          </w:p>
        </w:tc>
      </w:tr>
      <w:tr w14:paraId="6280DF36" w14:textId="77777777" w:rsidTr="0007766E">
        <w:tblPrEx>
          <w:tblW w:w="5000" w:type="pct"/>
          <w:tblLook w:val="04A0"/>
        </w:tblPrEx>
        <w:tc>
          <w:tcPr>
            <w:tcW w:w="776" w:type="pct"/>
            <w:shd w:val="clear" w:color="auto" w:fill="auto"/>
            <w:vAlign w:val="center"/>
          </w:tcPr>
          <w:p w:rsidR="000944AF" w:rsidRPr="0007766E" w:rsidP="0007766E" w14:paraId="6E964CB4" w14:textId="77777777">
            <w:pPr>
              <w:spacing w:line="259" w:lineRule="auto"/>
              <w:jc w:val="center"/>
              <w:rPr>
                <w:rFonts w:eastAsia="Calibri"/>
                <w:b/>
                <w:bCs/>
                <w:szCs w:val="22"/>
              </w:rPr>
            </w:pPr>
            <w:r w:rsidRPr="0007766E">
              <w:rPr>
                <w:rFonts w:eastAsia="Calibri"/>
                <w:b/>
                <w:bCs/>
                <w:szCs w:val="22"/>
              </w:rPr>
              <w:t>Requirement ID</w:t>
            </w:r>
          </w:p>
        </w:tc>
        <w:tc>
          <w:tcPr>
            <w:tcW w:w="4224" w:type="pct"/>
            <w:shd w:val="clear" w:color="auto" w:fill="auto"/>
            <w:vAlign w:val="center"/>
          </w:tcPr>
          <w:p w:rsidR="000944AF" w:rsidRPr="0007766E" w:rsidP="0007766E" w14:paraId="17098004" w14:textId="77777777">
            <w:pPr>
              <w:spacing w:line="259" w:lineRule="auto"/>
              <w:jc w:val="center"/>
              <w:rPr>
                <w:rFonts w:eastAsia="Calibri"/>
                <w:b/>
                <w:bCs/>
                <w:szCs w:val="22"/>
              </w:rPr>
            </w:pPr>
            <w:r w:rsidRPr="0007766E">
              <w:rPr>
                <w:rFonts w:eastAsia="Calibri"/>
                <w:b/>
                <w:bCs/>
                <w:szCs w:val="22"/>
              </w:rPr>
              <w:t>Description</w:t>
            </w:r>
          </w:p>
        </w:tc>
      </w:tr>
      <w:tr w14:paraId="17B19DBA" w14:textId="77777777" w:rsidTr="0007766E">
        <w:tblPrEx>
          <w:tblW w:w="5000" w:type="pct"/>
          <w:tblLook w:val="04A0"/>
        </w:tblPrEx>
        <w:tc>
          <w:tcPr>
            <w:tcW w:w="776" w:type="pct"/>
            <w:shd w:val="clear" w:color="auto" w:fill="auto"/>
          </w:tcPr>
          <w:p w:rsidR="000944AF" w:rsidRPr="0007766E" w:rsidP="0007766E" w14:paraId="04FFF895" w14:textId="77777777">
            <w:pPr>
              <w:spacing w:line="259" w:lineRule="auto"/>
              <w:rPr>
                <w:rFonts w:eastAsia="Calibri"/>
                <w:szCs w:val="22"/>
              </w:rPr>
            </w:pPr>
            <w:r w:rsidRPr="0007766E">
              <w:rPr>
                <w:rFonts w:eastAsia="Calibri"/>
                <w:szCs w:val="22"/>
              </w:rPr>
              <w:t>G.1</w:t>
            </w:r>
          </w:p>
        </w:tc>
        <w:tc>
          <w:tcPr>
            <w:tcW w:w="4224" w:type="pct"/>
            <w:shd w:val="clear" w:color="auto" w:fill="auto"/>
          </w:tcPr>
          <w:p w:rsidR="000944AF" w:rsidRPr="0007766E" w:rsidP="000944AF" w14:paraId="6AF0170F" w14:textId="77777777">
            <w:pPr>
              <w:rPr>
                <w:rFonts w:eastAsia="Calibri"/>
                <w:color w:val="000000"/>
                <w:szCs w:val="22"/>
              </w:rPr>
            </w:pPr>
            <w:r w:rsidRPr="0007766E">
              <w:rPr>
                <w:rFonts w:eastAsia="Calibri"/>
                <w:color w:val="000000"/>
                <w:szCs w:val="22"/>
              </w:rPr>
              <w:t>Indicate that each test sequence, consisting of three parts (download, upload, and latency), must be preceded by the measurement client selecting a measurement server. (Mobile Broadband Performance, p. 13)</w:t>
            </w:r>
          </w:p>
        </w:tc>
      </w:tr>
      <w:tr w14:paraId="6055912C" w14:textId="77777777" w:rsidTr="0007766E">
        <w:tblPrEx>
          <w:tblW w:w="5000" w:type="pct"/>
          <w:tblLook w:val="04A0"/>
        </w:tblPrEx>
        <w:tc>
          <w:tcPr>
            <w:tcW w:w="776" w:type="pct"/>
            <w:shd w:val="clear" w:color="auto" w:fill="auto"/>
          </w:tcPr>
          <w:p w:rsidR="000944AF" w:rsidRPr="0007766E" w:rsidP="000944AF" w14:paraId="13FCA50A" w14:textId="77777777">
            <w:pPr>
              <w:rPr>
                <w:rFonts w:eastAsia="Calibri"/>
                <w:szCs w:val="22"/>
              </w:rPr>
            </w:pPr>
            <w:r w:rsidRPr="0007766E">
              <w:rPr>
                <w:rFonts w:eastAsia="Calibri"/>
                <w:szCs w:val="22"/>
              </w:rPr>
              <w:t>G.2</w:t>
            </w:r>
          </w:p>
        </w:tc>
        <w:tc>
          <w:tcPr>
            <w:tcW w:w="4224" w:type="pct"/>
            <w:shd w:val="clear" w:color="auto" w:fill="auto"/>
          </w:tcPr>
          <w:p w:rsidR="000944AF" w:rsidRPr="0007766E" w:rsidP="000944AF" w14:paraId="5E543A83" w14:textId="77777777">
            <w:pPr>
              <w:rPr>
                <w:rFonts w:eastAsia="Calibri"/>
                <w:color w:val="000000"/>
                <w:szCs w:val="22"/>
              </w:rPr>
            </w:pPr>
            <w:r w:rsidRPr="0007766E">
              <w:rPr>
                <w:rFonts w:eastAsia="Calibri"/>
                <w:color w:val="000000"/>
                <w:szCs w:val="22"/>
              </w:rPr>
              <w:t xml:space="preserve">Indicate if the third-party app developer proposes an alternative methodology, a sufficient justification must be provided in the proposal.  Third-party app developers may conduct upload and download speed tests based either on their own preferred testing </w:t>
            </w:r>
            <w:r w:rsidRPr="0007766E">
              <w:rPr>
                <w:rFonts w:eastAsia="Calibri"/>
                <w:color w:val="000000"/>
                <w:szCs w:val="22"/>
              </w:rPr>
              <w:t xml:space="preserve">procedure or on OET’s third-party app review procedure outlined in Appendix A for statistical assessment of the app’s performance. </w:t>
            </w:r>
            <w:r w:rsidRPr="0007766E">
              <w:rPr>
                <w:rFonts w:eastAsia="Calibri"/>
                <w:i/>
                <w:iCs/>
                <w:color w:val="000000"/>
                <w:szCs w:val="22"/>
              </w:rPr>
              <w:t xml:space="preserve">[If not, respond to G.3 - G.9 below.  Otherwise, skip to G.10 </w:t>
            </w:r>
            <w:r w:rsidRPr="0007766E">
              <w:rPr>
                <w:rFonts w:eastAsia="Calibri"/>
                <w:color w:val="000000"/>
                <w:szCs w:val="22"/>
              </w:rPr>
              <w:t>(Mobile Broadband Performance, p. 13)</w:t>
            </w:r>
          </w:p>
        </w:tc>
      </w:tr>
      <w:tr w14:paraId="6CE898E2" w14:textId="77777777" w:rsidTr="0007766E">
        <w:tblPrEx>
          <w:tblW w:w="5000" w:type="pct"/>
          <w:tblLook w:val="04A0"/>
        </w:tblPrEx>
        <w:tc>
          <w:tcPr>
            <w:tcW w:w="776" w:type="pct"/>
            <w:shd w:val="clear" w:color="auto" w:fill="auto"/>
          </w:tcPr>
          <w:p w:rsidR="000944AF" w:rsidRPr="0007766E" w:rsidP="000944AF" w14:paraId="4DAF402A" w14:textId="77777777">
            <w:pPr>
              <w:rPr>
                <w:rFonts w:eastAsia="Calibri"/>
                <w:szCs w:val="22"/>
              </w:rPr>
            </w:pPr>
            <w:r w:rsidRPr="0007766E">
              <w:rPr>
                <w:rFonts w:eastAsia="Calibri"/>
                <w:szCs w:val="22"/>
              </w:rPr>
              <w:t>G.3</w:t>
            </w:r>
          </w:p>
        </w:tc>
        <w:tc>
          <w:tcPr>
            <w:tcW w:w="4224" w:type="pct"/>
            <w:shd w:val="clear" w:color="auto" w:fill="auto"/>
          </w:tcPr>
          <w:p w:rsidR="000944AF" w:rsidRPr="0007766E" w:rsidP="0007766E" w14:paraId="573D7CC6" w14:textId="77777777">
            <w:pPr>
              <w:spacing w:line="259" w:lineRule="auto"/>
              <w:rPr>
                <w:rFonts w:eastAsia="Calibri"/>
                <w:color w:val="000000"/>
                <w:szCs w:val="22"/>
              </w:rPr>
            </w:pPr>
            <w:r w:rsidRPr="0007766E">
              <w:rPr>
                <w:rFonts w:eastAsia="Calibri"/>
                <w:color w:val="000000"/>
                <w:szCs w:val="22"/>
              </w:rPr>
              <w:t xml:space="preserve">The third-party app </w:t>
            </w:r>
            <w:r w:rsidRPr="0007766E">
              <w:rPr>
                <w:rFonts w:eastAsia="Calibri"/>
                <w:color w:val="000000"/>
                <w:szCs w:val="22"/>
              </w:rPr>
              <w:t>developer shall describe how the download speed metric are measured by establishing multi-TCP connections to a target test node.  Each test cycle shall begin with a warm-up period, followed by the download speed test.  Each download test shall conclude aft</w:t>
            </w:r>
            <w:r w:rsidRPr="0007766E">
              <w:rPr>
                <w:rFonts w:eastAsia="Calibri"/>
                <w:color w:val="000000"/>
                <w:szCs w:val="22"/>
              </w:rPr>
              <w:t>er an elapsed minimum time of 5 seconds and a maximum elapsed time of 30 seconds.  The client shall attempt to download as much of the binary non-zero content, herein referred to as the payload, as possible for the duration of the test. (Mobile Broadband P</w:t>
            </w:r>
            <w:r w:rsidRPr="0007766E">
              <w:rPr>
                <w:rFonts w:eastAsia="Calibri"/>
                <w:color w:val="000000"/>
                <w:szCs w:val="22"/>
              </w:rPr>
              <w:t>erformance, p. 13)</w:t>
            </w:r>
          </w:p>
        </w:tc>
      </w:tr>
      <w:tr w14:paraId="434D9F95" w14:textId="77777777" w:rsidTr="0007766E">
        <w:tblPrEx>
          <w:tblW w:w="5000" w:type="pct"/>
          <w:tblLook w:val="04A0"/>
        </w:tblPrEx>
        <w:tc>
          <w:tcPr>
            <w:tcW w:w="776" w:type="pct"/>
            <w:shd w:val="clear" w:color="auto" w:fill="auto"/>
          </w:tcPr>
          <w:p w:rsidR="000944AF" w:rsidRPr="0007766E" w:rsidP="000944AF" w14:paraId="323E17F4" w14:textId="77777777">
            <w:pPr>
              <w:rPr>
                <w:rFonts w:eastAsia="Calibri"/>
                <w:szCs w:val="22"/>
              </w:rPr>
            </w:pPr>
            <w:r w:rsidRPr="0007766E">
              <w:rPr>
                <w:rFonts w:eastAsia="Calibri"/>
                <w:szCs w:val="22"/>
              </w:rPr>
              <w:t>G.4</w:t>
            </w:r>
          </w:p>
        </w:tc>
        <w:tc>
          <w:tcPr>
            <w:tcW w:w="4224" w:type="pct"/>
            <w:shd w:val="clear" w:color="auto" w:fill="auto"/>
          </w:tcPr>
          <w:p w:rsidR="000944AF" w:rsidRPr="0007766E" w:rsidP="000944AF" w14:paraId="1329BD3E" w14:textId="77777777">
            <w:pPr>
              <w:rPr>
                <w:rFonts w:eastAsia="Calibri"/>
                <w:color w:val="000000"/>
                <w:szCs w:val="22"/>
                <w:vertAlign w:val="superscript"/>
              </w:rPr>
            </w:pPr>
            <w:r w:rsidRPr="0007766E">
              <w:rPr>
                <w:rFonts w:eastAsia="Calibri"/>
                <w:color w:val="000000"/>
                <w:szCs w:val="22"/>
              </w:rPr>
              <w:t>The third-party app developer shall describe how each test is executed using at least three concurrent TCP connections for byte streams between the third-party app and the measurement server.  Hence, each connection used in the test</w:t>
            </w:r>
            <w:r w:rsidRPr="0007766E">
              <w:rPr>
                <w:rFonts w:eastAsia="Calibri"/>
                <w:color w:val="000000"/>
                <w:szCs w:val="22"/>
              </w:rPr>
              <w:t xml:space="preserve"> must count the number of bytes of the target payload transferred between two points in time and shall calculate the speed of each thread as the number of bits transferred over the number of seconds in the active test window (i.e., excluding the warm-up ti</w:t>
            </w:r>
            <w:r w:rsidRPr="0007766E">
              <w:rPr>
                <w:rFonts w:eastAsia="Calibri"/>
                <w:color w:val="000000"/>
                <w:szCs w:val="22"/>
              </w:rPr>
              <w:t xml:space="preserve">me).  The speeds of the multiple threads shall be summed to determine the total download speed.  In addition, the third-party app shall report all other data required in the Download Test Object table of the </w:t>
            </w:r>
            <w:r w:rsidRPr="0007766E">
              <w:rPr>
                <w:rFonts w:eastAsia="Calibri"/>
                <w:i/>
                <w:iCs/>
                <w:color w:val="000000"/>
                <w:szCs w:val="22"/>
              </w:rPr>
              <w:t xml:space="preserve">BDC - Data Specifications for Mobile Speed Test </w:t>
            </w:r>
            <w:r w:rsidRPr="0007766E">
              <w:rPr>
                <w:rFonts w:eastAsia="Calibri"/>
                <w:i/>
                <w:iCs/>
                <w:color w:val="000000"/>
                <w:szCs w:val="22"/>
              </w:rPr>
              <w:t>Data</w:t>
            </w:r>
            <w:r w:rsidRPr="0007766E">
              <w:rPr>
                <w:rFonts w:eastAsia="Calibri"/>
                <w:color w:val="000000"/>
                <w:szCs w:val="22"/>
              </w:rPr>
              <w:t>. (Mobile Broadband Performance, p. 13)</w:t>
            </w:r>
          </w:p>
        </w:tc>
      </w:tr>
      <w:tr w14:paraId="6E5871D8" w14:textId="77777777" w:rsidTr="0007766E">
        <w:tblPrEx>
          <w:tblW w:w="5000" w:type="pct"/>
          <w:tblLook w:val="04A0"/>
        </w:tblPrEx>
        <w:tc>
          <w:tcPr>
            <w:tcW w:w="776" w:type="pct"/>
            <w:shd w:val="clear" w:color="auto" w:fill="auto"/>
          </w:tcPr>
          <w:p w:rsidR="000944AF" w:rsidRPr="0007766E" w:rsidP="000944AF" w14:paraId="20B75C3F" w14:textId="77777777">
            <w:pPr>
              <w:rPr>
                <w:rFonts w:eastAsia="Calibri"/>
                <w:szCs w:val="22"/>
              </w:rPr>
            </w:pPr>
            <w:r w:rsidRPr="0007766E">
              <w:rPr>
                <w:rFonts w:eastAsia="Calibri"/>
                <w:szCs w:val="22"/>
              </w:rPr>
              <w:t>G.5</w:t>
            </w:r>
          </w:p>
        </w:tc>
        <w:tc>
          <w:tcPr>
            <w:tcW w:w="4224" w:type="pct"/>
            <w:shd w:val="clear" w:color="auto" w:fill="auto"/>
          </w:tcPr>
          <w:p w:rsidR="000944AF" w:rsidRPr="0007766E" w:rsidP="000944AF" w14:paraId="355A9023" w14:textId="77777777">
            <w:pPr>
              <w:rPr>
                <w:rFonts w:eastAsia="Calibri"/>
                <w:color w:val="000000"/>
                <w:szCs w:val="22"/>
              </w:rPr>
            </w:pPr>
            <w:r w:rsidRPr="0007766E">
              <w:rPr>
                <w:rFonts w:eastAsia="Calibri"/>
                <w:color w:val="000000"/>
                <w:szCs w:val="22"/>
              </w:rPr>
              <w:t>The third-party app developer shall describe how factors such as TCP slow start are taken into account by letting a “warm-up” period elapse before the data transfer rate computation begins.  The concurrent i</w:t>
            </w:r>
            <w:r w:rsidRPr="0007766E">
              <w:rPr>
                <w:rFonts w:eastAsia="Calibri"/>
                <w:color w:val="000000"/>
                <w:szCs w:val="22"/>
              </w:rPr>
              <w:t>ndividual connections shall be established, each on its own thread, and shall be confirmed as all having completed the warm-up period before the 5- to 30-second testing period begins. (Mobile Broadband Performance, p. 14)</w:t>
            </w:r>
          </w:p>
        </w:tc>
      </w:tr>
      <w:tr w14:paraId="7D9CCF41" w14:textId="77777777" w:rsidTr="0007766E">
        <w:tblPrEx>
          <w:tblW w:w="5000" w:type="pct"/>
          <w:tblLook w:val="04A0"/>
        </w:tblPrEx>
        <w:tc>
          <w:tcPr>
            <w:tcW w:w="776" w:type="pct"/>
            <w:shd w:val="clear" w:color="auto" w:fill="auto"/>
          </w:tcPr>
          <w:p w:rsidR="000944AF" w:rsidRPr="0007766E" w:rsidP="0007766E" w14:paraId="52145138" w14:textId="77777777">
            <w:pPr>
              <w:keepNext/>
              <w:widowControl/>
              <w:rPr>
                <w:rFonts w:eastAsia="Calibri"/>
                <w:szCs w:val="22"/>
              </w:rPr>
            </w:pPr>
            <w:r w:rsidRPr="0007766E">
              <w:rPr>
                <w:rFonts w:eastAsia="Calibri"/>
                <w:szCs w:val="22"/>
              </w:rPr>
              <w:t>G.6</w:t>
            </w:r>
          </w:p>
        </w:tc>
        <w:tc>
          <w:tcPr>
            <w:tcW w:w="4224" w:type="pct"/>
            <w:shd w:val="clear" w:color="auto" w:fill="auto"/>
          </w:tcPr>
          <w:p w:rsidR="000944AF" w:rsidRPr="0007766E" w:rsidP="000944AF" w14:paraId="707CC4F5" w14:textId="77777777">
            <w:pPr>
              <w:rPr>
                <w:rFonts w:eastAsia="Calibri"/>
                <w:color w:val="000000"/>
                <w:szCs w:val="22"/>
              </w:rPr>
            </w:pPr>
            <w:r w:rsidRPr="0007766E">
              <w:rPr>
                <w:rFonts w:eastAsia="Calibri"/>
                <w:color w:val="000000"/>
                <w:szCs w:val="22"/>
              </w:rPr>
              <w:t>The third-party app developer shall describe how the upload speed metric is measured by establishing multi-TCP connections to a target test node.  Each upload test cycle shall begin with a warm-up period, followed by the upload speed test.  Each upload tes</w:t>
            </w:r>
            <w:r w:rsidRPr="0007766E">
              <w:rPr>
                <w:rFonts w:eastAsia="Calibri"/>
                <w:color w:val="000000"/>
                <w:szCs w:val="22"/>
              </w:rPr>
              <w:t>t shall conclude after an elapsed minimum time of 5 seconds and a maximum elapsed time of 30 seconds.  The client shall generate and attempt to upload as much of the payload as possible for the duration of the test. (Mobile Broadband Performance, p. 14)</w:t>
            </w:r>
          </w:p>
        </w:tc>
      </w:tr>
      <w:tr w14:paraId="490D13A8" w14:textId="77777777" w:rsidTr="0007766E">
        <w:tblPrEx>
          <w:tblW w:w="5000" w:type="pct"/>
          <w:tblLook w:val="04A0"/>
        </w:tblPrEx>
        <w:tc>
          <w:tcPr>
            <w:tcW w:w="776" w:type="pct"/>
            <w:shd w:val="clear" w:color="auto" w:fill="auto"/>
          </w:tcPr>
          <w:p w:rsidR="000944AF" w:rsidRPr="0007766E" w:rsidP="0007766E" w14:paraId="03C7F251" w14:textId="77777777">
            <w:pPr>
              <w:spacing w:line="259" w:lineRule="auto"/>
              <w:rPr>
                <w:rFonts w:eastAsia="Calibri"/>
                <w:szCs w:val="22"/>
              </w:rPr>
            </w:pPr>
            <w:r w:rsidRPr="0007766E">
              <w:rPr>
                <w:rFonts w:eastAsia="Calibri"/>
                <w:szCs w:val="22"/>
              </w:rPr>
              <w:t>G</w:t>
            </w:r>
            <w:r w:rsidRPr="0007766E">
              <w:rPr>
                <w:rFonts w:eastAsia="Calibri"/>
                <w:szCs w:val="22"/>
              </w:rPr>
              <w:t>.7</w:t>
            </w:r>
          </w:p>
        </w:tc>
        <w:tc>
          <w:tcPr>
            <w:tcW w:w="4224" w:type="pct"/>
            <w:shd w:val="clear" w:color="auto" w:fill="auto"/>
          </w:tcPr>
          <w:p w:rsidR="000944AF" w:rsidRPr="0007766E" w:rsidP="0007766E" w14:paraId="28A7D116" w14:textId="77777777">
            <w:pPr>
              <w:spacing w:line="259" w:lineRule="auto"/>
              <w:rPr>
                <w:rFonts w:eastAsia="Calibri"/>
                <w:color w:val="000000"/>
                <w:szCs w:val="22"/>
                <w:vertAlign w:val="superscript"/>
              </w:rPr>
            </w:pPr>
            <w:r w:rsidRPr="0007766E">
              <w:rPr>
                <w:rFonts w:eastAsia="Calibri"/>
                <w:color w:val="000000"/>
                <w:szCs w:val="22"/>
              </w:rPr>
              <w:t>The third-party app developer shall describe how tests are executed using at least three concurrent TCP connections for byte streams.  Each connection used in the test must count the number of bytes of the target payload transferred between two points i</w:t>
            </w:r>
            <w:r w:rsidRPr="0007766E">
              <w:rPr>
                <w:rFonts w:eastAsia="Calibri"/>
                <w:color w:val="000000"/>
                <w:szCs w:val="22"/>
              </w:rPr>
              <w:t>n time and shall calculate the speed of each thread as the number of bits transferred over the number of seconds in the active test window (i.e., excluding the warm-up time).  The speeds of the multiple threads shall be summed to determine the total upload</w:t>
            </w:r>
            <w:r w:rsidRPr="0007766E">
              <w:rPr>
                <w:rFonts w:eastAsia="Calibri"/>
                <w:color w:val="000000"/>
                <w:szCs w:val="22"/>
              </w:rPr>
              <w:t xml:space="preserve"> speed.  In addition, the third-party app shall report all other data required in the Upload Test Object table of the </w:t>
            </w:r>
            <w:r w:rsidRPr="0007766E">
              <w:rPr>
                <w:rFonts w:eastAsia="Calibri"/>
                <w:i/>
                <w:iCs/>
                <w:color w:val="000000"/>
                <w:szCs w:val="22"/>
              </w:rPr>
              <w:t>BDC - Data Specifications for Mobile Speed Test Data</w:t>
            </w:r>
            <w:r w:rsidRPr="0007766E">
              <w:rPr>
                <w:rFonts w:eastAsia="Calibri"/>
                <w:color w:val="000000"/>
                <w:szCs w:val="22"/>
              </w:rPr>
              <w:t>. (Mobile Broadband Performance, p. 14)</w:t>
            </w:r>
          </w:p>
        </w:tc>
      </w:tr>
      <w:tr w14:paraId="1FFB73FE" w14:textId="77777777" w:rsidTr="0007766E">
        <w:tblPrEx>
          <w:tblW w:w="5000" w:type="pct"/>
          <w:tblLook w:val="04A0"/>
        </w:tblPrEx>
        <w:tc>
          <w:tcPr>
            <w:tcW w:w="776" w:type="pct"/>
            <w:shd w:val="clear" w:color="auto" w:fill="auto"/>
          </w:tcPr>
          <w:p w:rsidR="000944AF" w:rsidRPr="0007766E" w:rsidP="000944AF" w14:paraId="15B7E5A2" w14:textId="77777777">
            <w:pPr>
              <w:rPr>
                <w:rFonts w:eastAsia="Calibri"/>
                <w:szCs w:val="22"/>
              </w:rPr>
            </w:pPr>
            <w:r w:rsidRPr="0007766E">
              <w:rPr>
                <w:rFonts w:eastAsia="Calibri"/>
                <w:szCs w:val="22"/>
              </w:rPr>
              <w:t>G.8</w:t>
            </w:r>
          </w:p>
        </w:tc>
        <w:tc>
          <w:tcPr>
            <w:tcW w:w="4224" w:type="pct"/>
            <w:shd w:val="clear" w:color="auto" w:fill="auto"/>
          </w:tcPr>
          <w:p w:rsidR="000944AF" w:rsidRPr="0007766E" w:rsidP="000944AF" w14:paraId="4AF123E9" w14:textId="77777777">
            <w:pPr>
              <w:rPr>
                <w:rFonts w:eastAsia="Calibri"/>
                <w:color w:val="000000"/>
                <w:szCs w:val="22"/>
              </w:rPr>
            </w:pPr>
            <w:r w:rsidRPr="0007766E">
              <w:rPr>
                <w:rFonts w:eastAsia="Calibri"/>
                <w:color w:val="000000"/>
                <w:szCs w:val="22"/>
              </w:rPr>
              <w:t>The third-party app developer shall descr</w:t>
            </w:r>
            <w:r w:rsidRPr="0007766E">
              <w:rPr>
                <w:rFonts w:eastAsia="Calibri"/>
                <w:color w:val="000000"/>
                <w:szCs w:val="22"/>
              </w:rPr>
              <w:t>ibe how factors such as TCP slow start are taken into account by transferring a portion of the target payload before the real testing begins.  The concurrent individual connections shall be established, each on its own thread, and shall be confirmed as all</w:t>
            </w:r>
            <w:r w:rsidRPr="0007766E">
              <w:rPr>
                <w:rFonts w:eastAsia="Calibri"/>
                <w:color w:val="000000"/>
                <w:szCs w:val="22"/>
              </w:rPr>
              <w:t xml:space="preserve"> having completed the warm-up period before the 5 to 30-second testing period begins. (Mobile Broadband Performance, p. 14)</w:t>
            </w:r>
          </w:p>
        </w:tc>
      </w:tr>
      <w:tr w14:paraId="3BF430BF" w14:textId="77777777" w:rsidTr="0007766E">
        <w:tblPrEx>
          <w:tblW w:w="5000" w:type="pct"/>
          <w:tblLook w:val="04A0"/>
        </w:tblPrEx>
        <w:tc>
          <w:tcPr>
            <w:tcW w:w="776" w:type="pct"/>
            <w:shd w:val="clear" w:color="auto" w:fill="auto"/>
          </w:tcPr>
          <w:p w:rsidR="000944AF" w:rsidRPr="0007766E" w:rsidP="000944AF" w14:paraId="0C9DA2A8" w14:textId="77777777">
            <w:pPr>
              <w:rPr>
                <w:rFonts w:eastAsia="Calibri"/>
                <w:szCs w:val="22"/>
              </w:rPr>
            </w:pPr>
            <w:r w:rsidRPr="0007766E">
              <w:rPr>
                <w:rFonts w:eastAsia="Calibri"/>
                <w:szCs w:val="22"/>
              </w:rPr>
              <w:t>G.9</w:t>
            </w:r>
          </w:p>
        </w:tc>
        <w:tc>
          <w:tcPr>
            <w:tcW w:w="4224" w:type="pct"/>
            <w:shd w:val="clear" w:color="auto" w:fill="auto"/>
          </w:tcPr>
          <w:p w:rsidR="000944AF" w:rsidRPr="0007766E" w:rsidP="0007766E" w14:paraId="1675B02B" w14:textId="77777777">
            <w:pPr>
              <w:spacing w:line="259" w:lineRule="auto"/>
              <w:rPr>
                <w:rFonts w:eastAsia="Calibri"/>
                <w:color w:val="000000"/>
                <w:szCs w:val="22"/>
              </w:rPr>
            </w:pPr>
            <w:r w:rsidRPr="0007766E">
              <w:rPr>
                <w:rFonts w:eastAsia="Calibri"/>
                <w:color w:val="000000"/>
                <w:szCs w:val="22"/>
              </w:rPr>
              <w:t xml:space="preserve">The third-party app developer shall describe how the latency test measures the round-trip time of User Datagram Protocol (UDP) </w:t>
            </w:r>
            <w:r w:rsidRPr="0007766E">
              <w:rPr>
                <w:rFonts w:eastAsia="Calibri"/>
                <w:color w:val="000000"/>
                <w:szCs w:val="22"/>
              </w:rPr>
              <w:t>packets for an elapsed minimum time of 5 seconds and a maximum elapsed time of 30 seconds between the device and a target test site.  The test shall record the start time, duration, number of packets sent, number of packets received, and round-trip jitter.</w:t>
            </w:r>
            <w:r w:rsidRPr="0007766E">
              <w:rPr>
                <w:rFonts w:eastAsia="Calibri"/>
                <w:color w:val="000000"/>
                <w:szCs w:val="22"/>
              </w:rPr>
              <w:t xml:space="preserve">  In addition, the third-party app shall report all other data required in the Latency Test Object table of the </w:t>
            </w:r>
            <w:r w:rsidRPr="0007766E">
              <w:rPr>
                <w:rFonts w:eastAsia="Calibri"/>
                <w:i/>
                <w:color w:val="000000"/>
                <w:szCs w:val="22"/>
              </w:rPr>
              <w:t>BDC - Data Specifications for Mobile Speed Test Data.</w:t>
            </w:r>
            <w:r w:rsidRPr="0007766E">
              <w:rPr>
                <w:rFonts w:eastAsia="Calibri"/>
                <w:color w:val="000000"/>
                <w:szCs w:val="22"/>
              </w:rPr>
              <w:t xml:space="preserve"> (Mobile Broadband Performance, p. 15)</w:t>
            </w:r>
          </w:p>
        </w:tc>
      </w:tr>
      <w:tr w14:paraId="0307C7EA" w14:textId="77777777" w:rsidTr="0007766E">
        <w:tblPrEx>
          <w:tblW w:w="5000" w:type="pct"/>
          <w:tblLook w:val="04A0"/>
        </w:tblPrEx>
        <w:tc>
          <w:tcPr>
            <w:tcW w:w="776" w:type="pct"/>
            <w:shd w:val="clear" w:color="auto" w:fill="auto"/>
          </w:tcPr>
          <w:p w:rsidR="000944AF" w:rsidRPr="0007766E" w:rsidP="000944AF" w14:paraId="21FEE209" w14:textId="77777777">
            <w:pPr>
              <w:rPr>
                <w:rFonts w:eastAsia="Calibri"/>
                <w:szCs w:val="22"/>
              </w:rPr>
            </w:pPr>
            <w:r w:rsidRPr="0007766E">
              <w:rPr>
                <w:rFonts w:eastAsia="Calibri"/>
                <w:szCs w:val="22"/>
              </w:rPr>
              <w:t>G.10</w:t>
            </w:r>
          </w:p>
        </w:tc>
        <w:tc>
          <w:tcPr>
            <w:tcW w:w="4224" w:type="pct"/>
            <w:shd w:val="clear" w:color="auto" w:fill="auto"/>
          </w:tcPr>
          <w:p w:rsidR="000944AF" w:rsidRPr="0007766E" w:rsidP="000944AF" w14:paraId="4A323428" w14:textId="77777777">
            <w:pPr>
              <w:rPr>
                <w:rFonts w:eastAsia="Calibri"/>
                <w:color w:val="000000"/>
                <w:szCs w:val="22"/>
              </w:rPr>
            </w:pPr>
            <w:r w:rsidRPr="0007766E">
              <w:rPr>
                <w:rFonts w:eastAsia="Calibri"/>
                <w:color w:val="000000"/>
                <w:szCs w:val="22"/>
              </w:rPr>
              <w:t>The third-party app developer shall provide si</w:t>
            </w:r>
            <w:r w:rsidRPr="0007766E">
              <w:rPr>
                <w:rFonts w:eastAsia="Calibri"/>
                <w:color w:val="000000"/>
                <w:szCs w:val="22"/>
              </w:rPr>
              <w:t>milar procedures as described in items G.3 - G.9 and describe in their proposal how the third-party app measures the download speed, upload speed, and latency using a different methodology from the methodology above.  In such case, the proposal must detail</w:t>
            </w:r>
            <w:r w:rsidRPr="0007766E">
              <w:rPr>
                <w:rFonts w:eastAsia="Calibri"/>
                <w:color w:val="000000"/>
                <w:szCs w:val="22"/>
              </w:rPr>
              <w:t xml:space="preserve"> the proposed methodology and must provide a technical justification for how such methodology measures download, upload, and latency as compared to the FCC Speed Test app, described in the 2021 FCC Speed Test App Technical Description document. (Mobile Bro</w:t>
            </w:r>
            <w:r w:rsidRPr="0007766E">
              <w:rPr>
                <w:rFonts w:eastAsia="Calibri"/>
                <w:color w:val="000000"/>
                <w:szCs w:val="22"/>
              </w:rPr>
              <w:t>adband Performance, p. 15)</w:t>
            </w:r>
          </w:p>
        </w:tc>
      </w:tr>
    </w:tbl>
    <w:p w:rsidR="000944AF" w:rsidRPr="000944AF" w:rsidP="000944AF" w14:paraId="5C8D0644"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090"/>
      </w:tblGrid>
      <w:tr w14:paraId="22B377B0"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293649A1" w14:textId="77777777">
            <w:pPr>
              <w:jc w:val="center"/>
              <w:rPr>
                <w:rFonts w:eastAsia="Calibri"/>
                <w:b/>
                <w:bCs/>
                <w:szCs w:val="22"/>
              </w:rPr>
            </w:pPr>
            <w:r w:rsidRPr="0007766E">
              <w:rPr>
                <w:rFonts w:eastAsia="Calibri"/>
                <w:b/>
                <w:bCs/>
                <w:szCs w:val="22"/>
              </w:rPr>
              <w:t>Section H. Data Collection and Submission to the BDC System</w:t>
            </w:r>
          </w:p>
        </w:tc>
      </w:tr>
      <w:tr w14:paraId="50FC638F" w14:textId="77777777" w:rsidTr="0007766E">
        <w:tblPrEx>
          <w:tblW w:w="5000" w:type="pct"/>
          <w:tblLook w:val="04A0"/>
        </w:tblPrEx>
        <w:trPr>
          <w:trHeight w:val="440"/>
        </w:trPr>
        <w:tc>
          <w:tcPr>
            <w:tcW w:w="776" w:type="pct"/>
            <w:shd w:val="clear" w:color="auto" w:fill="auto"/>
            <w:vAlign w:val="center"/>
          </w:tcPr>
          <w:p w:rsidR="000944AF" w:rsidRPr="0007766E" w:rsidP="0007766E" w14:paraId="5A035861" w14:textId="77777777">
            <w:pPr>
              <w:spacing w:line="259" w:lineRule="auto"/>
              <w:jc w:val="center"/>
              <w:rPr>
                <w:rFonts w:eastAsia="Calibri"/>
                <w:b/>
                <w:bCs/>
                <w:szCs w:val="22"/>
              </w:rPr>
            </w:pPr>
            <w:r w:rsidRPr="0007766E">
              <w:rPr>
                <w:rFonts w:eastAsia="Calibri"/>
                <w:b/>
                <w:bCs/>
                <w:szCs w:val="22"/>
              </w:rPr>
              <w:t>Requirement ID</w:t>
            </w:r>
          </w:p>
        </w:tc>
        <w:tc>
          <w:tcPr>
            <w:tcW w:w="4224" w:type="pct"/>
            <w:shd w:val="clear" w:color="auto" w:fill="auto"/>
            <w:vAlign w:val="center"/>
          </w:tcPr>
          <w:p w:rsidR="000944AF" w:rsidRPr="0007766E" w:rsidP="0007766E" w14:paraId="4D6258FB" w14:textId="77777777">
            <w:pPr>
              <w:spacing w:line="259" w:lineRule="auto"/>
              <w:jc w:val="center"/>
              <w:rPr>
                <w:rFonts w:eastAsia="Calibri"/>
                <w:b/>
                <w:bCs/>
                <w:szCs w:val="22"/>
              </w:rPr>
            </w:pPr>
            <w:r w:rsidRPr="0007766E">
              <w:rPr>
                <w:rFonts w:eastAsia="Calibri"/>
                <w:b/>
                <w:bCs/>
                <w:szCs w:val="22"/>
              </w:rPr>
              <w:t>Description</w:t>
            </w:r>
          </w:p>
        </w:tc>
      </w:tr>
      <w:tr w14:paraId="732E27B1" w14:textId="77777777" w:rsidTr="0007766E">
        <w:tblPrEx>
          <w:tblW w:w="5000" w:type="pct"/>
          <w:tblLook w:val="04A0"/>
        </w:tblPrEx>
        <w:tc>
          <w:tcPr>
            <w:tcW w:w="776" w:type="pct"/>
            <w:shd w:val="clear" w:color="auto" w:fill="auto"/>
          </w:tcPr>
          <w:p w:rsidR="000944AF" w:rsidRPr="0007766E" w:rsidP="0007766E" w14:paraId="7D843EA3" w14:textId="77777777">
            <w:pPr>
              <w:spacing w:line="259" w:lineRule="auto"/>
              <w:rPr>
                <w:rFonts w:eastAsia="Calibri"/>
                <w:szCs w:val="22"/>
              </w:rPr>
            </w:pPr>
            <w:r w:rsidRPr="0007766E">
              <w:rPr>
                <w:rFonts w:eastAsia="Calibri"/>
                <w:szCs w:val="22"/>
              </w:rPr>
              <w:t>H.1</w:t>
            </w:r>
          </w:p>
        </w:tc>
        <w:tc>
          <w:tcPr>
            <w:tcW w:w="4224" w:type="pct"/>
            <w:shd w:val="clear" w:color="auto" w:fill="auto"/>
          </w:tcPr>
          <w:p w:rsidR="000944AF" w:rsidRPr="0007766E" w:rsidP="000944AF" w14:paraId="5563DD50" w14:textId="77777777">
            <w:pPr>
              <w:rPr>
                <w:rFonts w:eastAsia="Calibri"/>
                <w:szCs w:val="22"/>
              </w:rPr>
            </w:pPr>
            <w:r w:rsidRPr="0007766E">
              <w:rPr>
                <w:rFonts w:eastAsia="Calibri"/>
                <w:szCs w:val="22"/>
              </w:rPr>
              <w:t>Confirm that the app system will transmit data from the mobile devices of its end users to its data repository system after the end user completes active test measurements. (Data Collection and Submission to the BDC System, p. 15)</w:t>
            </w:r>
          </w:p>
        </w:tc>
      </w:tr>
      <w:tr w14:paraId="0F06CC32" w14:textId="77777777" w:rsidTr="0007766E">
        <w:tblPrEx>
          <w:tblW w:w="5000" w:type="pct"/>
          <w:tblLook w:val="04A0"/>
        </w:tblPrEx>
        <w:tc>
          <w:tcPr>
            <w:tcW w:w="776" w:type="pct"/>
            <w:shd w:val="clear" w:color="auto" w:fill="auto"/>
          </w:tcPr>
          <w:p w:rsidR="00FC4B46" w:rsidRPr="0007766E" w:rsidP="0007766E" w14:paraId="6881EB81" w14:textId="08A2416C">
            <w:pPr>
              <w:spacing w:line="259" w:lineRule="auto"/>
              <w:rPr>
                <w:rFonts w:ascii="Calibri" w:eastAsia="Calibri" w:hAnsi="Calibri" w:cs="Arial"/>
                <w:szCs w:val="22"/>
              </w:rPr>
            </w:pPr>
            <w:r w:rsidRPr="0007766E">
              <w:rPr>
                <w:rFonts w:eastAsia="Calibri"/>
                <w:szCs w:val="22"/>
              </w:rPr>
              <w:t>H.1.1</w:t>
            </w:r>
          </w:p>
        </w:tc>
        <w:tc>
          <w:tcPr>
            <w:tcW w:w="4224" w:type="pct"/>
            <w:shd w:val="clear" w:color="auto" w:fill="auto"/>
          </w:tcPr>
          <w:p w:rsidR="00FC4B46" w:rsidRPr="0007766E" w:rsidP="00FC4B46" w14:paraId="5B34AE12" w14:textId="53B491D8">
            <w:pPr>
              <w:rPr>
                <w:rFonts w:ascii="Calibri" w:eastAsia="Calibri" w:hAnsi="Calibri" w:cs="Arial"/>
                <w:szCs w:val="22"/>
              </w:rPr>
            </w:pPr>
            <w:r w:rsidRPr="0007766E">
              <w:rPr>
                <w:rFonts w:eastAsia="Calibri"/>
                <w:szCs w:val="22"/>
              </w:rPr>
              <w:t xml:space="preserve">Confirm that </w:t>
            </w:r>
            <w:r w:rsidRPr="0007766E">
              <w:rPr>
                <w:rFonts w:eastAsia="Calibri"/>
                <w:szCs w:val="22"/>
              </w:rPr>
              <w:t>its data repository(ies) are located with the United States, and provide the location of the data repository system. (Data Collection and Submission to the BDC System, p. 15)</w:t>
            </w:r>
          </w:p>
        </w:tc>
      </w:tr>
      <w:tr w14:paraId="6FAC1A75" w14:textId="77777777" w:rsidTr="0007766E">
        <w:tblPrEx>
          <w:tblW w:w="5000" w:type="pct"/>
          <w:tblLook w:val="04A0"/>
        </w:tblPrEx>
        <w:tc>
          <w:tcPr>
            <w:tcW w:w="776" w:type="pct"/>
            <w:shd w:val="clear" w:color="auto" w:fill="auto"/>
          </w:tcPr>
          <w:p w:rsidR="00FC4B46" w:rsidRPr="0007766E" w:rsidP="0007766E" w14:paraId="3124717D" w14:textId="514BDB7E">
            <w:pPr>
              <w:spacing w:line="259" w:lineRule="auto"/>
              <w:rPr>
                <w:rFonts w:ascii="Calibri" w:eastAsia="Calibri" w:hAnsi="Calibri" w:cs="Arial"/>
                <w:szCs w:val="22"/>
              </w:rPr>
            </w:pPr>
            <w:r w:rsidRPr="0007766E">
              <w:rPr>
                <w:rFonts w:eastAsia="Calibri"/>
                <w:szCs w:val="22"/>
              </w:rPr>
              <w:t>H.2</w:t>
            </w:r>
          </w:p>
        </w:tc>
        <w:tc>
          <w:tcPr>
            <w:tcW w:w="4224" w:type="pct"/>
            <w:shd w:val="clear" w:color="auto" w:fill="auto"/>
          </w:tcPr>
          <w:p w:rsidR="00FC4B46" w:rsidRPr="0007766E" w:rsidP="00FC4B46" w14:paraId="5E22949C" w14:textId="66304A50">
            <w:pPr>
              <w:rPr>
                <w:rFonts w:ascii="Calibri" w:eastAsia="Calibri" w:hAnsi="Calibri" w:cs="Arial"/>
                <w:szCs w:val="22"/>
              </w:rPr>
            </w:pPr>
            <w:r w:rsidRPr="0007766E">
              <w:rPr>
                <w:rFonts w:eastAsia="Calibri"/>
                <w:szCs w:val="22"/>
              </w:rPr>
              <w:t>Indicate if the app is intended for use in, and to collect data for, a limit</w:t>
            </w:r>
            <w:r w:rsidRPr="0007766E">
              <w:rPr>
                <w:rFonts w:eastAsia="Calibri"/>
                <w:szCs w:val="22"/>
              </w:rPr>
              <w:t>ed geographic area (e.g., state, city, community, etc.) rather than the entire United States. (Data Collection and Submission to the BDC System, p. 15)</w:t>
            </w:r>
          </w:p>
        </w:tc>
      </w:tr>
      <w:tr w14:paraId="55819733" w14:textId="77777777" w:rsidTr="0007766E">
        <w:tblPrEx>
          <w:tblW w:w="5000" w:type="pct"/>
          <w:tblLook w:val="04A0"/>
        </w:tblPrEx>
        <w:tc>
          <w:tcPr>
            <w:tcW w:w="776" w:type="pct"/>
            <w:shd w:val="clear" w:color="auto" w:fill="auto"/>
          </w:tcPr>
          <w:p w:rsidR="00FC4B46" w:rsidRPr="0007766E" w:rsidP="0007766E" w14:paraId="519FD079" w14:textId="659FBB39">
            <w:pPr>
              <w:spacing w:line="259" w:lineRule="auto"/>
              <w:rPr>
                <w:rFonts w:ascii="Calibri" w:eastAsia="Calibri" w:hAnsi="Calibri" w:cs="Arial"/>
                <w:szCs w:val="22"/>
              </w:rPr>
            </w:pPr>
            <w:r w:rsidRPr="0007766E">
              <w:rPr>
                <w:rFonts w:eastAsia="Calibri"/>
                <w:szCs w:val="22"/>
              </w:rPr>
              <w:t>H.2.1</w:t>
            </w:r>
          </w:p>
        </w:tc>
        <w:tc>
          <w:tcPr>
            <w:tcW w:w="4224" w:type="pct"/>
            <w:shd w:val="clear" w:color="auto" w:fill="auto"/>
          </w:tcPr>
          <w:p w:rsidR="00FC4B46" w:rsidRPr="0007766E" w:rsidP="00FC4B46" w14:paraId="7B0DA50B" w14:textId="3BDE6395">
            <w:pPr>
              <w:rPr>
                <w:rFonts w:ascii="Calibri" w:eastAsia="Calibri" w:hAnsi="Calibri" w:cs="Arial"/>
                <w:szCs w:val="22"/>
              </w:rPr>
            </w:pPr>
            <w:r w:rsidRPr="0007766E">
              <w:rPr>
                <w:rFonts w:eastAsia="Calibri"/>
                <w:szCs w:val="22"/>
              </w:rPr>
              <w:t xml:space="preserve">If applicable, provide the details of the limited geographic area (e.g., state, city, community, </w:t>
            </w:r>
            <w:r w:rsidRPr="0007766E">
              <w:rPr>
                <w:rFonts w:eastAsia="Calibri"/>
                <w:szCs w:val="22"/>
              </w:rPr>
              <w:t>and boundaries) in which the third-party app is intended for use. (Data Collection and Submission to the BDC System, p. 15)</w:t>
            </w:r>
          </w:p>
        </w:tc>
      </w:tr>
    </w:tbl>
    <w:p w:rsidR="000944AF" w:rsidRPr="000944AF" w:rsidP="000944AF" w14:paraId="4CB5A524"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090"/>
      </w:tblGrid>
      <w:tr w14:paraId="21EFE128"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76" w:type="pct"/>
            <w:shd w:val="clear" w:color="auto" w:fill="auto"/>
          </w:tcPr>
          <w:p w:rsidR="000944AF" w:rsidRPr="0007766E" w:rsidP="0007766E" w14:paraId="7FFD2087" w14:textId="77777777">
            <w:pPr>
              <w:keepNext/>
              <w:widowControl/>
              <w:rPr>
                <w:rFonts w:eastAsia="Calibri"/>
                <w:szCs w:val="22"/>
              </w:rPr>
            </w:pPr>
            <w:r w:rsidRPr="0007766E">
              <w:rPr>
                <w:rFonts w:eastAsia="Calibri"/>
                <w:szCs w:val="22"/>
              </w:rPr>
              <w:t>H.2.2</w:t>
            </w:r>
          </w:p>
        </w:tc>
        <w:tc>
          <w:tcPr>
            <w:tcW w:w="4224" w:type="pct"/>
            <w:shd w:val="clear" w:color="auto" w:fill="auto"/>
          </w:tcPr>
          <w:p w:rsidR="000944AF" w:rsidRPr="0007766E" w:rsidP="000944AF" w14:paraId="2CD5D241" w14:textId="77777777">
            <w:pPr>
              <w:rPr>
                <w:rFonts w:eastAsia="Calibri"/>
                <w:szCs w:val="22"/>
              </w:rPr>
            </w:pPr>
            <w:r w:rsidRPr="0007766E">
              <w:rPr>
                <w:rFonts w:eastAsia="Calibri"/>
                <w:szCs w:val="22"/>
              </w:rPr>
              <w:t>If applicable, describe how the app provides information to end users about the limited geographic area it covers or informa</w:t>
            </w:r>
            <w:r w:rsidRPr="0007766E">
              <w:rPr>
                <w:rFonts w:eastAsia="Calibri"/>
                <w:szCs w:val="22"/>
              </w:rPr>
              <w:t>tion about such limitations.  (Data Collection and Submission to the BDC System, p. 15)</w:t>
            </w:r>
          </w:p>
        </w:tc>
      </w:tr>
      <w:tr w14:paraId="1D6A020F" w14:textId="77777777" w:rsidTr="0007766E">
        <w:tblPrEx>
          <w:tblW w:w="5000" w:type="pct"/>
          <w:tblLook w:val="04A0"/>
        </w:tblPrEx>
        <w:tc>
          <w:tcPr>
            <w:tcW w:w="776" w:type="pct"/>
            <w:shd w:val="clear" w:color="auto" w:fill="auto"/>
          </w:tcPr>
          <w:p w:rsidR="000944AF" w:rsidRPr="0007766E" w:rsidP="000944AF" w14:paraId="0A9D7155" w14:textId="77777777">
            <w:pPr>
              <w:rPr>
                <w:rFonts w:eastAsia="Calibri"/>
                <w:szCs w:val="22"/>
              </w:rPr>
            </w:pPr>
            <w:r w:rsidRPr="0007766E">
              <w:rPr>
                <w:rFonts w:eastAsia="Calibri"/>
                <w:szCs w:val="22"/>
              </w:rPr>
              <w:t>H.2.3</w:t>
            </w:r>
          </w:p>
        </w:tc>
        <w:tc>
          <w:tcPr>
            <w:tcW w:w="4224" w:type="pct"/>
            <w:shd w:val="clear" w:color="auto" w:fill="auto"/>
          </w:tcPr>
          <w:p w:rsidR="000944AF" w:rsidRPr="0007766E" w:rsidP="000944AF" w14:paraId="55118D63" w14:textId="77777777">
            <w:pPr>
              <w:rPr>
                <w:rFonts w:eastAsia="Calibri"/>
                <w:szCs w:val="22"/>
              </w:rPr>
            </w:pPr>
            <w:r w:rsidRPr="0007766E">
              <w:rPr>
                <w:rFonts w:eastAsia="Calibri"/>
                <w:szCs w:val="22"/>
              </w:rPr>
              <w:t>If applicable, describe how the app data repository system compiles and filters the collected data to the designated area’s boundary prior to transmission to the</w:t>
            </w:r>
            <w:r w:rsidRPr="0007766E">
              <w:rPr>
                <w:rFonts w:eastAsia="Calibri"/>
                <w:szCs w:val="22"/>
              </w:rPr>
              <w:t xml:space="preserve"> BDC system. (Data Collection and Submission to the BDC System, p. 15)</w:t>
            </w:r>
          </w:p>
        </w:tc>
      </w:tr>
      <w:tr w14:paraId="085F4BF6" w14:textId="77777777" w:rsidTr="0007766E">
        <w:tblPrEx>
          <w:tblW w:w="5000" w:type="pct"/>
          <w:tblLook w:val="04A0"/>
        </w:tblPrEx>
        <w:tc>
          <w:tcPr>
            <w:tcW w:w="776" w:type="pct"/>
            <w:shd w:val="clear" w:color="auto" w:fill="auto"/>
          </w:tcPr>
          <w:p w:rsidR="000944AF" w:rsidRPr="0007766E" w:rsidP="0007766E" w14:paraId="06DDACEE" w14:textId="77777777">
            <w:pPr>
              <w:spacing w:line="259" w:lineRule="auto"/>
              <w:rPr>
                <w:rFonts w:eastAsia="Calibri"/>
                <w:szCs w:val="22"/>
              </w:rPr>
            </w:pPr>
            <w:r w:rsidRPr="0007766E">
              <w:rPr>
                <w:rFonts w:eastAsia="Calibri"/>
                <w:szCs w:val="22"/>
              </w:rPr>
              <w:t>H.3</w:t>
            </w:r>
          </w:p>
        </w:tc>
        <w:tc>
          <w:tcPr>
            <w:tcW w:w="4224" w:type="pct"/>
            <w:shd w:val="clear" w:color="auto" w:fill="auto"/>
          </w:tcPr>
          <w:p w:rsidR="000944AF" w:rsidRPr="0007766E" w:rsidP="0007766E" w14:paraId="013FD1C6" w14:textId="77777777">
            <w:pPr>
              <w:spacing w:line="259" w:lineRule="auto"/>
              <w:rPr>
                <w:rFonts w:eastAsia="Calibri"/>
                <w:szCs w:val="22"/>
              </w:rPr>
            </w:pPr>
            <w:r w:rsidRPr="0007766E">
              <w:rPr>
                <w:rFonts w:eastAsia="Calibri"/>
                <w:szCs w:val="22"/>
              </w:rPr>
              <w:t xml:space="preserve">Describe how, when mobile network connectivity is unavailable to an app end user, the app will collect and store test results and submit the results when connectivity </w:t>
            </w:r>
            <w:r w:rsidRPr="0007766E">
              <w:rPr>
                <w:rFonts w:eastAsia="Calibri"/>
                <w:szCs w:val="22"/>
              </w:rPr>
              <w:t>becomes available (i.e., “store-and-forward” capability). (Data Collection and Submission to the BDC System, p. 15)</w:t>
            </w:r>
          </w:p>
        </w:tc>
      </w:tr>
      <w:tr w14:paraId="3B62549A" w14:textId="77777777" w:rsidTr="0007766E">
        <w:tblPrEx>
          <w:tblW w:w="5000" w:type="pct"/>
          <w:tblLook w:val="04A0"/>
        </w:tblPrEx>
        <w:tc>
          <w:tcPr>
            <w:tcW w:w="776" w:type="pct"/>
            <w:shd w:val="clear" w:color="auto" w:fill="auto"/>
          </w:tcPr>
          <w:p w:rsidR="000944AF" w:rsidRPr="0007766E" w:rsidP="000944AF" w14:paraId="4AF1C43B" w14:textId="77777777">
            <w:pPr>
              <w:rPr>
                <w:rFonts w:eastAsia="Calibri"/>
                <w:szCs w:val="22"/>
              </w:rPr>
            </w:pPr>
            <w:r w:rsidRPr="0007766E">
              <w:rPr>
                <w:rFonts w:eastAsia="Calibri"/>
                <w:szCs w:val="22"/>
              </w:rPr>
              <w:t>H.4</w:t>
            </w:r>
          </w:p>
        </w:tc>
        <w:tc>
          <w:tcPr>
            <w:tcW w:w="4224" w:type="pct"/>
            <w:shd w:val="clear" w:color="auto" w:fill="auto"/>
          </w:tcPr>
          <w:p w:rsidR="000944AF" w:rsidRPr="0007766E" w:rsidP="000944AF" w14:paraId="3801E2B0" w14:textId="77777777">
            <w:pPr>
              <w:rPr>
                <w:rFonts w:eastAsia="Calibri"/>
                <w:szCs w:val="22"/>
              </w:rPr>
            </w:pPr>
            <w:r w:rsidRPr="0007766E">
              <w:rPr>
                <w:rFonts w:eastAsia="Calibri"/>
                <w:szCs w:val="22"/>
              </w:rPr>
              <w:t>Describe how often the app will transmit test results from its data repository system to the BDC system. (Data Collection and Submissio</w:t>
            </w:r>
            <w:r w:rsidRPr="0007766E">
              <w:rPr>
                <w:rFonts w:eastAsia="Calibri"/>
                <w:szCs w:val="22"/>
              </w:rPr>
              <w:t>n to the BDC System, p. 15)</w:t>
            </w:r>
          </w:p>
        </w:tc>
      </w:tr>
      <w:tr w14:paraId="55D8C8B7" w14:textId="77777777" w:rsidTr="0007766E">
        <w:tblPrEx>
          <w:tblW w:w="5000" w:type="pct"/>
          <w:tblLook w:val="04A0"/>
        </w:tblPrEx>
        <w:tc>
          <w:tcPr>
            <w:tcW w:w="776" w:type="pct"/>
            <w:shd w:val="clear" w:color="auto" w:fill="auto"/>
          </w:tcPr>
          <w:p w:rsidR="000944AF" w:rsidRPr="0007766E" w:rsidP="000944AF" w14:paraId="4654698B" w14:textId="77777777">
            <w:pPr>
              <w:rPr>
                <w:rFonts w:eastAsia="Calibri"/>
                <w:szCs w:val="22"/>
              </w:rPr>
            </w:pPr>
            <w:r w:rsidRPr="0007766E">
              <w:rPr>
                <w:rFonts w:eastAsia="Calibri"/>
                <w:szCs w:val="22"/>
              </w:rPr>
              <w:t>H.5</w:t>
            </w:r>
          </w:p>
        </w:tc>
        <w:tc>
          <w:tcPr>
            <w:tcW w:w="4224" w:type="pct"/>
            <w:shd w:val="clear" w:color="auto" w:fill="auto"/>
          </w:tcPr>
          <w:p w:rsidR="000944AF" w:rsidRPr="0007766E" w:rsidP="000944AF" w14:paraId="2F61CBEB" w14:textId="77777777">
            <w:pPr>
              <w:rPr>
                <w:rFonts w:eastAsia="Calibri"/>
                <w:szCs w:val="22"/>
              </w:rPr>
            </w:pPr>
            <w:r w:rsidRPr="0007766E">
              <w:rPr>
                <w:rFonts w:eastAsia="Calibri"/>
                <w:szCs w:val="22"/>
              </w:rPr>
              <w:t xml:space="preserve">Indicate if the test result data transmitted to the BDC system from its servers through an API in a JSON format matches the structure in accordance with the </w:t>
            </w:r>
            <w:r w:rsidRPr="0007766E">
              <w:rPr>
                <w:rFonts w:eastAsia="Calibri"/>
                <w:i/>
                <w:iCs/>
                <w:szCs w:val="22"/>
              </w:rPr>
              <w:t>BDC - Data Specifications for Mobile Speed Test Data</w:t>
            </w:r>
            <w:r w:rsidRPr="0007766E">
              <w:rPr>
                <w:rFonts w:eastAsia="Calibri"/>
                <w:szCs w:val="22"/>
              </w:rPr>
              <w:t>. (Data Collec</w:t>
            </w:r>
            <w:r w:rsidRPr="0007766E">
              <w:rPr>
                <w:rFonts w:eastAsia="Calibri"/>
                <w:szCs w:val="22"/>
              </w:rPr>
              <w:t>tion and Submission to the BDC System, p. 16)</w:t>
            </w:r>
          </w:p>
        </w:tc>
      </w:tr>
      <w:tr w14:paraId="40C62874" w14:textId="77777777" w:rsidTr="0007766E">
        <w:tblPrEx>
          <w:tblW w:w="5000" w:type="pct"/>
          <w:tblLook w:val="04A0"/>
        </w:tblPrEx>
        <w:tc>
          <w:tcPr>
            <w:tcW w:w="776" w:type="pct"/>
            <w:shd w:val="clear" w:color="auto" w:fill="auto"/>
          </w:tcPr>
          <w:p w:rsidR="000944AF" w:rsidRPr="0007766E" w:rsidP="000944AF" w14:paraId="78990638" w14:textId="77777777">
            <w:pPr>
              <w:rPr>
                <w:rFonts w:eastAsia="Calibri"/>
                <w:szCs w:val="22"/>
              </w:rPr>
            </w:pPr>
            <w:r w:rsidRPr="0007766E">
              <w:rPr>
                <w:rFonts w:eastAsia="Calibri"/>
                <w:szCs w:val="22"/>
              </w:rPr>
              <w:t>H.5.1</w:t>
            </w:r>
          </w:p>
        </w:tc>
        <w:tc>
          <w:tcPr>
            <w:tcW w:w="4224" w:type="pct"/>
            <w:shd w:val="clear" w:color="auto" w:fill="auto"/>
          </w:tcPr>
          <w:p w:rsidR="000944AF" w:rsidRPr="0007766E" w:rsidP="000944AF" w14:paraId="21908835" w14:textId="77777777">
            <w:pPr>
              <w:rPr>
                <w:rFonts w:eastAsia="Calibri"/>
                <w:szCs w:val="22"/>
              </w:rPr>
            </w:pPr>
            <w:r w:rsidRPr="0007766E">
              <w:rPr>
                <w:rFonts w:eastAsia="Calibri"/>
                <w:szCs w:val="22"/>
              </w:rPr>
              <w:t>The third-party app developer must provide sample(s) for collected data in JSON format. (Data Collection and Submission to the BDC System, p. 16)</w:t>
            </w:r>
          </w:p>
        </w:tc>
      </w:tr>
      <w:tr w14:paraId="5A6A7E46" w14:textId="77777777" w:rsidTr="0007766E">
        <w:tblPrEx>
          <w:tblW w:w="5000" w:type="pct"/>
          <w:tblLook w:val="04A0"/>
        </w:tblPrEx>
        <w:tc>
          <w:tcPr>
            <w:tcW w:w="776" w:type="pct"/>
            <w:shd w:val="clear" w:color="auto" w:fill="auto"/>
          </w:tcPr>
          <w:p w:rsidR="000944AF" w:rsidRPr="0007766E" w:rsidP="000944AF" w14:paraId="0D0AC3C2" w14:textId="77777777">
            <w:pPr>
              <w:rPr>
                <w:rFonts w:eastAsia="Calibri"/>
                <w:szCs w:val="22"/>
              </w:rPr>
            </w:pPr>
            <w:r w:rsidRPr="0007766E">
              <w:rPr>
                <w:rFonts w:eastAsia="Calibri"/>
                <w:szCs w:val="22"/>
              </w:rPr>
              <w:t>H.5.2</w:t>
            </w:r>
          </w:p>
        </w:tc>
        <w:tc>
          <w:tcPr>
            <w:tcW w:w="4224" w:type="pct"/>
            <w:shd w:val="clear" w:color="auto" w:fill="auto"/>
          </w:tcPr>
          <w:p w:rsidR="000944AF" w:rsidRPr="0007766E" w:rsidP="000944AF" w14:paraId="7104A63E" w14:textId="77777777">
            <w:pPr>
              <w:rPr>
                <w:rFonts w:eastAsia="Calibri"/>
                <w:szCs w:val="22"/>
              </w:rPr>
            </w:pPr>
            <w:r w:rsidRPr="0007766E">
              <w:rPr>
                <w:rFonts w:eastAsia="Calibri"/>
                <w:szCs w:val="22"/>
              </w:rPr>
              <w:t xml:space="preserve">Indicate if the test results other than those for </w:t>
            </w:r>
            <w:r w:rsidRPr="0007766E">
              <w:rPr>
                <w:rFonts w:eastAsia="Calibri"/>
                <w:szCs w:val="22"/>
              </w:rPr>
              <w:t>the subscribed mobile network connections (e.g., Wi-Fi) will be filtered and not transmitted to the BDC system. (Data Collection and Submission to the BDC System, p. 16)</w:t>
            </w:r>
          </w:p>
        </w:tc>
      </w:tr>
    </w:tbl>
    <w:p w:rsidR="000944AF" w:rsidRPr="000944AF" w:rsidP="000944AF" w14:paraId="427B370B" w14:textId="7777777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8125"/>
      </w:tblGrid>
      <w:tr w14:paraId="4B33C370" w14:textId="77777777" w:rsidTr="0007766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gridSpan w:val="2"/>
            <w:shd w:val="clear" w:color="auto" w:fill="D9D9D9"/>
            <w:vAlign w:val="center"/>
          </w:tcPr>
          <w:p w:rsidR="000944AF" w:rsidRPr="0007766E" w:rsidP="0007766E" w14:paraId="0BFB8541" w14:textId="77777777">
            <w:pPr>
              <w:jc w:val="center"/>
              <w:rPr>
                <w:rFonts w:eastAsia="Calibri"/>
                <w:b/>
                <w:bCs/>
                <w:szCs w:val="22"/>
              </w:rPr>
            </w:pPr>
            <w:r w:rsidRPr="0007766E">
              <w:rPr>
                <w:rFonts w:eastAsia="Calibri"/>
                <w:b/>
                <w:bCs/>
                <w:szCs w:val="22"/>
              </w:rPr>
              <w:t>Section I. Privacy Policies</w:t>
            </w:r>
          </w:p>
        </w:tc>
      </w:tr>
      <w:tr w14:paraId="0624A1B4" w14:textId="77777777" w:rsidTr="0007766E">
        <w:tblPrEx>
          <w:tblW w:w="5000" w:type="pct"/>
          <w:tblLook w:val="04A0"/>
        </w:tblPrEx>
        <w:trPr>
          <w:trHeight w:val="431"/>
        </w:trPr>
        <w:tc>
          <w:tcPr>
            <w:tcW w:w="719" w:type="pct"/>
            <w:shd w:val="clear" w:color="auto" w:fill="auto"/>
            <w:vAlign w:val="center"/>
          </w:tcPr>
          <w:p w:rsidR="000944AF" w:rsidRPr="0007766E" w:rsidP="0007766E" w14:paraId="1BDD7BB4" w14:textId="77777777">
            <w:pPr>
              <w:spacing w:line="259" w:lineRule="auto"/>
              <w:jc w:val="center"/>
              <w:rPr>
                <w:rFonts w:eastAsia="Calibri"/>
                <w:b/>
                <w:bCs/>
                <w:szCs w:val="22"/>
              </w:rPr>
            </w:pPr>
            <w:r w:rsidRPr="0007766E">
              <w:rPr>
                <w:rFonts w:eastAsia="Calibri"/>
                <w:b/>
                <w:bCs/>
                <w:szCs w:val="22"/>
              </w:rPr>
              <w:t>Requirement ID</w:t>
            </w:r>
          </w:p>
        </w:tc>
        <w:tc>
          <w:tcPr>
            <w:tcW w:w="4281" w:type="pct"/>
            <w:shd w:val="clear" w:color="auto" w:fill="auto"/>
            <w:vAlign w:val="center"/>
          </w:tcPr>
          <w:p w:rsidR="000944AF" w:rsidRPr="0007766E" w:rsidP="0007766E" w14:paraId="1ADF5DF8" w14:textId="77777777">
            <w:pPr>
              <w:spacing w:line="259" w:lineRule="auto"/>
              <w:jc w:val="center"/>
              <w:rPr>
                <w:rFonts w:eastAsia="Calibri"/>
                <w:szCs w:val="22"/>
              </w:rPr>
            </w:pPr>
            <w:r w:rsidRPr="0007766E">
              <w:rPr>
                <w:rFonts w:eastAsia="Calibri"/>
                <w:b/>
                <w:bCs/>
                <w:szCs w:val="22"/>
              </w:rPr>
              <w:t>Description</w:t>
            </w:r>
          </w:p>
        </w:tc>
      </w:tr>
      <w:tr w14:paraId="62FC2F45" w14:textId="77777777" w:rsidTr="0007766E">
        <w:tblPrEx>
          <w:tblW w:w="5000" w:type="pct"/>
          <w:tblLook w:val="04A0"/>
        </w:tblPrEx>
        <w:tc>
          <w:tcPr>
            <w:tcW w:w="719" w:type="pct"/>
            <w:shd w:val="clear" w:color="auto" w:fill="auto"/>
          </w:tcPr>
          <w:p w:rsidR="000944AF" w:rsidRPr="0007766E" w:rsidP="0007766E" w14:paraId="465C291E" w14:textId="77777777">
            <w:pPr>
              <w:spacing w:line="259" w:lineRule="auto"/>
              <w:rPr>
                <w:rFonts w:eastAsia="Calibri"/>
                <w:szCs w:val="22"/>
              </w:rPr>
            </w:pPr>
            <w:r w:rsidRPr="0007766E">
              <w:rPr>
                <w:rFonts w:eastAsia="Calibri"/>
                <w:szCs w:val="22"/>
              </w:rPr>
              <w:t>I.1</w:t>
            </w:r>
          </w:p>
        </w:tc>
        <w:tc>
          <w:tcPr>
            <w:tcW w:w="4281" w:type="pct"/>
            <w:shd w:val="clear" w:color="auto" w:fill="auto"/>
          </w:tcPr>
          <w:p w:rsidR="000944AF" w:rsidRPr="0007766E" w:rsidP="000944AF" w14:paraId="58A23C9D" w14:textId="77777777">
            <w:pPr>
              <w:rPr>
                <w:rFonts w:eastAsia="Calibri"/>
                <w:szCs w:val="22"/>
              </w:rPr>
            </w:pPr>
            <w:r w:rsidRPr="0007766E">
              <w:rPr>
                <w:rFonts w:eastAsia="Calibri"/>
                <w:color w:val="000000"/>
                <w:szCs w:val="22"/>
                <w:lang w:val="en"/>
              </w:rPr>
              <w:t xml:space="preserve">Provide the </w:t>
            </w:r>
            <w:r w:rsidRPr="0007766E">
              <w:rPr>
                <w:rFonts w:eastAsia="Calibri"/>
                <w:szCs w:val="22"/>
              </w:rPr>
              <w:t>comprehensive privacy policy, which must document the practices with respect to storage, use, and protection of challenge data. (Privacy Policies, p. 16)</w:t>
            </w:r>
          </w:p>
        </w:tc>
      </w:tr>
      <w:tr w14:paraId="2E53228A" w14:textId="77777777" w:rsidTr="0007766E">
        <w:tblPrEx>
          <w:tblW w:w="5000" w:type="pct"/>
          <w:tblLook w:val="04A0"/>
        </w:tblPrEx>
        <w:tc>
          <w:tcPr>
            <w:tcW w:w="719" w:type="pct"/>
            <w:shd w:val="clear" w:color="auto" w:fill="auto"/>
          </w:tcPr>
          <w:p w:rsidR="000944AF" w:rsidRPr="0007766E" w:rsidP="000944AF" w14:paraId="7FAE5AE8" w14:textId="77777777">
            <w:pPr>
              <w:rPr>
                <w:rFonts w:eastAsia="Calibri"/>
                <w:szCs w:val="22"/>
              </w:rPr>
            </w:pPr>
            <w:r w:rsidRPr="0007766E">
              <w:rPr>
                <w:rFonts w:eastAsia="Calibri"/>
                <w:szCs w:val="22"/>
              </w:rPr>
              <w:t>I.2</w:t>
            </w:r>
          </w:p>
        </w:tc>
        <w:tc>
          <w:tcPr>
            <w:tcW w:w="4281" w:type="pct"/>
            <w:shd w:val="clear" w:color="auto" w:fill="auto"/>
          </w:tcPr>
          <w:p w:rsidR="000944AF" w:rsidRPr="0007766E" w:rsidP="000944AF" w14:paraId="5EE26540" w14:textId="77777777">
            <w:pPr>
              <w:rPr>
                <w:rFonts w:eastAsia="Calibri"/>
                <w:color w:val="000000"/>
                <w:szCs w:val="22"/>
                <w:lang w:val="en"/>
              </w:rPr>
            </w:pPr>
            <w:r w:rsidRPr="0007766E">
              <w:rPr>
                <w:rFonts w:eastAsia="Calibri"/>
                <w:szCs w:val="22"/>
              </w:rPr>
              <w:t xml:space="preserve">Confirm that the </w:t>
            </w:r>
            <w:r w:rsidRPr="0007766E">
              <w:rPr>
                <w:rFonts w:eastAsia="Calibri"/>
                <w:color w:val="000000"/>
                <w:szCs w:val="22"/>
                <w:lang w:val="en"/>
              </w:rPr>
              <w:t>privacy policy is easily accessible clear and concise and written in plain language; that it is not overly technical, vague, opaque, or lengthy; and that it does not require specialized knowledge to understand. (Privacy Policies, p. 16)</w:t>
            </w:r>
          </w:p>
        </w:tc>
      </w:tr>
      <w:tr w14:paraId="712DBF43" w14:textId="77777777" w:rsidTr="0007766E">
        <w:tblPrEx>
          <w:tblW w:w="5000" w:type="pct"/>
          <w:tblLook w:val="04A0"/>
        </w:tblPrEx>
        <w:tc>
          <w:tcPr>
            <w:tcW w:w="719" w:type="pct"/>
            <w:shd w:val="clear" w:color="auto" w:fill="auto"/>
          </w:tcPr>
          <w:p w:rsidR="000944AF" w:rsidRPr="0007766E" w:rsidP="000944AF" w14:paraId="4660DD40" w14:textId="77777777">
            <w:pPr>
              <w:rPr>
                <w:rFonts w:eastAsia="Calibri"/>
                <w:szCs w:val="22"/>
              </w:rPr>
            </w:pPr>
            <w:r w:rsidRPr="0007766E">
              <w:rPr>
                <w:rFonts w:eastAsia="Calibri"/>
                <w:szCs w:val="22"/>
              </w:rPr>
              <w:t>I.3</w:t>
            </w:r>
          </w:p>
        </w:tc>
        <w:tc>
          <w:tcPr>
            <w:tcW w:w="4281" w:type="pct"/>
            <w:shd w:val="clear" w:color="auto" w:fill="auto"/>
          </w:tcPr>
          <w:p w:rsidR="000944AF" w:rsidRPr="0007766E" w:rsidP="000944AF" w14:paraId="0D14C748" w14:textId="77777777">
            <w:pPr>
              <w:rPr>
                <w:rFonts w:eastAsia="Calibri"/>
                <w:color w:val="000000"/>
                <w:szCs w:val="22"/>
                <w:lang w:val="en"/>
              </w:rPr>
            </w:pPr>
            <w:r w:rsidRPr="0007766E">
              <w:rPr>
                <w:rFonts w:eastAsia="Calibri"/>
                <w:color w:val="000000"/>
                <w:szCs w:val="22"/>
                <w:lang w:val="en"/>
              </w:rPr>
              <w:t>Confirm that t</w:t>
            </w:r>
            <w:r w:rsidRPr="0007766E">
              <w:rPr>
                <w:rFonts w:eastAsia="Calibri"/>
                <w:color w:val="000000"/>
                <w:szCs w:val="22"/>
                <w:lang w:val="en"/>
              </w:rPr>
              <w:t xml:space="preserve">he privacy policy includes, a high-level description of </w:t>
            </w:r>
            <w:r w:rsidRPr="0007766E">
              <w:rPr>
                <w:rFonts w:eastAsia="Calibri"/>
                <w:szCs w:val="22"/>
              </w:rPr>
              <w:t>the</w:t>
            </w:r>
            <w:r w:rsidRPr="0007766E">
              <w:rPr>
                <w:rFonts w:eastAsia="Calibri"/>
                <w:color w:val="000000"/>
                <w:szCs w:val="22"/>
                <w:lang w:val="en"/>
              </w:rPr>
              <w:t xml:space="preserve"> administrative, technical, and physical safeguards and controls that the developer has adopted to protect the PII collected by the third-party app against any hazards to confidentiality, integrity</w:t>
            </w:r>
            <w:r w:rsidRPr="0007766E">
              <w:rPr>
                <w:rFonts w:eastAsia="Calibri"/>
                <w:color w:val="000000"/>
                <w:szCs w:val="22"/>
                <w:lang w:val="en"/>
              </w:rPr>
              <w:t>, or availability</w:t>
            </w:r>
            <w:r w:rsidRPr="0007766E">
              <w:rPr>
                <w:rFonts w:eastAsia="Calibri"/>
                <w:szCs w:val="22"/>
                <w:lang w:val="en"/>
              </w:rPr>
              <w:t>.  This description must specifically address whether the third-party app developer will maintain all test data containing PII within the United States, or, if not, what alternative measures the developer is taking to ensure the security o</w:t>
            </w:r>
            <w:r w:rsidRPr="0007766E">
              <w:rPr>
                <w:rFonts w:eastAsia="Calibri"/>
                <w:szCs w:val="22"/>
                <w:lang w:val="en"/>
              </w:rPr>
              <w:t>f the data maintained in a foreign jurisdiction. (Privacy Policies, p. 16)</w:t>
            </w:r>
          </w:p>
        </w:tc>
      </w:tr>
      <w:tr w14:paraId="2A166D4B" w14:textId="77777777" w:rsidTr="0007766E">
        <w:tblPrEx>
          <w:tblW w:w="5000" w:type="pct"/>
          <w:tblLook w:val="04A0"/>
        </w:tblPrEx>
        <w:tc>
          <w:tcPr>
            <w:tcW w:w="719" w:type="pct"/>
            <w:shd w:val="clear" w:color="auto" w:fill="auto"/>
          </w:tcPr>
          <w:p w:rsidR="000944AF" w:rsidRPr="0007766E" w:rsidP="000944AF" w14:paraId="030F70B1" w14:textId="77777777">
            <w:pPr>
              <w:rPr>
                <w:rFonts w:eastAsia="Calibri"/>
                <w:szCs w:val="22"/>
              </w:rPr>
            </w:pPr>
            <w:r w:rsidRPr="0007766E">
              <w:rPr>
                <w:rFonts w:eastAsia="Calibri"/>
                <w:szCs w:val="22"/>
              </w:rPr>
              <w:t>I.4</w:t>
            </w:r>
          </w:p>
        </w:tc>
        <w:tc>
          <w:tcPr>
            <w:tcW w:w="4281" w:type="pct"/>
            <w:shd w:val="clear" w:color="auto" w:fill="auto"/>
          </w:tcPr>
          <w:p w:rsidR="000944AF" w:rsidRPr="0007766E" w:rsidP="000944AF" w14:paraId="0262F9D1" w14:textId="77777777">
            <w:pPr>
              <w:rPr>
                <w:rFonts w:eastAsia="Calibri"/>
                <w:color w:val="000000"/>
                <w:szCs w:val="22"/>
                <w:lang w:val="en"/>
              </w:rPr>
            </w:pPr>
            <w:r w:rsidRPr="0007766E">
              <w:rPr>
                <w:rFonts w:eastAsia="Calibri"/>
                <w:color w:val="000000"/>
                <w:szCs w:val="22"/>
                <w:lang w:val="en"/>
              </w:rPr>
              <w:t xml:space="preserve">Confirm that the privacy policy explains how, if at all, the third-party app developer will “use” individual challenge data, including to monetize such data (e.g., through the </w:t>
            </w:r>
            <w:r w:rsidRPr="0007766E">
              <w:rPr>
                <w:rFonts w:eastAsia="Calibri"/>
                <w:color w:val="000000"/>
                <w:szCs w:val="22"/>
                <w:lang w:val="en"/>
              </w:rPr>
              <w:t>delivery of advertisements or the promotion of other products and services). (Privacy Policies, p. 16)</w:t>
            </w:r>
          </w:p>
        </w:tc>
      </w:tr>
    </w:tbl>
    <w:p w:rsidR="007E5136" w:rsidP="007E5136" w14:paraId="447398CE" w14:textId="77777777"/>
    <w:p w:rsidR="007E5136" w:rsidRPr="007E5136" w:rsidP="00462EEB" w14:paraId="6DC7BE64" w14:textId="28CED7CD">
      <w:pPr>
        <w:widowControl/>
      </w:pPr>
      <w:r w:rsidRPr="36D4D44B">
        <w:t xml:space="preserve">Bulletin 75 Section 4 Certification on </w:t>
      </w:r>
      <w:r w:rsidRPr="36D4D44B">
        <w:rPr>
          <w:i/>
          <w:iCs/>
        </w:rPr>
        <w:t>Required Testing Parameters and Data Metrics</w:t>
      </w:r>
      <w:r w:rsidRPr="36D4D44B">
        <w:t>.  Certify and describe how the third-party app meets the data repor</w:t>
      </w:r>
      <w:r w:rsidRPr="36D4D44B">
        <w:t xml:space="preserve">ting and formatting requirements set forth in the </w:t>
      </w:r>
      <w:r w:rsidRPr="36D4D44B">
        <w:rPr>
          <w:i/>
          <w:iCs/>
        </w:rPr>
        <w:t xml:space="preserve">BDC - Data Specifications for Mobile Speed Test Data.  </w:t>
      </w:r>
      <w:r w:rsidRPr="36D4D44B">
        <w:t xml:space="preserve">Guidance for providing information on testing parameters and test metrics is outlined in Section 4 of OET Bulletin 75, </w:t>
      </w:r>
      <w:r w:rsidRPr="36D4D44B">
        <w:rPr>
          <w:i/>
          <w:iCs/>
        </w:rPr>
        <w:t>Broadband Data Collection Progra</w:t>
      </w:r>
      <w:r w:rsidRPr="36D4D44B">
        <w:rPr>
          <w:i/>
          <w:iCs/>
        </w:rPr>
        <w:t xml:space="preserve">m: Third-Party Speed Test Mobile Application Approval Process Guidance </w:t>
      </w:r>
      <w:r w:rsidRPr="36D4D44B">
        <w:t>at p</w:t>
      </w:r>
      <w:r>
        <w:t>p</w:t>
      </w:r>
      <w:r w:rsidRPr="36D4D44B">
        <w:t xml:space="preserve">. </w:t>
      </w:r>
      <w:r>
        <w:t>16</w:t>
      </w:r>
      <w:r w:rsidRPr="36D4D44B">
        <w:t>-2</w:t>
      </w:r>
      <w:r>
        <w:t>1</w:t>
      </w:r>
      <w:r w:rsidRPr="36D4D44B">
        <w:t>.</w:t>
      </w:r>
    </w:p>
    <w:sectPr w:rsidSect="00A3728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63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14:paraId="0DCD47B3"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462EEB" w14:paraId="17444A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rsidRPr="007E5136" w:rsidP="007E5136" w14:paraId="5EBCE3AE" w14:textId="2D9D2BD8">
    <w:pPr>
      <w:pStyle w:val="Footer"/>
      <w:jc w:val="center"/>
      <w:rPr>
        <w:caps/>
        <w:noProof/>
      </w:rPr>
    </w:pPr>
    <w:r w:rsidRPr="007E5136">
      <w:rPr>
        <w:caps/>
      </w:rPr>
      <w:fldChar w:fldCharType="begin"/>
    </w:r>
    <w:r w:rsidRPr="007E5136">
      <w:rPr>
        <w:caps/>
      </w:rPr>
      <w:instrText xml:space="preserve"> PAGE   \* MERGEFORMAT </w:instrText>
    </w:r>
    <w:r w:rsidRPr="007E5136">
      <w:rPr>
        <w:caps/>
      </w:rPr>
      <w:fldChar w:fldCharType="separate"/>
    </w:r>
    <w:r w:rsidRPr="007E5136">
      <w:rPr>
        <w:caps/>
        <w:noProof/>
      </w:rPr>
      <w:t>2</w:t>
    </w:r>
    <w:r w:rsidRPr="007E5136">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14:paraId="1F13E91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14:paraId="218E06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62EEB" w14:paraId="60AD3AD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14:paraId="1EA809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rsidRPr="007E5136" w:rsidP="007E5136" w14:paraId="6C8BEB63" w14:textId="1DF7AA5A">
    <w:pPr>
      <w:pStyle w:val="Footer"/>
      <w:jc w:val="center"/>
      <w:rPr>
        <w:caps/>
        <w:noProof/>
      </w:rPr>
    </w:pPr>
    <w:r w:rsidRPr="007E5136">
      <w:rPr>
        <w:caps/>
      </w:rPr>
      <w:fldChar w:fldCharType="begin"/>
    </w:r>
    <w:r w:rsidRPr="007E5136">
      <w:rPr>
        <w:caps/>
      </w:rPr>
      <w:instrText xml:space="preserve"> PAGE   \* MERGEFORMAT </w:instrText>
    </w:r>
    <w:r w:rsidRPr="007E5136">
      <w:rPr>
        <w:caps/>
      </w:rPr>
      <w:fldChar w:fldCharType="separate"/>
    </w:r>
    <w:r w:rsidRPr="007E5136">
      <w:rPr>
        <w:caps/>
        <w:noProof/>
      </w:rPr>
      <w:t>2</w:t>
    </w:r>
    <w:r w:rsidRPr="007E5136">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66E" w14:paraId="28040EB0" w14:textId="77777777">
      <w:r>
        <w:separator/>
      </w:r>
    </w:p>
  </w:footnote>
  <w:footnote w:type="continuationSeparator" w:id="1">
    <w:p w:rsidR="0007766E" w14:paraId="21DC0B37" w14:textId="77777777">
      <w:pPr>
        <w:rPr>
          <w:sz w:val="20"/>
        </w:rPr>
      </w:pPr>
      <w:r>
        <w:rPr>
          <w:sz w:val="20"/>
        </w:rPr>
        <w:t xml:space="preserve">(Continued from previous page)  </w:t>
      </w:r>
      <w:r>
        <w:rPr>
          <w:sz w:val="20"/>
        </w:rPr>
        <w:separator/>
      </w:r>
    </w:p>
  </w:footnote>
  <w:footnote w:type="continuationNotice" w:id="2">
    <w:p w:rsidR="0007766E" w14:paraId="4E9CB092" w14:textId="77777777">
      <w:pPr>
        <w:jc w:val="right"/>
        <w:rPr>
          <w:sz w:val="20"/>
        </w:rPr>
      </w:pPr>
      <w:r>
        <w:rPr>
          <w:sz w:val="20"/>
        </w:rPr>
        <w:t>(continued….)</w:t>
      </w:r>
    </w:p>
  </w:footnote>
  <w:footnote w:id="3">
    <w:p w:rsidR="00462EEB" w:rsidP="007E5136" w14:paraId="1AAF9786" w14:textId="77777777">
      <w:pPr>
        <w:pStyle w:val="FootnoteText"/>
      </w:pPr>
      <w:r w:rsidRPr="715FF7B2">
        <w:rPr>
          <w:rStyle w:val="FootnoteReference"/>
        </w:rPr>
        <w:footnoteRef/>
      </w:r>
      <w:r>
        <w:t xml:space="preserve"> Applications received after June 9, 2022 will be reviewed on a rolling basis.</w:t>
      </w:r>
    </w:p>
  </w:footnote>
  <w:footnote w:id="4">
    <w:p w:rsidR="00AC1820" w14:paraId="5614DD03" w14:textId="0DBD1E48">
      <w:pPr>
        <w:pStyle w:val="FootnoteText"/>
      </w:pPr>
      <w:r>
        <w:rPr>
          <w:rStyle w:val="FootnoteReference"/>
        </w:rPr>
        <w:footnoteRef/>
      </w:r>
      <w:r>
        <w:t xml:space="preserve"> </w:t>
      </w:r>
      <w:r w:rsidRPr="707E9CF4">
        <w:rPr>
          <w:i/>
          <w:iCs/>
        </w:rPr>
        <w:t>See</w:t>
      </w:r>
      <w:r w:rsidRPr="707E9CF4">
        <w:t xml:space="preserve"> OET Bulletin No. 75, </w:t>
      </w:r>
      <w:r w:rsidRPr="707E9CF4">
        <w:rPr>
          <w:i/>
          <w:iCs/>
        </w:rPr>
        <w:t>Broadband Data Collection Program: Third-Party Speed Test Mobile Application Approval Process Guidance</w:t>
      </w:r>
      <w:r w:rsidRPr="707E9CF4">
        <w:t xml:space="preserve">, FCC Office of Engineering and Technology, FCC/OET-75 (Apr. </w:t>
      </w:r>
      <w:r>
        <w:t>14</w:t>
      </w:r>
      <w:r w:rsidRPr="707E9CF4">
        <w:t xml:space="preserve">, 2022), available at OET - Bulletins On-line, </w:t>
      </w:r>
      <w:hyperlink r:id="rId1" w:history="1">
        <w:r w:rsidRPr="707E9CF4">
          <w:rPr>
            <w:rStyle w:val="Hyperlink"/>
          </w:rPr>
          <w:t>https://www.fcc.gov/general/oet-bulletins-line</w:t>
        </w:r>
      </w:hyperlink>
      <w:r w:rsidRPr="707E9CF4">
        <w:t>.</w:t>
      </w:r>
    </w:p>
  </w:footnote>
  <w:footnote w:id="5">
    <w:p w:rsidR="00462EEB" w:rsidRPr="00EB395C" w:rsidP="007E5136" w14:paraId="5D54B822" w14:textId="77777777">
      <w:pPr>
        <w:pStyle w:val="FootnoteText"/>
      </w:pPr>
      <w:r w:rsidRPr="715FF7B2">
        <w:rPr>
          <w:rStyle w:val="FootnoteReference"/>
        </w:rPr>
        <w:footnoteRef/>
      </w:r>
      <w:r>
        <w:t xml:space="preserve"> </w:t>
      </w:r>
      <w:r w:rsidRPr="06D059F8">
        <w:rPr>
          <w:i/>
          <w:iCs/>
        </w:rPr>
        <w:t>Establishing the Digital Opportunity Data Collection</w:t>
      </w:r>
      <w:r>
        <w:t xml:space="preserve">, WC Docket No. 19-195, </w:t>
      </w:r>
      <w:r w:rsidRPr="00580E22">
        <w:t>Order</w:t>
      </w:r>
      <w:r>
        <w:t>, DA 22-241, 2022 WL 743185 (</w:t>
      </w:r>
      <w:r w:rsidRPr="06D059F8">
        <w:rPr>
          <w:i/>
          <w:iCs/>
        </w:rPr>
        <w:t>Mobile Technical Requirements Order</w:t>
      </w:r>
      <w:r>
        <w:t>) at *48, para. 122 (2022). (“OET will release a public notice announcing the process for approving third-party apps for use in the mobile challenge process, invit</w:t>
      </w:r>
      <w:r>
        <w:t>ing third-party app proposals, and seeking comment on third-party apps being evaluated. As previously mentioned, OET will announce and publish a webpage to maintain a list of approved third-party apps and any available data specifications for third-party a</w:t>
      </w:r>
      <w:r>
        <w:t>pps.”)</w:t>
      </w:r>
    </w:p>
  </w:footnote>
  <w:footnote w:id="6">
    <w:p w:rsidR="00462EEB" w:rsidRPr="00624DF9" w:rsidP="007E5136" w14:paraId="1628E2FF" w14:textId="77777777">
      <w:pPr>
        <w:pStyle w:val="FootnoteText"/>
      </w:pPr>
      <w:r w:rsidRPr="715FF7B2">
        <w:rPr>
          <w:rStyle w:val="FootnoteReference"/>
        </w:rPr>
        <w:footnoteRef/>
      </w:r>
      <w:r>
        <w:t xml:space="preserve"> </w:t>
      </w:r>
      <w:r w:rsidRPr="00624DF9">
        <w:t>Broadband Deployment Accuracy and Technological Availability Act, Pub. L. No. 116-130, 134 Stat. 228 (2020) (codified at 47 U.S.C. §§ 641-646) (Broadband DATA Act).</w:t>
      </w:r>
    </w:p>
  </w:footnote>
  <w:footnote w:id="7">
    <w:p w:rsidR="00462EEB" w:rsidP="007E5136" w14:paraId="399900AB" w14:textId="77777777">
      <w:pPr>
        <w:pStyle w:val="FootnoteText"/>
      </w:pPr>
      <w:r w:rsidRPr="715FF7B2">
        <w:rPr>
          <w:rStyle w:val="FootnoteReference"/>
        </w:rPr>
        <w:footnoteRef/>
      </w:r>
      <w:r w:rsidRPr="00624DF9">
        <w:t xml:space="preserve"> 47 U.S.C. § 642(b)(5)(A).</w:t>
      </w:r>
    </w:p>
  </w:footnote>
  <w:footnote w:id="8">
    <w:p w:rsidR="00462EEB" w:rsidRPr="00624DF9" w:rsidP="007E5136" w14:paraId="3DBB6428" w14:textId="77777777">
      <w:pPr>
        <w:pStyle w:val="FootnoteText"/>
      </w:pPr>
      <w:r w:rsidRPr="715FF7B2">
        <w:rPr>
          <w:rStyle w:val="FootnoteReference"/>
        </w:rPr>
        <w:footnoteRef/>
      </w:r>
      <w:r w:rsidRPr="00624DF9">
        <w:t xml:space="preserve"> 47 U.S.C. § 644(b)(1).</w:t>
      </w:r>
    </w:p>
  </w:footnote>
  <w:footnote w:id="9">
    <w:p w:rsidR="00462EEB" w:rsidRPr="00624DF9" w:rsidP="007E5136" w14:paraId="58FE29AC" w14:textId="77777777">
      <w:pPr>
        <w:pStyle w:val="FootnoteText"/>
        <w:rPr>
          <w:rStyle w:val="FootnoteReference"/>
        </w:rPr>
      </w:pPr>
      <w:r w:rsidRPr="715FF7B2">
        <w:rPr>
          <w:rStyle w:val="FootnoteReference"/>
        </w:rPr>
        <w:footnoteRef/>
      </w:r>
      <w:r w:rsidRPr="00624DF9">
        <w:t xml:space="preserve"> </w:t>
      </w:r>
      <w:bookmarkStart w:id="0" w:name="_Hlk99459150"/>
      <w:r w:rsidRPr="00624DF9">
        <w:rPr>
          <w:i/>
          <w:iCs/>
        </w:rPr>
        <w:t>Establishing the Digital Op</w:t>
      </w:r>
      <w:r w:rsidRPr="00624DF9">
        <w:rPr>
          <w:i/>
          <w:iCs/>
        </w:rPr>
        <w:t>portunity Data Collection; Modernizing the FCC Form 477 Data Program</w:t>
      </w:r>
      <w:r w:rsidRPr="00624DF9">
        <w:t xml:space="preserve">, WC Docket Nos. 11-10 &amp; 19-195, Second Report and Order </w:t>
      </w:r>
      <w:bookmarkEnd w:id="0"/>
      <w:r w:rsidRPr="00624DF9">
        <w:t>and Third Further Notice of Proposed Rulemaking, 35 FCC Rcd 7460, 7488, para. 66 (2020) (</w:t>
      </w:r>
      <w:r w:rsidRPr="00624DF9">
        <w:rPr>
          <w:i/>
          <w:iCs/>
        </w:rPr>
        <w:t>Second Report and Order</w:t>
      </w:r>
      <w:r w:rsidRPr="00624DF9">
        <w:t>)</w:t>
      </w:r>
      <w:r w:rsidRPr="00624DF9">
        <w:rPr>
          <w:i/>
          <w:iCs/>
        </w:rPr>
        <w:t xml:space="preserve">. </w:t>
      </w:r>
    </w:p>
  </w:footnote>
  <w:footnote w:id="10">
    <w:p w:rsidR="00462EEB" w:rsidRPr="00624DF9" w:rsidP="007E5136" w14:paraId="29918ED7" w14:textId="77777777">
      <w:pPr>
        <w:pStyle w:val="FootnoteText"/>
      </w:pPr>
      <w:r w:rsidRPr="715FF7B2">
        <w:rPr>
          <w:rStyle w:val="FootnoteReference"/>
        </w:rPr>
        <w:footnoteRef/>
      </w:r>
      <w:r w:rsidRPr="00624DF9">
        <w:t xml:space="preserve"> </w:t>
      </w:r>
      <w:r w:rsidRPr="00624DF9">
        <w:rPr>
          <w:i/>
          <w:iCs/>
        </w:rPr>
        <w:t>Id.</w:t>
      </w:r>
      <w:r w:rsidRPr="00624DF9">
        <w:t xml:space="preserve"> at 7490, </w:t>
      </w:r>
      <w:r w:rsidRPr="00624DF9">
        <w:t>para. 72.</w:t>
      </w:r>
    </w:p>
  </w:footnote>
  <w:footnote w:id="11">
    <w:p w:rsidR="00462EEB" w:rsidRPr="00624DF9" w:rsidP="007E5136" w14:paraId="5021A266" w14:textId="77777777">
      <w:pPr>
        <w:pStyle w:val="FootnoteText"/>
        <w:rPr>
          <w:rStyle w:val="FootnoteReference"/>
        </w:rPr>
      </w:pPr>
      <w:r w:rsidRPr="715FF7B2">
        <w:rPr>
          <w:rStyle w:val="FootnoteReference"/>
        </w:rPr>
        <w:footnoteRef/>
      </w:r>
      <w:r w:rsidRPr="00624DF9">
        <w:t xml:space="preserve"> </w:t>
      </w:r>
      <w:r w:rsidRPr="00624DF9">
        <w:rPr>
          <w:i/>
          <w:iCs/>
        </w:rPr>
        <w:t>Establishing the Digital Opportunity Data Collection; Modernizing the FCC Form 477 Data Program</w:t>
      </w:r>
      <w:r w:rsidRPr="00624DF9">
        <w:t xml:space="preserve">, WC Docket Nos. 11-10 &amp; 19-195, Third Report and Order, </w:t>
      </w:r>
      <w:r w:rsidRPr="00D92E7D">
        <w:t>36 FCC Rcd 1126, 1166, para. 102 (2021)</w:t>
      </w:r>
      <w:r w:rsidRPr="00624DF9">
        <w:t xml:space="preserve"> (</w:t>
      </w:r>
      <w:r w:rsidRPr="00624DF9">
        <w:rPr>
          <w:i/>
          <w:iCs/>
        </w:rPr>
        <w:t>Third Report and Order</w:t>
      </w:r>
      <w:r w:rsidRPr="00624DF9">
        <w:t>)</w:t>
      </w:r>
      <w:r w:rsidRPr="00624DF9">
        <w:rPr>
          <w:i/>
          <w:iCs/>
        </w:rPr>
        <w:t xml:space="preserve">. </w:t>
      </w:r>
    </w:p>
  </w:footnote>
  <w:footnote w:id="12">
    <w:p w:rsidR="00462EEB" w:rsidRPr="00DE6483" w:rsidP="007E5136" w14:paraId="35600A28" w14:textId="77777777">
      <w:pPr>
        <w:pStyle w:val="FootnoteText"/>
        <w:rPr>
          <w:rStyle w:val="FootnoteReference"/>
        </w:rPr>
      </w:pPr>
      <w:r w:rsidRPr="715FF7B2">
        <w:rPr>
          <w:rStyle w:val="FootnoteReference"/>
        </w:rPr>
        <w:footnoteRef/>
      </w:r>
      <w:r w:rsidRPr="00624DF9">
        <w:t xml:space="preserve"> </w:t>
      </w:r>
      <w:r>
        <w:rPr>
          <w:i/>
          <w:iCs/>
        </w:rPr>
        <w:t>Id.</w:t>
      </w:r>
      <w:r w:rsidRPr="00D92E7D">
        <w:t xml:space="preserve"> at 1166, para. 103</w:t>
      </w:r>
      <w:r w:rsidRPr="00624DF9">
        <w:rPr>
          <w:i/>
          <w:iCs/>
        </w:rPr>
        <w:t>.</w:t>
      </w:r>
      <w:r w:rsidRPr="00624DF9">
        <w:rPr>
          <w:i/>
          <w:iCs/>
        </w:rPr>
        <w:t xml:space="preserve">  </w:t>
      </w:r>
      <w:r w:rsidRPr="00624DF9">
        <w:t xml:space="preserve">Governmental agencies and other entities are also </w:t>
      </w:r>
      <w:r w:rsidRPr="00DE6483">
        <w:t xml:space="preserve">required to submit speed-test data to support their </w:t>
      </w:r>
      <w:r>
        <w:t xml:space="preserve">mobile broadband availability </w:t>
      </w:r>
      <w:r w:rsidRPr="00DE6483">
        <w:t>challenges, and may use (but are not required to use) a Commission-approved speed test application to collect and submit s</w:t>
      </w:r>
      <w:r w:rsidRPr="00DE6483">
        <w:t xml:space="preserve">uch data.  </w:t>
      </w:r>
      <w:r w:rsidRPr="00DE6483">
        <w:rPr>
          <w:i/>
          <w:iCs/>
        </w:rPr>
        <w:t>Id</w:t>
      </w:r>
      <w:r w:rsidRPr="00DE6483">
        <w:t>. at 1171-72, paras. 116-17.</w:t>
      </w:r>
    </w:p>
  </w:footnote>
  <w:footnote w:id="13">
    <w:p w:rsidR="00462EEB" w:rsidRPr="00DE6483" w:rsidP="007E5136" w14:paraId="407277F9" w14:textId="77777777">
      <w:pPr>
        <w:pStyle w:val="FootnoteText"/>
        <w:rPr>
          <w:rStyle w:val="FootnoteReference"/>
        </w:rPr>
      </w:pPr>
      <w:r w:rsidRPr="715FF7B2">
        <w:rPr>
          <w:rStyle w:val="FootnoteReference"/>
        </w:rPr>
        <w:footnoteRef/>
      </w:r>
      <w:r w:rsidRPr="00DE6483">
        <w:t xml:space="preserve"> </w:t>
      </w:r>
      <w:r w:rsidRPr="00DE6483">
        <w:rPr>
          <w:i/>
          <w:iCs/>
        </w:rPr>
        <w:t>Id.</w:t>
      </w:r>
      <w:r w:rsidRPr="00DE6483">
        <w:t xml:space="preserve"> at 1166-67, paras. 103-04.</w:t>
      </w:r>
    </w:p>
  </w:footnote>
  <w:footnote w:id="14">
    <w:p w:rsidR="00462EEB" w:rsidRPr="00DE6483" w:rsidP="007E5136" w14:paraId="02716453" w14:textId="77777777">
      <w:pPr>
        <w:pStyle w:val="FootnoteText"/>
      </w:pPr>
      <w:r w:rsidRPr="715FF7B2">
        <w:rPr>
          <w:rStyle w:val="FootnoteReference"/>
        </w:rPr>
        <w:footnoteRef/>
      </w:r>
      <w:r w:rsidRPr="00DE6483">
        <w:t xml:space="preserve"> </w:t>
      </w:r>
      <w:r w:rsidRPr="707E9CF4">
        <w:rPr>
          <w:i/>
          <w:iCs/>
        </w:rPr>
        <w:t>Mobile Technical Requirements Order</w:t>
      </w:r>
      <w:r>
        <w:t xml:space="preserve"> at *48, para. 122</w:t>
      </w:r>
      <w:r w:rsidRPr="707E9CF4">
        <w:rPr>
          <w:i/>
          <w:iCs/>
        </w:rPr>
        <w:t>.</w:t>
      </w:r>
    </w:p>
  </w:footnote>
  <w:footnote w:id="15">
    <w:p w:rsidR="00462EEB" w:rsidRPr="004D67B5" w:rsidP="007E5136" w14:paraId="532287F6" w14:textId="77777777">
      <w:pPr>
        <w:pStyle w:val="ParaNum"/>
        <w:numPr>
          <w:ilvl w:val="0"/>
          <w:numId w:val="0"/>
        </w:numPr>
        <w:rPr>
          <w:sz w:val="20"/>
        </w:rPr>
      </w:pPr>
      <w:r w:rsidRPr="707E9CF4">
        <w:rPr>
          <w:rStyle w:val="FootnoteReference"/>
          <w:sz w:val="20"/>
        </w:rPr>
        <w:footnoteRef/>
      </w:r>
      <w:r w:rsidRPr="707E9CF4">
        <w:rPr>
          <w:sz w:val="20"/>
        </w:rPr>
        <w:t xml:space="preserve"> </w:t>
      </w:r>
      <w:r>
        <w:rPr>
          <w:i/>
          <w:iCs/>
          <w:sz w:val="20"/>
        </w:rPr>
        <w:t>Id.</w:t>
      </w:r>
      <w:r w:rsidRPr="707E9CF4">
        <w:rPr>
          <w:sz w:val="20"/>
        </w:rPr>
        <w:t xml:space="preserve"> at </w:t>
      </w:r>
      <w:r>
        <w:rPr>
          <w:sz w:val="20"/>
        </w:rPr>
        <w:t>*10</w:t>
      </w:r>
      <w:r w:rsidRPr="707E9CF4">
        <w:rPr>
          <w:sz w:val="20"/>
        </w:rPr>
        <w:t xml:space="preserve">, para. 25 (“At a later date, OET will release a public notice outlining the process for collecting, </w:t>
      </w:r>
      <w:r w:rsidRPr="707E9CF4">
        <w:rPr>
          <w:sz w:val="20"/>
        </w:rPr>
        <w:t>reviewing, and approving applications for third-party speed test apps.  In their applications, app developers will be required to describe their performance-centric speed test methodologies and how their app complies with the data collection requirements s</w:t>
      </w:r>
      <w:r w:rsidRPr="707E9CF4">
        <w:rPr>
          <w:sz w:val="20"/>
        </w:rPr>
        <w:t xml:space="preserve">et forth in this </w:t>
      </w:r>
      <w:r w:rsidRPr="707E9CF4">
        <w:rPr>
          <w:i/>
          <w:iCs/>
          <w:sz w:val="20"/>
        </w:rPr>
        <w:t>Order</w:t>
      </w:r>
      <w:r w:rsidRPr="707E9CF4">
        <w:rPr>
          <w:sz w:val="20"/>
        </w:rPr>
        <w:t>.  The OET public notice also will describe procedures for interested parties to submit comments and replies in response to the proposals and will publish on the Commission’s website a list of approved third-party apps and any availab</w:t>
      </w:r>
      <w:r w:rsidRPr="707E9CF4">
        <w:rPr>
          <w:sz w:val="20"/>
        </w:rPr>
        <w:t xml:space="preserve">le data specifications for third-party apps.” (footnote omitted)); </w:t>
      </w:r>
      <w:r w:rsidRPr="707E9CF4">
        <w:rPr>
          <w:i/>
          <w:iCs/>
          <w:sz w:val="20"/>
        </w:rPr>
        <w:t xml:space="preserve">see also id. </w:t>
      </w:r>
      <w:r w:rsidRPr="707E9CF4">
        <w:rPr>
          <w:sz w:val="20"/>
        </w:rPr>
        <w:t xml:space="preserve">at </w:t>
      </w:r>
      <w:r>
        <w:rPr>
          <w:sz w:val="20"/>
        </w:rPr>
        <w:t>*48</w:t>
      </w:r>
      <w:r w:rsidRPr="707E9CF4">
        <w:rPr>
          <w:sz w:val="20"/>
        </w:rPr>
        <w:t xml:space="preserve">, para. 122. </w:t>
      </w:r>
    </w:p>
  </w:footnote>
  <w:footnote w:id="16">
    <w:p w:rsidR="00462EEB" w:rsidP="007E5136" w14:paraId="6EC6D0F8" w14:textId="77777777">
      <w:pPr>
        <w:pStyle w:val="FootnoteText"/>
        <w:rPr>
          <w:b/>
          <w:bCs/>
        </w:rPr>
      </w:pPr>
      <w:r w:rsidRPr="715FF7B2">
        <w:rPr>
          <w:rStyle w:val="FootnoteReference"/>
        </w:rPr>
        <w:footnoteRef/>
      </w:r>
      <w:r>
        <w:t xml:space="preserve"> </w:t>
      </w:r>
      <w:r w:rsidRPr="398A8A28">
        <w:rPr>
          <w:i/>
          <w:iCs/>
        </w:rPr>
        <w:t>See</w:t>
      </w:r>
      <w:r>
        <w:t xml:space="preserve"> FCC, Measuring Mobile Broadband, </w:t>
      </w:r>
      <w:hyperlink r:id="rId2" w:history="1">
        <w:r w:rsidRPr="398A8A28">
          <w:rPr>
            <w:rStyle w:val="Hyperlink"/>
          </w:rPr>
          <w:t>https://www.fcc.gov/general/measur</w:t>
        </w:r>
        <w:r w:rsidRPr="398A8A28">
          <w:rPr>
            <w:rStyle w:val="Hyperlink"/>
          </w:rPr>
          <w:t>ing-mobile-broadband-performance</w:t>
        </w:r>
      </w:hyperlink>
      <w:r>
        <w:t>.</w:t>
      </w:r>
    </w:p>
  </w:footnote>
  <w:footnote w:id="17">
    <w:p w:rsidR="00462EEB" w:rsidP="007E5136" w14:paraId="5C4B9A73" w14:textId="77777777">
      <w:pPr>
        <w:spacing w:after="120"/>
      </w:pPr>
      <w:r w:rsidRPr="0A15650F">
        <w:rPr>
          <w:sz w:val="20"/>
          <w:vertAlign w:val="superscript"/>
        </w:rPr>
        <w:footnoteRef/>
      </w:r>
      <w:r w:rsidRPr="57374B8D">
        <w:rPr>
          <w:sz w:val="20"/>
        </w:rPr>
        <w:t xml:space="preserve"> </w:t>
      </w:r>
      <w:r w:rsidRPr="707E9CF4">
        <w:rPr>
          <w:i/>
          <w:iCs/>
          <w:sz w:val="20"/>
        </w:rPr>
        <w:t>See Mobile Technical Requirements Order</w:t>
      </w:r>
      <w:r w:rsidRPr="707E9CF4">
        <w:rPr>
          <w:sz w:val="20"/>
        </w:rPr>
        <w:t xml:space="preserve"> at </w:t>
      </w:r>
      <w:r>
        <w:rPr>
          <w:sz w:val="20"/>
        </w:rPr>
        <w:t>*7</w:t>
      </w:r>
      <w:r w:rsidRPr="707E9CF4">
        <w:rPr>
          <w:sz w:val="20"/>
        </w:rPr>
        <w:t>, para. 18 &amp; n.73.</w:t>
      </w:r>
    </w:p>
  </w:footnote>
  <w:footnote w:id="18">
    <w:p w:rsidR="00462EEB" w:rsidP="007E5136" w14:paraId="5B711E65" w14:textId="77777777">
      <w:pPr>
        <w:pStyle w:val="FootnoteText"/>
      </w:pPr>
      <w:r w:rsidRPr="715FF7B2">
        <w:rPr>
          <w:rStyle w:val="FootnoteReference"/>
        </w:rPr>
        <w:footnoteRef/>
      </w:r>
      <w:r>
        <w:t xml:space="preserve"> </w:t>
      </w:r>
      <w:r w:rsidRPr="00C27970">
        <w:rPr>
          <w:i/>
          <w:iCs/>
        </w:rPr>
        <w:t>I</w:t>
      </w:r>
      <w:r>
        <w:rPr>
          <w:i/>
          <w:iCs/>
        </w:rPr>
        <w:t>d.</w:t>
      </w:r>
      <w:r w:rsidRPr="707E9CF4">
        <w:rPr>
          <w:i/>
          <w:iCs/>
        </w:rPr>
        <w:t xml:space="preserve"> </w:t>
      </w:r>
      <w:r>
        <w:t>at *48, para. 122.</w:t>
      </w:r>
    </w:p>
  </w:footnote>
  <w:footnote w:id="19">
    <w:p w:rsidR="00462EEB" w:rsidP="007E5136" w14:paraId="1DA7E2C2" w14:textId="77777777">
      <w:pPr>
        <w:spacing w:after="120"/>
        <w:rPr>
          <w:sz w:val="20"/>
        </w:rPr>
      </w:pPr>
      <w:r w:rsidRPr="707E9CF4">
        <w:rPr>
          <w:sz w:val="20"/>
          <w:vertAlign w:val="superscript"/>
        </w:rPr>
        <w:footnoteRef/>
      </w:r>
      <w:r w:rsidRPr="707E9CF4">
        <w:rPr>
          <w:sz w:val="20"/>
        </w:rPr>
        <w:t xml:space="preserve"> </w:t>
      </w:r>
      <w:r>
        <w:rPr>
          <w:i/>
          <w:iCs/>
          <w:sz w:val="20"/>
        </w:rPr>
        <w:t>Id.</w:t>
      </w:r>
      <w:r w:rsidRPr="707E9CF4">
        <w:rPr>
          <w:sz w:val="20"/>
        </w:rPr>
        <w:t xml:space="preserve"> at </w:t>
      </w:r>
      <w:r w:rsidRPr="16D43491">
        <w:rPr>
          <w:sz w:val="20"/>
        </w:rPr>
        <w:t>*</w:t>
      </w:r>
      <w:r>
        <w:rPr>
          <w:sz w:val="20"/>
        </w:rPr>
        <w:t>6, para. 14 (“The Commission directed OET, in consultation with OEA and WTB, to update the FCC Speed Test app as necessar</w:t>
      </w:r>
      <w:r>
        <w:rPr>
          <w:sz w:val="20"/>
        </w:rPr>
        <w:t xml:space="preserve">y or develop a new speed test app to collect the designated metrics, so that [mobile] challengers may use it in the [mobile] challenge process.”); </w:t>
      </w:r>
      <w:r>
        <w:rPr>
          <w:i/>
          <w:iCs/>
          <w:sz w:val="20"/>
        </w:rPr>
        <w:t xml:space="preserve">see also id. </w:t>
      </w:r>
      <w:r>
        <w:rPr>
          <w:sz w:val="20"/>
        </w:rPr>
        <w:t>at *9</w:t>
      </w:r>
      <w:r w:rsidRPr="707E9CF4">
        <w:rPr>
          <w:sz w:val="20"/>
        </w:rPr>
        <w:t xml:space="preserve">, para. 22 (“OET recently released a technical description of the metrics and </w:t>
      </w:r>
      <w:r w:rsidRPr="707E9CF4">
        <w:rPr>
          <w:sz w:val="20"/>
        </w:rPr>
        <w:t>methodologies used in the current version of the FCC Speed Test app.  The revised technical description document includes updated technical standards and additional modifications.  While this document does not illustrate future user experience design chang</w:t>
      </w:r>
      <w:r w:rsidRPr="707E9CF4">
        <w:rPr>
          <w:sz w:val="20"/>
        </w:rPr>
        <w:t>es to the FCC Speed Test app that will be made to implement the challenge and crowdsource functionalities, we anticipate that the fundamental measurement methodologies reflected in the recently updated technical description document will not be affected by</w:t>
      </w:r>
      <w:r w:rsidRPr="707E9CF4">
        <w:rPr>
          <w:sz w:val="20"/>
        </w:rPr>
        <w:t xml:space="preserve"> these design updates.” (footnote omitted)).</w:t>
      </w:r>
    </w:p>
  </w:footnote>
  <w:footnote w:id="20">
    <w:p w:rsidR="00462EEB" w:rsidP="007E5136" w14:paraId="4CB2ECB1" w14:textId="77777777">
      <w:pPr>
        <w:pStyle w:val="FootnoteText"/>
      </w:pPr>
      <w:r w:rsidRPr="715FF7B2">
        <w:rPr>
          <w:rStyle w:val="FootnoteReference"/>
        </w:rPr>
        <w:footnoteRef/>
      </w:r>
      <w:r w:rsidRPr="7A75C82D">
        <w:t xml:space="preserve"> </w:t>
      </w:r>
      <w:r>
        <w:rPr>
          <w:i/>
          <w:iCs/>
        </w:rPr>
        <w:t>Id.</w:t>
      </w:r>
      <w:r w:rsidRPr="007E5136">
        <w:rPr>
          <w:color w:val="000000"/>
        </w:rPr>
        <w:t xml:space="preserve"> at *10, para. 25 (“At a later date, OET will release a public notice outlining the process for collecting, reviewing, and approving applications for third-party speed test apps.  In their applications, app</w:t>
      </w:r>
      <w:r w:rsidRPr="007E5136">
        <w:rPr>
          <w:color w:val="000000"/>
        </w:rPr>
        <w:t xml:space="preserve"> developers will be required to describe their performance-centric speed test methodologies and how their app complies with the data collection requirements set forth in this </w:t>
      </w:r>
      <w:r w:rsidRPr="007E5136">
        <w:rPr>
          <w:i/>
          <w:iCs/>
          <w:color w:val="000000"/>
        </w:rPr>
        <w:t>Order</w:t>
      </w:r>
      <w:r w:rsidRPr="007E5136">
        <w:rPr>
          <w:color w:val="000000"/>
        </w:rPr>
        <w:t>.”).</w:t>
      </w:r>
    </w:p>
  </w:footnote>
  <w:footnote w:id="21">
    <w:p w:rsidR="00462EEB" w:rsidRPr="006E637C" w:rsidP="007E5136" w14:paraId="072F0F55" w14:textId="77777777">
      <w:pPr>
        <w:pStyle w:val="FootnoteText"/>
      </w:pPr>
      <w:r w:rsidRPr="006E637C">
        <w:rPr>
          <w:rStyle w:val="FootnoteReference"/>
        </w:rPr>
        <w:footnoteRef/>
      </w:r>
      <w:r w:rsidRPr="006E637C">
        <w:t xml:space="preserve"> </w:t>
      </w:r>
      <w:r w:rsidRPr="006E637C">
        <w:rPr>
          <w:i/>
          <w:iCs/>
        </w:rPr>
        <w:t>Third Report and Order</w:t>
      </w:r>
      <w:r w:rsidRPr="006E637C">
        <w:t xml:space="preserve">, 36 FCC Rcd 1126; </w:t>
      </w:r>
      <w:r w:rsidRPr="006E637C">
        <w:rPr>
          <w:i/>
          <w:iCs/>
        </w:rPr>
        <w:t>Second Order and Third Furth</w:t>
      </w:r>
      <w:r w:rsidRPr="006E637C">
        <w:rPr>
          <w:i/>
          <w:iCs/>
        </w:rPr>
        <w:t>er Notice</w:t>
      </w:r>
      <w:r w:rsidRPr="006E637C">
        <w:t xml:space="preserve">, 35 FCC Rcd 7460. </w:t>
      </w:r>
    </w:p>
  </w:footnote>
  <w:footnote w:id="22">
    <w:p w:rsidR="00462EEB" w:rsidRPr="006E637C" w:rsidP="007E5136" w14:paraId="336BD8DE" w14:textId="77777777">
      <w:pPr>
        <w:pStyle w:val="FootnoteText"/>
      </w:pPr>
      <w:r w:rsidRPr="006E637C">
        <w:rPr>
          <w:rStyle w:val="FootnoteReference"/>
        </w:rPr>
        <w:footnoteRef/>
      </w:r>
      <w:r w:rsidRPr="006E637C">
        <w:t xml:space="preserve"> </w:t>
      </w:r>
      <w:r w:rsidRPr="006E637C">
        <w:rPr>
          <w:i/>
          <w:iCs/>
        </w:rPr>
        <w:t>See Mobile Technical Requirements Order</w:t>
      </w:r>
      <w:r w:rsidRPr="006E637C">
        <w:t>.</w:t>
      </w:r>
    </w:p>
  </w:footnote>
  <w:footnote w:id="23">
    <w:p w:rsidR="00462EEB" w:rsidRPr="006E637C" w:rsidP="007E5136" w14:paraId="4B6B7DD6" w14:textId="77777777">
      <w:pPr>
        <w:pStyle w:val="FootnoteText"/>
      </w:pPr>
      <w:r w:rsidRPr="006E637C">
        <w:rPr>
          <w:rStyle w:val="FootnoteReference"/>
        </w:rPr>
        <w:footnoteRef/>
      </w:r>
      <w:r w:rsidRPr="006E637C">
        <w:t xml:space="preserve"> </w:t>
      </w:r>
      <w:r w:rsidRPr="006E637C">
        <w:rPr>
          <w:i/>
          <w:iCs/>
        </w:rPr>
        <w:t>Broadband Data Task Force and Office of Economics and Analytics Publish Additional Data Specifications for the Submission of Mobile Speed Test and Infrastructure Data into the Broadb</w:t>
      </w:r>
      <w:r w:rsidRPr="006E637C">
        <w:rPr>
          <w:i/>
          <w:iCs/>
        </w:rPr>
        <w:t>and Data Collection</w:t>
      </w:r>
      <w:r w:rsidRPr="006E637C">
        <w:t xml:space="preserve">, Public Notice, DA 22-242, at 1 (OEA Mar. 9, 2022); </w:t>
      </w:r>
      <w:r w:rsidRPr="006E637C">
        <w:rPr>
          <w:rFonts w:eastAsia="Calibri"/>
        </w:rPr>
        <w:t xml:space="preserve">FCC, Broadband Data Collection Data Specifications for Mobile Speed Test Data </w:t>
      </w:r>
      <w:r w:rsidRPr="006E637C">
        <w:t>(2022),</w:t>
      </w:r>
      <w:r w:rsidRPr="006E637C">
        <w:rPr>
          <w:rFonts w:eastAsia="Calibri"/>
        </w:rPr>
        <w:t xml:space="preserve"> </w:t>
      </w:r>
      <w:hyperlink r:id="rId3" w:history="1">
        <w:r w:rsidRPr="006E637C">
          <w:rPr>
            <w:rStyle w:val="Hyperlink"/>
          </w:rPr>
          <w:t>https://us-fcc.app.box.com/</w:t>
        </w:r>
        <w:r w:rsidRPr="006E637C">
          <w:rPr>
            <w:rStyle w:val="Hyperlink"/>
          </w:rPr>
          <w:t>v/bdc-mobile-speedtest-spec</w:t>
        </w:r>
      </w:hyperlink>
      <w:r w:rsidRPr="006E637C">
        <w:rPr>
          <w:rFonts w:eastAsia="Calibri"/>
        </w:rPr>
        <w:t xml:space="preserve"> (</w:t>
      </w:r>
      <w:r w:rsidRPr="006E637C">
        <w:rPr>
          <w:rFonts w:eastAsia="Calibri"/>
          <w:i/>
          <w:iCs/>
        </w:rPr>
        <w:t>BDC - Data Specifications for Mobile Speed Test Data</w:t>
      </w:r>
      <w:r w:rsidRPr="006E637C">
        <w:rPr>
          <w:rFonts w:eastAsia="Calibri"/>
        </w:rPr>
        <w:t xml:space="preserve">).  </w:t>
      </w:r>
      <w:r w:rsidRPr="006E637C">
        <w:t xml:space="preserve">In the </w:t>
      </w:r>
      <w:r w:rsidRPr="006E637C">
        <w:rPr>
          <w:i/>
          <w:iCs/>
        </w:rPr>
        <w:t>Mobile Technical Requirements Order</w:t>
      </w:r>
      <w:r w:rsidRPr="006E637C">
        <w:t>, OEA, WTB, and OET stated that they “require on-the-ground challenge test data to include all other metrics required per the mos</w:t>
      </w:r>
      <w:r w:rsidRPr="006E637C">
        <w:t xml:space="preserve">t recent specification for mobile test data.”  </w:t>
      </w:r>
      <w:r w:rsidRPr="006E637C">
        <w:rPr>
          <w:i/>
          <w:iCs/>
        </w:rPr>
        <w:t>Mobile Technical Requirements Order</w:t>
      </w:r>
      <w:r w:rsidRPr="006E637C">
        <w:t xml:space="preserve"> at *7, para. 18 (“Finally, we require on-the-ground challenge test data to include all other metrics required per the most recent specification for mobile test data . . . .”</w:t>
      </w:r>
      <w:r w:rsidRPr="006E637C">
        <w:t xml:space="preserve">); </w:t>
      </w:r>
      <w:r w:rsidRPr="006E637C">
        <w:rPr>
          <w:i/>
          <w:iCs/>
        </w:rPr>
        <w:t>id.</w:t>
      </w:r>
      <w:r w:rsidRPr="006E637C">
        <w:t xml:space="preserve"> at *7, para. 18 &amp; n.73 (stating that “[t]he specification for speed test data includes additional fields derived from the high-level metrics defined herein, as well as other identifiers to facilitate management of the submission of such data”).</w:t>
      </w:r>
    </w:p>
  </w:footnote>
  <w:footnote w:id="24">
    <w:p w:rsidR="00462EEB" w:rsidRPr="006E637C" w:rsidP="007E5136" w14:paraId="75C755A1" w14:textId="77777777">
      <w:pPr>
        <w:pStyle w:val="FootnoteText"/>
      </w:pPr>
      <w:r w:rsidRPr="006E637C">
        <w:rPr>
          <w:rStyle w:val="FootnoteReference"/>
        </w:rPr>
        <w:footnoteRef/>
      </w:r>
      <w:r w:rsidRPr="006E637C">
        <w:t xml:space="preserve"> </w:t>
      </w:r>
      <w:r w:rsidRPr="006E637C">
        <w:rPr>
          <w:i/>
          <w:iCs/>
        </w:rPr>
        <w:t>Se</w:t>
      </w:r>
      <w:r w:rsidRPr="006E637C">
        <w:rPr>
          <w:i/>
          <w:iCs/>
        </w:rPr>
        <w:t xml:space="preserve">e </w:t>
      </w:r>
      <w:r w:rsidRPr="006E637C">
        <w:t>47 CFR § 0.459.  Pursuant to instructions regarding the submission of confidential materials during the COVID-19 pandemic, those filers wishing to request confidential treatment are directed to contact FCC OET staff for instructions on how to upload unre</w:t>
      </w:r>
      <w:r w:rsidRPr="006E637C">
        <w:t>dacted confidential submissions via Box or may e-mail an electronic version of the document or materials (provided the documents are password protected) to FCC staff and provide the password to FCC staff via telephone or in a separate e-mail.  A redacted v</w:t>
      </w:r>
      <w:r w:rsidRPr="006E637C">
        <w:t xml:space="preserve">ersion of the confidential submission should be filed through ECFS.  </w:t>
      </w:r>
      <w:r w:rsidRPr="006E637C">
        <w:rPr>
          <w:i/>
          <w:iCs/>
        </w:rPr>
        <w:t>FCC Provides Further Instructions Regarding Submission of Confidential Materials</w:t>
      </w:r>
      <w:r w:rsidRPr="006E637C">
        <w:t>. Public Notice, DA 20-361, 35 FCC Rcd 2973 (2020).</w:t>
      </w:r>
    </w:p>
  </w:footnote>
  <w:footnote w:id="25">
    <w:p w:rsidR="00462EEB" w:rsidRPr="007E5136" w:rsidP="007E5136" w14:paraId="7B2CE7FD" w14:textId="77777777">
      <w:pPr>
        <w:pStyle w:val="ParaNum"/>
        <w:numPr>
          <w:ilvl w:val="0"/>
          <w:numId w:val="0"/>
        </w:numPr>
        <w:rPr>
          <w:color w:val="000000"/>
          <w:sz w:val="20"/>
        </w:rPr>
      </w:pPr>
      <w:r w:rsidRPr="006E637C">
        <w:rPr>
          <w:rStyle w:val="FootnoteReference"/>
          <w:sz w:val="20"/>
        </w:rPr>
        <w:footnoteRef/>
      </w:r>
      <w:r w:rsidRPr="006E637C">
        <w:rPr>
          <w:sz w:val="20"/>
        </w:rPr>
        <w:t xml:space="preserve"> </w:t>
      </w:r>
      <w:r w:rsidRPr="006E637C">
        <w:rPr>
          <w:i/>
          <w:iCs/>
          <w:sz w:val="20"/>
        </w:rPr>
        <w:t xml:space="preserve">Mobile Technical </w:t>
      </w:r>
      <w:r w:rsidRPr="007E5136">
        <w:rPr>
          <w:i/>
          <w:iCs/>
          <w:color w:val="000000"/>
          <w:sz w:val="20"/>
        </w:rPr>
        <w:t>Requirements Order</w:t>
      </w:r>
      <w:r w:rsidRPr="007E5136">
        <w:rPr>
          <w:color w:val="000000"/>
          <w:sz w:val="20"/>
        </w:rPr>
        <w:t xml:space="preserve"> at *10, para. 25.</w:t>
      </w:r>
    </w:p>
  </w:footnote>
  <w:footnote w:id="26">
    <w:p w:rsidR="00462EEB" w:rsidRPr="007E5136" w:rsidP="007E5136" w14:paraId="04CCC156" w14:textId="77777777">
      <w:pPr>
        <w:pStyle w:val="ParaNum"/>
        <w:numPr>
          <w:ilvl w:val="0"/>
          <w:numId w:val="0"/>
        </w:numPr>
        <w:rPr>
          <w:color w:val="000000"/>
          <w:sz w:val="20"/>
        </w:rPr>
      </w:pPr>
      <w:r w:rsidRPr="006E637C">
        <w:rPr>
          <w:rStyle w:val="FootnoteReference"/>
          <w:sz w:val="20"/>
        </w:rPr>
        <w:footnoteRef/>
      </w:r>
      <w:r w:rsidRPr="006E637C">
        <w:rPr>
          <w:sz w:val="20"/>
        </w:rPr>
        <w:t xml:space="preserve"> </w:t>
      </w:r>
      <w:r>
        <w:rPr>
          <w:i/>
          <w:iCs/>
          <w:sz w:val="20"/>
        </w:rPr>
        <w:t>Id.</w:t>
      </w:r>
      <w:r w:rsidRPr="006E637C">
        <w:rPr>
          <w:sz w:val="20"/>
        </w:rPr>
        <w:t xml:space="preserve"> at *10, para. 25 (stating that “</w:t>
      </w:r>
      <w:r w:rsidRPr="007E5136">
        <w:rPr>
          <w:color w:val="000000"/>
          <w:sz w:val="20"/>
        </w:rPr>
        <w:t xml:space="preserve">app developers will be required to describe . . . how their app complies with the data collection requirements set forth in this </w:t>
      </w:r>
      <w:r w:rsidRPr="007E5136">
        <w:rPr>
          <w:i/>
          <w:iCs/>
          <w:color w:val="000000"/>
          <w:sz w:val="20"/>
        </w:rPr>
        <w:t>Order</w:t>
      </w:r>
      <w:r w:rsidRPr="007E5136">
        <w:rPr>
          <w:color w:val="000000"/>
          <w:sz w:val="20"/>
        </w:rPr>
        <w:t>”);</w:t>
      </w:r>
      <w:r w:rsidRPr="006E637C">
        <w:rPr>
          <w:sz w:val="20"/>
        </w:rPr>
        <w:t xml:space="preserve"> </w:t>
      </w:r>
      <w:r w:rsidRPr="006E637C">
        <w:rPr>
          <w:i/>
          <w:iCs/>
          <w:sz w:val="20"/>
        </w:rPr>
        <w:t>see also</w:t>
      </w:r>
      <w:r w:rsidRPr="006E637C">
        <w:rPr>
          <w:sz w:val="20"/>
        </w:rPr>
        <w:t xml:space="preserve"> 47 CFR § 1.7006.</w:t>
      </w:r>
    </w:p>
  </w:footnote>
  <w:footnote w:id="27">
    <w:p w:rsidR="00462EEB" w:rsidRPr="006E637C" w:rsidP="007E5136" w14:paraId="3E21AD6D" w14:textId="77777777">
      <w:pPr>
        <w:pStyle w:val="FootnoteText"/>
      </w:pPr>
      <w:r w:rsidRPr="006E637C">
        <w:rPr>
          <w:rStyle w:val="FootnoteReference"/>
        </w:rPr>
        <w:footnoteRef/>
      </w:r>
      <w:r w:rsidRPr="006E637C">
        <w:rPr>
          <w:i/>
        </w:rPr>
        <w:t xml:space="preserve"> </w:t>
      </w:r>
      <w:r w:rsidRPr="006E637C">
        <w:rPr>
          <w:i/>
          <w:iCs/>
        </w:rPr>
        <w:t>Second Report and Order; Third Re</w:t>
      </w:r>
      <w:r w:rsidRPr="006E637C">
        <w:rPr>
          <w:i/>
          <w:iCs/>
        </w:rPr>
        <w:t>port and Order.</w:t>
      </w:r>
      <w:r w:rsidRPr="006E637C">
        <w:t xml:space="preserve"> </w:t>
      </w:r>
    </w:p>
  </w:footnote>
  <w:footnote w:id="28">
    <w:p w:rsidR="00462EEB" w:rsidRPr="006E637C" w:rsidP="007E5136" w14:paraId="2D06F661" w14:textId="77777777">
      <w:pPr>
        <w:pStyle w:val="FootnoteText"/>
      </w:pPr>
      <w:r w:rsidRPr="006E637C">
        <w:rPr>
          <w:rStyle w:val="FootnoteReference"/>
        </w:rPr>
        <w:footnoteRef/>
      </w:r>
      <w:r w:rsidRPr="006E637C">
        <w:t xml:space="preserve"> </w:t>
      </w:r>
      <w:r w:rsidRPr="006E637C">
        <w:rPr>
          <w:i/>
          <w:iCs/>
        </w:rPr>
        <w:t>See</w:t>
      </w:r>
      <w:r w:rsidRPr="006E637C">
        <w:t xml:space="preserve"> </w:t>
      </w:r>
      <w:r w:rsidRPr="006E637C">
        <w:rPr>
          <w:i/>
          <w:iCs/>
        </w:rPr>
        <w:t>BDC - Data Specifications for Mobile Speed Test Data,</w:t>
      </w:r>
      <w:r w:rsidRPr="006E637C">
        <w:t xml:space="preserve"> </w:t>
      </w:r>
      <w:hyperlink r:id="rId3" w:history="1">
        <w:r w:rsidRPr="006E637C">
          <w:rPr>
            <w:rStyle w:val="Hyperlink"/>
          </w:rPr>
          <w:t>https://us-fcc.app.box.com/v/bdc-mobile-speedtest-spec</w:t>
        </w:r>
      </w:hyperlink>
      <w:r w:rsidRPr="006E637C">
        <w:t>.</w:t>
      </w:r>
    </w:p>
  </w:footnote>
  <w:footnote w:id="29">
    <w:p w:rsidR="00462EEB" w:rsidRPr="006E637C" w:rsidP="007E5136" w14:paraId="7F26C186" w14:textId="77777777">
      <w:pPr>
        <w:pStyle w:val="FootnoteText"/>
      </w:pPr>
      <w:r w:rsidRPr="006E637C">
        <w:rPr>
          <w:rStyle w:val="FootnoteReference"/>
        </w:rPr>
        <w:footnoteRef/>
      </w:r>
      <w:r w:rsidRPr="006E637C">
        <w:rPr>
          <w:i/>
        </w:rPr>
        <w:t xml:space="preserve"> </w:t>
      </w:r>
      <w:r w:rsidRPr="006E637C">
        <w:rPr>
          <w:i/>
          <w:iCs/>
        </w:rPr>
        <w:t>Mobile Technical Requirements Order</w:t>
      </w:r>
      <w:r w:rsidRPr="006E637C">
        <w:t xml:space="preserve"> at *10, para. </w:t>
      </w:r>
      <w:r w:rsidRPr="006E637C">
        <w:t xml:space="preserve">26; </w:t>
      </w:r>
      <w:r w:rsidRPr="006E637C">
        <w:rPr>
          <w:i/>
          <w:iCs/>
        </w:rPr>
        <w:t>id.</w:t>
      </w:r>
      <w:r w:rsidRPr="006E637C">
        <w:t xml:space="preserve"> at *48, para. 122.</w:t>
      </w:r>
    </w:p>
  </w:footnote>
  <w:footnote w:id="30">
    <w:p w:rsidR="00462EEB" w:rsidP="007E5136" w14:paraId="0CDB2D2A" w14:textId="77777777">
      <w:pPr>
        <w:pStyle w:val="FootnoteText"/>
      </w:pPr>
      <w:r w:rsidRPr="006E637C">
        <w:rPr>
          <w:rStyle w:val="FootnoteReference"/>
        </w:rPr>
        <w:footnoteRef/>
      </w:r>
      <w:r w:rsidRPr="006E637C">
        <w:rPr>
          <w:i/>
        </w:rPr>
        <w:t xml:space="preserve"> </w:t>
      </w:r>
      <w:r>
        <w:rPr>
          <w:i/>
          <w:iCs/>
        </w:rPr>
        <w:t>Id.</w:t>
      </w:r>
      <w:r w:rsidRPr="006E637C">
        <w:t xml:space="preserve"> at *10, para. 26.</w:t>
      </w:r>
    </w:p>
  </w:footnote>
  <w:footnote w:id="31">
    <w:p w:rsidR="00462EEB" w:rsidP="007E5136" w14:paraId="4F6064EC" w14:textId="77777777">
      <w:pPr>
        <w:pStyle w:val="FootnoteText"/>
      </w:pPr>
      <w:r w:rsidRPr="06178CC8">
        <w:rPr>
          <w:rStyle w:val="FootnoteReference"/>
        </w:rPr>
        <w:footnoteRef/>
      </w:r>
      <w:r w:rsidRPr="06178CC8">
        <w:rPr>
          <w:i/>
        </w:rPr>
        <w:t xml:space="preserve"> </w:t>
      </w:r>
      <w:r>
        <w:rPr>
          <w:i/>
          <w:iCs/>
        </w:rPr>
        <w:t>Id.</w:t>
      </w:r>
      <w:r w:rsidRPr="62B263A3">
        <w:t xml:space="preserve"> </w:t>
      </w:r>
      <w:r>
        <w:t>at *47, para. 120 (“The FCC Speed Test app’s test system architecture implements dedicated off-net servers hosted by a Content Delivery Network (CDN) to provide robust and reproducible test results f</w:t>
      </w:r>
      <w:r>
        <w:t>or effective representation of network performance. The test servers are deployed at Tier 1 major peering/transit locations to minimize bias which is a practical approach to measure network performance.”).</w:t>
      </w:r>
    </w:p>
  </w:footnote>
  <w:footnote w:id="32">
    <w:p w:rsidR="00462EEB" w:rsidP="007E5136" w14:paraId="400C8235" w14:textId="77777777">
      <w:pPr>
        <w:pStyle w:val="FootnoteText"/>
      </w:pPr>
      <w:r w:rsidRPr="00C91702">
        <w:rPr>
          <w:rStyle w:val="FootnoteReference"/>
          <w:szCs w:val="18"/>
        </w:rPr>
        <w:footnoteRef/>
      </w:r>
      <w:r>
        <w:t xml:space="preserve"> </w:t>
      </w:r>
      <w:r>
        <w:rPr>
          <w:i/>
          <w:iCs/>
        </w:rPr>
        <w:t>Id.</w:t>
      </w:r>
      <w:r w:rsidRPr="62B263A3">
        <w:t xml:space="preserve"> </w:t>
      </w:r>
      <w:r>
        <w:t>at *10, para. 26. (“As described in the most recent technical description for the FCC Speed Test app, the app currently carries out measurements against 13 servers spread out across ten locations throughout the United States and initiates a test sequence b</w:t>
      </w:r>
      <w:r>
        <w:t>y selecting a measurement server using a latency test to identify the optimal server that has the lowest round-trip latency for performing subsequent tests. We believe that the current distribution of FCC Speed Test app servers, combined with this measurem</w:t>
      </w:r>
      <w:r>
        <w:t>ent server selection process, provides sufficient diversity to meet this geographic-diversity criterion.”).</w:t>
      </w:r>
    </w:p>
  </w:footnote>
  <w:footnote w:id="33">
    <w:p w:rsidR="00462EEB" w:rsidRPr="00624DF9" w:rsidP="007E5136" w14:paraId="3AEC083E" w14:textId="77777777">
      <w:pPr>
        <w:pStyle w:val="FootnoteText"/>
      </w:pPr>
      <w:r w:rsidRPr="00C91702">
        <w:rPr>
          <w:rStyle w:val="FootnoteReference"/>
        </w:rPr>
        <w:footnoteRef/>
      </w:r>
      <w:r w:rsidRPr="00624DF9">
        <w:t xml:space="preserve"> </w:t>
      </w:r>
      <w:r>
        <w:rPr>
          <w:i/>
          <w:iCs/>
        </w:rPr>
        <w:t>Id.</w:t>
      </w:r>
      <w:r w:rsidRPr="707E9CF4">
        <w:rPr>
          <w:i/>
          <w:iCs/>
        </w:rPr>
        <w:t xml:space="preserve"> </w:t>
      </w:r>
      <w:r w:rsidRPr="00624DF9">
        <w:t xml:space="preserve">at </w:t>
      </w:r>
      <w:r>
        <w:t xml:space="preserve">*10, </w:t>
      </w:r>
      <w:r w:rsidRPr="00624DF9">
        <w:t>para. 26.</w:t>
      </w:r>
    </w:p>
  </w:footnote>
  <w:footnote w:id="34">
    <w:p w:rsidR="00462EEB" w:rsidRPr="00624DF9" w:rsidP="007E5136" w14:paraId="0C04F5F6" w14:textId="77777777">
      <w:pPr>
        <w:pStyle w:val="FootnoteText"/>
      </w:pPr>
      <w:r w:rsidRPr="00C91702">
        <w:rPr>
          <w:rStyle w:val="FootnoteReference"/>
        </w:rPr>
        <w:footnoteRef/>
      </w:r>
      <w:r w:rsidRPr="002C3CA2">
        <w:t xml:space="preserve"> </w:t>
      </w:r>
      <w:r w:rsidRPr="00C91702">
        <w:rPr>
          <w:i/>
          <w:iCs/>
        </w:rPr>
        <w:t>Id.</w:t>
      </w:r>
    </w:p>
  </w:footnote>
  <w:footnote w:id="35">
    <w:p w:rsidR="00462EEB" w:rsidRPr="002D1378" w:rsidP="007E5136" w14:paraId="355CA420" w14:textId="77777777">
      <w:pPr>
        <w:pStyle w:val="FootnoteText"/>
      </w:pPr>
      <w:r w:rsidRPr="00C91702">
        <w:rPr>
          <w:rStyle w:val="FootnoteReference"/>
        </w:rPr>
        <w:footnoteRef/>
      </w:r>
      <w:r w:rsidRPr="00624DF9">
        <w:t xml:space="preserve"> </w:t>
      </w:r>
      <w:r>
        <w:rPr>
          <w:i/>
          <w:iCs/>
        </w:rPr>
        <w:t xml:space="preserve">Id. </w:t>
      </w:r>
      <w:r>
        <w:t xml:space="preserve">at *10, para. 26.  </w:t>
      </w:r>
      <w:r w:rsidRPr="005934F3">
        <w:t>(</w:t>
      </w:r>
      <w:r>
        <w:t>“As adopted and implemented in the FCC Speed Test app, the variability of latency is not ent</w:t>
      </w:r>
      <w:r>
        <w:t>irely a function of geographical distance to the test server but also is a function of the network congestion, and so, at a minimum, servers should be distributed nationally in consideration of user base, population density, and the server utilization rate</w:t>
      </w:r>
      <w:r>
        <w:t xml:space="preserve"> for multiple servers to be examined before the test server selection and located reasonably close to Internet eXchange</w:t>
      </w:r>
      <w:r w:rsidRPr="00B026F2">
        <w:t xml:space="preserve"> Points (IXPs) to accurately reflect unbiased real-world conditions</w:t>
      </w:r>
      <w:r>
        <w:t>.”</w:t>
      </w:r>
      <w:r w:rsidRPr="005934F3">
        <w:t>)</w:t>
      </w:r>
      <w:r>
        <w:t>.</w:t>
      </w:r>
    </w:p>
  </w:footnote>
  <w:footnote w:id="36">
    <w:p w:rsidR="00462EEB" w:rsidP="007E5136" w14:paraId="3E113D96" w14:textId="77777777">
      <w:pPr>
        <w:pStyle w:val="FootnoteText"/>
      </w:pPr>
      <w:r w:rsidRPr="004A19EC">
        <w:rPr>
          <w:rStyle w:val="FootnoteReference"/>
          <w:szCs w:val="18"/>
        </w:rPr>
        <w:footnoteRef/>
      </w:r>
      <w:r>
        <w:t xml:space="preserve"> </w:t>
      </w:r>
      <w:r>
        <w:rPr>
          <w:i/>
          <w:iCs/>
        </w:rPr>
        <w:t>Id.</w:t>
      </w:r>
      <w:r>
        <w:t xml:space="preserve"> at *9, n. 93, (citing </w:t>
      </w:r>
      <w:r w:rsidRPr="002875A3">
        <w:rPr>
          <w:rFonts w:eastAsia="Calibri"/>
        </w:rPr>
        <w:t>FCC Office of Engineering and Technol</w:t>
      </w:r>
      <w:r w:rsidRPr="002875A3">
        <w:rPr>
          <w:rFonts w:eastAsia="Calibri"/>
        </w:rPr>
        <w:t xml:space="preserve">ogy, 2021 FCC Speed Test App Technical Description at </w:t>
      </w:r>
      <w:r>
        <w:rPr>
          <w:rFonts w:eastAsia="Calibri"/>
        </w:rPr>
        <w:t>6</w:t>
      </w:r>
      <w:r w:rsidRPr="002875A3">
        <w:rPr>
          <w:rFonts w:eastAsia="Calibri"/>
        </w:rPr>
        <w:t xml:space="preserve"> (2021), </w:t>
      </w:r>
      <w:hyperlink r:id="rId4" w:history="1">
        <w:r w:rsidRPr="00D96139">
          <w:rPr>
            <w:rStyle w:val="Hyperlink"/>
            <w:rFonts w:eastAsia="Calibri"/>
          </w:rPr>
          <w:t>https://www.fcc.gov/sites/default/files/2021_fcc_speed_test_app_technical_description.</w:t>
        </w:r>
        <w:r w:rsidRPr="00D96139">
          <w:rPr>
            <w:rStyle w:val="Hyperlink"/>
            <w:rFonts w:eastAsia="Calibri"/>
          </w:rPr>
          <w:t>pdf</w:t>
        </w:r>
      </w:hyperlink>
      <w:r>
        <w:t>) (“</w:t>
      </w:r>
      <w:r w:rsidRPr="0011171C">
        <w:t xml:space="preserve">We note that the description includes the following about the test system architecture: </w:t>
      </w:r>
      <w:r>
        <w:t>‘The measurement servers, each supporting a 100 Gbps capacity, used for mobile broadband measurement are hosted by StackPath</w:t>
      </w:r>
      <w:r w:rsidRPr="0011171C">
        <w:t xml:space="preserve"> and are distributed nationally to en</w:t>
      </w:r>
      <w:r w:rsidRPr="0011171C">
        <w:t>able a measurement client to select the host server with the least latency.</w:t>
      </w:r>
      <w:r>
        <w:t>’”).</w:t>
      </w:r>
    </w:p>
  </w:footnote>
  <w:footnote w:id="37">
    <w:p w:rsidR="00462EEB" w:rsidRPr="00624DF9" w:rsidP="007E5136" w14:paraId="367474CA" w14:textId="77777777">
      <w:pPr>
        <w:pStyle w:val="FootnoteText"/>
      </w:pPr>
      <w:r w:rsidRPr="00C91702">
        <w:rPr>
          <w:rStyle w:val="FootnoteReference"/>
        </w:rPr>
        <w:footnoteRef/>
      </w:r>
      <w:r w:rsidRPr="00624DF9">
        <w:t xml:space="preserve"> </w:t>
      </w:r>
      <w:r w:rsidRPr="707E9CF4">
        <w:rPr>
          <w:i/>
          <w:iCs/>
        </w:rPr>
        <w:t>Third Report and Order</w:t>
      </w:r>
      <w:r w:rsidRPr="00624DF9">
        <w:t xml:space="preserve">, </w:t>
      </w:r>
      <w:r w:rsidRPr="003E1CC9">
        <w:t>36 FCC Rcd at 1167, para. 104.</w:t>
      </w:r>
      <w:r>
        <w:t xml:space="preserve">  </w:t>
      </w:r>
    </w:p>
  </w:footnote>
  <w:footnote w:id="38">
    <w:p w:rsidR="00462EEB" w:rsidP="007E5136" w14:paraId="2CB1464C" w14:textId="77777777">
      <w:pPr>
        <w:pStyle w:val="FootnoteText"/>
      </w:pPr>
      <w:r w:rsidRPr="004A19EC">
        <w:rPr>
          <w:rStyle w:val="FootnoteReference"/>
        </w:rPr>
        <w:footnoteRef/>
      </w:r>
      <w:r>
        <w:t xml:space="preserve"> An app developer may choose to include a link or reference to its privacy policy in the notice at the point of collection.</w:t>
      </w:r>
    </w:p>
  </w:footnote>
  <w:footnote w:id="39">
    <w:p w:rsidR="00462EEB" w:rsidP="007E5136" w14:paraId="27E28E14" w14:textId="77777777">
      <w:pPr>
        <w:pStyle w:val="FootnoteText"/>
      </w:pPr>
      <w:r w:rsidRPr="004A19EC">
        <w:rPr>
          <w:rStyle w:val="FootnoteReference"/>
        </w:rPr>
        <w:footnoteRef/>
      </w:r>
      <w:r w:rsidRPr="00624DF9">
        <w:t xml:space="preserve"> </w:t>
      </w:r>
      <w:r>
        <w:rPr>
          <w:i/>
          <w:iCs/>
        </w:rPr>
        <w:t xml:space="preserve">Third Report and </w:t>
      </w:r>
      <w:r w:rsidRPr="61E75982">
        <w:rPr>
          <w:i/>
          <w:iCs/>
        </w:rPr>
        <w:t>Order</w:t>
      </w:r>
      <w:r>
        <w:t>, 36 FCC Rcd</w:t>
      </w:r>
      <w:r w:rsidRPr="003E1CC9">
        <w:t xml:space="preserve"> at 1175, para. 125.</w:t>
      </w:r>
    </w:p>
  </w:footnote>
  <w:footnote w:id="40">
    <w:p w:rsidR="00462EEB" w:rsidRPr="00624DF9" w:rsidP="007E5136" w14:paraId="39715F25" w14:textId="77777777">
      <w:pPr>
        <w:pStyle w:val="FootnoteText"/>
      </w:pPr>
      <w:r w:rsidRPr="004A19EC">
        <w:rPr>
          <w:rStyle w:val="FootnoteReference"/>
        </w:rPr>
        <w:footnoteRef/>
      </w:r>
      <w:r w:rsidRPr="00624DF9">
        <w:t xml:space="preserve"> </w:t>
      </w:r>
      <w:r w:rsidRPr="00F6243B">
        <w:rPr>
          <w:i/>
        </w:rPr>
        <w:t>Id.</w:t>
      </w:r>
    </w:p>
  </w:footnote>
  <w:footnote w:id="41">
    <w:p w:rsidR="00462EEB" w:rsidRPr="00D530C1" w:rsidP="007E5136" w14:paraId="4D5BEC07" w14:textId="77777777">
      <w:pPr>
        <w:spacing w:after="120"/>
        <w:rPr>
          <w:sz w:val="20"/>
        </w:rPr>
      </w:pPr>
      <w:r w:rsidRPr="00D530C1">
        <w:rPr>
          <w:sz w:val="20"/>
          <w:vertAlign w:val="superscript"/>
        </w:rPr>
        <w:footnoteRef/>
      </w:r>
      <w:r w:rsidRPr="707E9CF4">
        <w:rPr>
          <w:sz w:val="20"/>
        </w:rPr>
        <w:t xml:space="preserve"> </w:t>
      </w:r>
      <w:r>
        <w:rPr>
          <w:i/>
          <w:iCs/>
          <w:sz w:val="20"/>
        </w:rPr>
        <w:t>Id.</w:t>
      </w:r>
      <w:r w:rsidRPr="707E9CF4">
        <w:rPr>
          <w:sz w:val="20"/>
        </w:rPr>
        <w:t xml:space="preserve"> at 1174, para. 125.</w:t>
      </w:r>
    </w:p>
  </w:footnote>
  <w:footnote w:id="42">
    <w:p w:rsidR="00462EEB" w:rsidRPr="00D530C1" w:rsidP="007E5136" w14:paraId="5A7A9D5C" w14:textId="77777777">
      <w:pPr>
        <w:pStyle w:val="FootnoteText"/>
      </w:pPr>
      <w:r w:rsidRPr="004A19EC">
        <w:rPr>
          <w:rStyle w:val="FootnoteReference"/>
        </w:rPr>
        <w:footnoteRef/>
      </w:r>
      <w:r w:rsidRPr="00D530C1">
        <w:t xml:space="preserve"> </w:t>
      </w:r>
      <w:r w:rsidRPr="707E9CF4">
        <w:rPr>
          <w:i/>
          <w:iCs/>
        </w:rPr>
        <w:t xml:space="preserve">See Mobile Technical </w:t>
      </w:r>
      <w:r w:rsidRPr="707E9CF4">
        <w:rPr>
          <w:i/>
          <w:iCs/>
        </w:rPr>
        <w:t>Requirements Order</w:t>
      </w:r>
      <w:r w:rsidRPr="00F9618C">
        <w:t xml:space="preserve"> at </w:t>
      </w:r>
      <w:r>
        <w:t>*7</w:t>
      </w:r>
      <w:r w:rsidRPr="00D530C1">
        <w:t xml:space="preserve">, </w:t>
      </w:r>
      <w:r>
        <w:t>p</w:t>
      </w:r>
      <w:r w:rsidRPr="00F9618C">
        <w:t xml:space="preserve">ara. </w:t>
      </w:r>
      <w:r>
        <w:t>18</w:t>
      </w:r>
      <w:r w:rsidRPr="001A5FB0">
        <w:t xml:space="preserve"> (“</w:t>
      </w:r>
      <w:r w:rsidRPr="001B540F">
        <w:t>geographic coordinates [] measured at the start and end of each test metric</w:t>
      </w:r>
      <w:r w:rsidRPr="001A5FB0">
        <w:t>”).</w:t>
      </w:r>
    </w:p>
  </w:footnote>
  <w:footnote w:id="43">
    <w:p w:rsidR="00462EEB" w:rsidRPr="00D530C1" w:rsidP="007E5136" w14:paraId="2CF3C3F1" w14:textId="77777777">
      <w:pPr>
        <w:pStyle w:val="FootnoteText"/>
      </w:pPr>
      <w:r w:rsidRPr="004A19EC">
        <w:rPr>
          <w:rStyle w:val="FootnoteReference"/>
        </w:rPr>
        <w:footnoteRef/>
      </w:r>
      <w:r w:rsidRPr="00D530C1">
        <w:t xml:space="preserve"> </w:t>
      </w:r>
      <w:r>
        <w:rPr>
          <w:i/>
          <w:iCs/>
        </w:rPr>
        <w:t>Id.</w:t>
      </w:r>
      <w:r w:rsidRPr="00F9618C">
        <w:t xml:space="preserve"> at </w:t>
      </w:r>
      <w:r>
        <w:t>*7</w:t>
      </w:r>
      <w:r w:rsidRPr="00D530C1">
        <w:t xml:space="preserve">, </w:t>
      </w:r>
      <w:r>
        <w:t>p</w:t>
      </w:r>
      <w:r w:rsidRPr="00F9618C">
        <w:t xml:space="preserve">ara. </w:t>
      </w:r>
      <w:r>
        <w:t>18 (listing timestamp and source IP address and port of the device, as measured by the measurement server, as another sta</w:t>
      </w:r>
      <w:r>
        <w:t xml:space="preserve">ndardized metric that must be included with all on-the-ground mobile speed test data); </w:t>
      </w:r>
      <w:r w:rsidRPr="707E9CF4">
        <w:rPr>
          <w:i/>
          <w:iCs/>
        </w:rPr>
        <w:t xml:space="preserve">id. </w:t>
      </w:r>
      <w:r>
        <w:t xml:space="preserve">para. 18, n.72 (noting that “[g]iven </w:t>
      </w:r>
      <w:r w:rsidRPr="00FC31DB">
        <w:t>concerns that challengers may conduct tests after exceeding data limits, we will collect the timestamp that test measurement dat</w:t>
      </w:r>
      <w:r w:rsidRPr="00FC31DB">
        <w:t>a were transmitted to the app developer’s servers, as well as the source IP address and port of the device, as measured by the server, so that a service provider may determine if a challenger’s device is subject to reduced speeds or otherwise lacks full ne</w:t>
      </w:r>
      <w:r w:rsidRPr="00FC31DB">
        <w:t>twork performance</w:t>
      </w:r>
      <w:r>
        <w:t>.”).</w:t>
      </w:r>
    </w:p>
  </w:footnote>
  <w:footnote w:id="44">
    <w:p w:rsidR="00462EEB" w:rsidRPr="0086781E" w:rsidP="007E5136" w14:paraId="1EB0AF26" w14:textId="77777777">
      <w:pPr>
        <w:pStyle w:val="FootnoteText"/>
      </w:pPr>
      <w:r w:rsidRPr="0086781E">
        <w:rPr>
          <w:rStyle w:val="FootnoteReference"/>
        </w:rPr>
        <w:footnoteRef/>
      </w:r>
      <w:r w:rsidRPr="0086781E">
        <w:t xml:space="preserve"> </w:t>
      </w:r>
      <w:r w:rsidRPr="0086781E">
        <w:rPr>
          <w:i/>
          <w:iCs/>
        </w:rPr>
        <w:t>See, e.g.</w:t>
      </w:r>
      <w:r w:rsidRPr="0086781E">
        <w:t xml:space="preserve">, NIST, U.S. Department of Commerce, </w:t>
      </w:r>
      <w:r w:rsidRPr="0086781E">
        <w:rPr>
          <w:i/>
          <w:iCs/>
        </w:rPr>
        <w:t>Security and Privacy Controls for Information Systems and Organizations</w:t>
      </w:r>
      <w:r w:rsidRPr="0086781E">
        <w:t xml:space="preserve">, NIST Special Publication 800-53 rev. 5 (2020), </w:t>
      </w:r>
      <w:hyperlink r:id="rId5" w:history="1">
        <w:r w:rsidRPr="002D6623">
          <w:rPr>
            <w:rStyle w:val="Hyperlink"/>
          </w:rPr>
          <w:t>https://nvlpubs.nist.gov/nistpubs/SpecialPublications/NIST.SP.800-53r5.pdf</w:t>
        </w:r>
      </w:hyperlink>
      <w:r>
        <w:rPr>
          <w:rStyle w:val="Hyperlink"/>
        </w:rPr>
        <w:t xml:space="preserve"> </w:t>
      </w:r>
      <w:r w:rsidRPr="0086781E">
        <w:t xml:space="preserve">(NIST 800-53 rev. 5); NIST, U.S. Department of Commerce, </w:t>
      </w:r>
      <w:r w:rsidRPr="0086781E">
        <w:rPr>
          <w:i/>
          <w:iCs/>
        </w:rPr>
        <w:t>Control Baselines for Information S</w:t>
      </w:r>
      <w:r w:rsidRPr="0086781E">
        <w:rPr>
          <w:i/>
          <w:iCs/>
        </w:rPr>
        <w:t>ystems and Organizations</w:t>
      </w:r>
      <w:r w:rsidRPr="0086781E">
        <w:t xml:space="preserve">; NIST, U.S. Department of Commerce, </w:t>
      </w:r>
      <w:r w:rsidRPr="0086781E">
        <w:rPr>
          <w:i/>
          <w:iCs/>
        </w:rPr>
        <w:t>Vetting the Security of Mobile Applications</w:t>
      </w:r>
      <w:r w:rsidRPr="0086781E">
        <w:t>, NIST Special Publication 800-163 rev. 1 (2019).</w:t>
      </w:r>
      <w:r w:rsidRPr="0086781E">
        <w:rPr>
          <w:i/>
          <w:iCs/>
        </w:rPr>
        <w:t xml:space="preserve"> </w:t>
      </w:r>
      <w:r w:rsidRPr="0086781E">
        <w:t xml:space="preserve"> </w:t>
      </w:r>
    </w:p>
  </w:footnote>
  <w:footnote w:id="45">
    <w:p w:rsidR="00462EEB" w:rsidRPr="0086781E" w:rsidP="007E5136" w14:paraId="7B3BF9ED" w14:textId="77777777">
      <w:pPr>
        <w:spacing w:after="120"/>
        <w:rPr>
          <w:color w:val="394146"/>
          <w:sz w:val="20"/>
          <w:u w:val="single"/>
        </w:rPr>
      </w:pPr>
      <w:r w:rsidRPr="0086781E">
        <w:rPr>
          <w:rStyle w:val="FootnoteReference"/>
          <w:sz w:val="20"/>
        </w:rPr>
        <w:footnoteRef/>
      </w:r>
      <w:r w:rsidRPr="0086781E">
        <w:rPr>
          <w:sz w:val="20"/>
        </w:rPr>
        <w:t xml:space="preserve"> </w:t>
      </w:r>
      <w:r w:rsidRPr="0086781E">
        <w:rPr>
          <w:i/>
          <w:sz w:val="20"/>
        </w:rPr>
        <w:t xml:space="preserve">See </w:t>
      </w:r>
      <w:r w:rsidRPr="0086781E">
        <w:rPr>
          <w:sz w:val="20"/>
        </w:rPr>
        <w:t>NIST 800-53 rev. 5 at 273, SA9(8) (“Restricting the processing and storage of high-impact info</w:t>
      </w:r>
      <w:r w:rsidRPr="0086781E">
        <w:rPr>
          <w:sz w:val="20"/>
        </w:rPr>
        <w:t>rmation to facilities within the legal jurisdictional boundary of the United States provides greater control over such processing and storage.”).</w:t>
      </w:r>
    </w:p>
  </w:footnote>
  <w:footnote w:id="46">
    <w:p w:rsidR="00462EEB" w:rsidRPr="00624DF9" w:rsidP="007E5136" w14:paraId="46EFF0FC" w14:textId="77777777">
      <w:pPr>
        <w:pStyle w:val="FootnoteText"/>
      </w:pPr>
      <w:r w:rsidRPr="0086781E">
        <w:rPr>
          <w:rStyle w:val="FootnoteReference"/>
        </w:rPr>
        <w:footnoteRef/>
      </w:r>
      <w:r w:rsidRPr="0086781E">
        <w:t xml:space="preserve"> </w:t>
      </w:r>
      <w:r w:rsidRPr="0086781E">
        <w:rPr>
          <w:i/>
          <w:iCs/>
        </w:rPr>
        <w:t>See Electronic Filing of Documents in Rulemaking Proceedings</w:t>
      </w:r>
      <w:r w:rsidRPr="0086781E">
        <w:t>, GC Docket No. 97-113, Report and Order, 13 FCC</w:t>
      </w:r>
      <w:r w:rsidRPr="0086781E">
        <w:t xml:space="preserve"> Rcd 11322 (1998); 63 FR 24121 (1998).</w:t>
      </w:r>
    </w:p>
  </w:footnote>
  <w:footnote w:id="47">
    <w:p w:rsidR="00462EEB" w:rsidRPr="0018578F" w:rsidP="007E5136" w14:paraId="7DFCBEFF" w14:textId="77777777">
      <w:pPr>
        <w:pStyle w:val="FootnoteText"/>
      </w:pPr>
      <w:r w:rsidRPr="0018578F">
        <w:rPr>
          <w:rStyle w:val="FootnoteReference"/>
        </w:rPr>
        <w:footnoteRef/>
      </w:r>
      <w:r w:rsidRPr="0018578F">
        <w:t xml:space="preserve"> </w:t>
      </w:r>
      <w:r w:rsidRPr="0018578F">
        <w:rPr>
          <w:i/>
          <w:iCs/>
        </w:rPr>
        <w:t>See Mobile Technical Requirements Order</w:t>
      </w:r>
      <w:r w:rsidRPr="0018578F">
        <w:t xml:space="preserve"> at *10, *48, paras. 25, 122.</w:t>
      </w:r>
    </w:p>
  </w:footnote>
  <w:footnote w:id="48">
    <w:p w:rsidR="00462EEB" w:rsidP="007E5136" w14:paraId="64383977" w14:textId="77777777">
      <w:pPr>
        <w:pStyle w:val="FootnoteText"/>
      </w:pPr>
      <w:r w:rsidRPr="0018578F">
        <w:rPr>
          <w:rStyle w:val="FootnoteReference"/>
        </w:rPr>
        <w:footnoteRef/>
      </w:r>
      <w:r w:rsidRPr="0018578F">
        <w:t xml:space="preserve"> </w:t>
      </w:r>
      <w:r>
        <w:rPr>
          <w:i/>
          <w:iCs/>
        </w:rPr>
        <w:t>Id.</w:t>
      </w:r>
      <w:r w:rsidRPr="0018578F">
        <w:t xml:space="preserve"> at *7, para. 18 &amp; n.73; </w:t>
      </w:r>
      <w:r w:rsidRPr="0018578F">
        <w:rPr>
          <w:i/>
          <w:iCs/>
        </w:rPr>
        <w:t>BDC - Data Specifications for Mobile Speed Test Data.</w:t>
      </w:r>
      <w:r w:rsidRPr="0018578F">
        <w:t xml:space="preserve"> OET may issue a single public notice, or issue multiple public</w:t>
      </w:r>
      <w:r w:rsidRPr="0018578F">
        <w:t xml:space="preserve"> notices across multiple tranches.</w:t>
      </w:r>
    </w:p>
  </w:footnote>
  <w:footnote w:id="49">
    <w:p w:rsidR="00462EEB" w:rsidRPr="0018578F" w:rsidP="007E5136" w14:paraId="5C017BBF" w14:textId="77777777">
      <w:pPr>
        <w:pStyle w:val="FootnoteText"/>
      </w:pPr>
      <w:r w:rsidRPr="0018578F">
        <w:rPr>
          <w:rStyle w:val="FootnoteReference"/>
        </w:rPr>
        <w:footnoteRef/>
      </w:r>
      <w:r w:rsidRPr="0018578F">
        <w:t xml:space="preserve"> </w:t>
      </w:r>
      <w:r w:rsidRPr="0018578F">
        <w:rPr>
          <w:i/>
          <w:iCs/>
        </w:rPr>
        <w:t>Comment Sought on Technical Requirements for the Mobile Challenge, Verification, and Crowdsource Processes Required under the Broadband DATA Act</w:t>
      </w:r>
      <w:r w:rsidRPr="0018578F">
        <w:t>, WC Docket No. 19-195, Public Notice, DA 21-853, at 24, para. 54 (WTB/OEA/</w:t>
      </w:r>
      <w:r w:rsidRPr="0018578F">
        <w:t>OET July 16, 2021) (</w:t>
      </w:r>
      <w:r w:rsidRPr="0018578F">
        <w:rPr>
          <w:i/>
          <w:iCs/>
        </w:rPr>
        <w:t>BDC Mobile Technical Requirements Public Notice</w:t>
      </w:r>
      <w:r w:rsidRPr="0018578F">
        <w:t>).</w:t>
      </w:r>
    </w:p>
  </w:footnote>
  <w:footnote w:id="50">
    <w:p w:rsidR="00462EEB" w:rsidRPr="0018578F" w:rsidP="007E5136" w14:paraId="3FF52F58" w14:textId="77777777">
      <w:pPr>
        <w:pStyle w:val="FootnoteText"/>
      </w:pPr>
      <w:r w:rsidRPr="0018578F">
        <w:rPr>
          <w:rStyle w:val="FootnoteReference"/>
        </w:rPr>
        <w:footnoteRef/>
      </w:r>
      <w:r w:rsidRPr="0018578F">
        <w:t xml:space="preserve"> </w:t>
      </w:r>
      <w:r w:rsidRPr="0018578F">
        <w:rPr>
          <w:i/>
          <w:iCs/>
        </w:rPr>
        <w:t xml:space="preserve">See </w:t>
      </w:r>
      <w:r w:rsidRPr="0018578F">
        <w:rPr>
          <w:i/>
        </w:rPr>
        <w:t>e.g.</w:t>
      </w:r>
      <w:r w:rsidRPr="0018578F">
        <w:t>, CTIA Comments at 15-17; AT&amp;T Comments at 10.</w:t>
      </w:r>
    </w:p>
  </w:footnote>
  <w:footnote w:id="51">
    <w:p w:rsidR="00462EEB" w:rsidRPr="0018578F" w:rsidP="007E5136" w14:paraId="3C261E75" w14:textId="77777777">
      <w:pPr>
        <w:pStyle w:val="ParaNum"/>
        <w:numPr>
          <w:ilvl w:val="0"/>
          <w:numId w:val="0"/>
        </w:numPr>
        <w:rPr>
          <w:sz w:val="20"/>
        </w:rPr>
      </w:pPr>
      <w:r w:rsidRPr="0018578F">
        <w:rPr>
          <w:rStyle w:val="FootnoteReference"/>
          <w:sz w:val="20"/>
        </w:rPr>
        <w:footnoteRef/>
      </w:r>
      <w:r w:rsidRPr="0018578F">
        <w:rPr>
          <w:sz w:val="20"/>
        </w:rPr>
        <w:t xml:space="preserve"> </w:t>
      </w:r>
      <w:r w:rsidRPr="0018578F">
        <w:rPr>
          <w:i/>
          <w:iCs/>
          <w:sz w:val="20"/>
        </w:rPr>
        <w:t xml:space="preserve">See Second Report and Order, </w:t>
      </w:r>
      <w:r w:rsidRPr="0018578F">
        <w:rPr>
          <w:sz w:val="20"/>
        </w:rPr>
        <w:t>35 FCC Rcd at 7488, para. 67.</w:t>
      </w:r>
    </w:p>
  </w:footnote>
  <w:footnote w:id="52">
    <w:p w:rsidR="00462EEB" w:rsidP="007E5136" w14:paraId="1D6B4007" w14:textId="77777777">
      <w:pPr>
        <w:pStyle w:val="FootnoteText"/>
      </w:pPr>
      <w:r w:rsidRPr="0018578F">
        <w:rPr>
          <w:rStyle w:val="FootnoteReference"/>
        </w:rPr>
        <w:footnoteRef/>
      </w:r>
      <w:r w:rsidRPr="0018578F">
        <w:t xml:space="preserve"> </w:t>
      </w:r>
      <w:r w:rsidRPr="0018578F">
        <w:rPr>
          <w:i/>
          <w:iCs/>
        </w:rPr>
        <w:t>See</w:t>
      </w:r>
      <w:r w:rsidRPr="0018578F">
        <w:t xml:space="preserve"> </w:t>
      </w:r>
      <w:r w:rsidRPr="0018578F">
        <w:rPr>
          <w:i/>
        </w:rPr>
        <w:t xml:space="preserve">BDC Mobile Technical Requirements Public Notice </w:t>
      </w:r>
      <w:r w:rsidRPr="0018578F">
        <w:t>at *20, para. 54.</w:t>
      </w:r>
    </w:p>
  </w:footnote>
  <w:footnote w:id="53">
    <w:p w:rsidR="00462EEB" w:rsidRPr="0018578F" w:rsidP="007E5136" w14:paraId="368417FF" w14:textId="77777777">
      <w:pPr>
        <w:pStyle w:val="FootnoteText"/>
      </w:pPr>
      <w:r w:rsidRPr="0018578F">
        <w:rPr>
          <w:rStyle w:val="FootnoteReference"/>
        </w:rPr>
        <w:footnoteRef/>
      </w:r>
      <w:r w:rsidRPr="0018578F">
        <w:t xml:space="preserve"> </w:t>
      </w:r>
      <w:r w:rsidRPr="0018578F">
        <w:rPr>
          <w:i/>
          <w:iCs/>
        </w:rPr>
        <w:t xml:space="preserve">See </w:t>
      </w:r>
      <w:r w:rsidRPr="0018578F">
        <w:t xml:space="preserve">Infrastructure Investment and Jobs Act § 60102(h)(2)(E)(ii) (amending 47 U.S.C. § 646(b)). </w:t>
      </w:r>
      <w:r w:rsidRPr="0018578F">
        <w:rPr>
          <w:i/>
          <w:iCs/>
        </w:rPr>
        <w:t xml:space="preserve"> </w:t>
      </w:r>
    </w:p>
  </w:footnote>
  <w:footnote w:id="54">
    <w:p w:rsidR="000944AF" w:rsidRPr="00A61FF4" w:rsidP="000944AF" w14:paraId="396BA0B9" w14:textId="77777777">
      <w:pPr>
        <w:pStyle w:val="FootnoteText"/>
      </w:pPr>
      <w:r w:rsidRPr="00A61FF4">
        <w:rPr>
          <w:rStyle w:val="FootnoteReference"/>
        </w:rPr>
        <w:footnoteRef/>
      </w:r>
      <w:r w:rsidRPr="00A61FF4">
        <w:t xml:space="preserve"> Parenthetical cites throughout this template cross-reference to the relevant section in t</w:t>
      </w:r>
      <w:r w:rsidRPr="00A61FF4">
        <w:t>he OET Bulletin 75 with the specific page number included for ease of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rsidP="007E5136" w14:paraId="0C3B9ED1" w14:textId="77777777">
    <w:pPr>
      <w:tabs>
        <w:tab w:val="center" w:pos="4680"/>
        <w:tab w:val="right" w:pos="9360"/>
      </w:tabs>
      <w:rPr>
        <w:b/>
        <w:bCs/>
      </w:rPr>
    </w:pPr>
    <w:r>
      <w:rPr>
        <w:b/>
      </w:rPr>
      <w:tab/>
    </w:r>
    <w:r w:rsidRPr="01CF598A">
      <w:rPr>
        <w:b/>
        <w:bCs/>
      </w:rPr>
      <w:t>Federal Communications Commission</w:t>
    </w:r>
    <w:r>
      <w:rPr>
        <w:b/>
      </w:rPr>
      <w:tab/>
    </w:r>
    <w:r>
      <w:rPr>
        <w:b/>
        <w:bCs/>
      </w:rPr>
      <w:t>DA</w:t>
    </w:r>
    <w:r w:rsidRPr="01CF598A">
      <w:rPr>
        <w:b/>
        <w:bCs/>
      </w:rPr>
      <w:t xml:space="preserve"> 22-</w:t>
    </w:r>
    <w:r>
      <w:rPr>
        <w:b/>
        <w:bCs/>
      </w:rPr>
      <w:t>408</w:t>
    </w:r>
  </w:p>
  <w:p w:rsidR="00462EEB" w:rsidRPr="00091295" w:rsidP="007E5136" w14:paraId="66486495" w14:textId="1C6FE461">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14:paraId="75E0CEE1" w14:textId="53F80AEE">
    <w:pPr>
      <w:pStyle w:val="Header"/>
    </w:pPr>
    <w:r>
      <w:rPr>
        <w:noProof/>
        <w:snapToGrid/>
        <w:color w:val="2B579A"/>
        <w:shd w:val="clear" w:color="auto" w:fill="E6E6E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2050" type="#_x0000_t75" style="width:468.3pt;height:112.7pt;mso-wrap-style:square;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14:paraId="1D29EB1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rsidP="007E5136" w14:paraId="27052E9C" w14:textId="77777777">
    <w:pPr>
      <w:tabs>
        <w:tab w:val="center" w:pos="4680"/>
        <w:tab w:val="right" w:pos="9360"/>
      </w:tabs>
      <w:rPr>
        <w:b/>
        <w:bCs/>
      </w:rPr>
    </w:pPr>
    <w:r>
      <w:rPr>
        <w:b/>
      </w:rPr>
      <w:tab/>
    </w:r>
    <w:r w:rsidRPr="01CF598A">
      <w:rPr>
        <w:b/>
        <w:bCs/>
      </w:rPr>
      <w:t>Federal Communications Commission</w:t>
    </w:r>
    <w:r>
      <w:rPr>
        <w:b/>
      </w:rPr>
      <w:tab/>
    </w:r>
    <w:r>
      <w:rPr>
        <w:b/>
        <w:bCs/>
      </w:rPr>
      <w:t>DA</w:t>
    </w:r>
    <w:r w:rsidRPr="01CF598A">
      <w:rPr>
        <w:b/>
        <w:bCs/>
      </w:rPr>
      <w:t xml:space="preserve"> 22-</w:t>
    </w:r>
    <w:r>
      <w:rPr>
        <w:b/>
        <w:bCs/>
      </w:rPr>
      <w:t>408</w:t>
    </w:r>
  </w:p>
  <w:p w:rsidR="00462EEB" w:rsidRPr="00091295" w:rsidP="007E5136" w14:paraId="0CD9D64A" w14:textId="5EF5723D">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EEB" w:rsidP="007E5136" w14:paraId="72B4316D" w14:textId="77777777">
    <w:pPr>
      <w:tabs>
        <w:tab w:val="center" w:pos="4680"/>
        <w:tab w:val="right" w:pos="9360"/>
      </w:tabs>
      <w:rPr>
        <w:b/>
        <w:bCs/>
      </w:rPr>
    </w:pPr>
    <w:r>
      <w:rPr>
        <w:b/>
      </w:rPr>
      <w:tab/>
    </w:r>
    <w:r w:rsidRPr="01CF598A">
      <w:rPr>
        <w:b/>
        <w:bCs/>
      </w:rPr>
      <w:t>Federal Communications Commission</w:t>
    </w:r>
    <w:r>
      <w:rPr>
        <w:b/>
      </w:rPr>
      <w:tab/>
    </w:r>
    <w:r>
      <w:rPr>
        <w:b/>
        <w:bCs/>
      </w:rPr>
      <w:t>DA</w:t>
    </w:r>
    <w:r w:rsidRPr="01CF598A">
      <w:rPr>
        <w:b/>
        <w:bCs/>
      </w:rPr>
      <w:t xml:space="preserve"> 22-</w:t>
    </w:r>
    <w:r>
      <w:rPr>
        <w:b/>
        <w:bCs/>
      </w:rPr>
      <w:t>408</w:t>
    </w:r>
  </w:p>
  <w:p w:rsidR="00462EEB" w:rsidRPr="00091295" w:rsidP="007E5136" w14:paraId="05D91850" w14:textId="25332A71">
    <w:pPr>
      <w:tabs>
        <w:tab w:val="left" w:pos="-720"/>
      </w:tabs>
      <w:suppressAutoHyphens/>
      <w:spacing w:line="19" w:lineRule="exact"/>
      <w:rPr>
        <w:spacing w:val="-2"/>
      </w:rPr>
    </w:pPr>
    <w:r>
      <w:rPr>
        <w:noProof/>
      </w:rPr>
      <w:pict>
        <v:rect 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534F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B4FE4"/>
    <w:multiLevelType w:val="hybridMultilevel"/>
    <w:tmpl w:val="55089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B68597A"/>
    <w:multiLevelType w:val="hybridMultilevel"/>
    <w:tmpl w:val="D3888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722F2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2635B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534E6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46606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58161F"/>
    <w:multiLevelType w:val="hybridMultilevel"/>
    <w:tmpl w:val="9AC60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BA2FE6"/>
    <w:multiLevelType w:val="hybridMultilevel"/>
    <w:tmpl w:val="96468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A527FB"/>
    <w:multiLevelType w:val="hybridMultilevel"/>
    <w:tmpl w:val="FCEA4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0945D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690E6D"/>
    <w:multiLevelType w:val="hybridMultilevel"/>
    <w:tmpl w:val="22546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78A0B19"/>
    <w:multiLevelType w:val="hybridMultilevel"/>
    <w:tmpl w:val="B9B03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C23B4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EC5529"/>
    <w:multiLevelType w:val="hybridMultilevel"/>
    <w:tmpl w:val="9042C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F70CB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182925"/>
    <w:multiLevelType w:val="singleLevel"/>
    <w:tmpl w:val="9A088D04"/>
    <w:lvl w:ilvl="0">
      <w:start w:val="1"/>
      <w:numFmt w:val="decimal"/>
      <w:pStyle w:val="ParaNum"/>
      <w:lvlText w:val="%1."/>
      <w:lvlJc w:val="left"/>
      <w:pPr>
        <w:tabs>
          <w:tab w:val="num" w:pos="1080"/>
        </w:tabs>
        <w:ind w:left="0" w:firstLine="720"/>
      </w:pPr>
      <w:rPr>
        <w:rFonts w:ascii="Times New Roman" w:hAnsi="Times New Roman" w:cs="Times New Roman" w:hint="default"/>
        <w:i w:val="0"/>
        <w:iCs w:val="0"/>
      </w:rPr>
    </w:lvl>
  </w:abstractNum>
  <w:abstractNum w:abstractNumId="25">
    <w:nsid w:val="6D9B110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153793"/>
    <w:multiLevelType w:val="hybridMultilevel"/>
    <w:tmpl w:val="71A6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4967C6"/>
    <w:multiLevelType w:val="hybridMultilevel"/>
    <w:tmpl w:val="B7F4A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DD19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4"/>
  </w:num>
  <w:num w:numId="3">
    <w:abstractNumId w:val="10"/>
  </w:num>
  <w:num w:numId="4">
    <w:abstractNumId w:val="18"/>
  </w:num>
  <w:num w:numId="5">
    <w:abstractNumId w:val="9"/>
  </w:num>
  <w:num w:numId="6">
    <w:abstractNumId w:val="2"/>
  </w:num>
  <w:num w:numId="7">
    <w:abstractNumId w:val="5"/>
  </w:num>
  <w:num w:numId="8">
    <w:abstractNumId w:val="20"/>
  </w:num>
  <w:num w:numId="9">
    <w:abstractNumId w:val="21"/>
  </w:num>
  <w:num w:numId="10">
    <w:abstractNumId w:val="16"/>
  </w:num>
  <w:num w:numId="11">
    <w:abstractNumId w:val="12"/>
  </w:num>
  <w:num w:numId="12">
    <w:abstractNumId w:val="25"/>
  </w:num>
  <w:num w:numId="13">
    <w:abstractNumId w:val="28"/>
  </w:num>
  <w:num w:numId="14">
    <w:abstractNumId w:val="1"/>
  </w:num>
  <w:num w:numId="15">
    <w:abstractNumId w:val="3"/>
  </w:num>
  <w:num w:numId="16">
    <w:abstractNumId w:val="17"/>
  </w:num>
  <w:num w:numId="17">
    <w:abstractNumId w:val="19"/>
  </w:num>
  <w:num w:numId="18">
    <w:abstractNumId w:val="4"/>
  </w:num>
  <w:num w:numId="19">
    <w:abstractNumId w:val="13"/>
  </w:num>
  <w:num w:numId="20">
    <w:abstractNumId w:val="0"/>
  </w:num>
  <w:num w:numId="21">
    <w:abstractNumId w:val="22"/>
  </w:num>
  <w:num w:numId="22">
    <w:abstractNumId w:val="27"/>
  </w:num>
  <w:num w:numId="23">
    <w:abstractNumId w:val="26"/>
  </w:num>
  <w:num w:numId="24">
    <w:abstractNumId w:val="14"/>
  </w:num>
  <w:num w:numId="25">
    <w:abstractNumId w:val="11"/>
  </w:num>
  <w:num w:numId="26">
    <w:abstractNumId w:val="6"/>
  </w:num>
  <w:num w:numId="27">
    <w:abstractNumId w:val="7"/>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6"/>
    <w:rsid w:val="0007766E"/>
    <w:rsid w:val="00091295"/>
    <w:rsid w:val="000944AF"/>
    <w:rsid w:val="0011171C"/>
    <w:rsid w:val="0018578F"/>
    <w:rsid w:val="001A5FB0"/>
    <w:rsid w:val="001B540F"/>
    <w:rsid w:val="002073A5"/>
    <w:rsid w:val="002875A3"/>
    <w:rsid w:val="002C3CA2"/>
    <w:rsid w:val="002D1378"/>
    <w:rsid w:val="002D6623"/>
    <w:rsid w:val="002D7BC5"/>
    <w:rsid w:val="003E1CC9"/>
    <w:rsid w:val="00462EEB"/>
    <w:rsid w:val="00484B5F"/>
    <w:rsid w:val="004C5E41"/>
    <w:rsid w:val="004D67B5"/>
    <w:rsid w:val="00580E22"/>
    <w:rsid w:val="005934F3"/>
    <w:rsid w:val="005E046C"/>
    <w:rsid w:val="00624DF9"/>
    <w:rsid w:val="006E637C"/>
    <w:rsid w:val="007600F6"/>
    <w:rsid w:val="007E5136"/>
    <w:rsid w:val="0086781E"/>
    <w:rsid w:val="00A3728E"/>
    <w:rsid w:val="00A61FF4"/>
    <w:rsid w:val="00A629C3"/>
    <w:rsid w:val="00AB20E2"/>
    <w:rsid w:val="00AC1820"/>
    <w:rsid w:val="00B026F2"/>
    <w:rsid w:val="00C27970"/>
    <w:rsid w:val="00C91702"/>
    <w:rsid w:val="00D3128F"/>
    <w:rsid w:val="00D530C1"/>
    <w:rsid w:val="00D70C96"/>
    <w:rsid w:val="00D92E7D"/>
    <w:rsid w:val="00D96139"/>
    <w:rsid w:val="00DE6483"/>
    <w:rsid w:val="00EB395C"/>
    <w:rsid w:val="00F6243B"/>
    <w:rsid w:val="00F9618C"/>
    <w:rsid w:val="00FC31DB"/>
    <w:rsid w:val="00FC4B46"/>
    <w:rsid w:val="01CF598A"/>
    <w:rsid w:val="06178CC8"/>
    <w:rsid w:val="06D059F8"/>
    <w:rsid w:val="16D43491"/>
    <w:rsid w:val="2622ACF6"/>
    <w:rsid w:val="2D04B7CC"/>
    <w:rsid w:val="36D4D44B"/>
    <w:rsid w:val="398A8A28"/>
    <w:rsid w:val="551A5F20"/>
    <w:rsid w:val="55D4A2CE"/>
    <w:rsid w:val="57374B8D"/>
    <w:rsid w:val="61E75982"/>
    <w:rsid w:val="62B263A3"/>
    <w:rsid w:val="63305319"/>
    <w:rsid w:val="707E9CF4"/>
    <w:rsid w:val="715FF7B2"/>
    <w:rsid w:val="7A75C82D"/>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402784EA"/>
  <w15:chartTrackingRefBased/>
  <w15:docId w15:val="{FA138BE4-9B5D-44E6-B7E4-2137363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pPr>
      <w:spacing w:after="120"/>
    </w:pPr>
    <w:rPr>
      <w:lang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unhideWhenUsed/>
    <w:rPr>
      <w:color w:val="605E5C"/>
      <w:shd w:val="clear" w:color="auto" w:fill="E1DFDD"/>
    </w:rPr>
  </w:style>
  <w:style w:type="character" w:customStyle="1" w:styleId="Heading1Char">
    <w:name w:val="Heading 1 Char"/>
    <w:link w:val="Heading1"/>
    <w:rsid w:val="007E5136"/>
    <w:rPr>
      <w:rFonts w:ascii="Times New Roman Bold" w:hAnsi="Times New Roman Bold"/>
      <w:b/>
      <w:caps/>
      <w:snapToGrid w:val="0"/>
      <w:kern w:val="28"/>
      <w:sz w:val="22"/>
    </w:rPr>
  </w:style>
  <w:style w:type="character" w:customStyle="1" w:styleId="Heading2Char">
    <w:name w:val="Heading 2 Char"/>
    <w:link w:val="Heading2"/>
    <w:rsid w:val="007E5136"/>
    <w:rPr>
      <w:b/>
      <w:snapToGrid w:val="0"/>
      <w:kern w:val="28"/>
      <w:sz w:val="22"/>
    </w:rPr>
  </w:style>
  <w:style w:type="character" w:customStyle="1" w:styleId="Heading3Char">
    <w:name w:val="Heading 3 Char"/>
    <w:link w:val="Heading3"/>
    <w:rsid w:val="007E5136"/>
    <w:rPr>
      <w:b/>
      <w:snapToGrid w:val="0"/>
      <w:kern w:val="28"/>
      <w:sz w:val="22"/>
    </w:rPr>
  </w:style>
  <w:style w:type="character" w:customStyle="1" w:styleId="Heading4Char">
    <w:name w:val="Heading 4 Char"/>
    <w:link w:val="Heading4"/>
    <w:rsid w:val="007E5136"/>
    <w:rPr>
      <w:b/>
      <w:snapToGrid w:val="0"/>
      <w:kern w:val="28"/>
      <w:sz w:val="22"/>
    </w:rPr>
  </w:style>
  <w:style w:type="character" w:customStyle="1" w:styleId="Heading5Char">
    <w:name w:val="Heading 5 Char"/>
    <w:link w:val="Heading5"/>
    <w:rsid w:val="007E5136"/>
    <w:rPr>
      <w:b/>
      <w:snapToGrid w:val="0"/>
      <w:kern w:val="28"/>
      <w:sz w:val="22"/>
    </w:rPr>
  </w:style>
  <w:style w:type="character" w:customStyle="1" w:styleId="Heading6Char">
    <w:name w:val="Heading 6 Char"/>
    <w:link w:val="Heading6"/>
    <w:rsid w:val="007E5136"/>
    <w:rPr>
      <w:b/>
      <w:snapToGrid w:val="0"/>
      <w:kern w:val="28"/>
      <w:sz w:val="22"/>
    </w:rPr>
  </w:style>
  <w:style w:type="character" w:customStyle="1" w:styleId="Heading7Char">
    <w:name w:val="Heading 7 Char"/>
    <w:link w:val="Heading7"/>
    <w:rsid w:val="007E5136"/>
    <w:rPr>
      <w:b/>
      <w:snapToGrid w:val="0"/>
      <w:kern w:val="28"/>
      <w:sz w:val="22"/>
    </w:rPr>
  </w:style>
  <w:style w:type="character" w:customStyle="1" w:styleId="Heading8Char">
    <w:name w:val="Heading 8 Char"/>
    <w:link w:val="Heading8"/>
    <w:rsid w:val="007E5136"/>
    <w:rPr>
      <w:b/>
      <w:snapToGrid w:val="0"/>
      <w:kern w:val="28"/>
      <w:sz w:val="22"/>
    </w:rPr>
  </w:style>
  <w:style w:type="character" w:customStyle="1" w:styleId="Heading9Char">
    <w:name w:val="Heading 9 Char"/>
    <w:link w:val="Heading9"/>
    <w:rsid w:val="007E5136"/>
    <w:rPr>
      <w:b/>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uiPriority w:val="99"/>
    <w:rsid w:val="007E5136"/>
  </w:style>
  <w:style w:type="character" w:customStyle="1" w:styleId="HeaderChar">
    <w:name w:val="Header Char"/>
    <w:link w:val="Header"/>
    <w:rsid w:val="007E5136"/>
    <w:rPr>
      <w:rFonts w:ascii="Arial" w:hAnsi="Arial" w:cs="Arial"/>
      <w:b/>
      <w:snapToGrid w:val="0"/>
      <w:kern w:val="28"/>
      <w:sz w:val="96"/>
      <w:szCs w:val="96"/>
    </w:rPr>
  </w:style>
  <w:style w:type="character" w:customStyle="1" w:styleId="ParaNumChar1">
    <w:name w:val="ParaNum Char1"/>
    <w:link w:val="ParaNum"/>
    <w:rsid w:val="007E5136"/>
    <w:rPr>
      <w:snapToGrid w:val="0"/>
      <w:kern w:val="28"/>
      <w:sz w:val="22"/>
    </w:rPr>
  </w:style>
  <w:style w:type="character" w:styleId="CommentReference">
    <w:name w:val="annotation reference"/>
    <w:uiPriority w:val="99"/>
    <w:semiHidden/>
    <w:unhideWhenUsed/>
    <w:rsid w:val="007E5136"/>
    <w:rPr>
      <w:sz w:val="16"/>
      <w:szCs w:val="16"/>
    </w:rPr>
  </w:style>
  <w:style w:type="paragraph" w:styleId="CommentText">
    <w:name w:val="annotation text"/>
    <w:basedOn w:val="Normal"/>
    <w:link w:val="CommentTextChar"/>
    <w:uiPriority w:val="99"/>
    <w:unhideWhenUsed/>
    <w:rsid w:val="007E5136"/>
    <w:rPr>
      <w:sz w:val="20"/>
    </w:rPr>
  </w:style>
  <w:style w:type="character" w:customStyle="1" w:styleId="CommentTextChar">
    <w:name w:val="Comment Text Char"/>
    <w:link w:val="CommentText"/>
    <w:uiPriority w:val="99"/>
    <w:rsid w:val="007E5136"/>
    <w:rPr>
      <w:snapToGrid w:val="0"/>
      <w:kern w:val="28"/>
    </w:rPr>
  </w:style>
  <w:style w:type="paragraph" w:styleId="CommentSubject">
    <w:name w:val="annotation subject"/>
    <w:basedOn w:val="CommentText"/>
    <w:next w:val="CommentText"/>
    <w:link w:val="CommentSubjectChar"/>
    <w:uiPriority w:val="99"/>
    <w:semiHidden/>
    <w:unhideWhenUsed/>
    <w:rsid w:val="007E5136"/>
    <w:rPr>
      <w:b/>
      <w:bCs/>
    </w:rPr>
  </w:style>
  <w:style w:type="character" w:customStyle="1" w:styleId="CommentSubjectChar">
    <w:name w:val="Comment Subject Char"/>
    <w:link w:val="CommentSubject"/>
    <w:uiPriority w:val="99"/>
    <w:semiHidden/>
    <w:rsid w:val="007E5136"/>
    <w:rPr>
      <w:b/>
      <w:bCs/>
      <w:snapToGrid w:val="0"/>
      <w:kern w:val="28"/>
    </w:rPr>
  </w:style>
  <w:style w:type="paragraph" w:styleId="Revision">
    <w:name w:val="Revision"/>
    <w:hidden/>
    <w:uiPriority w:val="99"/>
    <w:semiHidden/>
    <w:rsid w:val="007E5136"/>
    <w:rPr>
      <w:snapToGrid w:val="0"/>
      <w:kern w:val="28"/>
      <w:sz w:val="22"/>
      <w:lang w:eastAsia="en-US"/>
    </w:rPr>
  </w:style>
  <w:style w:type="paragraph" w:styleId="ListParagraph">
    <w:name w:val="List Paragraph"/>
    <w:basedOn w:val="Normal"/>
    <w:uiPriority w:val="34"/>
    <w:qFormat/>
    <w:rsid w:val="007E5136"/>
    <w:pPr>
      <w:ind w:left="720"/>
      <w:contextualSpacing/>
    </w:pPr>
  </w:style>
  <w:style w:type="character" w:customStyle="1" w:styleId="Mention1">
    <w:name w:val="Mention1"/>
    <w:uiPriority w:val="99"/>
    <w:unhideWhenUsed/>
    <w:rsid w:val="007E5136"/>
    <w:rPr>
      <w:color w:val="2B579A"/>
      <w:shd w:val="clear" w:color="auto" w:fill="E6E6E6"/>
    </w:rPr>
  </w:style>
  <w:style w:type="character" w:styleId="FollowedHyperlink">
    <w:name w:val="FollowedHyperlink"/>
    <w:uiPriority w:val="99"/>
    <w:semiHidden/>
    <w:unhideWhenUsed/>
    <w:rsid w:val="007E5136"/>
    <w:rPr>
      <w:color w:val="954F72"/>
      <w:u w:val="single"/>
    </w:rPr>
  </w:style>
  <w:style w:type="table" w:styleId="TableGrid">
    <w:name w:val="Table Grid"/>
    <w:basedOn w:val="TableNormal"/>
    <w:uiPriority w:val="39"/>
    <w:rsid w:val="007E513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513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44A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944A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ean.Yu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oet-bulletins-line" TargetMode="External" /><Relationship Id="rId2" Type="http://schemas.openxmlformats.org/officeDocument/2006/relationships/hyperlink" Target="https://www.fcc.gov/general/measuring-mobile-broadband-performance" TargetMode="External" /><Relationship Id="rId3" Type="http://schemas.openxmlformats.org/officeDocument/2006/relationships/hyperlink" Target="https://us-fcc.app.box.com/v/bdc-mobile-speedtest-spec" TargetMode="External" /><Relationship Id="rId4" Type="http://schemas.openxmlformats.org/officeDocument/2006/relationships/hyperlink" Target="https://www.fcc.gov/sites/default/files/2021_fcc_speed_test_app_technical_description.pdf" TargetMode="External" /><Relationship Id="rId5" Type="http://schemas.openxmlformats.org/officeDocument/2006/relationships/hyperlink" Target="https://nvlpubs.nist.gov/nistpubs/SpecialPublications/NIST.SP.800-53r5.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