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47F4D894" w14:textId="4B0AD883">
      <w:pPr>
        <w:jc w:val="right"/>
        <w:rPr>
          <w:b/>
          <w:sz w:val="24"/>
        </w:rPr>
      </w:pPr>
      <w:r>
        <w:rPr>
          <w:b/>
          <w:sz w:val="24"/>
        </w:rPr>
        <w:t>DA  22-426</w:t>
      </w:r>
    </w:p>
    <w:p w:rsidR="00013A8B" w:rsidRPr="00B20363" w:rsidP="00013A8B" w14:paraId="17257DCF" w14:textId="7D7758B0">
      <w:pPr>
        <w:spacing w:before="60"/>
        <w:jc w:val="right"/>
        <w:rPr>
          <w:b/>
          <w:sz w:val="24"/>
        </w:rPr>
      </w:pPr>
      <w:r>
        <w:rPr>
          <w:b/>
          <w:sz w:val="24"/>
        </w:rPr>
        <w:t xml:space="preserve">Released:  </w:t>
      </w:r>
      <w:r w:rsidR="00CB2568">
        <w:rPr>
          <w:b/>
          <w:sz w:val="24"/>
        </w:rPr>
        <w:t>April 18, 2022</w:t>
      </w:r>
    </w:p>
    <w:p w:rsidR="00013A8B" w:rsidP="00013A8B" w14:paraId="14583216" w14:textId="77777777">
      <w:pPr>
        <w:jc w:val="right"/>
        <w:rPr>
          <w:sz w:val="24"/>
        </w:rPr>
      </w:pPr>
    </w:p>
    <w:p w:rsidR="00013A8B" w:rsidRPr="00B20363" w:rsidP="00013A8B" w14:paraId="16863F33" w14:textId="3B14D7D5">
      <w:pPr>
        <w:spacing w:after="240"/>
        <w:jc w:val="center"/>
        <w:rPr>
          <w:rFonts w:ascii="Times New Roman Bold" w:hAnsi="Times New Roman Bold"/>
          <w:b/>
          <w:caps/>
          <w:sz w:val="24"/>
        </w:rPr>
      </w:pPr>
      <w:r w:rsidRPr="00CB2568">
        <w:rPr>
          <w:rFonts w:ascii="Times New Roman Bold" w:hAnsi="Times New Roman Bold"/>
          <w:b/>
          <w:caps/>
          <w:sz w:val="24"/>
        </w:rPr>
        <w:t>wireline competition bureau seeks comment on Petition for declaratory ruling filed by t-mobile</w:t>
      </w:r>
    </w:p>
    <w:p w:rsidR="00013A8B" w:rsidP="00013A8B" w14:paraId="4614A863" w14:textId="787CDC15">
      <w:pPr>
        <w:jc w:val="center"/>
        <w:rPr>
          <w:b/>
          <w:sz w:val="24"/>
        </w:rPr>
      </w:pPr>
      <w:r>
        <w:rPr>
          <w:b/>
          <w:sz w:val="24"/>
        </w:rPr>
        <w:t>WC Docket No. 18-143</w:t>
      </w:r>
    </w:p>
    <w:p w:rsidR="00CB2568" w:rsidP="00CB2568" w14:paraId="69140AC9" w14:textId="1E3DD483">
      <w:pPr>
        <w:rPr>
          <w:b/>
          <w:sz w:val="24"/>
        </w:rPr>
      </w:pPr>
    </w:p>
    <w:p w:rsidR="00CB2568" w:rsidRPr="00CB2568" w:rsidP="00CB2568" w14:paraId="4436F33F" w14:textId="77777777">
      <w:pPr>
        <w:rPr>
          <w:b/>
          <w:bCs/>
          <w:sz w:val="24"/>
        </w:rPr>
      </w:pPr>
      <w:r w:rsidRPr="00CB2568">
        <w:rPr>
          <w:b/>
          <w:bCs/>
          <w:sz w:val="24"/>
        </w:rPr>
        <w:t xml:space="preserve">Comment Due Date:  </w:t>
      </w:r>
      <w:r w:rsidRPr="00BB181F">
        <w:rPr>
          <w:b/>
          <w:bCs/>
          <w:sz w:val="24"/>
        </w:rPr>
        <w:t>May 2, 2022</w:t>
      </w:r>
    </w:p>
    <w:p w:rsidR="00CB2568" w:rsidP="00CB2568" w14:paraId="450E6295" w14:textId="0A132CE4">
      <w:pPr>
        <w:rPr>
          <w:b/>
          <w:bCs/>
          <w:sz w:val="24"/>
        </w:rPr>
      </w:pPr>
      <w:r w:rsidRPr="00CB2568">
        <w:rPr>
          <w:b/>
          <w:bCs/>
          <w:sz w:val="24"/>
        </w:rPr>
        <w:t xml:space="preserve">Reply Comment Due Date:  </w:t>
      </w:r>
      <w:r w:rsidRPr="00BB181F">
        <w:rPr>
          <w:b/>
          <w:bCs/>
          <w:sz w:val="24"/>
        </w:rPr>
        <w:t>May 9, 2022</w:t>
      </w:r>
    </w:p>
    <w:p w:rsidR="00CB2568" w:rsidP="00CB2568" w14:paraId="1CADDF67" w14:textId="55602B36">
      <w:pPr>
        <w:rPr>
          <w:b/>
          <w:bCs/>
          <w:sz w:val="24"/>
        </w:rPr>
      </w:pPr>
    </w:p>
    <w:p w:rsidR="00CB2568" w:rsidP="00D76B5E" w14:paraId="77BDFCDD" w14:textId="77777777">
      <w:pPr>
        <w:spacing w:after="120"/>
        <w:ind w:firstLine="720"/>
      </w:pPr>
      <w:r>
        <w:t>By this Public Notice, the Wireline Competition Bureau (Bureau) seeks comment on the Petition for Declaratory Ruling filed on April 7, 2022 by T-Mobile USA, Inc. (T-Mobile).</w:t>
      </w:r>
      <w:r>
        <w:rPr>
          <w:rStyle w:val="FootnoteReference"/>
        </w:rPr>
        <w:footnoteReference w:id="3"/>
      </w:r>
      <w:r>
        <w:t xml:space="preserve">  In its Petition, T-Mobile seeks clarification that the Bringing Puerto Rico Together Fund</w:t>
      </w:r>
      <w:r>
        <w:rPr>
          <w:rStyle w:val="FootnoteReference"/>
        </w:rPr>
        <w:footnoteReference w:id="4"/>
      </w:r>
      <w:r>
        <w:t xml:space="preserve"> and the Connect USVI Fund permit it to use Stage 2 mobile support for the deployment of distributed antenna systems, which T-Mobile states would further the Commission’s goal to make networks more resilient to future disasters.</w:t>
      </w:r>
    </w:p>
    <w:p w:rsidR="00CB2568" w:rsidP="00D76B5E" w14:paraId="1E9F6E54" w14:textId="77777777">
      <w:pPr>
        <w:spacing w:after="120"/>
        <w:ind w:firstLine="360"/>
        <w:rPr>
          <w:snapToGrid/>
        </w:rPr>
      </w:pPr>
      <w:r w:rsidRPr="00FD699D">
        <w:rPr>
          <w:i/>
          <w:iCs/>
        </w:rPr>
        <w:t>Filing Requirements</w:t>
      </w:r>
      <w:r w:rsidRPr="00FD699D">
        <w:t xml:space="preserve">.  </w:t>
      </w:r>
      <w:r w:rsidRPr="00FD699D">
        <w:rPr>
          <w:snapToGrid/>
        </w:rPr>
        <w:t xml:space="preserve">Pursuant to sections </w:t>
      </w:r>
      <w:bookmarkStart w:id="0" w:name="_Hlk63176537"/>
      <w:r w:rsidRPr="00FD699D">
        <w:rPr>
          <w:snapToGrid/>
        </w:rPr>
        <w:t>1.4</w:t>
      </w:r>
      <w:r>
        <w:rPr>
          <w:snapToGrid/>
        </w:rPr>
        <w:t>0</w:t>
      </w:r>
      <w:r w:rsidRPr="00FD699D">
        <w:rPr>
          <w:snapToGrid/>
        </w:rPr>
        <w:t>5 and 1.419 of the Commission’s rules, 47 CFR §§ 1.4</w:t>
      </w:r>
      <w:r>
        <w:rPr>
          <w:snapToGrid/>
        </w:rPr>
        <w:t>0</w:t>
      </w:r>
      <w:r w:rsidRPr="00FD699D">
        <w:rPr>
          <w:snapToGrid/>
        </w:rPr>
        <w:t>5, 1.419</w:t>
      </w:r>
      <w:bookmarkEnd w:id="0"/>
      <w:r w:rsidRPr="00FD699D">
        <w:rPr>
          <w:snapToGrid/>
        </w:rPr>
        <w:t xml:space="preserve">, interested parties may file comments and reply comments on or before the dates indicated above.  </w:t>
      </w:r>
      <w:r>
        <w:rPr>
          <w:snapToGrid/>
        </w:rPr>
        <w:t>All filings must refer to</w:t>
      </w:r>
      <w:r w:rsidRPr="00FD699D">
        <w:rPr>
          <w:snapToGrid/>
        </w:rPr>
        <w:t xml:space="preserve"> </w:t>
      </w:r>
      <w:r w:rsidRPr="00DC07DD">
        <w:rPr>
          <w:b/>
          <w:bCs/>
          <w:snapToGrid/>
        </w:rPr>
        <w:t xml:space="preserve">WC Docket No. </w:t>
      </w:r>
      <w:r>
        <w:rPr>
          <w:b/>
          <w:bCs/>
          <w:snapToGrid/>
        </w:rPr>
        <w:t>18-143</w:t>
      </w:r>
      <w:r w:rsidRPr="000D3C63">
        <w:rPr>
          <w:snapToGrid/>
        </w:rPr>
        <w:t>.</w:t>
      </w:r>
      <w:r w:rsidRPr="00FD699D">
        <w:rPr>
          <w:snapToGrid/>
        </w:rPr>
        <w:t xml:space="preserve"> </w:t>
      </w:r>
      <w:r>
        <w:rPr>
          <w:snapToGrid/>
        </w:rPr>
        <w:t xml:space="preserve"> Comments may be filed </w:t>
      </w:r>
      <w:r w:rsidRPr="00FD699D">
        <w:rPr>
          <w:snapToGrid/>
        </w:rPr>
        <w:t>using the Commission’s Electronic Comment Filing System (ECFS).</w:t>
      </w:r>
      <w:r>
        <w:rPr>
          <w:rStyle w:val="FootnoteReference"/>
          <w:snapToGrid/>
          <w:kern w:val="0"/>
          <w:szCs w:val="22"/>
        </w:rPr>
        <w:footnoteReference w:id="5"/>
      </w:r>
      <w:r w:rsidRPr="00FD699D">
        <w:rPr>
          <w:snapToGrid/>
        </w:rPr>
        <w:t xml:space="preserve">  </w:t>
      </w:r>
    </w:p>
    <w:p w:rsidR="00D76B5E" w:rsidP="00D76B5E" w14:paraId="3DA7BF1D" w14:textId="77777777">
      <w:pPr>
        <w:widowControl/>
        <w:numPr>
          <w:ilvl w:val="0"/>
          <w:numId w:val="8"/>
        </w:numPr>
        <w:autoSpaceDE w:val="0"/>
        <w:autoSpaceDN w:val="0"/>
        <w:adjustRightInd w:val="0"/>
        <w:spacing w:after="120"/>
        <w:rPr>
          <w:szCs w:val="22"/>
        </w:rPr>
      </w:pPr>
      <w:r w:rsidRPr="00FD699D">
        <w:rPr>
          <w:szCs w:val="22"/>
        </w:rPr>
        <w:t xml:space="preserve">Electronic Filers: Comments may be filed electronically using the Internet by accessing the ECFS: </w:t>
      </w:r>
      <w:hyperlink r:id="rId5" w:history="1">
        <w:r w:rsidRPr="00FD699D">
          <w:rPr>
            <w:rStyle w:val="Hyperlink"/>
            <w:szCs w:val="22"/>
          </w:rPr>
          <w:t>http://apps.fcc.gov/ecfs/</w:t>
        </w:r>
      </w:hyperlink>
      <w:r w:rsidRPr="00FD699D">
        <w:rPr>
          <w:szCs w:val="22"/>
        </w:rPr>
        <w:t>.</w:t>
      </w:r>
    </w:p>
    <w:p w:rsidR="00CB2568" w:rsidRPr="00D76B5E" w:rsidP="00D76B5E" w14:paraId="090E3D3F" w14:textId="41498CB4">
      <w:pPr>
        <w:widowControl/>
        <w:numPr>
          <w:ilvl w:val="0"/>
          <w:numId w:val="8"/>
        </w:numPr>
        <w:autoSpaceDE w:val="0"/>
        <w:autoSpaceDN w:val="0"/>
        <w:adjustRightInd w:val="0"/>
        <w:spacing w:after="120"/>
        <w:rPr>
          <w:szCs w:val="22"/>
        </w:rPr>
      </w:pPr>
      <w:r w:rsidRPr="00D76B5E">
        <w:rPr>
          <w:szCs w:val="22"/>
        </w:rPr>
        <w:t xml:space="preserve">Paper Filers: Parties who choose to file by paper must file an original and one copy of each filing. </w:t>
      </w:r>
    </w:p>
    <w:p w:rsidR="00CB2568" w:rsidRPr="00FD699D" w:rsidP="00D76B5E" w14:paraId="02504DBE" w14:textId="77777777">
      <w:pPr>
        <w:numPr>
          <w:ilvl w:val="1"/>
          <w:numId w:val="7"/>
        </w:numPr>
        <w:spacing w:after="120"/>
        <w:ind w:left="1080"/>
        <w:rPr>
          <w:szCs w:val="22"/>
        </w:rPr>
      </w:pPr>
      <w:r w:rsidRPr="00FD699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B2568" w:rsidRPr="00FD699D" w:rsidP="00D76B5E" w14:paraId="5DC319CF" w14:textId="77777777">
      <w:pPr>
        <w:numPr>
          <w:ilvl w:val="1"/>
          <w:numId w:val="7"/>
        </w:numPr>
        <w:spacing w:after="120"/>
        <w:ind w:left="1080"/>
        <w:rPr>
          <w:szCs w:val="22"/>
        </w:rPr>
      </w:pPr>
      <w:r w:rsidRPr="00FD699D">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B2568" w:rsidRPr="00D81D95" w:rsidP="00D76B5E" w14:paraId="20C2055A" w14:textId="77777777">
      <w:pPr>
        <w:keepLines/>
        <w:widowControl/>
        <w:numPr>
          <w:ilvl w:val="1"/>
          <w:numId w:val="7"/>
        </w:numPr>
        <w:spacing w:after="120"/>
        <w:ind w:left="1080"/>
        <w:rPr>
          <w:szCs w:val="22"/>
        </w:rPr>
      </w:pPr>
      <w:r w:rsidRPr="00D81D95">
        <w:rPr>
          <w:szCs w:val="22"/>
        </w:rPr>
        <w:t>Effective March 19, 2020, and until further notice, the Commission no longer accepts any hand or messenger delivered filings at its headquarters.  This is a temporary measure taken to help protect the health and safety of individuals, and to mitigate the transmission of COVID-19.</w:t>
      </w:r>
      <w:r>
        <w:rPr>
          <w:rStyle w:val="FootnoteReference"/>
          <w:szCs w:val="22"/>
        </w:rPr>
        <w:footnoteReference w:id="6"/>
      </w:r>
      <w:r w:rsidRPr="00D81D95">
        <w:rPr>
          <w:szCs w:val="22"/>
        </w:rPr>
        <w:t xml:space="preserve">  </w:t>
      </w:r>
    </w:p>
    <w:p w:rsidR="00CB2568" w:rsidRPr="00D80017" w:rsidP="00D76B5E" w14:paraId="4E540E6F" w14:textId="77777777">
      <w:pPr>
        <w:spacing w:after="120"/>
        <w:ind w:firstLine="720"/>
        <w:rPr>
          <w:rFonts w:eastAsia="Calibri"/>
          <w:strike/>
          <w:snapToGrid/>
          <w:kern w:val="0"/>
          <w:szCs w:val="22"/>
        </w:rPr>
      </w:pPr>
      <w:r w:rsidRPr="00D81D95">
        <w:rPr>
          <w:i/>
          <w:iCs/>
          <w:snapToGrid/>
          <w:color w:val="000000"/>
          <w:kern w:val="0"/>
          <w:szCs w:val="22"/>
        </w:rPr>
        <w:t>People with Disabilities</w:t>
      </w:r>
      <w:r w:rsidRPr="00D81D95">
        <w:rPr>
          <w:snapToGrid/>
          <w:color w:val="000000"/>
          <w:kern w:val="0"/>
          <w:szCs w:val="22"/>
        </w:rPr>
        <w:t xml:space="preserve">.  </w:t>
      </w:r>
      <w:r>
        <w:t xml:space="preserve">To request materials in accessible formats (such as Braille, large print, electronic files, or audio format), please send an email to </w:t>
      </w:r>
      <w:hyperlink r:id="rId6" w:history="1">
        <w:r w:rsidRPr="00375223">
          <w:rPr>
            <w:rStyle w:val="Hyperlink"/>
          </w:rPr>
          <w:t>fcc504@fcc.gov</w:t>
        </w:r>
      </w:hyperlink>
      <w:r>
        <w:t xml:space="preserve">.  </w:t>
      </w:r>
      <w:r w:rsidRPr="00D81D95">
        <w:rPr>
          <w:snapToGrid/>
          <w:color w:val="000000"/>
          <w:kern w:val="0"/>
          <w:szCs w:val="22"/>
        </w:rPr>
        <w:t xml:space="preserve">We ask that requests for accommodations be made as soon as possible </w:t>
      </w:r>
      <w:r w:rsidRPr="00D81D95">
        <w:rPr>
          <w:snapToGrid/>
          <w:color w:val="000000"/>
          <w:kern w:val="0"/>
          <w:szCs w:val="22"/>
        </w:rPr>
        <w:t>in order to</w:t>
      </w:r>
      <w:r w:rsidRPr="00D81D95">
        <w:rPr>
          <w:snapToGrid/>
          <w:color w:val="000000"/>
          <w:kern w:val="0"/>
          <w:szCs w:val="22"/>
        </w:rPr>
        <w:t xml:space="preserve"> allow the agency to satisfy such requests whenever possible.</w:t>
      </w:r>
    </w:p>
    <w:p w:rsidR="00CB2568" w:rsidRPr="00FD699D" w:rsidP="00D76B5E" w14:paraId="09BA8FC5" w14:textId="77777777">
      <w:pPr>
        <w:widowControl/>
        <w:autoSpaceDE w:val="0"/>
        <w:autoSpaceDN w:val="0"/>
        <w:adjustRightInd w:val="0"/>
        <w:spacing w:after="120"/>
        <w:ind w:firstLine="720"/>
        <w:rPr>
          <w:snapToGrid/>
          <w:color w:val="000000"/>
          <w:kern w:val="0"/>
          <w:szCs w:val="22"/>
        </w:rPr>
      </w:pP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Rules</w:t>
      </w:r>
      <w:r w:rsidRPr="00FD699D">
        <w:rPr>
          <w:snapToGrid/>
          <w:color w:val="000000"/>
          <w:kern w:val="0"/>
          <w:szCs w:val="22"/>
        </w:rPr>
        <w:t xml:space="preserve">.  The proceeding is considered a “permit-but-disclose” proceeding in accordance with the Commission’s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rules.</w:t>
      </w:r>
      <w:r>
        <w:rPr>
          <w:rStyle w:val="FootnoteReference"/>
          <w:snapToGrid/>
          <w:kern w:val="0"/>
          <w:szCs w:val="22"/>
        </w:rPr>
        <w:footnoteReference w:id="7"/>
      </w:r>
      <w:r w:rsidRPr="00FD699D">
        <w:rPr>
          <w:snapToGrid/>
          <w:color w:val="000000"/>
          <w:kern w:val="0"/>
          <w:szCs w:val="22"/>
        </w:rPr>
        <w:t xml:space="preserve">  Persons making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presentations are reminded that memoranda summarizing the presentation must (1) list all persons attending or otherwise participating in the meeting at which the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meetings are deemed to be written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presentations and must be filed consistent with rule 1.1206(b).  In proceedings governed by rule 1.49(f) or for which the Commission has made available a method of electronic filing, written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 xml:space="preserve">presentations and memoranda summarizing oral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presentations, and all attachments thereto, must be filed through the electronic comment filing system available for that proceeding, and must be filed in their native format (</w:t>
      </w:r>
      <w:r w:rsidRPr="00FD699D">
        <w:rPr>
          <w:i/>
          <w:iCs/>
          <w:snapToGrid/>
          <w:color w:val="000000"/>
          <w:kern w:val="0"/>
          <w:szCs w:val="22"/>
        </w:rPr>
        <w:t>e.g.</w:t>
      </w:r>
      <w:r w:rsidRPr="00FD699D">
        <w:rPr>
          <w:snapToGrid/>
          <w:color w:val="000000"/>
          <w:kern w:val="0"/>
          <w:szCs w:val="22"/>
        </w:rPr>
        <w:t xml:space="preserve">, .doc, .xml, .ppt, searchable .pdf).  Participants in this proceeding should familiarize themselves with the Commission’s </w:t>
      </w:r>
      <w:r w:rsidRPr="00FD699D">
        <w:rPr>
          <w:i/>
          <w:iCs/>
          <w:snapToGrid/>
          <w:color w:val="000000"/>
          <w:kern w:val="0"/>
          <w:szCs w:val="22"/>
        </w:rPr>
        <w:t xml:space="preserve">ex </w:t>
      </w:r>
      <w:r w:rsidRPr="00FD699D">
        <w:rPr>
          <w:i/>
          <w:iCs/>
          <w:snapToGrid/>
          <w:color w:val="000000"/>
          <w:kern w:val="0"/>
          <w:szCs w:val="22"/>
        </w:rPr>
        <w:t>parte</w:t>
      </w:r>
      <w:r w:rsidRPr="00FD699D">
        <w:rPr>
          <w:i/>
          <w:iCs/>
          <w:snapToGrid/>
          <w:color w:val="000000"/>
          <w:kern w:val="0"/>
          <w:szCs w:val="22"/>
        </w:rPr>
        <w:t xml:space="preserve"> </w:t>
      </w:r>
      <w:r w:rsidRPr="00FD699D">
        <w:rPr>
          <w:snapToGrid/>
          <w:color w:val="000000"/>
          <w:kern w:val="0"/>
          <w:szCs w:val="22"/>
        </w:rPr>
        <w:t>rules.</w:t>
      </w:r>
    </w:p>
    <w:p w:rsidR="00CB2568" w:rsidP="00D76B5E" w14:paraId="552A2B11" w14:textId="756041D1">
      <w:pPr>
        <w:spacing w:after="120"/>
        <w:ind w:firstLine="720"/>
        <w:rPr>
          <w:snapToGrid/>
          <w:color w:val="000000"/>
          <w:kern w:val="0"/>
          <w:szCs w:val="22"/>
        </w:rPr>
      </w:pPr>
      <w:r w:rsidRPr="00FD699D">
        <w:rPr>
          <w:snapToGrid/>
          <w:color w:val="000000"/>
          <w:kern w:val="0"/>
          <w:szCs w:val="22"/>
        </w:rPr>
        <w:t>For further information, please contact</w:t>
      </w:r>
      <w:r>
        <w:rPr>
          <w:snapToGrid/>
          <w:color w:val="000000"/>
          <w:kern w:val="0"/>
          <w:szCs w:val="22"/>
        </w:rPr>
        <w:t xml:space="preserve"> Dangkhoa Nguyen, Wireline Competition Bureau, Telecommunications Access Policy Division, at </w:t>
      </w:r>
      <w:hyperlink r:id="rId7" w:history="1">
        <w:r w:rsidRPr="00987690">
          <w:rPr>
            <w:rStyle w:val="Hyperlink"/>
            <w:snapToGrid/>
            <w:kern w:val="0"/>
            <w:szCs w:val="22"/>
          </w:rPr>
          <w:t>Dangkhoa.nguyen@fcc.gov</w:t>
        </w:r>
      </w:hyperlink>
      <w:r w:rsidR="00073B68">
        <w:rPr>
          <w:rStyle w:val="Hyperlink"/>
          <w:snapToGrid/>
          <w:kern w:val="0"/>
          <w:szCs w:val="22"/>
        </w:rPr>
        <w:t>.</w:t>
      </w:r>
    </w:p>
    <w:p w:rsidR="00CB2568" w:rsidP="00CB2568" w14:paraId="4DC31559" w14:textId="19F08917">
      <w:pPr>
        <w:spacing w:after="240"/>
        <w:jc w:val="center"/>
        <w:rPr>
          <w:b/>
          <w:bCs/>
          <w:snapToGrid/>
          <w:color w:val="000000"/>
          <w:kern w:val="0"/>
          <w:szCs w:val="22"/>
        </w:rPr>
      </w:pPr>
    </w:p>
    <w:p w:rsidR="00CB2568" w:rsidP="00CB2568" w14:paraId="3BC7FAA4" w14:textId="77777777">
      <w:pPr>
        <w:spacing w:after="240"/>
        <w:jc w:val="center"/>
        <w:rPr>
          <w:b/>
          <w:bCs/>
          <w:snapToGrid/>
          <w:color w:val="000000"/>
          <w:kern w:val="0"/>
          <w:szCs w:val="22"/>
        </w:rPr>
      </w:pPr>
    </w:p>
    <w:p w:rsidR="00CB2568" w:rsidRPr="00B96B3D" w:rsidP="00CB2568" w14:paraId="5016DFEE" w14:textId="77777777">
      <w:pPr>
        <w:spacing w:after="240"/>
        <w:jc w:val="center"/>
        <w:rPr>
          <w:sz w:val="24"/>
        </w:rPr>
      </w:pPr>
      <w:r w:rsidRPr="00FD699D">
        <w:rPr>
          <w:b/>
          <w:bCs/>
          <w:snapToGrid/>
          <w:color w:val="000000"/>
          <w:kern w:val="0"/>
          <w:szCs w:val="22"/>
        </w:rPr>
        <w:t>- FCC -</w:t>
      </w:r>
    </w:p>
    <w:p w:rsidR="00CB2568" w:rsidP="00CB2568" w14:paraId="6566AAAE" w14:textId="77777777">
      <w:pPr>
        <w:rPr>
          <w:b/>
          <w:sz w:val="24"/>
        </w:rPr>
      </w:pPr>
    </w:p>
    <w:p w:rsidR="00F96F63" w:rsidRPr="00930ECF" w:rsidP="00F96F63" w14:paraId="218CA5C0" w14:textId="77777777">
      <w:pPr>
        <w:rPr>
          <w:sz w:val="24"/>
        </w:rPr>
      </w:pPr>
      <w:bookmarkStart w:id="1" w:name="TOChere"/>
    </w:p>
    <w:bookmarkEnd w:id="1"/>
    <w:p w:rsidR="00F96F63" w:rsidP="00F96F63" w14:paraId="2BBF6AAD" w14:textId="77777777">
      <w:pPr>
        <w:rPr>
          <w:sz w:val="24"/>
        </w:rPr>
      </w:pPr>
    </w:p>
    <w:p w:rsidR="00930ECF" w:rsidRPr="00930ECF" w:rsidP="00F96F63" w14:paraId="696C43F7"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07032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711AB9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8A9AEC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23F5B5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6981" w14:paraId="36C76D6B" w14:textId="77777777">
      <w:r>
        <w:separator/>
      </w:r>
    </w:p>
  </w:footnote>
  <w:footnote w:type="continuationSeparator" w:id="1">
    <w:p w:rsidR="00DB6981" w14:paraId="3169867E" w14:textId="77777777">
      <w:pPr>
        <w:rPr>
          <w:sz w:val="20"/>
        </w:rPr>
      </w:pPr>
      <w:r>
        <w:rPr>
          <w:sz w:val="20"/>
        </w:rPr>
        <w:t xml:space="preserve">(Continued from previous page)  </w:t>
      </w:r>
      <w:r>
        <w:rPr>
          <w:sz w:val="20"/>
        </w:rPr>
        <w:separator/>
      </w:r>
    </w:p>
  </w:footnote>
  <w:footnote w:type="continuationNotice" w:id="2">
    <w:p w:rsidR="00DB6981" w:rsidP="00910F12" w14:paraId="5595077A" w14:textId="77777777">
      <w:pPr>
        <w:jc w:val="right"/>
        <w:rPr>
          <w:sz w:val="20"/>
        </w:rPr>
      </w:pPr>
      <w:r>
        <w:rPr>
          <w:sz w:val="20"/>
        </w:rPr>
        <w:t>(</w:t>
      </w:r>
      <w:r>
        <w:rPr>
          <w:sz w:val="20"/>
        </w:rPr>
        <w:t>continued</w:t>
      </w:r>
      <w:r>
        <w:rPr>
          <w:sz w:val="20"/>
        </w:rPr>
        <w:t>….)</w:t>
      </w:r>
    </w:p>
  </w:footnote>
  <w:footnote w:id="3">
    <w:p w:rsidR="00CB2568" w:rsidP="00CB2568" w14:paraId="18999D2F" w14:textId="77777777">
      <w:pPr>
        <w:pStyle w:val="FootnoteText"/>
      </w:pPr>
      <w:r>
        <w:rPr>
          <w:rStyle w:val="FootnoteReference"/>
        </w:rPr>
        <w:footnoteRef/>
      </w:r>
      <w:r>
        <w:t xml:space="preserve"> Petition for Declaratory Ruling by T-Mobile USA, Inc., WC Docket No. 18-143 (filed Apr. 7, 2022).</w:t>
      </w:r>
    </w:p>
  </w:footnote>
  <w:footnote w:id="4">
    <w:p w:rsidR="00CB2568" w:rsidP="00CB2568" w14:paraId="582FC0E1" w14:textId="77777777">
      <w:pPr>
        <w:pStyle w:val="FootnoteText"/>
      </w:pPr>
      <w:r>
        <w:rPr>
          <w:rStyle w:val="FootnoteReference"/>
        </w:rPr>
        <w:footnoteRef/>
      </w:r>
      <w:r>
        <w:t xml:space="preserve"> “Bringing Puerto Rico Together” is the English translation of “</w:t>
      </w:r>
      <w:r>
        <w:t>Uniendo</w:t>
      </w:r>
      <w:r>
        <w:t xml:space="preserve"> a Puerto Rico.”</w:t>
      </w:r>
    </w:p>
  </w:footnote>
  <w:footnote w:id="5">
    <w:p w:rsidR="00CB2568" w:rsidRPr="00D81D95" w:rsidP="00CB2568" w14:paraId="3B076968" w14:textId="77777777">
      <w:pPr>
        <w:widowControl/>
        <w:autoSpaceDE w:val="0"/>
        <w:autoSpaceDN w:val="0"/>
        <w:adjustRightInd w:val="0"/>
        <w:spacing w:after="120"/>
      </w:pPr>
      <w:r w:rsidRPr="00BB181F">
        <w:rPr>
          <w:rStyle w:val="FootnoteReference"/>
          <w:szCs w:val="22"/>
        </w:rPr>
        <w:footnoteRef/>
      </w:r>
      <w:r w:rsidRPr="00BB181F">
        <w:rPr>
          <w:szCs w:val="22"/>
        </w:rPr>
        <w:t xml:space="preserve"> </w:t>
      </w:r>
      <w:r w:rsidRPr="00DC07DD">
        <w:rPr>
          <w:i/>
          <w:iCs/>
          <w:snapToGrid/>
          <w:kern w:val="0"/>
          <w:sz w:val="20"/>
        </w:rPr>
        <w:t>See Electronic Filing of Documents in Rulemaking Proceedings</w:t>
      </w:r>
      <w:r w:rsidRPr="00DC07DD">
        <w:rPr>
          <w:snapToGrid/>
          <w:kern w:val="0"/>
          <w:sz w:val="20"/>
        </w:rPr>
        <w:t>, 63 FR 24121 (1998).</w:t>
      </w:r>
    </w:p>
  </w:footnote>
  <w:footnote w:id="6">
    <w:p w:rsidR="00CB2568" w:rsidRPr="00D81D95" w:rsidP="00CB2568" w14:paraId="26638350" w14:textId="77777777">
      <w:pPr>
        <w:pStyle w:val="FootnoteText"/>
      </w:pPr>
      <w:r w:rsidRPr="007A5E3C">
        <w:rPr>
          <w:rStyle w:val="FootnoteReference"/>
          <w:szCs w:val="22"/>
        </w:rPr>
        <w:footnoteRef/>
      </w:r>
      <w:r w:rsidRPr="007A5E3C">
        <w:rPr>
          <w:sz w:val="22"/>
          <w:szCs w:val="22"/>
        </w:rPr>
        <w:t xml:space="preserve"> </w:t>
      </w:r>
      <w:r w:rsidRPr="00DC07DD">
        <w:rPr>
          <w:i/>
          <w:iCs/>
        </w:rPr>
        <w:t>See FCC Announces Closure of FCC Headquarters Open Window and Change in Hand-Delivery Policy, Public Notice</w:t>
      </w:r>
      <w:r w:rsidRPr="00D81D95">
        <w:t xml:space="preserve">, 35 FCC </w:t>
      </w:r>
      <w:r w:rsidRPr="00D81D95">
        <w:t>Rcd</w:t>
      </w:r>
      <w:r w:rsidRPr="00D81D95">
        <w:t xml:space="preserve"> 2788 (OMD 2020), </w:t>
      </w:r>
      <w:hyperlink r:id="rId1" w:history="1">
        <w:r w:rsidRPr="003E0242">
          <w:rPr>
            <w:rStyle w:val="Hyperlink"/>
          </w:rPr>
          <w:t>https://www.fcc.gov/document/fcc-closes-headquarters-open-window-and-changes-hand-delivery-policy</w:t>
        </w:r>
      </w:hyperlink>
      <w:r w:rsidRPr="00D81D95">
        <w:t>.</w:t>
      </w:r>
    </w:p>
  </w:footnote>
  <w:footnote w:id="7">
    <w:p w:rsidR="00CB2568" w:rsidRPr="00D81D95" w:rsidP="00CB2568" w14:paraId="52B1674F" w14:textId="77777777">
      <w:pPr>
        <w:pStyle w:val="FootnoteText"/>
      </w:pPr>
      <w:r w:rsidRPr="007A5E3C">
        <w:rPr>
          <w:rStyle w:val="FootnoteReference"/>
          <w:szCs w:val="22"/>
        </w:rPr>
        <w:footnoteRef/>
      </w:r>
      <w:r w:rsidRPr="007A5E3C">
        <w:rPr>
          <w:sz w:val="22"/>
          <w:szCs w:val="22"/>
        </w:rPr>
        <w:t xml:space="preserve"> </w:t>
      </w:r>
      <w:r w:rsidRPr="00D81D95">
        <w:t xml:space="preserve">47 CFR §§ 1.1200 </w:t>
      </w:r>
      <w:r w:rsidRPr="00D81D95">
        <w:rPr>
          <w:i/>
          <w:iCs/>
        </w:rPr>
        <w:t>et seq</w:t>
      </w:r>
      <w:r w:rsidRPr="00D81D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F828893" w14:textId="793D5B04">
    <w:pPr>
      <w:tabs>
        <w:tab w:val="center" w:pos="4680"/>
        <w:tab w:val="right" w:pos="9360"/>
      </w:tabs>
    </w:pPr>
    <w:r w:rsidRPr="009838BC">
      <w:rPr>
        <w:b/>
      </w:rPr>
      <w:tab/>
      <w:t>Federal Communications Commission</w:t>
    </w:r>
    <w:r w:rsidRPr="009838BC">
      <w:rPr>
        <w:b/>
      </w:rPr>
      <w:tab/>
    </w:r>
    <w:r w:rsidR="00CB2568">
      <w:rPr>
        <w:b/>
      </w:rPr>
      <w:t>DA  22-426</w:t>
    </w:r>
  </w:p>
  <w:p w:rsidR="009838BC" w:rsidRPr="009838BC" w:rsidP="009838BC" w14:paraId="5DBE5886" w14:textId="77777777">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9838BC" w:rsidRPr="009838BC" w:rsidP="009838BC" w14:paraId="6A5706C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318432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stroked="f">
          <v:textbox>
            <w:txbxContent>
              <w:p w:rsidR="00DE0AB8" w:rsidP="00DE0AB8" w14:paraId="19289A57" w14:textId="77777777">
                <w:pPr>
                  <w:rPr>
                    <w:rFonts w:ascii="Arial" w:hAnsi="Arial"/>
                    <w:b/>
                    <w:snapToGrid/>
                  </w:rPr>
                </w:pPr>
                <w:r>
                  <w:rPr>
                    <w:rFonts w:ascii="Arial" w:hAnsi="Arial"/>
                    <w:b/>
                  </w:rPr>
                  <w:t>Federal Communications Commission</w:t>
                </w:r>
              </w:p>
              <w:p w:rsidR="00DE0AB8" w:rsidP="00DE0AB8" w14:paraId="45B5B753" w14:textId="77777777">
                <w:pPr>
                  <w:rPr>
                    <w:rFonts w:ascii="Arial" w:hAnsi="Arial"/>
                    <w:b/>
                  </w:rPr>
                </w:pPr>
                <w:r>
                  <w:rPr>
                    <w:rFonts w:ascii="Arial" w:hAnsi="Arial"/>
                    <w:b/>
                  </w:rPr>
                  <w:t>45 L Street NE</w:t>
                </w:r>
              </w:p>
              <w:p w:rsidR="009838BC" w:rsidP="00DE0AB8" w14:paraId="6746BC1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mso-height-percent:0;mso-width-percent:0;mso-wrap-edited:f;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4D5D8EE" w14:textId="77777777">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left:9pt;mso-wrap-distance-right:9pt;mso-wrap-style:square;position:absolute;visibility:visible;z-index:251660288" from="416.8pt,56.7pt" to="884.8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9838BC" w:rsidP="009838BC" w14:paraId="589B8550" w14:textId="77777777">
                <w:pPr>
                  <w:spacing w:before="40"/>
                  <w:jc w:val="right"/>
                  <w:rPr>
                    <w:rFonts w:ascii="Arial" w:hAnsi="Arial"/>
                    <w:b/>
                    <w:sz w:val="16"/>
                  </w:rPr>
                </w:pPr>
                <w:r>
                  <w:rPr>
                    <w:rFonts w:ascii="Arial" w:hAnsi="Arial"/>
                    <w:b/>
                    <w:sz w:val="16"/>
                  </w:rPr>
                  <w:t>News Media Information 202 / 418-0500</w:t>
                </w:r>
              </w:p>
              <w:p w:rsidR="009838BC" w:rsidP="009838BC" w14:paraId="61563C6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4593728" w14:textId="77777777">
                <w:pPr>
                  <w:jc w:val="right"/>
                </w:pPr>
                <w:r>
                  <w:rPr>
                    <w:rFonts w:ascii="Arial" w:hAnsi="Arial"/>
                    <w:b/>
                    <w:sz w:val="16"/>
                  </w:rPr>
                  <w:t>TTY: 1-888-835-5322</w:t>
                </w:r>
              </w:p>
            </w:txbxContent>
          </v:textbox>
        </v:shape>
      </w:pict>
    </w:r>
  </w:p>
  <w:p w:rsidR="006F7393" w:rsidRPr="009838BC" w:rsidP="009838BC" w14:paraId="7AF01C8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3045BA"/>
    <w:multiLevelType w:val="hybridMultilevel"/>
    <w:tmpl w:val="050A933C"/>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99A5B14"/>
    <w:multiLevelType w:val="hybridMultilevel"/>
    <w:tmpl w:val="A1409D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68"/>
    <w:rsid w:val="000072CE"/>
    <w:rsid w:val="00013A8B"/>
    <w:rsid w:val="00021445"/>
    <w:rsid w:val="00036039"/>
    <w:rsid w:val="00037F90"/>
    <w:rsid w:val="00073B68"/>
    <w:rsid w:val="000875BF"/>
    <w:rsid w:val="00096D8C"/>
    <w:rsid w:val="000C0B65"/>
    <w:rsid w:val="000D3C63"/>
    <w:rsid w:val="000E3D42"/>
    <w:rsid w:val="000E5884"/>
    <w:rsid w:val="00122BD5"/>
    <w:rsid w:val="001979D9"/>
    <w:rsid w:val="001D6BCF"/>
    <w:rsid w:val="001E01CA"/>
    <w:rsid w:val="002060D9"/>
    <w:rsid w:val="00226822"/>
    <w:rsid w:val="00260594"/>
    <w:rsid w:val="00285017"/>
    <w:rsid w:val="002A2D2E"/>
    <w:rsid w:val="00343749"/>
    <w:rsid w:val="00357D50"/>
    <w:rsid w:val="00375223"/>
    <w:rsid w:val="003925DC"/>
    <w:rsid w:val="003B0550"/>
    <w:rsid w:val="003B694F"/>
    <w:rsid w:val="003E0242"/>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A5E3C"/>
    <w:rsid w:val="00822CE0"/>
    <w:rsid w:val="00837C62"/>
    <w:rsid w:val="00841AB1"/>
    <w:rsid w:val="008C22FD"/>
    <w:rsid w:val="00910F12"/>
    <w:rsid w:val="00926503"/>
    <w:rsid w:val="00930ECF"/>
    <w:rsid w:val="009838BC"/>
    <w:rsid w:val="00987690"/>
    <w:rsid w:val="00A45F4F"/>
    <w:rsid w:val="00A600A9"/>
    <w:rsid w:val="00A866AC"/>
    <w:rsid w:val="00AA55B7"/>
    <w:rsid w:val="00AA5B9E"/>
    <w:rsid w:val="00AB2407"/>
    <w:rsid w:val="00AB53DF"/>
    <w:rsid w:val="00B07E5C"/>
    <w:rsid w:val="00B20363"/>
    <w:rsid w:val="00B326E3"/>
    <w:rsid w:val="00B811F7"/>
    <w:rsid w:val="00B96B3D"/>
    <w:rsid w:val="00BA5DC6"/>
    <w:rsid w:val="00BA6196"/>
    <w:rsid w:val="00BB181F"/>
    <w:rsid w:val="00BC6D8C"/>
    <w:rsid w:val="00C16AF2"/>
    <w:rsid w:val="00C34006"/>
    <w:rsid w:val="00C426B1"/>
    <w:rsid w:val="00C82B6B"/>
    <w:rsid w:val="00C90D6A"/>
    <w:rsid w:val="00CB2568"/>
    <w:rsid w:val="00CC72B6"/>
    <w:rsid w:val="00D0218D"/>
    <w:rsid w:val="00D216CD"/>
    <w:rsid w:val="00D76B5E"/>
    <w:rsid w:val="00D80017"/>
    <w:rsid w:val="00D81D95"/>
    <w:rsid w:val="00DA2529"/>
    <w:rsid w:val="00DB130A"/>
    <w:rsid w:val="00DB6981"/>
    <w:rsid w:val="00DC07DD"/>
    <w:rsid w:val="00DC10A1"/>
    <w:rsid w:val="00DC3539"/>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D69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E2263B"/>
  <w15:chartTrackingRefBased/>
  <w15:docId w15:val="{61A6B64E-E845-46B0-B9BA-D85A492A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Dangkhoa.nguye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Process\Backup\Public Notice Portrait 3-12-21.dot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