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D2A39" w14:paraId="34AEA621" w14:textId="77777777">
      <w:pPr>
        <w:jc w:val="right"/>
        <w:rPr>
          <w:sz w:val="24"/>
        </w:rPr>
      </w:pPr>
    </w:p>
    <w:p w:rsidR="008D2A39" w14:paraId="3A93A149" w14:textId="360D500F">
      <w:pPr>
        <w:jc w:val="right"/>
        <w:rPr>
          <w:b/>
          <w:sz w:val="24"/>
        </w:rPr>
      </w:pPr>
      <w:r>
        <w:rPr>
          <w:b/>
          <w:sz w:val="24"/>
        </w:rPr>
        <w:t>DA 22-436</w:t>
      </w:r>
    </w:p>
    <w:p w:rsidR="008D2A39" w14:paraId="4C9F4496" w14:textId="5FD96BBF">
      <w:pPr>
        <w:spacing w:before="60"/>
        <w:jc w:val="right"/>
        <w:rPr>
          <w:b/>
          <w:sz w:val="24"/>
        </w:rPr>
      </w:pPr>
      <w:r>
        <w:rPr>
          <w:b/>
          <w:sz w:val="24"/>
        </w:rPr>
        <w:t>Released:  April 19, 2022</w:t>
      </w:r>
    </w:p>
    <w:p w:rsidR="008D2A39" w14:paraId="15170AE2" w14:textId="77777777">
      <w:pPr>
        <w:jc w:val="right"/>
        <w:rPr>
          <w:sz w:val="24"/>
        </w:rPr>
      </w:pPr>
    </w:p>
    <w:p w:rsidR="008D2A39" w:rsidRPr="009308A4" w:rsidP="009308A4" w14:paraId="2AF8E9CA" w14:textId="40094529">
      <w:pPr>
        <w:spacing w:after="240"/>
        <w:jc w:val="center"/>
        <w:rPr>
          <w:rFonts w:ascii="Times New Roman Bold" w:hAnsi="Times New Roman Bold"/>
          <w:b/>
          <w:caps/>
          <w:sz w:val="24"/>
        </w:rPr>
      </w:pPr>
      <w:r w:rsidRPr="008600F2">
        <w:rPr>
          <w:rFonts w:ascii="Times New Roman Bold" w:hAnsi="Times New Roman Bold"/>
          <w:b/>
          <w:caps/>
          <w:sz w:val="24"/>
        </w:rPr>
        <w:t>WIRELINE COMPETITION BUREAU LISTS BEST PRACTICES FOR ADDRESSING UNIVERSAL SERVICE FUND INFORMATION IN SECTION 214 TRANSFER OF CONTROL APPLICATIONS</w:t>
      </w:r>
      <w:bookmarkStart w:id="0" w:name="TOChere"/>
    </w:p>
    <w:p w:rsidR="008600F2" w:rsidRPr="00A0256F" w:rsidP="008600F2" w14:paraId="46043D22" w14:textId="77777777">
      <w:pPr>
        <w:spacing w:after="240"/>
        <w:ind w:firstLine="720"/>
      </w:pPr>
      <w:r w:rsidRPr="00A0256F">
        <w:t>The Commission’s rules require domestic section 214 applicants to include, among other initial showings, a statement explaining how grant of an application, filed pursuant to section 214 of the Communications Act of 1934, as amended (Act), and sections 63.03-04 of the Commission’s rules, will serve the public interest, convenience, and necessity.</w:t>
      </w:r>
      <w:r>
        <w:rPr>
          <w:rStyle w:val="FootnoteReference"/>
        </w:rPr>
        <w:footnoteReference w:id="3"/>
      </w:r>
      <w:r w:rsidRPr="00A0256F">
        <w:t xml:space="preserve">  The Commission and the Wireline Competition Bureau (Bureau) have broad discretion to require applicants to provide additional information in order to determine if the application is complete and may be accepted for </w:t>
      </w:r>
      <w:r>
        <w:t xml:space="preserve">streamlined or non-streamlined </w:t>
      </w:r>
      <w:r w:rsidRPr="00A0256F">
        <w:t>filing.</w:t>
      </w:r>
      <w:r>
        <w:rPr>
          <w:rStyle w:val="FootnoteReference"/>
        </w:rPr>
        <w:footnoteReference w:id="4"/>
      </w:r>
      <w:r w:rsidRPr="00A0256F">
        <w:t xml:space="preserve">  The Bureau has recently received higher volumes of </w:t>
      </w:r>
      <w:r>
        <w:t xml:space="preserve">domestic section 214 </w:t>
      </w:r>
      <w:r w:rsidRPr="00A0256F">
        <w:t xml:space="preserve">applications seeking approval for </w:t>
      </w:r>
      <w:r>
        <w:t xml:space="preserve">transactions that involve </w:t>
      </w:r>
      <w:r w:rsidRPr="00A0256F">
        <w:t xml:space="preserve">the </w:t>
      </w:r>
      <w:r w:rsidRPr="00A0256F">
        <w:rPr>
          <w:color w:val="000000"/>
        </w:rPr>
        <w:t xml:space="preserve">exchange and assumption of Universal Service Fund (USF) high-cost mechanism obligations. </w:t>
      </w:r>
      <w:r w:rsidRPr="00A0256F">
        <w:t xml:space="preserve"> To expedite the </w:t>
      </w:r>
      <w:r>
        <w:t xml:space="preserve">timely </w:t>
      </w:r>
      <w:r w:rsidRPr="00A0256F">
        <w:t xml:space="preserve">acceptance of </w:t>
      </w:r>
      <w:r>
        <w:t xml:space="preserve">such </w:t>
      </w:r>
      <w:r w:rsidRPr="00A0256F">
        <w:t xml:space="preserve">applications </w:t>
      </w:r>
      <w:r>
        <w:t xml:space="preserve">and minimize the need for supplemental filings necessary to </w:t>
      </w:r>
      <w:r w:rsidRPr="00A0256F">
        <w:t xml:space="preserve">enable the Bureau to undertake a thorough </w:t>
      </w:r>
      <w:r>
        <w:t xml:space="preserve">public interest </w:t>
      </w:r>
      <w:r w:rsidRPr="00A0256F">
        <w:t xml:space="preserve">review, </w:t>
      </w:r>
      <w:r>
        <w:t xml:space="preserve">WCB recommends that as part of the initial public interest showing, </w:t>
      </w:r>
      <w:r w:rsidRPr="00A0256F">
        <w:t>applicat</w:t>
      </w:r>
      <w:r>
        <w:t xml:space="preserve">ions </w:t>
      </w:r>
      <w:r w:rsidRPr="00A0256F">
        <w:t xml:space="preserve">that </w:t>
      </w:r>
      <w:r>
        <w:t xml:space="preserve">may </w:t>
      </w:r>
      <w:r w:rsidRPr="00A0256F">
        <w:t xml:space="preserve">have USF </w:t>
      </w:r>
      <w:r>
        <w:t xml:space="preserve">obligation </w:t>
      </w:r>
      <w:r w:rsidRPr="00A0256F">
        <w:t xml:space="preserve">implications </w:t>
      </w:r>
      <w:r>
        <w:t xml:space="preserve">include </w:t>
      </w:r>
      <w:r w:rsidRPr="00A0256F">
        <w:t>the following information:</w:t>
      </w:r>
      <w:r>
        <w:rPr>
          <w:rStyle w:val="FootnoteReference"/>
        </w:rPr>
        <w:footnoteReference w:id="5"/>
      </w:r>
    </w:p>
    <w:p w:rsidR="008600F2" w:rsidP="008600F2" w14:paraId="2BAA0A1C" w14:textId="77777777">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 xml:space="preserve">A listing of all USF high cost support received by </w:t>
      </w:r>
      <w:bookmarkStart w:id="1" w:name="_Hlk98313092"/>
      <w:r>
        <w:rPr>
          <w:rFonts w:ascii="Times New Roman" w:eastAsia="Times New Roman" w:hAnsi="Times New Roman" w:cs="Times New Roman"/>
        </w:rPr>
        <w:t xml:space="preserve">each </w:t>
      </w:r>
      <w:r w:rsidRPr="00CB5257">
        <w:rPr>
          <w:rFonts w:ascii="Times New Roman" w:eastAsia="Times New Roman" w:hAnsi="Times New Roman" w:cs="Times New Roman"/>
        </w:rPr>
        <w:t>entity to be transferred</w:t>
      </w:r>
      <w:r>
        <w:rPr>
          <w:rFonts w:ascii="Times New Roman" w:eastAsia="Times New Roman" w:hAnsi="Times New Roman" w:cs="Times New Roman"/>
        </w:rPr>
        <w:t xml:space="preserve"> and by the transferee and each affiliate</w:t>
      </w:r>
      <w:bookmarkEnd w:id="1"/>
      <w:r>
        <w:rPr>
          <w:rFonts w:ascii="Times New Roman" w:eastAsia="Times New Roman" w:hAnsi="Times New Roman" w:cs="Times New Roman"/>
        </w:rPr>
        <w:t xml:space="preserve"> of the transferee, </w:t>
      </w:r>
      <w:r w:rsidRPr="00CB5257">
        <w:rPr>
          <w:rFonts w:ascii="Times New Roman" w:eastAsia="Times New Roman" w:hAnsi="Times New Roman" w:cs="Times New Roman"/>
        </w:rPr>
        <w:t>including</w:t>
      </w:r>
      <w:r>
        <w:rPr>
          <w:rFonts w:ascii="Times New Roman" w:eastAsia="Times New Roman" w:hAnsi="Times New Roman" w:cs="Times New Roman"/>
        </w:rPr>
        <w:t xml:space="preserve"> </w:t>
      </w:r>
      <w:r w:rsidRPr="009F1874">
        <w:rPr>
          <w:rFonts w:ascii="Times New Roman" w:eastAsia="Times New Roman" w:hAnsi="Times New Roman" w:cs="Times New Roman"/>
        </w:rPr>
        <w:t xml:space="preserve">Connect America Fund (CAF) Phase II Auction (Auction 903) support, Rural Digital Opportunity Fund (RDOF) Phase I Auction (Auction 904) support, </w:t>
      </w:r>
      <w:r>
        <w:rPr>
          <w:rFonts w:ascii="Times New Roman" w:eastAsia="Times New Roman" w:hAnsi="Times New Roman" w:cs="Times New Roman"/>
        </w:rPr>
        <w:t xml:space="preserve">Alaska Plan support, </w:t>
      </w:r>
      <w:r w:rsidRPr="009F1874">
        <w:rPr>
          <w:rFonts w:ascii="Times New Roman" w:eastAsia="Times New Roman" w:hAnsi="Times New Roman" w:cs="Times New Roman"/>
        </w:rPr>
        <w:t>Alternative Connect America Cost Model support</w:t>
      </w:r>
      <w:r>
        <w:rPr>
          <w:rFonts w:ascii="Times New Roman" w:eastAsia="Times New Roman" w:hAnsi="Times New Roman" w:cs="Times New Roman"/>
        </w:rPr>
        <w:t>, CAF Broadband Loop Support, and Rural Broadband Experiment support.</w:t>
      </w:r>
      <w:r>
        <w:rPr>
          <w:rStyle w:val="FootnoteReference"/>
          <w:rFonts w:eastAsia="Times New Roman" w:cs="Times New Roman"/>
        </w:rPr>
        <w:footnoteReference w:id="6"/>
      </w:r>
      <w:r w:rsidRPr="00CB5257">
        <w:rPr>
          <w:rFonts w:ascii="Times New Roman" w:eastAsia="Times New Roman" w:hAnsi="Times New Roman" w:cs="Times New Roman"/>
        </w:rPr>
        <w:t xml:space="preserve"> </w:t>
      </w:r>
      <w:r w:rsidRPr="009F1874">
        <w:rPr>
          <w:rFonts w:ascii="Times New Roman" w:eastAsia="Times New Roman" w:hAnsi="Times New Roman" w:cs="Times New Roman"/>
        </w:rPr>
        <w:t xml:space="preserve"> </w:t>
      </w:r>
    </w:p>
    <w:p w:rsidR="008600F2" w:rsidRPr="009F1874" w:rsidP="008600F2" w14:paraId="355295F6" w14:textId="77777777">
      <w:pPr>
        <w:pStyle w:val="ListParagraph"/>
        <w:numPr>
          <w:ilvl w:val="0"/>
          <w:numId w:val="7"/>
        </w:numPr>
        <w:rPr>
          <w:rFonts w:ascii="Times New Roman" w:eastAsia="Times New Roman" w:hAnsi="Times New Roman" w:cs="Times New Roman"/>
        </w:rPr>
      </w:pPr>
      <w:r w:rsidRPr="009F1874">
        <w:rPr>
          <w:rFonts w:ascii="Times New Roman" w:eastAsia="Times New Roman" w:hAnsi="Times New Roman" w:cs="Times New Roman"/>
        </w:rPr>
        <w:t>Confirm</w:t>
      </w:r>
      <w:r>
        <w:rPr>
          <w:rFonts w:ascii="Times New Roman" w:eastAsia="Times New Roman" w:hAnsi="Times New Roman" w:cs="Times New Roman"/>
        </w:rPr>
        <w:t>ation of</w:t>
      </w:r>
      <w:r w:rsidRPr="009F1874">
        <w:rPr>
          <w:rFonts w:ascii="Times New Roman" w:eastAsia="Times New Roman" w:hAnsi="Times New Roman" w:cs="Times New Roman"/>
        </w:rPr>
        <w:t xml:space="preserve"> whether the entity </w:t>
      </w:r>
      <w:r>
        <w:rPr>
          <w:rFonts w:ascii="Times New Roman" w:eastAsia="Times New Roman" w:hAnsi="Times New Roman" w:cs="Times New Roman"/>
        </w:rPr>
        <w:t xml:space="preserve">or entities </w:t>
      </w:r>
      <w:r w:rsidRPr="009F1874">
        <w:rPr>
          <w:rFonts w:ascii="Times New Roman" w:eastAsia="Times New Roman" w:hAnsi="Times New Roman" w:cs="Times New Roman"/>
        </w:rPr>
        <w:t xml:space="preserve">to be transferred </w:t>
      </w:r>
      <w:r>
        <w:rPr>
          <w:rFonts w:ascii="Times New Roman" w:eastAsia="Times New Roman" w:hAnsi="Times New Roman" w:cs="Times New Roman"/>
        </w:rPr>
        <w:t>are</w:t>
      </w:r>
      <w:r w:rsidRPr="009F1874">
        <w:rPr>
          <w:rFonts w:ascii="Times New Roman" w:eastAsia="Times New Roman" w:hAnsi="Times New Roman" w:cs="Times New Roman"/>
        </w:rPr>
        <w:t xml:space="preserve"> Eligible Telecommunications Carrier</w:t>
      </w:r>
      <w:r>
        <w:rPr>
          <w:rFonts w:ascii="Times New Roman" w:eastAsia="Times New Roman" w:hAnsi="Times New Roman" w:cs="Times New Roman"/>
        </w:rPr>
        <w:t>s</w:t>
      </w:r>
      <w:r w:rsidRPr="009F1874">
        <w:rPr>
          <w:rFonts w:ascii="Times New Roman" w:eastAsia="Times New Roman" w:hAnsi="Times New Roman" w:cs="Times New Roman"/>
        </w:rPr>
        <w:t xml:space="preserve"> (ETC) under section 214</w:t>
      </w:r>
      <w:r>
        <w:rPr>
          <w:rFonts w:ascii="Times New Roman" w:eastAsia="Times New Roman" w:hAnsi="Times New Roman" w:cs="Times New Roman"/>
        </w:rPr>
        <w:t>(e)</w:t>
      </w:r>
      <w:r w:rsidRPr="009F1874">
        <w:rPr>
          <w:rFonts w:ascii="Times New Roman" w:eastAsia="Times New Roman" w:hAnsi="Times New Roman" w:cs="Times New Roman"/>
        </w:rPr>
        <w:t xml:space="preserve"> of the Act.</w:t>
      </w:r>
      <w:r>
        <w:rPr>
          <w:rStyle w:val="FootnoteReference"/>
          <w:rFonts w:eastAsia="Times New Roman" w:cs="Times New Roman"/>
        </w:rPr>
        <w:footnoteReference w:id="7"/>
      </w:r>
    </w:p>
    <w:p w:rsidR="008600F2" w:rsidRPr="009F1874" w:rsidP="008600F2" w14:paraId="3C4FC447" w14:textId="77777777">
      <w:pPr>
        <w:pStyle w:val="ListParagraph"/>
        <w:numPr>
          <w:ilvl w:val="0"/>
          <w:numId w:val="7"/>
        </w:numPr>
        <w:rPr>
          <w:rFonts w:ascii="Times New Roman" w:eastAsia="Times New Roman" w:hAnsi="Times New Roman" w:cs="Times New Roman"/>
        </w:rPr>
      </w:pPr>
      <w:r w:rsidRPr="009F1874">
        <w:rPr>
          <w:rFonts w:ascii="Times New Roman" w:eastAsia="Times New Roman" w:hAnsi="Times New Roman" w:cs="Times New Roman"/>
        </w:rPr>
        <w:t xml:space="preserve">If the entity </w:t>
      </w:r>
      <w:r>
        <w:rPr>
          <w:rFonts w:ascii="Times New Roman" w:eastAsia="Times New Roman" w:hAnsi="Times New Roman" w:cs="Times New Roman"/>
        </w:rPr>
        <w:t xml:space="preserve">or entities </w:t>
      </w:r>
      <w:r w:rsidRPr="009F1874">
        <w:rPr>
          <w:rFonts w:ascii="Times New Roman" w:eastAsia="Times New Roman" w:hAnsi="Times New Roman" w:cs="Times New Roman"/>
        </w:rPr>
        <w:t>to be transferred ha</w:t>
      </w:r>
      <w:r>
        <w:rPr>
          <w:rFonts w:ascii="Times New Roman" w:eastAsia="Times New Roman" w:hAnsi="Times New Roman" w:cs="Times New Roman"/>
        </w:rPr>
        <w:t>ve</w:t>
      </w:r>
      <w:r w:rsidRPr="009F1874">
        <w:rPr>
          <w:rFonts w:ascii="Times New Roman" w:eastAsia="Times New Roman" w:hAnsi="Times New Roman" w:cs="Times New Roman"/>
        </w:rPr>
        <w:t xml:space="preserve"> been awarded CAF Phase II or RDOF funding, </w:t>
      </w:r>
      <w:r>
        <w:rPr>
          <w:rFonts w:ascii="Times New Roman" w:eastAsia="Times New Roman" w:hAnsi="Times New Roman" w:cs="Times New Roman"/>
        </w:rPr>
        <w:t xml:space="preserve">provide a summary </w:t>
      </w:r>
      <w:r w:rsidRPr="009F1874">
        <w:rPr>
          <w:rFonts w:ascii="Times New Roman" w:eastAsia="Times New Roman" w:hAnsi="Times New Roman" w:cs="Times New Roman"/>
        </w:rPr>
        <w:t xml:space="preserve">addressing any </w:t>
      </w:r>
      <w:r>
        <w:rPr>
          <w:rFonts w:ascii="Times New Roman" w:eastAsia="Times New Roman" w:hAnsi="Times New Roman" w:cs="Times New Roman"/>
        </w:rPr>
        <w:t xml:space="preserve">changes to </w:t>
      </w:r>
      <w:r w:rsidRPr="009F1874">
        <w:rPr>
          <w:rFonts w:ascii="Times New Roman" w:eastAsia="Times New Roman" w:hAnsi="Times New Roman" w:cs="Times New Roman"/>
        </w:rPr>
        <w:t xml:space="preserve">management, technology, or debt that would result </w:t>
      </w:r>
      <w:r w:rsidRPr="009F1874">
        <w:rPr>
          <w:rFonts w:ascii="Times New Roman" w:eastAsia="Times New Roman" w:hAnsi="Times New Roman" w:cs="Times New Roman"/>
        </w:rPr>
        <w:t xml:space="preserve">from the proposed transaction, as well as whether there are </w:t>
      </w:r>
      <w:r w:rsidRPr="009F1874">
        <w:rPr>
          <w:rFonts w:ascii="Times New Roman" w:eastAsia="Times New Roman" w:hAnsi="Times New Roman" w:cs="Times New Roman"/>
          <w:color w:val="000000"/>
        </w:rPr>
        <w:t xml:space="preserve">any changes that might occur that would compromise </w:t>
      </w:r>
      <w:r>
        <w:rPr>
          <w:rFonts w:ascii="Times New Roman" w:eastAsia="Times New Roman" w:hAnsi="Times New Roman" w:cs="Times New Roman"/>
          <w:color w:val="000000"/>
        </w:rPr>
        <w:t xml:space="preserve">the </w:t>
      </w:r>
      <w:r w:rsidRPr="009F1874">
        <w:rPr>
          <w:rFonts w:ascii="Times New Roman" w:eastAsia="Times New Roman" w:hAnsi="Times New Roman" w:cs="Times New Roman"/>
          <w:color w:val="000000"/>
        </w:rPr>
        <w:t>support recipients</w:t>
      </w:r>
      <w:r>
        <w:rPr>
          <w:rFonts w:ascii="Times New Roman" w:eastAsia="Times New Roman" w:hAnsi="Times New Roman" w:cs="Times New Roman"/>
          <w:color w:val="000000"/>
        </w:rPr>
        <w:t>’</w:t>
      </w:r>
      <w:r w:rsidRPr="009F1874">
        <w:rPr>
          <w:rFonts w:ascii="Times New Roman" w:eastAsia="Times New Roman" w:hAnsi="Times New Roman" w:cs="Times New Roman"/>
          <w:color w:val="000000"/>
        </w:rPr>
        <w:t xml:space="preserve"> ability to meet </w:t>
      </w:r>
      <w:r>
        <w:rPr>
          <w:rFonts w:ascii="Times New Roman" w:eastAsia="Times New Roman" w:hAnsi="Times New Roman" w:cs="Times New Roman"/>
          <w:color w:val="000000"/>
        </w:rPr>
        <w:t xml:space="preserve">their </w:t>
      </w:r>
      <w:r w:rsidRPr="009F1874">
        <w:rPr>
          <w:rFonts w:ascii="Times New Roman" w:eastAsia="Times New Roman" w:hAnsi="Times New Roman" w:cs="Times New Roman"/>
          <w:color w:val="000000"/>
        </w:rPr>
        <w:t>service obligations</w:t>
      </w:r>
      <w:r>
        <w:rPr>
          <w:rFonts w:ascii="Times New Roman" w:eastAsia="Times New Roman" w:hAnsi="Times New Roman" w:cs="Times New Roman"/>
          <w:color w:val="000000"/>
        </w:rPr>
        <w:t>.</w:t>
      </w:r>
      <w:r w:rsidRPr="009F1874">
        <w:rPr>
          <w:rFonts w:ascii="Times New Roman" w:eastAsia="Times New Roman" w:hAnsi="Times New Roman" w:cs="Times New Roman"/>
        </w:rPr>
        <w:t xml:space="preserve"> </w:t>
      </w:r>
    </w:p>
    <w:p w:rsidR="008600F2" w:rsidRPr="008600F2" w:rsidP="008600F2" w14:paraId="5B299D53" w14:textId="77777777">
      <w:pPr>
        <w:pStyle w:val="ListParagraph"/>
        <w:numPr>
          <w:ilvl w:val="0"/>
          <w:numId w:val="7"/>
        </w:numPr>
        <w:rPr>
          <w:rFonts w:ascii="Times New Roman" w:eastAsia="Times New Roman" w:hAnsi="Times New Roman" w:cs="Times New Roman"/>
          <w:color w:val="000000"/>
        </w:rPr>
      </w:pPr>
      <w:r w:rsidRPr="008600F2">
        <w:rPr>
          <w:rFonts w:ascii="Times New Roman" w:eastAsia="Times New Roman" w:hAnsi="Times New Roman" w:cs="Times New Roman"/>
          <w:color w:val="000000"/>
        </w:rPr>
        <w:t xml:space="preserve">A list of study area codes (SACs) for </w:t>
      </w:r>
      <w:r>
        <w:rPr>
          <w:rFonts w:ascii="Times New Roman" w:eastAsia="Times New Roman" w:hAnsi="Times New Roman" w:cs="Times New Roman"/>
        </w:rPr>
        <w:t xml:space="preserve">each </w:t>
      </w:r>
      <w:r w:rsidRPr="00CB5257">
        <w:rPr>
          <w:rFonts w:ascii="Times New Roman" w:eastAsia="Times New Roman" w:hAnsi="Times New Roman" w:cs="Times New Roman"/>
        </w:rPr>
        <w:t>entity to be transferred</w:t>
      </w:r>
      <w:r>
        <w:rPr>
          <w:rFonts w:ascii="Times New Roman" w:eastAsia="Times New Roman" w:hAnsi="Times New Roman" w:cs="Times New Roman"/>
        </w:rPr>
        <w:t xml:space="preserve"> and for each affiliate of the entity or entities to be transferred, and for the transferee and each affiliate of the transferee</w:t>
      </w:r>
      <w:r w:rsidRPr="008600F2">
        <w:rPr>
          <w:rFonts w:ascii="Times New Roman" w:eastAsia="Times New Roman" w:hAnsi="Times New Roman" w:cs="Times New Roman"/>
          <w:color w:val="000000"/>
        </w:rPr>
        <w:t>.</w:t>
      </w:r>
      <w:r>
        <w:rPr>
          <w:rStyle w:val="FootnoteReference"/>
          <w:rFonts w:eastAsia="Times New Roman" w:cs="Times New Roman"/>
        </w:rPr>
        <w:footnoteReference w:id="8"/>
      </w:r>
    </w:p>
    <w:p w:rsidR="008600F2" w:rsidRPr="008600F2" w:rsidP="008600F2" w14:paraId="66856892" w14:textId="77777777">
      <w:pPr>
        <w:pStyle w:val="ListParagraph"/>
        <w:numPr>
          <w:ilvl w:val="0"/>
          <w:numId w:val="7"/>
        </w:numPr>
        <w:rPr>
          <w:color w:val="000000"/>
        </w:rPr>
      </w:pPr>
      <w:r w:rsidRPr="008600F2">
        <w:rPr>
          <w:rFonts w:ascii="Times New Roman" w:eastAsia="Times New Roman" w:hAnsi="Times New Roman" w:cs="Times New Roman"/>
          <w:color w:val="000000"/>
        </w:rPr>
        <w:t xml:space="preserve">A confirmation of whether the entity or entities to be transferred participate in the </w:t>
      </w:r>
      <w:r w:rsidRPr="008600F2">
        <w:rPr>
          <w:rFonts w:ascii="Times New Roman" w:hAnsi="Times New Roman" w:cs="Times New Roman"/>
          <w:color w:val="000000"/>
        </w:rPr>
        <w:t>Lifeline program, Emergency Broadband Benefit program, or the Affordable Connectivity Program, and whether such participation will continue if the transaction is consummated.</w:t>
      </w:r>
      <w:r>
        <w:rPr>
          <w:rStyle w:val="FootnoteReference"/>
          <w:rFonts w:cs="Times New Roman"/>
        </w:rPr>
        <w:footnoteReference w:id="9"/>
      </w:r>
    </w:p>
    <w:p w:rsidR="008600F2" w:rsidRPr="008600F2" w:rsidP="002F178E" w14:paraId="270986B4" w14:textId="77777777">
      <w:pPr>
        <w:pStyle w:val="ListParagraph"/>
        <w:ind w:left="0"/>
        <w:rPr>
          <w:color w:val="000000"/>
        </w:rPr>
      </w:pPr>
    </w:p>
    <w:p w:rsidR="008600F2" w:rsidRPr="008600F2" w:rsidP="008600F2" w14:paraId="33815CD1" w14:textId="77777777">
      <w:pPr>
        <w:spacing w:after="240"/>
        <w:ind w:firstLine="720"/>
        <w:rPr>
          <w:color w:val="000000"/>
        </w:rPr>
      </w:pPr>
      <w:r w:rsidRPr="008600F2">
        <w:rPr>
          <w:color w:val="000000"/>
        </w:rPr>
        <w:t>We also remind applicants to provide all required information set forth in the rules in their initial application, including the “</w:t>
      </w:r>
      <w:r w:rsidRPr="008600F2">
        <w:rPr>
          <w:color w:val="000000"/>
          <w:shd w:val="clear" w:color="auto" w:fill="FFFFFF"/>
        </w:rPr>
        <w:t>name, address, citizenship and principal business of any person or entity that directly or indirectly owns at least ten (10) percent of the equity of the applicant, and the percentage of equity owned by each of those entities (to the nearest one (1) percent),”</w:t>
      </w:r>
      <w:r>
        <w:rPr>
          <w:rStyle w:val="FootnoteReference"/>
          <w:color w:val="000000"/>
          <w:shd w:val="clear" w:color="auto" w:fill="FFFFFF"/>
        </w:rPr>
        <w:footnoteReference w:id="10"/>
      </w:r>
      <w:r w:rsidRPr="008600F2">
        <w:rPr>
          <w:color w:val="000000"/>
          <w:shd w:val="clear" w:color="auto" w:fill="FFFFFF"/>
        </w:rPr>
        <w:t xml:space="preserve"> and a “description of the geographic areas in which the transferor and transferee (</w:t>
      </w:r>
      <w:r w:rsidRPr="008600F2">
        <w:rPr>
          <w:color w:val="000000"/>
          <w:u w:val="single"/>
          <w:shd w:val="clear" w:color="auto" w:fill="FFFFFF"/>
        </w:rPr>
        <w:t>and their affiliates</w:t>
      </w:r>
      <w:r w:rsidRPr="008600F2">
        <w:rPr>
          <w:color w:val="000000"/>
          <w:shd w:val="clear" w:color="auto" w:fill="FFFFFF"/>
        </w:rPr>
        <w:t>) offer domestic telecommunications services, and what services are provided in each area.”</w:t>
      </w:r>
      <w:r>
        <w:rPr>
          <w:rStyle w:val="FootnoteReference"/>
          <w:color w:val="000000"/>
          <w:shd w:val="clear" w:color="auto" w:fill="FFFFFF"/>
        </w:rPr>
        <w:footnoteReference w:id="11"/>
      </w:r>
    </w:p>
    <w:p w:rsidR="008600F2" w:rsidRPr="008600F2" w:rsidP="008600F2" w14:paraId="04D284F6" w14:textId="77777777">
      <w:pPr>
        <w:spacing w:after="240"/>
        <w:ind w:firstLine="720"/>
        <w:rPr>
          <w:color w:val="000000"/>
        </w:rPr>
      </w:pPr>
      <w:r w:rsidRPr="008600F2">
        <w:rPr>
          <w:color w:val="000000"/>
        </w:rPr>
        <w:t xml:space="preserve">For further information, please contact the following Wireline Competition Bureau Competition Policy Division staff:  Jodie May at </w:t>
      </w:r>
      <w:hyperlink r:id="rId5" w:history="1">
        <w:r w:rsidRPr="008600F2">
          <w:rPr>
            <w:rStyle w:val="Hyperlink"/>
            <w:color w:val="000000"/>
          </w:rPr>
          <w:t>jodie.may@fcc.gov</w:t>
        </w:r>
      </w:hyperlink>
      <w:r w:rsidRPr="008600F2">
        <w:rPr>
          <w:color w:val="000000"/>
        </w:rPr>
        <w:t xml:space="preserve">, Dennis Johnson at </w:t>
      </w:r>
      <w:hyperlink r:id="rId6" w:history="1">
        <w:r w:rsidRPr="008600F2">
          <w:rPr>
            <w:rStyle w:val="Hyperlink"/>
            <w:color w:val="000000"/>
          </w:rPr>
          <w:t>dennis.johnson@fcc.gov</w:t>
        </w:r>
      </w:hyperlink>
      <w:r w:rsidRPr="008600F2">
        <w:rPr>
          <w:color w:val="000000"/>
        </w:rPr>
        <w:t xml:space="preserve">; or Gregory Kwan at </w:t>
      </w:r>
      <w:hyperlink r:id="rId7" w:history="1">
        <w:r w:rsidRPr="008600F2">
          <w:rPr>
            <w:rStyle w:val="Hyperlink"/>
            <w:color w:val="000000"/>
          </w:rPr>
          <w:t>gregory.kwan@fcc.gov</w:t>
        </w:r>
      </w:hyperlink>
      <w:r w:rsidRPr="008600F2">
        <w:rPr>
          <w:color w:val="000000"/>
        </w:rPr>
        <w:t xml:space="preserve">.  </w:t>
      </w:r>
    </w:p>
    <w:p w:rsidR="008D2A39" w:rsidP="008600F2" w14:paraId="2A2DBA42" w14:textId="1B438C57">
      <w:pPr>
        <w:jc w:val="center"/>
      </w:pPr>
      <w:r w:rsidRPr="00A0256F">
        <w:rPr>
          <w:b/>
        </w:rPr>
        <w:t>-FCC-</w:t>
      </w:r>
    </w:p>
    <w:p w:rsidR="008D2A39" w14:paraId="374F4194" w14:textId="77777777"/>
    <w:bookmarkEnd w:id="0"/>
    <w:p w:rsidR="008600F2" w14:paraId="7693AF2B" w14:textId="77777777"/>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2A39" w14:paraId="49FF0639" w14:textId="77777777">
    <w:pPr>
      <w:pStyle w:val="Footer"/>
      <w:framePr w:wrap="around" w:vAnchor="text" w:hAnchor="margin" w:xAlign="center" w:y="1"/>
    </w:pPr>
    <w:r>
      <w:fldChar w:fldCharType="begin"/>
    </w:r>
    <w:r>
      <w:instrText xml:space="preserve">PAGE  </w:instrText>
    </w:r>
    <w:r>
      <w:fldChar w:fldCharType="separate"/>
    </w:r>
    <w:r>
      <w:fldChar w:fldCharType="end"/>
    </w:r>
  </w:p>
  <w:p w:rsidR="008D2A39" w14:paraId="579E96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2A39" w14:paraId="41EEF67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2A39" w14:paraId="2A1CF11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0F2" w14:paraId="1AB3EDC0" w14:textId="77777777">
      <w:r>
        <w:separator/>
      </w:r>
    </w:p>
  </w:footnote>
  <w:footnote w:type="continuationSeparator" w:id="1">
    <w:p w:rsidR="008600F2" w14:paraId="40749717" w14:textId="77777777">
      <w:pPr>
        <w:rPr>
          <w:sz w:val="20"/>
        </w:rPr>
      </w:pPr>
      <w:r>
        <w:rPr>
          <w:sz w:val="20"/>
        </w:rPr>
        <w:t xml:space="preserve">(Continued from previous page)  </w:t>
      </w:r>
      <w:r>
        <w:rPr>
          <w:sz w:val="20"/>
        </w:rPr>
        <w:separator/>
      </w:r>
    </w:p>
  </w:footnote>
  <w:footnote w:type="continuationNotice" w:id="2">
    <w:p w:rsidR="008600F2" w14:paraId="30E65683" w14:textId="77777777">
      <w:pPr>
        <w:jc w:val="right"/>
        <w:rPr>
          <w:sz w:val="20"/>
        </w:rPr>
      </w:pPr>
      <w:r>
        <w:rPr>
          <w:sz w:val="20"/>
        </w:rPr>
        <w:t>(continued….)</w:t>
      </w:r>
    </w:p>
  </w:footnote>
  <w:footnote w:id="3">
    <w:p w:rsidR="008600F2" w:rsidRPr="009F1874" w:rsidP="008600F2" w14:paraId="096B9736" w14:textId="77777777">
      <w:pPr>
        <w:pStyle w:val="FootnoteText"/>
      </w:pPr>
      <w:r w:rsidRPr="009F1874">
        <w:rPr>
          <w:rStyle w:val="FootnoteReference"/>
          <w:sz w:val="20"/>
        </w:rPr>
        <w:footnoteRef/>
      </w:r>
      <w:r w:rsidRPr="009F1874">
        <w:t xml:space="preserve"> 47 U.S.C. § 214; 47 CFR §§ 63.03-04.</w:t>
      </w:r>
    </w:p>
  </w:footnote>
  <w:footnote w:id="4">
    <w:p w:rsidR="008600F2" w:rsidRPr="009F1874" w:rsidP="008600F2" w14:paraId="7F94AF88" w14:textId="77777777">
      <w:pPr>
        <w:pStyle w:val="FootnoteText"/>
      </w:pPr>
      <w:r w:rsidRPr="009F1874">
        <w:rPr>
          <w:rStyle w:val="FootnoteReference"/>
          <w:sz w:val="20"/>
        </w:rPr>
        <w:footnoteRef/>
      </w:r>
      <w:r w:rsidRPr="009F1874">
        <w:t xml:space="preserve"> 47 CFR § 63.03(a) (“Upon determination by the [Common Carrier] Bureau that the applicants have filed</w:t>
      </w:r>
      <w:r w:rsidRPr="009F1874">
        <w:rPr>
          <w:color w:val="3D3D3D"/>
          <w:shd w:val="clear" w:color="auto" w:fill="FFFFFF"/>
        </w:rPr>
        <w:t xml:space="preserve"> a complete application and that the application is appropriate for streamlined treatment, the </w:t>
      </w:r>
      <w:r>
        <w:rPr>
          <w:color w:val="3D3D3D"/>
          <w:shd w:val="clear" w:color="auto" w:fill="FFFFFF"/>
        </w:rPr>
        <w:t>[</w:t>
      </w:r>
      <w:r w:rsidRPr="009F1874">
        <w:rPr>
          <w:color w:val="3D3D3D"/>
          <w:shd w:val="clear" w:color="auto" w:fill="FFFFFF"/>
        </w:rPr>
        <w:t>Common Carrier</w:t>
      </w:r>
      <w:r>
        <w:rPr>
          <w:color w:val="3D3D3D"/>
          <w:shd w:val="clear" w:color="auto" w:fill="FFFFFF"/>
        </w:rPr>
        <w:t>]</w:t>
      </w:r>
      <w:r w:rsidRPr="009F1874">
        <w:rPr>
          <w:color w:val="3D3D3D"/>
          <w:shd w:val="clear" w:color="auto" w:fill="FFFFFF"/>
        </w:rPr>
        <w:t xml:space="preserve"> Bureau will issue a public notice stating that the application has been accepted for filing as a streamlined application.); </w:t>
      </w:r>
      <w:r w:rsidRPr="009F1874">
        <w:t xml:space="preserve">63.03(c)(1) (‘At any time after an application is filed, the Commission, acting through the Chief of the Wireline Competition Bureau, may notify an applicant that </w:t>
      </w:r>
      <w:r w:rsidRPr="009F1874">
        <w:rPr>
          <w:color w:val="3D3D3D"/>
          <w:shd w:val="clear" w:color="auto" w:fill="FFFFFF"/>
        </w:rPr>
        <w:t xml:space="preserve">its application is being removed from streamlined processing, or will not be subject to streamlined processing.”); </w:t>
      </w:r>
      <w:r>
        <w:rPr>
          <w:i/>
          <w:iCs/>
          <w:color w:val="3D3D3D"/>
          <w:shd w:val="clear" w:color="auto" w:fill="FFFFFF"/>
        </w:rPr>
        <w:t xml:space="preserve">see </w:t>
      </w:r>
      <w:r w:rsidRPr="009F1874">
        <w:t>63.51(a) (</w:t>
      </w:r>
      <w:r w:rsidRPr="009F1874">
        <w:rPr>
          <w:color w:val="3D3D3D"/>
          <w:shd w:val="clear" w:color="auto" w:fill="FFFFFF"/>
        </w:rPr>
        <w:t>“You must provide additional information if the Commission requests you to do so after it initially reviews your application or request.”)</w:t>
      </w:r>
      <w:r w:rsidRPr="009F1874">
        <w:t xml:space="preserve">. </w:t>
      </w:r>
    </w:p>
  </w:footnote>
  <w:footnote w:id="5">
    <w:p w:rsidR="008600F2" w:rsidRPr="00CB5257" w:rsidP="008600F2" w14:paraId="061EE819" w14:textId="77777777">
      <w:pPr>
        <w:pStyle w:val="FootnoteText"/>
      </w:pPr>
      <w:r w:rsidRPr="009F1874">
        <w:rPr>
          <w:rStyle w:val="FootnoteReference"/>
          <w:sz w:val="20"/>
        </w:rPr>
        <w:footnoteRef/>
      </w:r>
      <w:r w:rsidRPr="009F1874">
        <w:t xml:space="preserve"> 47 CFR § 63.04(a)(12) (stating that applicants must provide “a statement showing how grant of the application would serve the public interest, convenience, and necessity, including additional information that may be necessary to </w:t>
      </w:r>
      <w:r w:rsidRPr="00CB5257">
        <w:t>show the effect of the proposed transaction on competition in domestic markets”).</w:t>
      </w:r>
    </w:p>
  </w:footnote>
  <w:footnote w:id="6">
    <w:p w:rsidR="008600F2" w:rsidRPr="008600F2" w:rsidP="008600F2" w14:paraId="6ABACBF0" w14:textId="77777777">
      <w:pPr>
        <w:pStyle w:val="FootnoteText"/>
        <w:rPr>
          <w:rFonts w:eastAsia="Calibri"/>
        </w:rPr>
      </w:pPr>
      <w:r w:rsidRPr="008600F2">
        <w:rPr>
          <w:rStyle w:val="FootnoteReference"/>
          <w:rFonts w:eastAsia="Calibri"/>
          <w:sz w:val="20"/>
        </w:rPr>
        <w:footnoteRef/>
      </w:r>
      <w:r w:rsidRPr="008600F2">
        <w:rPr>
          <w:rFonts w:eastAsia="Calibri"/>
        </w:rPr>
        <w:t xml:space="preserve"> </w:t>
      </w:r>
      <w:r w:rsidRPr="008600F2">
        <w:rPr>
          <w:rFonts w:eastAsia="Calibri"/>
          <w:i/>
          <w:iCs/>
        </w:rPr>
        <w:t>See</w:t>
      </w:r>
      <w:r w:rsidRPr="008600F2">
        <w:rPr>
          <w:rFonts w:eastAsia="Calibri"/>
        </w:rPr>
        <w:t xml:space="preserve"> </w:t>
      </w:r>
      <w:hyperlink r:id="rId1" w:history="1">
        <w:r w:rsidRPr="008600F2">
          <w:rPr>
            <w:rStyle w:val="Hyperlink"/>
            <w:rFonts w:eastAsia="Calibri"/>
          </w:rPr>
          <w:t>https://www.usac.org/high-cost/</w:t>
        </w:r>
      </w:hyperlink>
      <w:r w:rsidRPr="008600F2">
        <w:rPr>
          <w:rFonts w:eastAsia="Calibri"/>
        </w:rPr>
        <w:t xml:space="preserve"> (describing all USF high cost programs).</w:t>
      </w:r>
    </w:p>
  </w:footnote>
  <w:footnote w:id="7">
    <w:p w:rsidR="008600F2" w:rsidRPr="009F1874" w:rsidP="008600F2" w14:paraId="1B2EB39F" w14:textId="77777777">
      <w:pPr>
        <w:pStyle w:val="FootnoteText"/>
      </w:pPr>
      <w:r w:rsidRPr="009F1874">
        <w:rPr>
          <w:rStyle w:val="FootnoteReference"/>
          <w:sz w:val="20"/>
        </w:rPr>
        <w:footnoteRef/>
      </w:r>
      <w:r w:rsidRPr="009F1874">
        <w:t xml:space="preserve"> 47 U.S.C. § 214(e).</w:t>
      </w:r>
    </w:p>
  </w:footnote>
  <w:footnote w:id="8">
    <w:p w:rsidR="008600F2" w:rsidP="008600F2" w14:paraId="69AD90C8" w14:textId="77777777">
      <w:pPr>
        <w:pStyle w:val="FootnoteText"/>
      </w:pPr>
      <w:r>
        <w:rPr>
          <w:rStyle w:val="FootnoteReference"/>
        </w:rPr>
        <w:footnoteRef/>
      </w:r>
      <w:r>
        <w:t xml:space="preserve"> Providing SACs for entities remaining with the transferor post-transaction allows the Bureau to efficiently track USF disbursements and deployment obligations associated with section 214 transactions.</w:t>
      </w:r>
    </w:p>
  </w:footnote>
  <w:footnote w:id="9">
    <w:p w:rsidR="008600F2" w:rsidP="008600F2" w14:paraId="4298476F" w14:textId="77777777">
      <w:pPr>
        <w:pStyle w:val="FootnoteText"/>
      </w:pPr>
      <w:r>
        <w:rPr>
          <w:rStyle w:val="FootnoteReference"/>
        </w:rPr>
        <w:footnoteRef/>
      </w:r>
      <w:r>
        <w:t xml:space="preserve"> </w:t>
      </w:r>
      <w:r>
        <w:rPr>
          <w:i/>
          <w:iCs/>
        </w:rPr>
        <w:t xml:space="preserve">See </w:t>
      </w:r>
      <w:hyperlink r:id="rId2" w:history="1">
        <w:r w:rsidRPr="00831D0E">
          <w:rPr>
            <w:rStyle w:val="Hyperlink"/>
          </w:rPr>
          <w:t>https://www.usac.org/lifeline/</w:t>
        </w:r>
      </w:hyperlink>
      <w:r>
        <w:t xml:space="preserve"> (describing the Lifeline program); </w:t>
      </w:r>
      <w:r w:rsidRPr="00ED306D">
        <w:rPr>
          <w:i/>
          <w:iCs/>
        </w:rPr>
        <w:t>Affordable Connectivity Program</w:t>
      </w:r>
      <w:r>
        <w:t xml:space="preserve">, WC Docket No. 21-450, </w:t>
      </w:r>
      <w:r w:rsidRPr="00ED306D">
        <w:rPr>
          <w:i/>
          <w:iCs/>
        </w:rPr>
        <w:t>Emergency Broadband Benefit Program</w:t>
      </w:r>
      <w:r>
        <w:t>, WC Docket No. 20-445, Report and Order and Further Notice of Proposed Rulemaking, FCC 22-2 (2022).</w:t>
      </w:r>
    </w:p>
  </w:footnote>
  <w:footnote w:id="10">
    <w:p w:rsidR="008600F2" w:rsidP="008600F2" w14:paraId="66F9540D" w14:textId="77777777">
      <w:pPr>
        <w:pStyle w:val="FootnoteText"/>
      </w:pPr>
      <w:r>
        <w:rPr>
          <w:rStyle w:val="FootnoteReference"/>
        </w:rPr>
        <w:footnoteRef/>
      </w:r>
      <w:r>
        <w:t xml:space="preserve"> 47 CFR </w:t>
      </w:r>
      <w:r w:rsidRPr="009F1874">
        <w:t>§ 63.04(a)(</w:t>
      </w:r>
      <w:r>
        <w:t>4).</w:t>
      </w:r>
    </w:p>
  </w:footnote>
  <w:footnote w:id="11">
    <w:p w:rsidR="008600F2" w:rsidP="008600F2" w14:paraId="061A51B1" w14:textId="77777777">
      <w:pPr>
        <w:pStyle w:val="FootnoteText"/>
      </w:pPr>
      <w:r>
        <w:rPr>
          <w:rStyle w:val="FootnoteReference"/>
        </w:rPr>
        <w:footnoteRef/>
      </w:r>
      <w:r>
        <w:t xml:space="preserve"> 47 CFR </w:t>
      </w:r>
      <w:r w:rsidRPr="009F1874">
        <w:t>§ 63.04(a)(</w:t>
      </w:r>
      <w:r>
        <w:t>7</w:t>
      </w:r>
      <w:r w:rsidRPr="009F1874">
        <w:t>)</w:t>
      </w:r>
      <w:r>
        <w:t xml:space="preserve"> (emphasis added).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2A39" w14:paraId="284B99AF" w14:textId="436FD616">
    <w:pPr>
      <w:tabs>
        <w:tab w:val="center" w:pos="4680"/>
        <w:tab w:val="right" w:pos="9360"/>
      </w:tabs>
    </w:pPr>
    <w:r>
      <w:rPr>
        <w:b/>
      </w:rPr>
      <w:tab/>
    </w:r>
    <w:r>
      <w:rPr>
        <w:b/>
      </w:rPr>
      <w:t>Federal Communications Commission</w:t>
    </w:r>
    <w:r>
      <w:rPr>
        <w:b/>
      </w:rPr>
      <w:tab/>
    </w:r>
    <w:r w:rsidR="00A76162">
      <w:rPr>
        <w:b/>
      </w:rPr>
      <w:t>DA 22-436</w:t>
    </w:r>
  </w:p>
  <w:p w:rsidR="008D2A39" w14:paraId="775396E1"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8D2A39" w14:paraId="5CD01A7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2A39" w14:paraId="2DB3F245"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1E4FF9"/>
    <w:multiLevelType w:val="hybridMultilevel"/>
    <w:tmpl w:val="D1A662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F2"/>
    <w:rsid w:val="002F178E"/>
    <w:rsid w:val="00831D0E"/>
    <w:rsid w:val="008600F2"/>
    <w:rsid w:val="008D2A39"/>
    <w:rsid w:val="009308A4"/>
    <w:rsid w:val="009F1874"/>
    <w:rsid w:val="00A0256F"/>
    <w:rsid w:val="00A76162"/>
    <w:rsid w:val="00BB5A61"/>
    <w:rsid w:val="00CB5257"/>
    <w:rsid w:val="00ED30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D12CE4"/>
  <w15:chartTrackingRefBased/>
  <w15:docId w15:val="{1928BB3B-EA47-4207-B9C2-A781A2F0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paragraph" w:styleId="ListParagraph">
    <w:name w:val="List Paragraph"/>
    <w:basedOn w:val="Normal"/>
    <w:uiPriority w:val="34"/>
    <w:qFormat/>
    <w:rsid w:val="008600F2"/>
    <w:pPr>
      <w:widowControl/>
      <w:ind w:left="720"/>
    </w:pPr>
    <w:rPr>
      <w:rFonts w:ascii="Calibri" w:eastAsia="Calibri" w:hAnsi="Calibri" w:cs="Calibri"/>
      <w:snapToGrid/>
      <w:kern w:val="0"/>
      <w:szCs w:val="22"/>
    </w:rPr>
  </w:style>
  <w:style w:type="character" w:styleId="CommentReference">
    <w:name w:val="annotation reference"/>
    <w:basedOn w:val="DefaultParagraphFont"/>
    <w:uiPriority w:val="99"/>
    <w:semiHidden/>
    <w:unhideWhenUsed/>
    <w:rsid w:val="009308A4"/>
    <w:rPr>
      <w:sz w:val="16"/>
      <w:szCs w:val="16"/>
    </w:rPr>
  </w:style>
  <w:style w:type="paragraph" w:styleId="CommentText">
    <w:name w:val="annotation text"/>
    <w:basedOn w:val="Normal"/>
    <w:link w:val="CommentTextChar"/>
    <w:uiPriority w:val="99"/>
    <w:semiHidden/>
    <w:unhideWhenUsed/>
    <w:rsid w:val="009308A4"/>
    <w:rPr>
      <w:sz w:val="20"/>
    </w:rPr>
  </w:style>
  <w:style w:type="character" w:customStyle="1" w:styleId="CommentTextChar">
    <w:name w:val="Comment Text Char"/>
    <w:basedOn w:val="DefaultParagraphFont"/>
    <w:link w:val="CommentText"/>
    <w:uiPriority w:val="99"/>
    <w:semiHidden/>
    <w:rsid w:val="009308A4"/>
    <w:rPr>
      <w:snapToGrid w:val="0"/>
      <w:kern w:val="28"/>
    </w:rPr>
  </w:style>
  <w:style w:type="paragraph" w:styleId="CommentSubject">
    <w:name w:val="annotation subject"/>
    <w:basedOn w:val="CommentText"/>
    <w:next w:val="CommentText"/>
    <w:link w:val="CommentSubjectChar"/>
    <w:uiPriority w:val="99"/>
    <w:semiHidden/>
    <w:unhideWhenUsed/>
    <w:rsid w:val="009308A4"/>
    <w:rPr>
      <w:b/>
      <w:bCs/>
    </w:rPr>
  </w:style>
  <w:style w:type="character" w:customStyle="1" w:styleId="CommentSubjectChar">
    <w:name w:val="Comment Subject Char"/>
    <w:basedOn w:val="CommentTextChar"/>
    <w:link w:val="CommentSubject"/>
    <w:uiPriority w:val="99"/>
    <w:semiHidden/>
    <w:rsid w:val="009308A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die.may@fcc.gov" TargetMode="External" /><Relationship Id="rId6" Type="http://schemas.openxmlformats.org/officeDocument/2006/relationships/hyperlink" Target="mailto:dennis.johnson@fcc.gov" TargetMode="External" /><Relationship Id="rId7" Type="http://schemas.openxmlformats.org/officeDocument/2006/relationships/hyperlink" Target="mailto:gregory.kwan@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high-cost/" TargetMode="External" /><Relationship Id="rId2" Type="http://schemas.openxmlformats.org/officeDocument/2006/relationships/hyperlink" Target="https://www.usac.org/lifeline/"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