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44BF3" w14:paraId="6269C17E" w14:textId="77777777">
      <w:pPr>
        <w:jc w:val="right"/>
        <w:rPr>
          <w:sz w:val="24"/>
        </w:rPr>
      </w:pPr>
    </w:p>
    <w:p w:rsidR="00344BF3" w14:paraId="02EFF0D7" w14:textId="6F0E448D">
      <w:pPr>
        <w:jc w:val="right"/>
        <w:rPr>
          <w:b/>
          <w:sz w:val="24"/>
        </w:rPr>
      </w:pPr>
      <w:r>
        <w:rPr>
          <w:b/>
          <w:sz w:val="24"/>
        </w:rPr>
        <w:t>DA 2</w:t>
      </w:r>
      <w:r w:rsidR="007564B4">
        <w:rPr>
          <w:b/>
          <w:sz w:val="24"/>
        </w:rPr>
        <w:t>2</w:t>
      </w:r>
      <w:r>
        <w:rPr>
          <w:b/>
          <w:sz w:val="24"/>
        </w:rPr>
        <w:t>-</w:t>
      </w:r>
      <w:r w:rsidR="00C23F02">
        <w:rPr>
          <w:b/>
          <w:sz w:val="24"/>
        </w:rPr>
        <w:t>446</w:t>
      </w:r>
    </w:p>
    <w:p w:rsidR="00344BF3" w14:paraId="49F71F41" w14:textId="125464A0">
      <w:pPr>
        <w:spacing w:before="60"/>
        <w:jc w:val="right"/>
        <w:rPr>
          <w:b/>
          <w:sz w:val="24"/>
        </w:rPr>
      </w:pPr>
      <w:r>
        <w:rPr>
          <w:b/>
          <w:sz w:val="24"/>
        </w:rPr>
        <w:t xml:space="preserve">Released:  </w:t>
      </w:r>
      <w:r w:rsidR="00C813E5">
        <w:rPr>
          <w:b/>
          <w:sz w:val="24"/>
        </w:rPr>
        <w:t>April</w:t>
      </w:r>
      <w:r w:rsidR="00BE21E4">
        <w:rPr>
          <w:b/>
          <w:sz w:val="24"/>
        </w:rPr>
        <w:t xml:space="preserve"> </w:t>
      </w:r>
      <w:r w:rsidR="003A4209">
        <w:rPr>
          <w:b/>
          <w:sz w:val="24"/>
        </w:rPr>
        <w:t>21</w:t>
      </w:r>
      <w:r w:rsidR="00624B0B">
        <w:rPr>
          <w:b/>
          <w:sz w:val="24"/>
        </w:rPr>
        <w:t>, 202</w:t>
      </w:r>
      <w:r w:rsidR="00F22BEF">
        <w:rPr>
          <w:b/>
          <w:sz w:val="24"/>
        </w:rPr>
        <w:t>2</w:t>
      </w:r>
    </w:p>
    <w:p w:rsidR="00344BF3" w14:paraId="2876CE78" w14:textId="77777777">
      <w:pPr>
        <w:jc w:val="right"/>
        <w:rPr>
          <w:sz w:val="24"/>
        </w:rPr>
      </w:pPr>
    </w:p>
    <w:p w:rsidR="00344BF3" w:rsidP="00123CFC" w14:paraId="70DB9181" w14:textId="43D2DD40">
      <w:pPr>
        <w:spacing w:after="240"/>
        <w:jc w:val="center"/>
        <w:rPr>
          <w:rFonts w:ascii="Times New Roman Bold" w:hAnsi="Times New Roman Bold"/>
          <w:b/>
          <w:caps/>
          <w:sz w:val="24"/>
        </w:rPr>
      </w:pPr>
      <w:r w:rsidRPr="00123CFC">
        <w:rPr>
          <w:rFonts w:ascii="Times New Roman Bold" w:hAnsi="Times New Roman Bold"/>
          <w:b/>
          <w:caps/>
          <w:sz w:val="24"/>
        </w:rPr>
        <w:t>MEDIA BUREAU ANNOUNCES FILING OF PETITION FOR DECLARATORY RULING BY</w:t>
      </w:r>
      <w:r>
        <w:rPr>
          <w:rFonts w:ascii="Times New Roman Bold" w:hAnsi="Times New Roman Bold"/>
          <w:b/>
          <w:caps/>
          <w:sz w:val="24"/>
        </w:rPr>
        <w:t xml:space="preserve"> </w:t>
      </w:r>
      <w:r w:rsidR="00C813E5">
        <w:rPr>
          <w:rFonts w:ascii="Times New Roman Bold" w:hAnsi="Times New Roman Bold"/>
          <w:b/>
          <w:caps/>
          <w:sz w:val="24"/>
        </w:rPr>
        <w:t>Teton Parent Corp.</w:t>
      </w:r>
    </w:p>
    <w:p w:rsidR="00344BF3" w14:paraId="2784FBDC" w14:textId="588F6022">
      <w:pPr>
        <w:jc w:val="center"/>
        <w:rPr>
          <w:b/>
          <w:sz w:val="24"/>
        </w:rPr>
      </w:pPr>
      <w:r>
        <w:rPr>
          <w:b/>
          <w:sz w:val="24"/>
        </w:rPr>
        <w:t>MB Docket No. 2</w:t>
      </w:r>
      <w:r w:rsidR="002570CD">
        <w:rPr>
          <w:b/>
          <w:sz w:val="24"/>
        </w:rPr>
        <w:t>2</w:t>
      </w:r>
      <w:r>
        <w:rPr>
          <w:b/>
          <w:sz w:val="24"/>
        </w:rPr>
        <w:t>-</w:t>
      </w:r>
      <w:r w:rsidR="00C23F02">
        <w:rPr>
          <w:b/>
          <w:sz w:val="24"/>
        </w:rPr>
        <w:t>166</w:t>
      </w:r>
    </w:p>
    <w:p w:rsidR="00344BF3" w14:paraId="33BEE69D" w14:textId="77777777">
      <w:pPr>
        <w:rPr>
          <w:sz w:val="24"/>
        </w:rPr>
      </w:pPr>
      <w:bookmarkStart w:id="0" w:name="TOChere"/>
    </w:p>
    <w:bookmarkEnd w:id="0"/>
    <w:p w:rsidR="00624B0B" w:rsidRPr="00E43CAA" w:rsidP="00624B0B" w14:paraId="220F86D7" w14:textId="1E51B1A9">
      <w:pPr>
        <w:widowControl/>
        <w:spacing w:after="160" w:line="259" w:lineRule="auto"/>
        <w:rPr>
          <w:rFonts w:eastAsia="Calibri"/>
          <w:b/>
          <w:snapToGrid/>
          <w:kern w:val="0"/>
          <w:szCs w:val="22"/>
        </w:rPr>
      </w:pPr>
      <w:r w:rsidRPr="00E43CAA">
        <w:rPr>
          <w:rFonts w:eastAsia="Calibri"/>
          <w:b/>
          <w:snapToGrid/>
          <w:kern w:val="0"/>
          <w:szCs w:val="22"/>
        </w:rPr>
        <w:t>Comment</w:t>
      </w:r>
      <w:r w:rsidRPr="00E43CAA">
        <w:rPr>
          <w:rFonts w:eastAsia="Calibri"/>
          <w:b/>
          <w:snapToGrid/>
          <w:kern w:val="0"/>
          <w:szCs w:val="22"/>
        </w:rPr>
        <w:t xml:space="preserve"> Date:  </w:t>
      </w:r>
      <w:r w:rsidR="0049409F">
        <w:rPr>
          <w:rFonts w:eastAsia="Calibri"/>
          <w:b/>
          <w:snapToGrid/>
          <w:kern w:val="0"/>
          <w:szCs w:val="22"/>
        </w:rPr>
        <w:t>May 23, 2022</w:t>
      </w:r>
    </w:p>
    <w:p w:rsidR="00624B0B" w:rsidRPr="00E43CAA" w:rsidP="00624B0B" w14:paraId="540FF3D1" w14:textId="5CDF0ADD">
      <w:pPr>
        <w:widowControl/>
        <w:spacing w:after="160" w:line="259" w:lineRule="auto"/>
        <w:rPr>
          <w:rFonts w:eastAsia="Calibri"/>
          <w:b/>
          <w:snapToGrid/>
          <w:kern w:val="0"/>
          <w:szCs w:val="22"/>
        </w:rPr>
      </w:pPr>
      <w:r w:rsidRPr="00E43CAA">
        <w:rPr>
          <w:rFonts w:eastAsia="Calibri"/>
          <w:b/>
          <w:snapToGrid/>
          <w:kern w:val="0"/>
          <w:szCs w:val="22"/>
        </w:rPr>
        <w:t xml:space="preserve">Reply Date:  </w:t>
      </w:r>
      <w:r w:rsidR="0049409F">
        <w:rPr>
          <w:rFonts w:eastAsia="Calibri"/>
          <w:b/>
          <w:snapToGrid/>
          <w:kern w:val="0"/>
          <w:szCs w:val="22"/>
        </w:rPr>
        <w:t>June 7, 2022</w:t>
      </w:r>
    </w:p>
    <w:p w:rsidR="0032010B" w:rsidP="0032010B" w14:paraId="5E534ABE" w14:textId="7325FF97">
      <w:pPr>
        <w:widowControl/>
        <w:spacing w:after="120"/>
        <w:ind w:firstLine="720"/>
      </w:pPr>
      <w:r w:rsidRPr="4C80DA34">
        <w:rPr>
          <w:snapToGrid/>
          <w:kern w:val="0"/>
        </w:rPr>
        <w:t>Teton Parent Corp.</w:t>
      </w:r>
      <w:r w:rsidR="00F0459C">
        <w:rPr>
          <w:snapToGrid/>
          <w:kern w:val="0"/>
          <w:szCs w:val="22"/>
        </w:rPr>
        <w:t xml:space="preserve"> (</w:t>
      </w:r>
      <w:r w:rsidRPr="4C80DA34">
        <w:rPr>
          <w:snapToGrid/>
          <w:kern w:val="0"/>
        </w:rPr>
        <w:t>TPC</w:t>
      </w:r>
      <w:r w:rsidR="00F0459C">
        <w:rPr>
          <w:snapToGrid/>
          <w:kern w:val="0"/>
          <w:szCs w:val="22"/>
        </w:rPr>
        <w:t>)</w:t>
      </w:r>
      <w:r w:rsidRPr="004D6C34" w:rsidR="00310BFA">
        <w:rPr>
          <w:snapToGrid/>
          <w:kern w:val="0"/>
          <w:szCs w:val="22"/>
        </w:rPr>
        <w:t>,</w:t>
      </w:r>
      <w:r w:rsidRPr="000F5926" w:rsidR="00310BFA">
        <w:rPr>
          <w:snapToGrid/>
          <w:kern w:val="0"/>
          <w:szCs w:val="22"/>
        </w:rPr>
        <w:t xml:space="preserve"> </w:t>
      </w:r>
      <w:r w:rsidRPr="4C80DA34">
        <w:rPr>
          <w:snapToGrid/>
          <w:kern w:val="0"/>
        </w:rPr>
        <w:t>has filed a petition for declaratory ruling</w:t>
      </w:r>
      <w:r>
        <w:rPr>
          <w:rStyle w:val="FootnoteReference"/>
          <w:snapToGrid/>
          <w:kern w:val="0"/>
        </w:rPr>
        <w:footnoteReference w:id="3"/>
      </w:r>
      <w:r>
        <w:rPr>
          <w:snapToGrid/>
          <w:kern w:val="0"/>
          <w:szCs w:val="18"/>
        </w:rPr>
        <w:t xml:space="preserve"> (</w:t>
      </w:r>
      <w:r w:rsidRPr="4C80DA34" w:rsidR="00C31BF4">
        <w:rPr>
          <w:snapToGrid/>
          <w:kern w:val="0"/>
        </w:rPr>
        <w:t xml:space="preserve">Amended </w:t>
      </w:r>
      <w:r w:rsidRPr="4C80DA34">
        <w:rPr>
          <w:snapToGrid/>
          <w:kern w:val="0"/>
        </w:rPr>
        <w:t>Petition)</w:t>
      </w:r>
      <w:r>
        <w:rPr>
          <w:rStyle w:val="FootnoteReference"/>
          <w:snapToGrid/>
          <w:kern w:val="0"/>
        </w:rPr>
        <w:footnoteReference w:id="4"/>
      </w:r>
      <w:r w:rsidRPr="4C80DA34">
        <w:rPr>
          <w:snapToGrid/>
          <w:kern w:val="0"/>
        </w:rPr>
        <w:t xml:space="preserve"> asking the Commission to permit TPC to accept foreign investment in excess of the 25 percent benchmark</w:t>
      </w:r>
      <w:r w:rsidR="00C46738">
        <w:rPr>
          <w:snapToGrid/>
          <w:kern w:val="0"/>
        </w:rPr>
        <w:t>s</w:t>
      </w:r>
      <w:r w:rsidRPr="4C80DA34">
        <w:rPr>
          <w:snapToGrid/>
          <w:kern w:val="0"/>
        </w:rPr>
        <w:t xml:space="preserve"> set forth in Section 310(b)(4) of the Communications Act of 1934, as amended (the Act).</w:t>
      </w:r>
      <w:r>
        <w:rPr>
          <w:rStyle w:val="FootnoteReference"/>
          <w:snapToGrid/>
          <w:kern w:val="0"/>
        </w:rPr>
        <w:footnoteReference w:id="5"/>
      </w:r>
      <w:r>
        <w:rPr>
          <w:snapToGrid/>
          <w:kern w:val="0"/>
          <w:szCs w:val="18"/>
        </w:rPr>
        <w:t xml:space="preserve">  </w:t>
      </w:r>
      <w:r w:rsidRPr="4C80DA34" w:rsidR="007C5D3C">
        <w:rPr>
          <w:snapToGrid/>
          <w:kern w:val="0"/>
        </w:rPr>
        <w:t xml:space="preserve">In the Amended Petition, TPC </w:t>
      </w:r>
      <w:r w:rsidR="007C5D3C">
        <w:t>seeks approval to permit foreign investment of up to 100% in the aggregate of TPC’s equity and voting interests.</w:t>
      </w:r>
      <w:r w:rsidR="00DD48E8">
        <w:rPr>
          <w:snapToGrid/>
          <w:kern w:val="0"/>
          <w:szCs w:val="18"/>
        </w:rPr>
        <w:t xml:space="preserve"> </w:t>
      </w:r>
      <w:r>
        <w:rPr>
          <w:snapToGrid/>
          <w:kern w:val="0"/>
          <w:szCs w:val="18"/>
        </w:rPr>
        <w:t xml:space="preserve"> </w:t>
      </w:r>
      <w:r w:rsidRPr="4C80DA34">
        <w:rPr>
          <w:snapToGrid/>
          <w:kern w:val="0"/>
        </w:rPr>
        <w:t xml:space="preserve">TPC also requests specific approval </w:t>
      </w:r>
      <w:r w:rsidR="003E2C3E">
        <w:rPr>
          <w:snapToGrid/>
          <w:kern w:val="0"/>
        </w:rPr>
        <w:t>for</w:t>
      </w:r>
      <w:r w:rsidRPr="4C80DA34">
        <w:rPr>
          <w:snapToGrid/>
          <w:kern w:val="0"/>
        </w:rPr>
        <w:t xml:space="preserve"> certain foreign entities to hold interests </w:t>
      </w:r>
      <w:r w:rsidR="00722624">
        <w:rPr>
          <w:snapToGrid/>
          <w:kern w:val="0"/>
        </w:rPr>
        <w:t xml:space="preserve">above </w:t>
      </w:r>
      <w:r w:rsidR="00435A38">
        <w:rPr>
          <w:snapToGrid/>
          <w:kern w:val="0"/>
        </w:rPr>
        <w:t>5%</w:t>
      </w:r>
      <w:r w:rsidR="00722624">
        <w:rPr>
          <w:snapToGrid/>
          <w:kern w:val="0"/>
        </w:rPr>
        <w:t xml:space="preserve"> </w:t>
      </w:r>
      <w:r w:rsidRPr="4C80DA34">
        <w:rPr>
          <w:snapToGrid/>
          <w:kern w:val="0"/>
        </w:rPr>
        <w:t>in TPC.</w:t>
      </w:r>
      <w:r>
        <w:rPr>
          <w:rStyle w:val="FootnoteReference"/>
          <w:snapToGrid/>
          <w:kern w:val="0"/>
        </w:rPr>
        <w:footnoteReference w:id="6"/>
      </w:r>
    </w:p>
    <w:p w:rsidR="00DB68B3" w:rsidP="00DB68B3" w14:paraId="1452AF5F" w14:textId="0156A82F">
      <w:pPr>
        <w:widowControl/>
        <w:spacing w:after="120"/>
        <w:ind w:firstLine="720"/>
        <w:rPr>
          <w:snapToGrid/>
          <w:kern w:val="0"/>
          <w:szCs w:val="18"/>
        </w:rPr>
      </w:pPr>
      <w:r>
        <w:rPr>
          <w:snapToGrid/>
          <w:kern w:val="0"/>
          <w:szCs w:val="18"/>
        </w:rPr>
        <w:t>TPC</w:t>
      </w:r>
      <w:r>
        <w:rPr>
          <w:snapToGrid/>
          <w:kern w:val="0"/>
          <w:szCs w:val="18"/>
        </w:rPr>
        <w:t xml:space="preserve">, </w:t>
      </w:r>
      <w:r w:rsidRPr="00390A5E">
        <w:rPr>
          <w:snapToGrid/>
          <w:kern w:val="0"/>
          <w:szCs w:val="18"/>
        </w:rPr>
        <w:t>a wholly-owned indirect subsidiary of CMG Media Corporation (f/k/a Terrier Media Buyer, Inc.) (CMG)</w:t>
      </w:r>
      <w:r>
        <w:rPr>
          <w:snapToGrid/>
          <w:kern w:val="0"/>
          <w:szCs w:val="18"/>
        </w:rPr>
        <w:t>,</w:t>
      </w:r>
      <w:r>
        <w:rPr>
          <w:snapToGrid/>
          <w:kern w:val="0"/>
          <w:szCs w:val="18"/>
        </w:rPr>
        <w:t xml:space="preserve"> file</w:t>
      </w:r>
      <w:r w:rsidR="00A84725">
        <w:rPr>
          <w:snapToGrid/>
          <w:kern w:val="0"/>
          <w:szCs w:val="18"/>
        </w:rPr>
        <w:t>s</w:t>
      </w:r>
      <w:r>
        <w:rPr>
          <w:snapToGrid/>
          <w:kern w:val="0"/>
          <w:szCs w:val="18"/>
        </w:rPr>
        <w:t xml:space="preserve"> its</w:t>
      </w:r>
      <w:r w:rsidRPr="00BA081D">
        <w:rPr>
          <w:snapToGrid/>
          <w:kern w:val="0"/>
          <w:szCs w:val="18"/>
        </w:rPr>
        <w:t xml:space="preserve"> request in connection with transfer of control applications seeking Commission approval for a series of transactions that w</w:t>
      </w:r>
      <w:r w:rsidR="00310AAC">
        <w:rPr>
          <w:snapToGrid/>
          <w:kern w:val="0"/>
          <w:szCs w:val="18"/>
        </w:rPr>
        <w:t>ould</w:t>
      </w:r>
      <w:r w:rsidRPr="00BA081D">
        <w:rPr>
          <w:snapToGrid/>
          <w:kern w:val="0"/>
          <w:szCs w:val="18"/>
        </w:rPr>
        <w:t xml:space="preserve"> result in TEGNA Inc. (TEGNA) becoming an indirect wholly-owned subsidiary of TPC.</w:t>
      </w:r>
      <w:r>
        <w:rPr>
          <w:rStyle w:val="FootnoteReference"/>
          <w:snapToGrid/>
          <w:kern w:val="0"/>
          <w:szCs w:val="18"/>
        </w:rPr>
        <w:footnoteReference w:id="7"/>
      </w:r>
      <w:r>
        <w:rPr>
          <w:snapToGrid/>
          <w:kern w:val="0"/>
          <w:szCs w:val="18"/>
        </w:rPr>
        <w:t xml:space="preserve">  </w:t>
      </w:r>
      <w:r>
        <w:t xml:space="preserve">First, Standard General affiliate Community News Media LLC </w:t>
      </w:r>
      <w:r>
        <w:t>proposes to transfer control of its four full-power television station to a subsidiary of</w:t>
      </w:r>
      <w:r w:rsidRPr="00E41C8E">
        <w:t xml:space="preserve"> CMG, which the Bureau </w:t>
      </w:r>
      <w:r>
        <w:t xml:space="preserve">previously </w:t>
      </w:r>
      <w:r w:rsidRPr="00E41C8E">
        <w:t xml:space="preserve">determined </w:t>
      </w:r>
      <w:r>
        <w:t>to be</w:t>
      </w:r>
      <w:r w:rsidRPr="00E41C8E">
        <w:t xml:space="preserve"> under</w:t>
      </w:r>
      <w:r>
        <w:t xml:space="preserve"> the</w:t>
      </w:r>
      <w:r w:rsidRPr="00E41C8E">
        <w:t xml:space="preserve"> </w:t>
      </w:r>
      <w:r w:rsidRPr="00E41C8E">
        <w:rPr>
          <w:i/>
          <w:iCs/>
        </w:rPr>
        <w:t xml:space="preserve">de facto </w:t>
      </w:r>
      <w:r w:rsidRPr="00E41C8E">
        <w:t xml:space="preserve">control of </w:t>
      </w:r>
      <w:r>
        <w:t>Apollo Global Management, Inc. (AGM).</w:t>
      </w:r>
      <w:r>
        <w:rPr>
          <w:rStyle w:val="FootnoteReference"/>
        </w:rPr>
        <w:footnoteReference w:id="8"/>
      </w:r>
      <w:r w:rsidRPr="00E41C8E">
        <w:t xml:space="preserve"> </w:t>
      </w:r>
      <w:r>
        <w:t xml:space="preserve"> Second, CMG seeks to transfer control of WFXT(TV), Boston, MA, to SGCI Holdings.  Finally, immediately upon consummation of the these steps, TEGNA will merge with and into an indirect wholly-owned subsidiary of TPC, with TEGNA being the surviving entity.</w:t>
      </w:r>
      <w:r>
        <w:rPr>
          <w:rStyle w:val="FootnoteReference"/>
        </w:rPr>
        <w:footnoteReference w:id="9"/>
      </w:r>
    </w:p>
    <w:p w:rsidR="006F1F28" w:rsidP="006F1F28" w14:paraId="61CCF428" w14:textId="1DE27943">
      <w:pPr>
        <w:widowControl/>
        <w:spacing w:after="120"/>
        <w:ind w:firstLine="720"/>
        <w:rPr>
          <w:snapToGrid/>
          <w:kern w:val="0"/>
          <w:szCs w:val="18"/>
        </w:rPr>
      </w:pPr>
      <w:r>
        <w:rPr>
          <w:snapToGrid/>
          <w:kern w:val="0"/>
          <w:szCs w:val="18"/>
        </w:rPr>
        <w:t>As a result of the proposed transactions, c</w:t>
      </w:r>
      <w:r w:rsidR="00A84725">
        <w:rPr>
          <w:snapToGrid/>
          <w:kern w:val="0"/>
          <w:szCs w:val="18"/>
        </w:rPr>
        <w:t>ontrol</w:t>
      </w:r>
      <w:r w:rsidRPr="00390A5E" w:rsidR="00A84725">
        <w:rPr>
          <w:snapToGrid/>
          <w:kern w:val="0"/>
          <w:szCs w:val="18"/>
        </w:rPr>
        <w:t xml:space="preserve"> of TPC will be transferred to</w:t>
      </w:r>
      <w:r w:rsidRPr="00BC2F27" w:rsidR="00B17E40">
        <w:rPr>
          <w:snapToGrid/>
          <w:kern w:val="0"/>
          <w:szCs w:val="18"/>
        </w:rPr>
        <w:t xml:space="preserve"> SGCI Holdings</w:t>
      </w:r>
      <w:r w:rsidR="00A84725">
        <w:rPr>
          <w:snapToGrid/>
          <w:kern w:val="0"/>
          <w:szCs w:val="18"/>
        </w:rPr>
        <w:t>,</w:t>
      </w:r>
      <w:r w:rsidR="00B17E40">
        <w:rPr>
          <w:snapToGrid/>
          <w:kern w:val="0"/>
          <w:szCs w:val="18"/>
        </w:rPr>
        <w:t xml:space="preserve"> a Delaware LLC,</w:t>
      </w:r>
      <w:r w:rsidR="00A84725">
        <w:rPr>
          <w:snapToGrid/>
          <w:kern w:val="0"/>
          <w:szCs w:val="18"/>
        </w:rPr>
        <w:t xml:space="preserve"> and the Amended Petition seeks authority for the</w:t>
      </w:r>
      <w:r w:rsidRPr="00390A5E" w:rsidR="00A84725">
        <w:rPr>
          <w:snapToGrid/>
          <w:kern w:val="0"/>
          <w:szCs w:val="18"/>
        </w:rPr>
        <w:t xml:space="preserve"> ownership structure of TPC under SGCI Holdings</w:t>
      </w:r>
      <w:r w:rsidR="00A84725">
        <w:rPr>
          <w:snapToGrid/>
          <w:kern w:val="0"/>
          <w:szCs w:val="18"/>
        </w:rPr>
        <w:t>.</w:t>
      </w:r>
      <w:r>
        <w:rPr>
          <w:rStyle w:val="FootnoteReference"/>
          <w:snapToGrid/>
          <w:kern w:val="0"/>
          <w:szCs w:val="18"/>
        </w:rPr>
        <w:footnoteReference w:id="10"/>
      </w:r>
    </w:p>
    <w:p w:rsidR="006F1F28" w:rsidP="006F1F28" w14:paraId="6E63E209" w14:textId="13CB29B0">
      <w:pPr>
        <w:widowControl/>
        <w:spacing w:after="120"/>
        <w:ind w:firstLine="720"/>
      </w:pPr>
      <w:r w:rsidRPr="4C19302E">
        <w:rPr>
          <w:snapToGrid/>
          <w:kern w:val="0"/>
        </w:rPr>
        <w:t xml:space="preserve">Upon the closing of </w:t>
      </w:r>
      <w:r w:rsidRPr="4C19302E" w:rsidR="00310AAC">
        <w:rPr>
          <w:snapToGrid/>
          <w:kern w:val="0"/>
        </w:rPr>
        <w:t>those t</w:t>
      </w:r>
      <w:r w:rsidRPr="4C19302E">
        <w:rPr>
          <w:snapToGrid/>
          <w:kern w:val="0"/>
        </w:rPr>
        <w:t xml:space="preserve">ransactions, TPC </w:t>
      </w:r>
      <w:r w:rsidRPr="4C19302E" w:rsidR="00310AAC">
        <w:rPr>
          <w:snapToGrid/>
          <w:kern w:val="0"/>
        </w:rPr>
        <w:t>w</w:t>
      </w:r>
      <w:r w:rsidRPr="4C19302E" w:rsidR="005D1731">
        <w:rPr>
          <w:snapToGrid/>
          <w:kern w:val="0"/>
        </w:rPr>
        <w:t>ill</w:t>
      </w:r>
      <w:r w:rsidRPr="4C19302E">
        <w:rPr>
          <w:snapToGrid/>
          <w:kern w:val="0"/>
        </w:rPr>
        <w:t xml:space="preserve"> be controlled by a single majority shareholder, SGCI Holdings.</w:t>
      </w:r>
      <w:r>
        <w:rPr>
          <w:rStyle w:val="FootnoteReference"/>
          <w:snapToGrid/>
          <w:kern w:val="0"/>
        </w:rPr>
        <w:footnoteReference w:id="11"/>
      </w:r>
      <w:r w:rsidRPr="00BA081D">
        <w:rPr>
          <w:snapToGrid/>
          <w:kern w:val="0"/>
          <w:szCs w:val="18"/>
        </w:rPr>
        <w:t xml:space="preserve"> </w:t>
      </w:r>
      <w:r w:rsidR="00310AAC">
        <w:rPr>
          <w:snapToGrid/>
          <w:kern w:val="0"/>
          <w:szCs w:val="18"/>
        </w:rPr>
        <w:t xml:space="preserve"> </w:t>
      </w:r>
      <w:r w:rsidRPr="4C19302E">
        <w:rPr>
          <w:snapToGrid/>
          <w:kern w:val="0"/>
        </w:rPr>
        <w:t>Soohyung Kim, a U.S. citizen and Managing Partner of Standard General L.P., w</w:t>
      </w:r>
      <w:r w:rsidRPr="4C19302E" w:rsidR="005D1731">
        <w:rPr>
          <w:snapToGrid/>
          <w:kern w:val="0"/>
        </w:rPr>
        <w:t>ill</w:t>
      </w:r>
      <w:r w:rsidRPr="4C19302E">
        <w:rPr>
          <w:snapToGrid/>
          <w:kern w:val="0"/>
        </w:rPr>
        <w:t xml:space="preserve"> be the sole Managing Member of SGCI Holdings</w:t>
      </w:r>
      <w:r w:rsidR="00860DD8">
        <w:rPr>
          <w:snapToGrid/>
          <w:kern w:val="0"/>
          <w:szCs w:val="18"/>
        </w:rPr>
        <w:t xml:space="preserve">.  </w:t>
      </w:r>
      <w:r w:rsidRPr="4C19302E" w:rsidR="006008FE">
        <w:rPr>
          <w:snapToGrid/>
          <w:kern w:val="0"/>
        </w:rPr>
        <w:t xml:space="preserve">Mr. </w:t>
      </w:r>
      <w:r w:rsidRPr="4C19302E" w:rsidR="00860DD8">
        <w:rPr>
          <w:snapToGrid/>
          <w:kern w:val="0"/>
        </w:rPr>
        <w:t>Kim will have</w:t>
      </w:r>
      <w:r w:rsidRPr="4C19302E">
        <w:rPr>
          <w:snapToGrid/>
          <w:kern w:val="0"/>
        </w:rPr>
        <w:t xml:space="preserve"> 100% voting control of </w:t>
      </w:r>
      <w:r w:rsidRPr="4C19302E" w:rsidR="008540F0">
        <w:rPr>
          <w:snapToGrid/>
          <w:kern w:val="0"/>
        </w:rPr>
        <w:t>SGCI Holdings</w:t>
      </w:r>
      <w:r w:rsidRPr="4C19302E">
        <w:rPr>
          <w:snapToGrid/>
          <w:kern w:val="0"/>
        </w:rPr>
        <w:t>, and w</w:t>
      </w:r>
      <w:r w:rsidRPr="4C19302E" w:rsidR="00310AAC">
        <w:rPr>
          <w:snapToGrid/>
          <w:kern w:val="0"/>
        </w:rPr>
        <w:t>ould</w:t>
      </w:r>
      <w:r w:rsidRPr="4C19302E">
        <w:rPr>
          <w:snapToGrid/>
          <w:kern w:val="0"/>
        </w:rPr>
        <w:t xml:space="preserve"> serve as Chairman of TPC.</w:t>
      </w:r>
      <w:r>
        <w:rPr>
          <w:rStyle w:val="FootnoteReference"/>
          <w:snapToGrid/>
          <w:kern w:val="0"/>
        </w:rPr>
        <w:footnoteReference w:id="12"/>
      </w:r>
      <w:r w:rsidRPr="005A2A76" w:rsidR="005A2A76">
        <w:rPr>
          <w:snapToGrid/>
          <w:kern w:val="0"/>
          <w:szCs w:val="18"/>
        </w:rPr>
        <w:t xml:space="preserve"> </w:t>
      </w:r>
      <w:r w:rsidR="005A2A76">
        <w:rPr>
          <w:snapToGrid/>
          <w:kern w:val="0"/>
          <w:szCs w:val="18"/>
        </w:rPr>
        <w:t xml:space="preserve"> </w:t>
      </w:r>
      <w:r w:rsidRPr="4C19302E" w:rsidR="005A2A76">
        <w:rPr>
          <w:snapToGrid/>
          <w:kern w:val="0"/>
        </w:rPr>
        <w:t>However, 49.16% of the equity of SGCI Holdings is directly held through three Cayman Islands investment funds</w:t>
      </w:r>
      <w:r w:rsidR="005A2A76">
        <w:rPr>
          <w:snapToGrid/>
          <w:kern w:val="0"/>
          <w:szCs w:val="18"/>
        </w:rPr>
        <w:t xml:space="preserve"> --</w:t>
      </w:r>
      <w:r w:rsidRPr="005A2A76" w:rsidR="005A2A76">
        <w:rPr>
          <w:snapToGrid/>
          <w:kern w:val="0"/>
          <w:szCs w:val="18"/>
        </w:rPr>
        <w:t xml:space="preserve"> </w:t>
      </w:r>
      <w:r w:rsidRPr="4C19302E" w:rsidR="005A2A76">
        <w:rPr>
          <w:snapToGrid/>
          <w:kern w:val="0"/>
        </w:rPr>
        <w:t xml:space="preserve">(1) Standard General Master Fund L.P. (2.01% </w:t>
      </w:r>
      <w:r w:rsidR="005A2A76">
        <w:t>equity</w:t>
      </w:r>
      <w:r w:rsidRPr="4C19302E" w:rsidR="005A2A76">
        <w:rPr>
          <w:snapToGrid/>
          <w:kern w:val="0"/>
        </w:rPr>
        <w:t>)</w:t>
      </w:r>
      <w:r w:rsidR="005A2A76">
        <w:rPr>
          <w:snapToGrid/>
          <w:kern w:val="0"/>
          <w:szCs w:val="18"/>
        </w:rPr>
        <w:t>;</w:t>
      </w:r>
      <w:r w:rsidRPr="005A2A76" w:rsidR="005A2A76">
        <w:rPr>
          <w:snapToGrid/>
          <w:kern w:val="0"/>
          <w:szCs w:val="18"/>
        </w:rPr>
        <w:t xml:space="preserve"> </w:t>
      </w:r>
      <w:r w:rsidRPr="4C19302E" w:rsidR="005A2A76">
        <w:rPr>
          <w:snapToGrid/>
          <w:kern w:val="0"/>
        </w:rPr>
        <w:t xml:space="preserve">(2) Standard General Master Fund II L.P. (14.45% </w:t>
      </w:r>
      <w:r w:rsidR="005A2A76">
        <w:t>equity</w:t>
      </w:r>
      <w:r w:rsidRPr="4C19302E" w:rsidR="005A2A76">
        <w:rPr>
          <w:snapToGrid/>
          <w:kern w:val="0"/>
        </w:rPr>
        <w:t>)</w:t>
      </w:r>
      <w:r w:rsidR="005A2A76">
        <w:rPr>
          <w:snapToGrid/>
          <w:kern w:val="0"/>
          <w:szCs w:val="18"/>
        </w:rPr>
        <w:t xml:space="preserve">; </w:t>
      </w:r>
      <w:r w:rsidRPr="4C19302E" w:rsidR="005A2A76">
        <w:rPr>
          <w:snapToGrid/>
          <w:kern w:val="0"/>
        </w:rPr>
        <w:t>and (3) EPSG Master SPC Ltd. (27.70</w:t>
      </w:r>
      <w:r w:rsidRPr="5841921F" w:rsidR="005A2A76">
        <w:rPr>
          <w:snapToGrid/>
          <w:kern w:val="0"/>
        </w:rPr>
        <w:t>%</w:t>
      </w:r>
      <w:r w:rsidR="0098325C">
        <w:rPr>
          <w:snapToGrid/>
          <w:kern w:val="0"/>
        </w:rPr>
        <w:t xml:space="preserve"> equity</w:t>
      </w:r>
      <w:r w:rsidRPr="5841921F" w:rsidR="005A2A76">
        <w:rPr>
          <w:snapToGrid/>
          <w:kern w:val="0"/>
        </w:rPr>
        <w:t>)</w:t>
      </w:r>
      <w:r w:rsidR="005A2A76">
        <w:rPr>
          <w:snapToGrid/>
          <w:kern w:val="0"/>
          <w:szCs w:val="18"/>
        </w:rPr>
        <w:t xml:space="preserve"> --</w:t>
      </w:r>
      <w:r w:rsidRPr="4C19302E" w:rsidR="005A2A76">
        <w:rPr>
          <w:snapToGrid/>
          <w:kern w:val="0"/>
        </w:rPr>
        <w:t xml:space="preserve"> and one British Virgin Islands investment fund</w:t>
      </w:r>
      <w:r w:rsidR="00024A5B">
        <w:rPr>
          <w:snapToGrid/>
          <w:kern w:val="0"/>
          <w:szCs w:val="18"/>
        </w:rPr>
        <w:t>,</w:t>
      </w:r>
      <w:r w:rsidRPr="4C19302E" w:rsidR="005A2A76">
        <w:rPr>
          <w:snapToGrid/>
          <w:kern w:val="0"/>
        </w:rPr>
        <w:t xml:space="preserve"> P Standard General Ltd. (6.18%</w:t>
      </w:r>
      <w:r w:rsidRPr="4C19302E" w:rsidR="00024A5B">
        <w:rPr>
          <w:snapToGrid/>
          <w:kern w:val="0"/>
        </w:rPr>
        <w:t xml:space="preserve"> </w:t>
      </w:r>
      <w:r w:rsidR="00024A5B">
        <w:t>equity</w:t>
      </w:r>
      <w:r w:rsidRPr="005A2A76" w:rsidR="005A2A76">
        <w:rPr>
          <w:snapToGrid/>
          <w:kern w:val="0"/>
          <w:szCs w:val="18"/>
        </w:rPr>
        <w:t>).</w:t>
      </w:r>
      <w:r>
        <w:rPr>
          <w:rStyle w:val="FootnoteReference"/>
          <w:snapToGrid/>
          <w:kern w:val="0"/>
        </w:rPr>
        <w:footnoteReference w:id="13"/>
      </w:r>
      <w:r w:rsidRPr="005A2A76" w:rsidR="005A2A76">
        <w:rPr>
          <w:snapToGrid/>
          <w:kern w:val="0"/>
          <w:szCs w:val="18"/>
        </w:rPr>
        <w:t xml:space="preserve"> </w:t>
      </w:r>
      <w:r w:rsidR="00024A5B">
        <w:rPr>
          <w:snapToGrid/>
          <w:kern w:val="0"/>
          <w:szCs w:val="18"/>
        </w:rPr>
        <w:t xml:space="preserve"> </w:t>
      </w:r>
      <w:r w:rsidRPr="4C19302E" w:rsidR="006008FE">
        <w:rPr>
          <w:snapToGrid/>
          <w:kern w:val="0"/>
        </w:rPr>
        <w:t xml:space="preserve">Mr. </w:t>
      </w:r>
      <w:r w:rsidRPr="4C19302E" w:rsidR="00024A5B">
        <w:rPr>
          <w:snapToGrid/>
          <w:kern w:val="0"/>
        </w:rPr>
        <w:t>Kim ultimately holds</w:t>
      </w:r>
      <w:r w:rsidRPr="4C19302E" w:rsidR="005A2A76">
        <w:rPr>
          <w:snapToGrid/>
          <w:kern w:val="0"/>
        </w:rPr>
        <w:t xml:space="preserve"> 100% of the voting control of each of these funds.</w:t>
      </w:r>
    </w:p>
    <w:p w:rsidR="00C5440C" w:rsidRPr="006F1F28" w:rsidP="006F1F28" w14:paraId="2251C251" w14:textId="37016F99">
      <w:pPr>
        <w:widowControl/>
        <w:spacing w:after="120"/>
        <w:ind w:firstLine="720"/>
      </w:pPr>
      <w:r>
        <w:t>Additionally, in exchange for providing a portion of the financing for SGCI Holdings’ acquisition of TEGNA, several entities will acquire non-voting preferred shares in TPC:  Cox Enterprises, Inc.</w:t>
      </w:r>
      <w:r w:rsidR="00C549F1">
        <w:t>;</w:t>
      </w:r>
      <w:r>
        <w:t xml:space="preserve"> CMG Farnsworth Television Operating Company, LLC</w:t>
      </w:r>
      <w:r w:rsidR="00183B68">
        <w:t xml:space="preserve">, </w:t>
      </w:r>
      <w:r w:rsidRPr="00183B68" w:rsidR="00183B68">
        <w:t xml:space="preserve">an indirect wholly </w:t>
      </w:r>
      <w:r w:rsidR="00183B68">
        <w:noBreakHyphen/>
      </w:r>
      <w:r w:rsidRPr="00183B68" w:rsidR="00183B68">
        <w:t>owned subsidiary of CMG</w:t>
      </w:r>
      <w:r w:rsidR="00C549F1">
        <w:t>;</w:t>
      </w:r>
      <w:r>
        <w:t xml:space="preserve"> SG Media Investment LLC (SG Media)</w:t>
      </w:r>
      <w:r w:rsidR="00C549F1">
        <w:t>;</w:t>
      </w:r>
      <w:r>
        <w:t xml:space="preserve"> certain entities managed by affiliates of Apollo Global Management, Inc. (AGM)</w:t>
      </w:r>
      <w:r w:rsidR="00C549F1">
        <w:t>;</w:t>
      </w:r>
      <w:r>
        <w:t xml:space="preserve"> certain entities managed by Ares Management Corporation</w:t>
      </w:r>
      <w:r w:rsidR="00C549F1">
        <w:t>;</w:t>
      </w:r>
      <w:r>
        <w:t xml:space="preserve"> and OC III LFE III LP, an entity managed by Pacific Investment Management Company LLC. </w:t>
      </w:r>
      <w:r w:rsidR="00AF2A4A">
        <w:t xml:space="preserve"> </w:t>
      </w:r>
      <w:r w:rsidR="006F1F28">
        <w:t xml:space="preserve">The Amended Petition </w:t>
      </w:r>
      <w:r w:rsidRPr="0004679F" w:rsidR="006F1F28">
        <w:t>represents</w:t>
      </w:r>
      <w:r w:rsidR="00265DFE">
        <w:t xml:space="preserve"> </w:t>
      </w:r>
      <w:r w:rsidR="006F1F28">
        <w:t xml:space="preserve"> </w:t>
      </w:r>
      <w:r w:rsidR="006F1F28">
        <w:t>that t</w:t>
      </w:r>
      <w:r w:rsidR="00F53538">
        <w:t>hese preferred investors will not have any voting, board appointment, or management rights.</w:t>
      </w:r>
      <w:r>
        <w:rPr>
          <w:rStyle w:val="FootnoteReference"/>
        </w:rPr>
        <w:footnoteReference w:id="14"/>
      </w:r>
    </w:p>
    <w:p w:rsidR="00925E38" w:rsidP="00C929DB" w14:paraId="45F4D435" w14:textId="49481529">
      <w:pPr>
        <w:ind w:firstLine="720"/>
      </w:pPr>
      <w:r>
        <w:t>Further, pursuant to section 1.5001(i) of the Commission’s rules, the Amended Petition request</w:t>
      </w:r>
      <w:r w:rsidR="000C72A4">
        <w:t>s</w:t>
      </w:r>
      <w:r>
        <w:t xml:space="preserve"> that the Commission specifically approve the equity and/or voting interests that would be held in TPC, by foreign entities at the percentages specified below: </w:t>
      </w:r>
    </w:p>
    <w:p w:rsidR="001B2846" w:rsidP="00C929DB" w14:paraId="7FC6ABBC" w14:textId="77777777">
      <w:pPr>
        <w:ind w:firstLine="720"/>
      </w:pPr>
    </w:p>
    <w:p w:rsidR="00AA05E1" w:rsidP="00C929DB" w14:paraId="50EB969E" w14:textId="2DE06292">
      <w:pPr>
        <w:pStyle w:val="ListParagraph"/>
        <w:keepNext/>
        <w:widowControl/>
        <w:spacing w:after="120"/>
        <w:ind w:left="1440"/>
      </w:pPr>
      <w:r>
        <w:t xml:space="preserve">Standard General Master Fund II L.P. </w:t>
      </w:r>
      <w:r w:rsidR="00151B91">
        <w:t>(</w:t>
      </w:r>
      <w:r>
        <w:t xml:space="preserve">3.7% </w:t>
      </w:r>
      <w:r w:rsidR="00151B91">
        <w:t>equity</w:t>
      </w:r>
      <w:r w:rsidR="00A421F9">
        <w:t>;</w:t>
      </w:r>
      <w:r>
        <w:t xml:space="preserve"> 14.5% </w:t>
      </w:r>
      <w:r w:rsidR="00A421F9">
        <w:t>voting)</w:t>
      </w:r>
      <w:r w:rsidR="00DC4A70">
        <w:t xml:space="preserve"> (Cayman Islands)</w:t>
      </w:r>
      <w:r>
        <w:t>;</w:t>
      </w:r>
    </w:p>
    <w:p w:rsidR="00AA05E1" w:rsidP="00C929DB" w14:paraId="5682C952" w14:textId="7348BA8E">
      <w:pPr>
        <w:pStyle w:val="ListParagraph"/>
        <w:keepNext/>
        <w:widowControl/>
        <w:spacing w:after="120"/>
        <w:ind w:left="1440"/>
      </w:pPr>
      <w:r>
        <w:t xml:space="preserve">EPSG Master SPC Ltd. </w:t>
      </w:r>
      <w:r w:rsidR="008902A1">
        <w:t xml:space="preserve">(7.0% </w:t>
      </w:r>
      <w:r>
        <w:t>equity</w:t>
      </w:r>
      <w:r w:rsidR="008902A1">
        <w:t xml:space="preserve">; </w:t>
      </w:r>
      <w:r>
        <w:t xml:space="preserve">27.7% </w:t>
      </w:r>
      <w:r w:rsidR="008902A1">
        <w:t>voting)</w:t>
      </w:r>
      <w:r>
        <w:t xml:space="preserve"> </w:t>
      </w:r>
      <w:r w:rsidR="000157C8">
        <w:t>(Cayman Islands)</w:t>
      </w:r>
      <w:r>
        <w:t>;</w:t>
      </w:r>
    </w:p>
    <w:p w:rsidR="00AA05E1" w:rsidP="00C929DB" w14:paraId="66F39F4C" w14:textId="3AC4E55E">
      <w:pPr>
        <w:pStyle w:val="ListParagraph"/>
        <w:keepNext/>
        <w:widowControl/>
        <w:spacing w:after="120"/>
        <w:ind w:left="1440"/>
      </w:pPr>
      <w:r>
        <w:t xml:space="preserve">EPSG SPC Ltd. </w:t>
      </w:r>
      <w:r w:rsidR="00090B34">
        <w:t xml:space="preserve">(7.0% </w:t>
      </w:r>
      <w:r>
        <w:t>equity</w:t>
      </w:r>
      <w:r w:rsidR="00090B34">
        <w:t xml:space="preserve">; </w:t>
      </w:r>
      <w:r>
        <w:t xml:space="preserve">27.7% </w:t>
      </w:r>
      <w:r w:rsidR="00BA2A3F">
        <w:t xml:space="preserve">voting) </w:t>
      </w:r>
      <w:r w:rsidR="00090B34">
        <w:t>(Cayman Islands)</w:t>
      </w:r>
      <w:r>
        <w:t xml:space="preserve">; </w:t>
      </w:r>
    </w:p>
    <w:p w:rsidR="00AA05E1" w:rsidP="00C929DB" w14:paraId="00E0C45C" w14:textId="45980A80">
      <w:pPr>
        <w:pStyle w:val="ListParagraph"/>
        <w:keepNext/>
        <w:widowControl/>
        <w:spacing w:after="120"/>
        <w:ind w:left="1440"/>
      </w:pPr>
      <w:r>
        <w:t xml:space="preserve">ASOF BVI Holdings, L.P. </w:t>
      </w:r>
      <w:r w:rsidR="00BA2A3F">
        <w:t>(</w:t>
      </w:r>
      <w:r>
        <w:t xml:space="preserve">6.14% </w:t>
      </w:r>
      <w:r w:rsidR="00BA2A3F">
        <w:t xml:space="preserve">equity; </w:t>
      </w:r>
      <w:r w:rsidR="001663B5">
        <w:t xml:space="preserve">0% voting) </w:t>
      </w:r>
      <w:r w:rsidR="00BA2A3F">
        <w:t>(British Virgin Islands)</w:t>
      </w:r>
      <w:r>
        <w:t>;</w:t>
      </w:r>
      <w:r w:rsidR="009C301B">
        <w:t xml:space="preserve"> and</w:t>
      </w:r>
    </w:p>
    <w:p w:rsidR="008B5A4A" w:rsidP="00C929DB" w14:paraId="70B43609" w14:textId="7ACFC56A">
      <w:pPr>
        <w:pStyle w:val="ListParagraph"/>
        <w:widowControl/>
        <w:spacing w:after="120"/>
        <w:ind w:left="1440"/>
      </w:pPr>
      <w:r>
        <w:t xml:space="preserve">ASOF II Cayman Holdings, L.P. </w:t>
      </w:r>
      <w:r w:rsidR="00013B6D">
        <w:t>(</w:t>
      </w:r>
      <w:r>
        <w:t xml:space="preserve">9.9% </w:t>
      </w:r>
      <w:r w:rsidR="00013B6D">
        <w:t xml:space="preserve">equity; </w:t>
      </w:r>
      <w:r>
        <w:t xml:space="preserve">0% </w:t>
      </w:r>
      <w:r w:rsidR="00013B6D">
        <w:t xml:space="preserve">voting) </w:t>
      </w:r>
      <w:r w:rsidR="001B2846">
        <w:t>(Cayman Islands)</w:t>
      </w:r>
      <w:r w:rsidR="007226D5">
        <w:t>.</w:t>
      </w:r>
      <w:r w:rsidR="001B2846">
        <w:t xml:space="preserve"> </w:t>
      </w:r>
      <w:r>
        <w:rPr>
          <w:rStyle w:val="FootnoteReference"/>
        </w:rPr>
        <w:footnoteReference w:id="15"/>
      </w:r>
    </w:p>
    <w:p w:rsidR="00624B0B" w:rsidRPr="008B5A4A" w:rsidP="008B5A4A" w14:paraId="027B1870" w14:textId="7E5EB1CF">
      <w:pPr>
        <w:widowControl/>
        <w:spacing w:after="120"/>
        <w:ind w:firstLine="720"/>
      </w:pPr>
      <w:r w:rsidRPr="006302AF">
        <w:rPr>
          <w:snapToGrid/>
          <w:kern w:val="0"/>
          <w:szCs w:val="22"/>
        </w:rPr>
        <w:t xml:space="preserve">The </w:t>
      </w:r>
      <w:r w:rsidR="003474ED">
        <w:rPr>
          <w:snapToGrid/>
          <w:kern w:val="0"/>
          <w:szCs w:val="22"/>
        </w:rPr>
        <w:t xml:space="preserve">Amended </w:t>
      </w:r>
      <w:r w:rsidRPr="006302AF">
        <w:rPr>
          <w:rFonts w:eastAsia="Calibri"/>
          <w:snapToGrid/>
          <w:kern w:val="0"/>
          <w:szCs w:val="22"/>
        </w:rPr>
        <w:t>Petition</w:t>
      </w:r>
      <w:r w:rsidRPr="006302AF">
        <w:rPr>
          <w:snapToGrid/>
          <w:kern w:val="0"/>
          <w:szCs w:val="22"/>
        </w:rPr>
        <w:t xml:space="preserve"> has </w:t>
      </w:r>
      <w:r w:rsidRPr="006302AF">
        <w:rPr>
          <w:rFonts w:eastAsia="Calibri"/>
          <w:snapToGrid/>
          <w:color w:val="000000"/>
          <w:kern w:val="0"/>
          <w:szCs w:val="22"/>
        </w:rPr>
        <w:t>been</w:t>
      </w:r>
      <w:r w:rsidRPr="006302AF">
        <w:rPr>
          <w:snapToGrid/>
          <w:kern w:val="0"/>
          <w:szCs w:val="22"/>
        </w:rPr>
        <w:t xml:space="preserve"> </w:t>
      </w:r>
      <w:r w:rsidRPr="003A53CA">
        <w:rPr>
          <w:rFonts w:eastAsia="Calibri"/>
          <w:snapToGrid/>
          <w:color w:val="000000"/>
          <w:kern w:val="0"/>
          <w:szCs w:val="22"/>
        </w:rPr>
        <w:t>found</w:t>
      </w:r>
      <w:r w:rsidRPr="006302AF">
        <w:rPr>
          <w:snapToGrid/>
          <w:kern w:val="0"/>
          <w:szCs w:val="22"/>
        </w:rPr>
        <w:t xml:space="preserve">, on initial review, to be acceptable for filing.  The Commission may require </w:t>
      </w:r>
      <w:r w:rsidR="003474ED">
        <w:rPr>
          <w:snapToGrid/>
          <w:kern w:val="0"/>
          <w:szCs w:val="22"/>
        </w:rPr>
        <w:t>TPC</w:t>
      </w:r>
      <w:r w:rsidRPr="006302AF">
        <w:rPr>
          <w:snapToGrid/>
          <w:kern w:val="0"/>
          <w:szCs w:val="22"/>
        </w:rPr>
        <w:t xml:space="preserve"> to submit </w:t>
      </w:r>
      <w:r w:rsidRPr="00262043">
        <w:rPr>
          <w:rFonts w:eastAsia="Calibri"/>
          <w:snapToGrid/>
          <w:color w:val="000000"/>
          <w:kern w:val="0"/>
          <w:szCs w:val="22"/>
        </w:rPr>
        <w:t>additional</w:t>
      </w:r>
      <w:r w:rsidRPr="00262043">
        <w:rPr>
          <w:snapToGrid/>
          <w:kern w:val="0"/>
          <w:szCs w:val="22"/>
        </w:rPr>
        <w:t xml:space="preserve"> documents or statements of fact that in </w:t>
      </w:r>
      <w:r w:rsidR="00AC2826">
        <w:rPr>
          <w:snapToGrid/>
          <w:kern w:val="0"/>
          <w:szCs w:val="22"/>
        </w:rPr>
        <w:t>the Commission’s</w:t>
      </w:r>
      <w:r w:rsidRPr="00262043">
        <w:rPr>
          <w:snapToGrid/>
          <w:kern w:val="0"/>
          <w:szCs w:val="22"/>
        </w:rPr>
        <w:t xml:space="preserve"> judgment may be necessary.  The Commission also reserves the right to return the </w:t>
      </w:r>
      <w:r w:rsidR="003474ED">
        <w:rPr>
          <w:snapToGrid/>
          <w:kern w:val="0"/>
          <w:szCs w:val="22"/>
        </w:rPr>
        <w:t xml:space="preserve">Amended </w:t>
      </w:r>
      <w:r w:rsidRPr="00262043">
        <w:rPr>
          <w:snapToGrid/>
          <w:kern w:val="0"/>
          <w:szCs w:val="22"/>
        </w:rPr>
        <w:t>Petition if,</w:t>
      </w:r>
      <w:r w:rsidRPr="003D4242">
        <w:rPr>
          <w:snapToGrid/>
          <w:kern w:val="0"/>
          <w:szCs w:val="22"/>
        </w:rPr>
        <w:t xml:space="preserve"> on further examination, it is determined to be defective and not in conformance with its rules and policies.</w:t>
      </w:r>
      <w:r w:rsidRPr="007353AC">
        <w:rPr>
          <w:rFonts w:eastAsia="Calibri"/>
          <w:snapToGrid/>
          <w:color w:val="000000"/>
          <w:kern w:val="0"/>
          <w:szCs w:val="22"/>
        </w:rPr>
        <w:t xml:space="preserve">  </w:t>
      </w:r>
      <w:r w:rsidR="00EC55D4">
        <w:rPr>
          <w:rFonts w:eastAsia="Calibri"/>
          <w:snapToGrid/>
          <w:color w:val="000000"/>
          <w:kern w:val="0"/>
          <w:szCs w:val="22"/>
        </w:rPr>
        <w:t xml:space="preserve">In addition, pursuant to Commission practice, the </w:t>
      </w:r>
      <w:r w:rsidR="003474ED">
        <w:rPr>
          <w:rFonts w:eastAsia="Calibri"/>
          <w:snapToGrid/>
          <w:color w:val="000000"/>
          <w:kern w:val="0"/>
          <w:szCs w:val="22"/>
        </w:rPr>
        <w:t xml:space="preserve">Amended </w:t>
      </w:r>
      <w:r w:rsidR="00EC55D4">
        <w:rPr>
          <w:rFonts w:eastAsia="Calibri"/>
          <w:snapToGrid/>
          <w:color w:val="000000"/>
          <w:kern w:val="0"/>
          <w:szCs w:val="22"/>
        </w:rPr>
        <w:t>Petition will be</w:t>
      </w:r>
      <w:r w:rsidRPr="00EC55D4" w:rsidR="00EC55D4">
        <w:rPr>
          <w:rFonts w:eastAsia="Calibri"/>
          <w:snapToGrid/>
          <w:color w:val="000000"/>
          <w:kern w:val="0"/>
          <w:szCs w:val="22"/>
        </w:rPr>
        <w:t xml:space="preserve"> referred to relevant Executive Branch agencies for their views on any national security, law enforcement, foreign</w:t>
      </w:r>
      <w:r w:rsidR="00EC55D4">
        <w:rPr>
          <w:rFonts w:eastAsia="Calibri"/>
          <w:snapToGrid/>
          <w:color w:val="000000"/>
          <w:kern w:val="0"/>
          <w:szCs w:val="22"/>
        </w:rPr>
        <w:t xml:space="preserve"> </w:t>
      </w:r>
      <w:r w:rsidRPr="00EC55D4" w:rsidR="00EC55D4">
        <w:rPr>
          <w:rFonts w:eastAsia="Calibri"/>
          <w:snapToGrid/>
          <w:color w:val="000000"/>
          <w:kern w:val="0"/>
          <w:szCs w:val="22"/>
        </w:rPr>
        <w:t xml:space="preserve">policy, or trade policy concerns related to the foreign ownership of </w:t>
      </w:r>
      <w:r w:rsidR="003474ED">
        <w:rPr>
          <w:rFonts w:eastAsia="Calibri"/>
          <w:snapToGrid/>
          <w:color w:val="000000"/>
          <w:kern w:val="0"/>
          <w:szCs w:val="22"/>
        </w:rPr>
        <w:t>TPC</w:t>
      </w:r>
      <w:r w:rsidR="00EC55D4">
        <w:rPr>
          <w:rFonts w:eastAsia="Calibri"/>
          <w:snapToGrid/>
          <w:color w:val="000000"/>
          <w:kern w:val="0"/>
          <w:szCs w:val="22"/>
        </w:rPr>
        <w:t>.</w:t>
      </w:r>
      <w:r>
        <w:rPr>
          <w:rStyle w:val="FootnoteReference"/>
          <w:rFonts w:eastAsia="Calibri"/>
          <w:snapToGrid/>
          <w:kern w:val="0"/>
          <w:szCs w:val="22"/>
        </w:rPr>
        <w:footnoteReference w:id="16"/>
      </w:r>
    </w:p>
    <w:p w:rsidR="00624B0B" w:rsidRPr="006302AF" w:rsidP="006302AF" w14:paraId="47654360" w14:textId="77777777">
      <w:pPr>
        <w:keepNext/>
        <w:keepLines/>
        <w:widowControl/>
        <w:autoSpaceDE w:val="0"/>
        <w:autoSpaceDN w:val="0"/>
        <w:adjustRightInd w:val="0"/>
        <w:spacing w:after="120" w:line="259" w:lineRule="auto"/>
        <w:rPr>
          <w:rFonts w:eastAsia="Calibri"/>
          <w:b/>
          <w:bCs/>
          <w:snapToGrid/>
          <w:color w:val="000000"/>
          <w:kern w:val="0"/>
          <w:szCs w:val="22"/>
        </w:rPr>
      </w:pPr>
      <w:bookmarkStart w:id="2" w:name="_Hlk65686154"/>
      <w:r w:rsidRPr="006302AF">
        <w:rPr>
          <w:rFonts w:eastAsia="Calibri"/>
          <w:b/>
          <w:bCs/>
          <w:i/>
          <w:iCs/>
          <w:snapToGrid/>
          <w:color w:val="000000"/>
          <w:kern w:val="0"/>
          <w:szCs w:val="22"/>
        </w:rPr>
        <w:t>EX PARTE</w:t>
      </w:r>
      <w:r w:rsidRPr="006302AF">
        <w:rPr>
          <w:rFonts w:eastAsia="Calibri"/>
          <w:b/>
          <w:bCs/>
          <w:snapToGrid/>
          <w:color w:val="000000"/>
          <w:kern w:val="0"/>
          <w:szCs w:val="22"/>
        </w:rPr>
        <w:t xml:space="preserve"> STATUS OF THIS PROCEEDING</w:t>
      </w:r>
    </w:p>
    <w:p w:rsidR="00624B0B" w:rsidRPr="006302AF" w:rsidP="006302AF" w14:paraId="12D686AF" w14:textId="644C1DF8">
      <w:pPr>
        <w:keepNext/>
        <w:keepLines/>
        <w:widowControl/>
        <w:spacing w:after="120"/>
        <w:ind w:firstLine="720"/>
        <w:rPr>
          <w:rFonts w:eastAsia="Calibri"/>
          <w:snapToGrid/>
          <w:kern w:val="0"/>
          <w:szCs w:val="22"/>
          <w:highlight w:val="yellow"/>
        </w:rPr>
      </w:pPr>
      <w:r w:rsidRPr="006302AF">
        <w:rPr>
          <w:rFonts w:eastAsia="Calibri"/>
          <w:snapToGrid/>
          <w:kern w:val="0"/>
          <w:szCs w:val="22"/>
        </w:rPr>
        <w:t xml:space="preserve">In order to assure the staff’s ability to discuss and obtain information needed to resolve the issues presented, by this Public Notice and pursuant to Section 1.1200(a) of the </w:t>
      </w:r>
      <w:r w:rsidRPr="006302AF" w:rsidR="00FB2943">
        <w:rPr>
          <w:rFonts w:eastAsia="Calibri"/>
          <w:snapToGrid/>
          <w:kern w:val="0"/>
          <w:szCs w:val="22"/>
        </w:rPr>
        <w:t>R</w:t>
      </w:r>
      <w:r w:rsidRPr="006302AF">
        <w:rPr>
          <w:rFonts w:eastAsia="Calibri"/>
          <w:snapToGrid/>
          <w:kern w:val="0"/>
          <w:szCs w:val="22"/>
        </w:rPr>
        <w:t>ules,</w:t>
      </w:r>
      <w:r>
        <w:rPr>
          <w:rFonts w:eastAsia="Calibri"/>
          <w:snapToGrid/>
          <w:kern w:val="0"/>
          <w:szCs w:val="22"/>
          <w:vertAlign w:val="superscript"/>
        </w:rPr>
        <w:footnoteReference w:id="17"/>
      </w:r>
      <w:r w:rsidRPr="000F5926">
        <w:rPr>
          <w:rFonts w:eastAsia="Calibri"/>
          <w:snapToGrid/>
          <w:kern w:val="0"/>
          <w:szCs w:val="22"/>
        </w:rPr>
        <w:t xml:space="preserve"> we establish a docket for this proceeding and announce that the </w:t>
      </w:r>
      <w:r w:rsidRPr="006302AF">
        <w:rPr>
          <w:rFonts w:eastAsia="Calibri"/>
          <w:i/>
          <w:snapToGrid/>
          <w:kern w:val="0"/>
          <w:szCs w:val="22"/>
        </w:rPr>
        <w:t>ex parte</w:t>
      </w:r>
      <w:r w:rsidRPr="006302AF">
        <w:rPr>
          <w:rFonts w:eastAsia="Calibri"/>
          <w:snapToGrid/>
          <w:kern w:val="0"/>
          <w:szCs w:val="22"/>
        </w:rPr>
        <w:t xml:space="preserve"> procedures applicable to permit-but-disclose proceedings will govern our consideration of </w:t>
      </w:r>
      <w:r w:rsidRPr="006302AF" w:rsidR="004A17E6">
        <w:rPr>
          <w:rFonts w:eastAsia="Calibri"/>
          <w:snapToGrid/>
          <w:kern w:val="0"/>
          <w:szCs w:val="22"/>
        </w:rPr>
        <w:t xml:space="preserve">this </w:t>
      </w:r>
      <w:r w:rsidRPr="006302AF" w:rsidR="00604DD0">
        <w:rPr>
          <w:rFonts w:eastAsia="Calibri"/>
          <w:snapToGrid/>
          <w:kern w:val="0"/>
          <w:szCs w:val="22"/>
        </w:rPr>
        <w:t>P</w:t>
      </w:r>
      <w:r w:rsidRPr="006302AF" w:rsidR="004A17E6">
        <w:rPr>
          <w:rFonts w:eastAsia="Calibri"/>
          <w:snapToGrid/>
          <w:kern w:val="0"/>
          <w:szCs w:val="22"/>
        </w:rPr>
        <w:t>etition</w:t>
      </w:r>
      <w:r w:rsidRPr="006302AF">
        <w:rPr>
          <w:rFonts w:eastAsia="Calibri"/>
          <w:snapToGrid/>
          <w:kern w:val="0"/>
          <w:szCs w:val="22"/>
        </w:rPr>
        <w:t>.</w:t>
      </w:r>
      <w:r>
        <w:rPr>
          <w:rFonts w:eastAsia="Calibri"/>
          <w:snapToGrid/>
          <w:kern w:val="0"/>
          <w:szCs w:val="22"/>
          <w:vertAlign w:val="superscript"/>
        </w:rPr>
        <w:footnoteReference w:id="18"/>
      </w:r>
      <w:r w:rsidRPr="000F5926">
        <w:rPr>
          <w:rFonts w:eastAsia="Calibri"/>
          <w:snapToGrid/>
          <w:kern w:val="0"/>
          <w:szCs w:val="22"/>
          <w:highlight w:val="yellow"/>
        </w:rPr>
        <w:t xml:space="preserve">  </w:t>
      </w:r>
    </w:p>
    <w:p w:rsidR="00624B0B" w:rsidRPr="000F5926" w:rsidP="00137E0A" w14:paraId="4AF992A8" w14:textId="3D5358F0">
      <w:pPr>
        <w:widowControl/>
        <w:spacing w:after="120"/>
        <w:ind w:firstLine="720"/>
        <w:rPr>
          <w:rFonts w:eastAsia="Calibri"/>
          <w:snapToGrid/>
          <w:kern w:val="0"/>
          <w:szCs w:val="22"/>
        </w:rPr>
      </w:pPr>
      <w:r w:rsidRPr="006302AF">
        <w:rPr>
          <w:rFonts w:eastAsia="Calibri"/>
          <w:snapToGrid/>
          <w:kern w:val="0"/>
          <w:szCs w:val="22"/>
        </w:rPr>
        <w:t xml:space="preserve">Persons making </w:t>
      </w:r>
      <w:r w:rsidRPr="006302AF">
        <w:rPr>
          <w:rFonts w:eastAsia="Calibri"/>
          <w:i/>
          <w:snapToGrid/>
          <w:kern w:val="0"/>
          <w:szCs w:val="22"/>
        </w:rPr>
        <w:t xml:space="preserve">ex parte </w:t>
      </w:r>
      <w:r w:rsidRPr="006302AF">
        <w:rPr>
          <w:rFonts w:eastAsia="Calibri"/>
          <w:snapToGrid/>
          <w:color w:val="000000"/>
          <w:kern w:val="0"/>
          <w:szCs w:val="22"/>
        </w:rPr>
        <w:t>presentations</w:t>
      </w:r>
      <w:r w:rsidRPr="00BD6AA7">
        <w:rPr>
          <w:rFonts w:eastAsia="Calibri"/>
          <w:snapToGrid/>
          <w:kern w:val="0"/>
          <w:szCs w:val="22"/>
        </w:rPr>
        <w:t xml:space="preserve"> must file a copy of any written presentation or a memorandum summarizing any oral presentation within two bu</w:t>
      </w:r>
      <w:r w:rsidRPr="00262043">
        <w:rPr>
          <w:rFonts w:eastAsia="Calibri"/>
          <w:snapToGrid/>
          <w:kern w:val="0"/>
          <w:szCs w:val="22"/>
        </w:rPr>
        <w:t xml:space="preserve">siness days after the presentation (unless a different deadline applicable to the Sunshine period applies).  Persons making oral </w:t>
      </w:r>
      <w:r w:rsidRPr="00262043">
        <w:rPr>
          <w:rFonts w:eastAsia="Calibri"/>
          <w:i/>
          <w:iCs/>
          <w:snapToGrid/>
          <w:kern w:val="0"/>
          <w:szCs w:val="22"/>
        </w:rPr>
        <w:t xml:space="preserve">ex parte </w:t>
      </w:r>
      <w:r w:rsidRPr="003D4242">
        <w:rPr>
          <w:rFonts w:eastAsia="Calibri"/>
          <w:snapToGrid/>
          <w:kern w:val="0"/>
          <w:szCs w:val="22"/>
        </w:rPr>
        <w:t>presentations are reminded that memoranda summarizing the presentation must (1) list all persons attending or otherwis</w:t>
      </w:r>
      <w:r w:rsidRPr="00F35EF6">
        <w:rPr>
          <w:rFonts w:eastAsia="Calibri"/>
          <w:snapToGrid/>
          <w:kern w:val="0"/>
          <w:szCs w:val="22"/>
        </w:rPr>
        <w:t xml:space="preserve">e participating in the meeting at which the </w:t>
      </w:r>
      <w:r w:rsidRPr="003A53CA">
        <w:rPr>
          <w:rFonts w:eastAsia="Calibri"/>
          <w:i/>
          <w:iCs/>
          <w:snapToGrid/>
          <w:kern w:val="0"/>
          <w:szCs w:val="22"/>
        </w:rPr>
        <w:t xml:space="preserve">ex parte </w:t>
      </w:r>
      <w:r w:rsidRPr="000F5926">
        <w:rPr>
          <w:rFonts w:eastAsia="Calibri"/>
          <w:snapToGrid/>
          <w:kern w:val="0"/>
          <w:szCs w:val="22"/>
        </w:rPr>
        <w:t>presentation was made, and (2) summarize all data presented and arguments made during the presentation.</w:t>
      </w:r>
      <w:r>
        <w:rPr>
          <w:rStyle w:val="FootnoteReference"/>
          <w:rFonts w:eastAsia="Calibri"/>
          <w:snapToGrid/>
          <w:kern w:val="0"/>
          <w:szCs w:val="22"/>
        </w:rPr>
        <w:footnoteReference w:id="19"/>
      </w:r>
      <w:r w:rsidRPr="000F5926">
        <w:rPr>
          <w:rFonts w:eastAsia="Calibri"/>
          <w:snapToGrid/>
          <w:kern w:val="0"/>
          <w:szCs w:val="22"/>
        </w:rPr>
        <w:t xml:space="preserve">  If the presentation consisted in whole or in part of data or arguments already reflected in the presenter’s written comments, memoranda, or other filings in the proceeding, then the presenter may provide citations to such data or arguments in his or her </w:t>
      </w:r>
      <w:r w:rsidRPr="00262043">
        <w:rPr>
          <w:rFonts w:eastAsia="Calibri"/>
          <w:snapToGrid/>
          <w:kern w:val="0"/>
          <w:szCs w:val="22"/>
        </w:rPr>
        <w:t>prior comments, memoranda, or other filings (specifying the relevant page and/or paragraph numbers where such data or arguments can be found) in lieu of summarizing them in the memorandum.</w:t>
      </w:r>
      <w:r>
        <w:rPr>
          <w:rStyle w:val="FootnoteReference"/>
          <w:rFonts w:eastAsia="Calibri"/>
          <w:snapToGrid/>
          <w:kern w:val="0"/>
          <w:szCs w:val="22"/>
        </w:rPr>
        <w:footnoteReference w:id="20"/>
      </w:r>
      <w:r w:rsidRPr="000F5926">
        <w:rPr>
          <w:rFonts w:eastAsia="Calibri"/>
          <w:snapToGrid/>
          <w:kern w:val="0"/>
          <w:szCs w:val="22"/>
        </w:rPr>
        <w:t xml:space="preserve">  Documents shown or given to Commission staff during </w:t>
      </w:r>
      <w:r w:rsidRPr="00262043">
        <w:rPr>
          <w:rFonts w:eastAsia="Calibri"/>
          <w:i/>
          <w:iCs/>
          <w:snapToGrid/>
          <w:kern w:val="0"/>
          <w:szCs w:val="22"/>
        </w:rPr>
        <w:t xml:space="preserve">ex parte </w:t>
      </w:r>
      <w:r w:rsidRPr="00262043">
        <w:rPr>
          <w:rFonts w:eastAsia="Calibri"/>
          <w:snapToGrid/>
          <w:kern w:val="0"/>
          <w:szCs w:val="22"/>
        </w:rPr>
        <w:t>mee</w:t>
      </w:r>
      <w:r w:rsidRPr="003D4242">
        <w:rPr>
          <w:rFonts w:eastAsia="Calibri"/>
          <w:snapToGrid/>
          <w:kern w:val="0"/>
          <w:szCs w:val="22"/>
        </w:rPr>
        <w:t xml:space="preserve">tings are deemed to be written </w:t>
      </w:r>
      <w:r w:rsidRPr="00F35EF6">
        <w:rPr>
          <w:rFonts w:eastAsia="Calibri"/>
          <w:i/>
          <w:iCs/>
          <w:snapToGrid/>
          <w:kern w:val="0"/>
          <w:szCs w:val="22"/>
        </w:rPr>
        <w:t>ex parte</w:t>
      </w:r>
      <w:r w:rsidRPr="000F5926">
        <w:rPr>
          <w:rFonts w:eastAsia="Calibri"/>
          <w:snapToGrid/>
          <w:kern w:val="0"/>
          <w:szCs w:val="22"/>
        </w:rPr>
        <w:t xml:space="preserve"> presentations and must be filed consistent with section 1.1206(b) of the </w:t>
      </w:r>
      <w:r w:rsidRPr="000F5926" w:rsidR="00C8486A">
        <w:rPr>
          <w:rFonts w:eastAsia="Calibri"/>
          <w:snapToGrid/>
          <w:kern w:val="0"/>
          <w:szCs w:val="22"/>
        </w:rPr>
        <w:t>R</w:t>
      </w:r>
      <w:r w:rsidRPr="000F5926">
        <w:rPr>
          <w:rFonts w:eastAsia="Calibri"/>
          <w:snapToGrid/>
          <w:kern w:val="0"/>
          <w:szCs w:val="22"/>
        </w:rPr>
        <w:t>ules.</w:t>
      </w:r>
      <w:r>
        <w:rPr>
          <w:rFonts w:eastAsia="Calibri"/>
          <w:snapToGrid/>
          <w:kern w:val="0"/>
          <w:szCs w:val="22"/>
          <w:vertAlign w:val="superscript"/>
        </w:rPr>
        <w:footnoteReference w:id="21"/>
      </w:r>
      <w:r w:rsidRPr="000F5926">
        <w:rPr>
          <w:rFonts w:eastAsia="Calibri"/>
          <w:snapToGrid/>
          <w:kern w:val="0"/>
          <w:szCs w:val="22"/>
        </w:rPr>
        <w:t xml:space="preserve">  Participants in this proceeding should familiarize themselves with the Commission’s </w:t>
      </w:r>
      <w:r w:rsidRPr="006302AF">
        <w:rPr>
          <w:rFonts w:eastAsia="Calibri"/>
          <w:i/>
          <w:iCs/>
          <w:snapToGrid/>
          <w:kern w:val="0"/>
          <w:szCs w:val="22"/>
        </w:rPr>
        <w:t xml:space="preserve">ex parte </w:t>
      </w:r>
      <w:r w:rsidRPr="006302AF">
        <w:rPr>
          <w:rFonts w:eastAsia="Calibri"/>
          <w:snapToGrid/>
          <w:kern w:val="0"/>
          <w:szCs w:val="22"/>
        </w:rPr>
        <w:t>rules.</w:t>
      </w:r>
      <w:r>
        <w:rPr>
          <w:rFonts w:eastAsia="Calibri"/>
          <w:snapToGrid/>
          <w:kern w:val="0"/>
          <w:szCs w:val="22"/>
          <w:vertAlign w:val="superscript"/>
        </w:rPr>
        <w:footnoteReference w:id="22"/>
      </w:r>
      <w:r w:rsidRPr="000F5926">
        <w:rPr>
          <w:rFonts w:eastAsia="Calibri"/>
          <w:snapToGrid/>
          <w:kern w:val="0"/>
          <w:szCs w:val="22"/>
        </w:rPr>
        <w:t xml:space="preserve">  We strongly urge parties to use the Electronic Comment Filing System (ECFS) to file </w:t>
      </w:r>
      <w:r w:rsidRPr="00262043">
        <w:rPr>
          <w:rFonts w:eastAsia="Calibri"/>
          <w:i/>
          <w:iCs/>
          <w:snapToGrid/>
          <w:kern w:val="0"/>
          <w:szCs w:val="22"/>
        </w:rPr>
        <w:t>ex parte</w:t>
      </w:r>
      <w:r w:rsidRPr="00262043">
        <w:rPr>
          <w:rFonts w:eastAsia="Calibri"/>
          <w:snapToGrid/>
          <w:kern w:val="0"/>
          <w:szCs w:val="22"/>
        </w:rPr>
        <w:t xml:space="preserve"> submissions.  All </w:t>
      </w:r>
      <w:r w:rsidRPr="003D4242">
        <w:rPr>
          <w:rFonts w:eastAsia="Calibri"/>
          <w:i/>
          <w:snapToGrid/>
          <w:kern w:val="0"/>
          <w:szCs w:val="22"/>
        </w:rPr>
        <w:t>ex parte</w:t>
      </w:r>
      <w:r w:rsidRPr="00F35EF6">
        <w:rPr>
          <w:rFonts w:eastAsia="Calibri"/>
          <w:snapToGrid/>
          <w:kern w:val="0"/>
          <w:szCs w:val="22"/>
        </w:rPr>
        <w:t xml:space="preserve"> filings must be clearly labeled</w:t>
      </w:r>
      <w:r w:rsidRPr="000F5926">
        <w:rPr>
          <w:rFonts w:eastAsia="Calibri"/>
          <w:snapToGrid/>
          <w:kern w:val="0"/>
          <w:szCs w:val="22"/>
        </w:rPr>
        <w:t xml:space="preserve"> as such and must reference MB Docket No. 2</w:t>
      </w:r>
      <w:r w:rsidR="007564B4">
        <w:rPr>
          <w:rFonts w:eastAsia="Calibri"/>
          <w:snapToGrid/>
          <w:kern w:val="0"/>
          <w:szCs w:val="22"/>
        </w:rPr>
        <w:t>2</w:t>
      </w:r>
      <w:r w:rsidR="00C23F02">
        <w:rPr>
          <w:rFonts w:eastAsia="Calibri"/>
          <w:snapToGrid/>
          <w:kern w:val="0"/>
          <w:szCs w:val="22"/>
        </w:rPr>
        <w:t>-166</w:t>
      </w:r>
      <w:r w:rsidRPr="000F5926">
        <w:rPr>
          <w:rFonts w:eastAsia="Calibri"/>
          <w:snapToGrid/>
          <w:kern w:val="0"/>
          <w:szCs w:val="22"/>
        </w:rPr>
        <w:t>.</w:t>
      </w:r>
    </w:p>
    <w:bookmarkEnd w:id="2"/>
    <w:p w:rsidR="00624B0B" w:rsidRPr="000F5926" w:rsidP="00C711D9" w14:paraId="637C21E1" w14:textId="77777777">
      <w:pPr>
        <w:keepNext/>
        <w:keepLines/>
        <w:widowControl/>
        <w:autoSpaceDE w:val="0"/>
        <w:autoSpaceDN w:val="0"/>
        <w:adjustRightInd w:val="0"/>
        <w:spacing w:after="120" w:line="259" w:lineRule="auto"/>
        <w:rPr>
          <w:rFonts w:eastAsia="Calibri"/>
          <w:b/>
          <w:bCs/>
          <w:snapToGrid/>
          <w:color w:val="000000"/>
          <w:kern w:val="0"/>
          <w:szCs w:val="22"/>
        </w:rPr>
      </w:pPr>
      <w:r w:rsidRPr="000F5926">
        <w:rPr>
          <w:rFonts w:eastAsia="Calibri"/>
          <w:b/>
          <w:bCs/>
          <w:snapToGrid/>
          <w:color w:val="000000"/>
          <w:kern w:val="0"/>
          <w:szCs w:val="22"/>
        </w:rPr>
        <w:t>GENERAL INFORMATION</w:t>
      </w:r>
    </w:p>
    <w:p w:rsidR="00624B0B" w:rsidRPr="000F5926" w:rsidP="00137E0A" w14:paraId="2C2C8F54" w14:textId="10EFEFBF">
      <w:pPr>
        <w:widowControl/>
        <w:spacing w:after="120"/>
        <w:ind w:firstLine="720"/>
        <w:rPr>
          <w:rFonts w:eastAsia="Calibri"/>
          <w:snapToGrid/>
          <w:color w:val="000000"/>
          <w:kern w:val="0"/>
          <w:szCs w:val="22"/>
        </w:rPr>
      </w:pPr>
      <w:r w:rsidRPr="000F5926">
        <w:rPr>
          <w:rFonts w:eastAsia="Calibri"/>
          <w:snapToGrid/>
          <w:color w:val="000000"/>
          <w:kern w:val="0"/>
          <w:szCs w:val="22"/>
        </w:rPr>
        <w:t xml:space="preserve">The </w:t>
      </w:r>
      <w:r w:rsidRPr="000F5926" w:rsidR="001F55D6">
        <w:rPr>
          <w:rFonts w:eastAsia="Calibri"/>
          <w:snapToGrid/>
          <w:color w:val="000000"/>
          <w:kern w:val="0"/>
          <w:szCs w:val="22"/>
        </w:rPr>
        <w:t>Petition</w:t>
      </w:r>
      <w:r w:rsidRPr="000F5926">
        <w:rPr>
          <w:rFonts w:eastAsia="Calibri"/>
          <w:snapToGrid/>
          <w:color w:val="000000"/>
          <w:kern w:val="0"/>
          <w:szCs w:val="22"/>
        </w:rPr>
        <w:t xml:space="preserve"> referred to in this Public Notice has been accepted for filing upon initial review.  </w:t>
      </w:r>
      <w:r w:rsidRPr="000F5926">
        <w:rPr>
          <w:rFonts w:eastAsia="Calibri"/>
          <w:snapToGrid/>
          <w:color w:val="000000"/>
          <w:kern w:val="0"/>
          <w:szCs w:val="22"/>
        </w:rPr>
        <w:t xml:space="preserve">The Commission reserves the right to return any </w:t>
      </w:r>
      <w:r w:rsidRPr="000F5926" w:rsidR="004B4423">
        <w:rPr>
          <w:rFonts w:eastAsia="Calibri"/>
          <w:snapToGrid/>
          <w:color w:val="000000"/>
          <w:kern w:val="0"/>
          <w:szCs w:val="22"/>
        </w:rPr>
        <w:t>filing</w:t>
      </w:r>
      <w:r w:rsidRPr="000F5926">
        <w:rPr>
          <w:rFonts w:eastAsia="Calibri"/>
          <w:snapToGrid/>
          <w:color w:val="000000"/>
          <w:kern w:val="0"/>
          <w:szCs w:val="22"/>
        </w:rPr>
        <w:t xml:space="preserve"> if, upon further examination, it is determined to be defective and not in conformance with the Commission’s rules or policies.  Interested persons must file </w:t>
      </w:r>
      <w:r w:rsidRPr="000F5926" w:rsidR="006D0D2C">
        <w:rPr>
          <w:rFonts w:eastAsia="Calibri"/>
          <w:snapToGrid/>
          <w:color w:val="000000"/>
          <w:kern w:val="0"/>
          <w:szCs w:val="22"/>
        </w:rPr>
        <w:t>comments</w:t>
      </w:r>
      <w:r w:rsidRPr="000F5926">
        <w:rPr>
          <w:rFonts w:eastAsia="Calibri"/>
          <w:snapToGrid/>
          <w:color w:val="000000"/>
          <w:kern w:val="0"/>
          <w:szCs w:val="22"/>
        </w:rPr>
        <w:t xml:space="preserve"> no later than </w:t>
      </w:r>
      <w:r w:rsidR="00AF1B17">
        <w:rPr>
          <w:rFonts w:eastAsia="Calibri"/>
          <w:b/>
          <w:bCs/>
          <w:snapToGrid/>
          <w:color w:val="000000"/>
          <w:kern w:val="0"/>
          <w:szCs w:val="22"/>
        </w:rPr>
        <w:t>Ma</w:t>
      </w:r>
      <w:r w:rsidR="00DD6073">
        <w:rPr>
          <w:rFonts w:eastAsia="Calibri"/>
          <w:b/>
          <w:bCs/>
          <w:snapToGrid/>
          <w:color w:val="000000"/>
          <w:kern w:val="0"/>
          <w:szCs w:val="22"/>
        </w:rPr>
        <w:t>y</w:t>
      </w:r>
      <w:r w:rsidRPr="00E94A5E" w:rsidR="00BE21E4">
        <w:rPr>
          <w:rFonts w:eastAsia="Calibri"/>
          <w:b/>
          <w:bCs/>
          <w:snapToGrid/>
          <w:color w:val="000000"/>
          <w:kern w:val="0"/>
          <w:szCs w:val="22"/>
        </w:rPr>
        <w:t xml:space="preserve"> </w:t>
      </w:r>
      <w:r w:rsidR="0049409F">
        <w:rPr>
          <w:rFonts w:eastAsia="Calibri"/>
          <w:b/>
          <w:bCs/>
          <w:snapToGrid/>
          <w:color w:val="000000"/>
          <w:kern w:val="0"/>
          <w:szCs w:val="22"/>
        </w:rPr>
        <w:t>23</w:t>
      </w:r>
      <w:r w:rsidRPr="00E94A5E" w:rsidR="00E94A5E">
        <w:rPr>
          <w:rFonts w:eastAsia="Calibri"/>
          <w:b/>
          <w:bCs/>
          <w:snapToGrid/>
          <w:color w:val="000000"/>
          <w:kern w:val="0"/>
          <w:szCs w:val="22"/>
        </w:rPr>
        <w:t xml:space="preserve">, </w:t>
      </w:r>
      <w:r w:rsidRPr="00E94A5E" w:rsidR="00BE21E4">
        <w:rPr>
          <w:rFonts w:eastAsia="Calibri"/>
          <w:b/>
          <w:bCs/>
          <w:snapToGrid/>
          <w:color w:val="000000"/>
          <w:kern w:val="0"/>
          <w:szCs w:val="22"/>
        </w:rPr>
        <w:t>202</w:t>
      </w:r>
      <w:r w:rsidR="00BE21E4">
        <w:rPr>
          <w:rFonts w:eastAsia="Calibri"/>
          <w:b/>
          <w:bCs/>
          <w:snapToGrid/>
          <w:color w:val="000000"/>
          <w:kern w:val="0"/>
          <w:szCs w:val="22"/>
        </w:rPr>
        <w:t>2</w:t>
      </w:r>
      <w:r w:rsidRPr="000F5926" w:rsidR="00477555">
        <w:rPr>
          <w:rFonts w:eastAsia="Calibri"/>
          <w:snapToGrid/>
          <w:color w:val="000000"/>
          <w:kern w:val="0"/>
          <w:szCs w:val="22"/>
        </w:rPr>
        <w:t xml:space="preserve">.  </w:t>
      </w:r>
      <w:r w:rsidRPr="000F5926">
        <w:rPr>
          <w:rFonts w:eastAsia="Calibri"/>
          <w:snapToGrid/>
          <w:color w:val="000000"/>
          <w:kern w:val="0"/>
          <w:szCs w:val="22"/>
        </w:rPr>
        <w:t xml:space="preserve">Replies must be filed no later than </w:t>
      </w:r>
      <w:r w:rsidR="0049409F">
        <w:rPr>
          <w:rFonts w:eastAsia="Calibri"/>
          <w:b/>
          <w:bCs/>
          <w:snapToGrid/>
          <w:color w:val="000000"/>
          <w:kern w:val="0"/>
          <w:szCs w:val="22"/>
        </w:rPr>
        <w:t>June 7</w:t>
      </w:r>
      <w:r w:rsidRPr="00447C89" w:rsidR="00447C89">
        <w:rPr>
          <w:rFonts w:eastAsia="Calibri"/>
          <w:b/>
          <w:bCs/>
          <w:snapToGrid/>
          <w:color w:val="000000"/>
          <w:kern w:val="0"/>
          <w:szCs w:val="22"/>
        </w:rPr>
        <w:t xml:space="preserve">, </w:t>
      </w:r>
      <w:r w:rsidRPr="00447C89" w:rsidR="00BE21E4">
        <w:rPr>
          <w:rFonts w:eastAsia="Calibri"/>
          <w:b/>
          <w:bCs/>
          <w:snapToGrid/>
          <w:color w:val="000000"/>
          <w:kern w:val="0"/>
          <w:szCs w:val="22"/>
        </w:rPr>
        <w:t>202</w:t>
      </w:r>
      <w:r w:rsidR="00BE21E4">
        <w:rPr>
          <w:rFonts w:eastAsia="Calibri"/>
          <w:b/>
          <w:bCs/>
          <w:snapToGrid/>
          <w:color w:val="000000"/>
          <w:kern w:val="0"/>
          <w:szCs w:val="22"/>
        </w:rPr>
        <w:t>2</w:t>
      </w:r>
      <w:r w:rsidRPr="000F5926">
        <w:rPr>
          <w:rFonts w:eastAsia="Calibri"/>
          <w:snapToGrid/>
          <w:color w:val="000000"/>
          <w:kern w:val="0"/>
          <w:szCs w:val="22"/>
        </w:rPr>
        <w:t xml:space="preserve">.  </w:t>
      </w:r>
    </w:p>
    <w:p w:rsidR="00624B0B" w:rsidRPr="000F5926" w:rsidP="00137E0A" w14:paraId="44835425" w14:textId="10E4B7BD">
      <w:pPr>
        <w:widowControl/>
        <w:spacing w:after="120"/>
        <w:ind w:firstLine="720"/>
        <w:rPr>
          <w:rFonts w:eastAsia="Calibri"/>
          <w:snapToGrid/>
          <w:color w:val="000000"/>
          <w:kern w:val="0"/>
          <w:szCs w:val="22"/>
        </w:rPr>
      </w:pPr>
      <w:r w:rsidRPr="000F5926">
        <w:rPr>
          <w:rFonts w:eastAsia="Calibri"/>
          <w:snapToGrid/>
          <w:color w:val="000000"/>
          <w:kern w:val="0"/>
          <w:szCs w:val="22"/>
        </w:rPr>
        <w:t xml:space="preserve">To allow the Commission to consider fully all substantive issues regarding the </w:t>
      </w:r>
      <w:r w:rsidRPr="000F5926" w:rsidR="001F55D6">
        <w:rPr>
          <w:rFonts w:eastAsia="Calibri"/>
          <w:snapToGrid/>
          <w:color w:val="000000"/>
          <w:kern w:val="0"/>
          <w:szCs w:val="22"/>
        </w:rPr>
        <w:t>P</w:t>
      </w:r>
      <w:r w:rsidRPr="000F5926" w:rsidR="00BB71F1">
        <w:rPr>
          <w:rFonts w:eastAsia="Calibri"/>
          <w:snapToGrid/>
          <w:color w:val="000000"/>
          <w:kern w:val="0"/>
          <w:szCs w:val="22"/>
        </w:rPr>
        <w:t>etition</w:t>
      </w:r>
      <w:r w:rsidRPr="000F5926">
        <w:rPr>
          <w:rFonts w:eastAsia="Calibri"/>
          <w:snapToGrid/>
          <w:color w:val="000000"/>
          <w:kern w:val="0"/>
          <w:szCs w:val="22"/>
        </w:rPr>
        <w:t xml:space="preserve"> in as timely and efficient a manner as possible, commenters should raise all issues in their initial filings.  A party or interested person seeking to raise a new issue after the </w:t>
      </w:r>
      <w:r w:rsidRPr="000F5926" w:rsidR="008625A9">
        <w:rPr>
          <w:rFonts w:eastAsia="Calibri"/>
          <w:snapToGrid/>
          <w:color w:val="000000"/>
          <w:kern w:val="0"/>
          <w:szCs w:val="22"/>
        </w:rPr>
        <w:t>comment period</w:t>
      </w:r>
      <w:r w:rsidRPr="000F5926">
        <w:rPr>
          <w:rFonts w:eastAsia="Calibri"/>
          <w:snapToGrid/>
          <w:color w:val="000000"/>
          <w:kern w:val="0"/>
          <w:szCs w:val="22"/>
        </w:rPr>
        <w:t xml:space="preserve"> has closed must show </w:t>
      </w:r>
      <w:r w:rsidRPr="000F5926">
        <w:rPr>
          <w:rFonts w:eastAsia="Calibri"/>
          <w:snapToGrid/>
          <w:color w:val="000000"/>
          <w:kern w:val="0"/>
          <w:szCs w:val="22"/>
        </w:rPr>
        <w:t xml:space="preserve">good cause why it was not possible for it to have raised the issue previously.  Submissions after the </w:t>
      </w:r>
      <w:r w:rsidRPr="000F5926" w:rsidR="004A12C6">
        <w:rPr>
          <w:rFonts w:eastAsia="Calibri"/>
          <w:snapToGrid/>
          <w:color w:val="000000"/>
          <w:kern w:val="0"/>
          <w:szCs w:val="22"/>
        </w:rPr>
        <w:t>comment period</w:t>
      </w:r>
      <w:r w:rsidRPr="000F5926">
        <w:rPr>
          <w:rFonts w:eastAsia="Calibri"/>
          <w:snapToGrid/>
          <w:color w:val="000000"/>
          <w:kern w:val="0"/>
          <w:szCs w:val="22"/>
        </w:rPr>
        <w:t xml:space="preserve"> has closed that seek to raise new issues based on new facts or newly discovered facts should be filed within 15 days after such facts are discovered.  Absent such a showing of good cause, any issues not timely raised may be disregarded by the Commission.</w:t>
      </w:r>
    </w:p>
    <w:p w:rsidR="00624B0B" w:rsidRPr="000F5926" w:rsidP="00137E0A" w14:paraId="7D3FE5FB" w14:textId="0668F06C">
      <w:pPr>
        <w:widowControl/>
        <w:spacing w:after="120"/>
        <w:ind w:firstLine="720"/>
        <w:rPr>
          <w:rFonts w:eastAsia="Calibri"/>
          <w:snapToGrid/>
          <w:color w:val="000000"/>
          <w:kern w:val="0"/>
          <w:szCs w:val="22"/>
        </w:rPr>
      </w:pPr>
      <w:bookmarkStart w:id="4" w:name="co_pp_sp_999_3_1"/>
      <w:bookmarkStart w:id="5" w:name="co_pp_sp_4493_7385_1"/>
      <w:bookmarkEnd w:id="4"/>
      <w:bookmarkEnd w:id="5"/>
      <w:r w:rsidRPr="000F5926">
        <w:rPr>
          <w:rFonts w:eastAsia="Calibri"/>
          <w:snapToGrid/>
          <w:color w:val="000000"/>
          <w:kern w:val="0"/>
          <w:szCs w:val="22"/>
        </w:rPr>
        <w:t>All filings concerning matters referenced in this Public Notice should refer to MB Docket No. 2</w:t>
      </w:r>
      <w:r w:rsidR="007564B4">
        <w:rPr>
          <w:rFonts w:eastAsia="Calibri"/>
          <w:snapToGrid/>
          <w:color w:val="000000"/>
          <w:kern w:val="0"/>
          <w:szCs w:val="22"/>
        </w:rPr>
        <w:t>2</w:t>
      </w:r>
      <w:r w:rsidR="00C23F02">
        <w:rPr>
          <w:rFonts w:eastAsia="Calibri"/>
          <w:snapToGrid/>
          <w:color w:val="000000"/>
          <w:kern w:val="0"/>
          <w:szCs w:val="22"/>
        </w:rPr>
        <w:t>-166</w:t>
      </w:r>
      <w:r w:rsidRPr="000F5926">
        <w:rPr>
          <w:rFonts w:eastAsia="Calibri"/>
          <w:snapToGrid/>
          <w:color w:val="000000"/>
          <w:kern w:val="0"/>
          <w:szCs w:val="22"/>
        </w:rPr>
        <w:t>, as well as the specific file numbers of the individual applications or other matters to which the filings pertain.</w:t>
      </w:r>
    </w:p>
    <w:p w:rsidR="00624B0B" w:rsidRPr="006302AF" w:rsidP="00137E0A" w14:paraId="1766C685" w14:textId="4FF58649">
      <w:pPr>
        <w:widowControl/>
        <w:spacing w:after="120"/>
        <w:ind w:firstLine="720"/>
        <w:rPr>
          <w:rFonts w:eastAsia="Calibri"/>
          <w:snapToGrid/>
          <w:kern w:val="0"/>
          <w:szCs w:val="22"/>
        </w:rPr>
      </w:pPr>
      <w:r w:rsidRPr="000F5926">
        <w:rPr>
          <w:rFonts w:eastAsia="Calibri"/>
          <w:i/>
          <w:iCs/>
          <w:snapToGrid/>
          <w:kern w:val="0"/>
          <w:szCs w:val="22"/>
        </w:rPr>
        <w:t>Filing Requirements</w:t>
      </w:r>
      <w:r w:rsidRPr="000F5926">
        <w:rPr>
          <w:rFonts w:eastAsia="Calibri"/>
          <w:snapToGrid/>
          <w:kern w:val="0"/>
          <w:szCs w:val="22"/>
        </w:rPr>
        <w:t xml:space="preserve">.  </w:t>
      </w:r>
      <w:r w:rsidRPr="000F5926" w:rsidR="008A3EB7">
        <w:rPr>
          <w:rFonts w:eastAsia="Calibri"/>
          <w:snapToGrid/>
          <w:kern w:val="0"/>
          <w:szCs w:val="22"/>
        </w:rPr>
        <w:t>Submissions</w:t>
      </w:r>
      <w:r w:rsidRPr="000F5926">
        <w:rPr>
          <w:rFonts w:eastAsia="Calibri"/>
          <w:snapToGrid/>
          <w:kern w:val="0"/>
          <w:szCs w:val="22"/>
        </w:rPr>
        <w:t xml:space="preserve"> may be filed </w:t>
      </w:r>
      <w:r w:rsidRPr="000F5926" w:rsidR="004F3D71">
        <w:rPr>
          <w:rFonts w:eastAsia="Calibri"/>
          <w:snapToGrid/>
          <w:kern w:val="0"/>
          <w:szCs w:val="22"/>
        </w:rPr>
        <w:t xml:space="preserve">electronically </w:t>
      </w:r>
      <w:r w:rsidRPr="000F5926">
        <w:rPr>
          <w:rFonts w:eastAsia="Calibri"/>
          <w:snapToGrid/>
          <w:kern w:val="0"/>
          <w:szCs w:val="22"/>
        </w:rPr>
        <w:t>using ECFS</w:t>
      </w:r>
      <w:r w:rsidRPr="000F5926" w:rsidR="004F3D71">
        <w:rPr>
          <w:rFonts w:eastAsia="Calibri"/>
          <w:snapToGrid/>
          <w:kern w:val="0"/>
          <w:szCs w:val="22"/>
        </w:rPr>
        <w:t xml:space="preserve"> or by filing paper copies</w:t>
      </w:r>
      <w:r w:rsidRPr="000F5926">
        <w:rPr>
          <w:rFonts w:eastAsia="Calibri"/>
          <w:snapToGrid/>
          <w:kern w:val="0"/>
          <w:szCs w:val="22"/>
        </w:rPr>
        <w:t>.</w:t>
      </w:r>
      <w:r>
        <w:rPr>
          <w:rFonts w:eastAsia="Calibri"/>
          <w:snapToGrid/>
          <w:kern w:val="0"/>
          <w:szCs w:val="22"/>
          <w:vertAlign w:val="superscript"/>
        </w:rPr>
        <w:footnoteReference w:id="23"/>
      </w:r>
      <w:r w:rsidRPr="000F5926">
        <w:rPr>
          <w:rFonts w:eastAsia="Calibri"/>
          <w:snapToGrid/>
          <w:kern w:val="0"/>
          <w:szCs w:val="22"/>
        </w:rPr>
        <w:t xml:space="preserve"> </w:t>
      </w:r>
    </w:p>
    <w:p w:rsidR="00624B0B" w:rsidRPr="006302AF" w:rsidP="00137E0A" w14:paraId="5CDAAB5D" w14:textId="784F5901">
      <w:pPr>
        <w:widowControl/>
        <w:numPr>
          <w:ilvl w:val="0"/>
          <w:numId w:val="8"/>
        </w:numPr>
        <w:spacing w:after="120"/>
        <w:rPr>
          <w:rFonts w:eastAsia="Calibri"/>
          <w:snapToGrid/>
          <w:kern w:val="0"/>
          <w:szCs w:val="22"/>
        </w:rPr>
      </w:pPr>
      <w:r w:rsidRPr="00262043">
        <w:rPr>
          <w:rFonts w:eastAsia="Calibri"/>
          <w:snapToGrid/>
          <w:kern w:val="0"/>
          <w:szCs w:val="22"/>
        </w:rPr>
        <w:t xml:space="preserve">Electronic Filers:  </w:t>
      </w:r>
      <w:r w:rsidRPr="00262043" w:rsidR="006955A5">
        <w:rPr>
          <w:rFonts w:eastAsia="Calibri"/>
          <w:snapToGrid/>
          <w:kern w:val="0"/>
          <w:szCs w:val="22"/>
        </w:rPr>
        <w:t>Document</w:t>
      </w:r>
      <w:r w:rsidRPr="00F35EF6">
        <w:rPr>
          <w:rFonts w:eastAsia="Calibri"/>
          <w:snapToGrid/>
          <w:kern w:val="0"/>
          <w:szCs w:val="22"/>
        </w:rPr>
        <w:t xml:space="preserve">s may be filed electronically using the Internet by accessing ECFS:  </w:t>
      </w:r>
      <w:hyperlink r:id="rId5" w:history="1">
        <w:r w:rsidRPr="006302AF">
          <w:rPr>
            <w:rFonts w:eastAsia="Calibri"/>
            <w:snapToGrid/>
            <w:color w:val="0000FF"/>
            <w:kern w:val="0"/>
            <w:szCs w:val="22"/>
            <w:u w:val="single"/>
          </w:rPr>
          <w:t>http://apps.fcc.gov/ecfs/</w:t>
        </w:r>
      </w:hyperlink>
      <w:r w:rsidRPr="000F5926">
        <w:rPr>
          <w:rFonts w:eastAsia="Calibri"/>
          <w:snapToGrid/>
          <w:kern w:val="0"/>
          <w:szCs w:val="22"/>
        </w:rPr>
        <w:t xml:space="preserve">.  </w:t>
      </w:r>
    </w:p>
    <w:p w:rsidR="00624B0B" w:rsidRPr="00262043" w:rsidP="00137E0A" w14:paraId="4BED00D3" w14:textId="77777777">
      <w:pPr>
        <w:widowControl/>
        <w:numPr>
          <w:ilvl w:val="0"/>
          <w:numId w:val="8"/>
        </w:numPr>
        <w:spacing w:after="120"/>
        <w:rPr>
          <w:rFonts w:eastAsia="Calibri"/>
          <w:snapToGrid/>
          <w:kern w:val="0"/>
          <w:szCs w:val="22"/>
        </w:rPr>
      </w:pPr>
      <w:r w:rsidRPr="00262043">
        <w:rPr>
          <w:rFonts w:eastAsia="Calibri"/>
          <w:snapToGrid/>
          <w:kern w:val="0"/>
          <w:szCs w:val="22"/>
        </w:rPr>
        <w:t xml:space="preserve">Paper Filers:  Parties who choose to file by paper must file an original and one copy of each filing. </w:t>
      </w:r>
    </w:p>
    <w:p w:rsidR="00624B0B" w:rsidRPr="000F5926" w:rsidP="00137E0A" w14:paraId="5E458A06" w14:textId="77777777">
      <w:pPr>
        <w:widowControl/>
        <w:numPr>
          <w:ilvl w:val="0"/>
          <w:numId w:val="8"/>
        </w:numPr>
        <w:spacing w:after="120"/>
        <w:rPr>
          <w:rFonts w:eastAsia="Calibri"/>
          <w:snapToGrid/>
          <w:kern w:val="0"/>
          <w:szCs w:val="22"/>
        </w:rPr>
      </w:pPr>
      <w:r w:rsidRPr="00F35EF6">
        <w:rPr>
          <w:rFonts w:eastAsia="Calibri"/>
          <w:snapToGrid/>
          <w:kern w:val="0"/>
          <w:szCs w:val="22"/>
        </w:rPr>
        <w:t>Filings can be sent by commercial overnight courier, or by first-class or overnight U.S. Postal Service mail.  All filings must be addressed to the Commi</w:t>
      </w:r>
      <w:r w:rsidRPr="000F5926">
        <w:rPr>
          <w:rFonts w:eastAsia="Calibri"/>
          <w:snapToGrid/>
          <w:kern w:val="0"/>
          <w:szCs w:val="22"/>
        </w:rPr>
        <w:t>ssion’s Secretary, Office of the Secretary, Federal Communications Commission.</w:t>
      </w:r>
    </w:p>
    <w:p w:rsidR="00624B0B" w:rsidRPr="000F5926" w:rsidP="00137E0A" w14:paraId="2CCCED2F" w14:textId="77777777">
      <w:pPr>
        <w:widowControl/>
        <w:numPr>
          <w:ilvl w:val="1"/>
          <w:numId w:val="8"/>
        </w:numPr>
        <w:spacing w:after="120"/>
        <w:rPr>
          <w:rFonts w:eastAsia="Calibri"/>
          <w:snapToGrid/>
          <w:kern w:val="0"/>
          <w:szCs w:val="22"/>
        </w:rPr>
      </w:pPr>
      <w:r w:rsidRPr="000F5926">
        <w:rPr>
          <w:rFonts w:eastAsia="Calibri"/>
          <w:snapToGrid/>
          <w:kern w:val="0"/>
          <w:szCs w:val="22"/>
        </w:rPr>
        <w:t xml:space="preserve">Commercial overnight mail (other than U.S. Postal Service Express Mail and Priority Mail) must be sent to 9050 Junction Drive, Annapolis Junction, MD 20701.  </w:t>
      </w:r>
    </w:p>
    <w:p w:rsidR="00624B0B" w:rsidRPr="000F5926" w:rsidP="00137E0A" w14:paraId="4CB3F838" w14:textId="77777777">
      <w:pPr>
        <w:widowControl/>
        <w:numPr>
          <w:ilvl w:val="1"/>
          <w:numId w:val="8"/>
        </w:numPr>
        <w:spacing w:after="120"/>
        <w:rPr>
          <w:rFonts w:eastAsia="Calibri"/>
          <w:snapToGrid/>
          <w:kern w:val="0"/>
          <w:szCs w:val="22"/>
        </w:rPr>
      </w:pPr>
      <w:r w:rsidRPr="000F5926">
        <w:rPr>
          <w:rFonts w:eastAsia="Calibri"/>
          <w:snapToGrid/>
          <w:kern w:val="0"/>
          <w:szCs w:val="22"/>
        </w:rPr>
        <w:t>U.S. Postal Service first-class, Express, and Priority mail must be addressed to 45 L Street NE, Washington, DC 20554</w:t>
      </w:r>
    </w:p>
    <w:p w:rsidR="00624B0B" w:rsidRPr="006302AF" w:rsidP="00137E0A" w14:paraId="2F465582" w14:textId="127B0EA5">
      <w:pPr>
        <w:widowControl/>
        <w:numPr>
          <w:ilvl w:val="0"/>
          <w:numId w:val="8"/>
        </w:numPr>
        <w:spacing w:after="120"/>
        <w:rPr>
          <w:rFonts w:eastAsia="Calibri"/>
          <w:snapToGrid/>
          <w:kern w:val="0"/>
          <w:szCs w:val="22"/>
        </w:rPr>
      </w:pPr>
      <w:r w:rsidRPr="000F5926">
        <w:rPr>
          <w:rFonts w:eastAsia="Calibri"/>
          <w:snapToGrid/>
          <w:kern w:val="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Fonts w:eastAsia="Calibri"/>
          <w:snapToGrid/>
          <w:kern w:val="0"/>
          <w:szCs w:val="22"/>
          <w:vertAlign w:val="superscript"/>
        </w:rPr>
        <w:footnoteReference w:id="24"/>
      </w:r>
    </w:p>
    <w:p w:rsidR="00624B0B" w:rsidRPr="00F35EF6" w:rsidP="00137E0A" w14:paraId="384B3BE9" w14:textId="77777777">
      <w:pPr>
        <w:widowControl/>
        <w:numPr>
          <w:ilvl w:val="0"/>
          <w:numId w:val="8"/>
        </w:numPr>
        <w:spacing w:after="120"/>
        <w:rPr>
          <w:rFonts w:eastAsia="Calibri"/>
          <w:snapToGrid/>
          <w:kern w:val="0"/>
          <w:szCs w:val="22"/>
        </w:rPr>
      </w:pPr>
      <w:r w:rsidRPr="00262043">
        <w:rPr>
          <w:rFonts w:eastAsia="Calibri"/>
          <w:snapToGrid/>
          <w:kern w:val="0"/>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624B0B" w:rsidRPr="000F5926" w:rsidP="00E8230B" w14:paraId="394631C3" w14:textId="77777777">
      <w:pPr>
        <w:keepNext/>
        <w:keepLines/>
        <w:widowControl/>
        <w:autoSpaceDE w:val="0"/>
        <w:autoSpaceDN w:val="0"/>
        <w:adjustRightInd w:val="0"/>
        <w:spacing w:after="120" w:line="259" w:lineRule="auto"/>
        <w:rPr>
          <w:rFonts w:eastAsia="Calibri"/>
          <w:snapToGrid/>
          <w:color w:val="000000"/>
          <w:kern w:val="0"/>
          <w:szCs w:val="22"/>
        </w:rPr>
      </w:pPr>
      <w:r w:rsidRPr="000F5926">
        <w:rPr>
          <w:rFonts w:eastAsia="Calibri"/>
          <w:b/>
          <w:bCs/>
          <w:snapToGrid/>
          <w:color w:val="000000"/>
          <w:kern w:val="0"/>
          <w:szCs w:val="22"/>
        </w:rPr>
        <w:t>In addition, one copy of each submission must be sent to the following</w:t>
      </w:r>
      <w:r w:rsidRPr="000F5926">
        <w:rPr>
          <w:rFonts w:eastAsia="Calibri"/>
          <w:snapToGrid/>
          <w:color w:val="000000"/>
          <w:kern w:val="0"/>
          <w:szCs w:val="22"/>
        </w:rPr>
        <w:t>:</w:t>
      </w:r>
    </w:p>
    <w:p w:rsidR="00432212" w:rsidRPr="00432212" w:rsidP="00137E0A" w14:paraId="7007432D" w14:textId="30BE3721">
      <w:pPr>
        <w:widowControl/>
        <w:numPr>
          <w:ilvl w:val="0"/>
          <w:numId w:val="8"/>
        </w:numPr>
        <w:spacing w:after="120"/>
        <w:rPr>
          <w:rFonts w:eastAsia="Calibri"/>
          <w:snapToGrid/>
          <w:color w:val="000000"/>
          <w:kern w:val="0"/>
          <w:szCs w:val="22"/>
          <w:u w:val="single"/>
        </w:rPr>
      </w:pPr>
      <w:r w:rsidRPr="003A7052">
        <w:rPr>
          <w:rFonts w:eastAsia="Calibri"/>
          <w:color w:val="000000"/>
        </w:rPr>
        <w:t>Jeremy Miller, Video Division, Media Bureau, e-mail</w:t>
      </w:r>
      <w:r>
        <w:rPr>
          <w:rStyle w:val="Hyperlink"/>
          <w:rFonts w:eastAsia="Calibri"/>
          <w:snapToGrid/>
          <w:kern w:val="0"/>
          <w:szCs w:val="22"/>
        </w:rPr>
        <w:t xml:space="preserve"> Jeremy.Miller@fcc.gov</w:t>
      </w:r>
    </w:p>
    <w:p w:rsidR="00F71FDC" w:rsidRPr="00D50533" w:rsidP="00137E0A" w14:paraId="3F0C81DF" w14:textId="7F84F34B">
      <w:pPr>
        <w:widowControl/>
        <w:numPr>
          <w:ilvl w:val="0"/>
          <w:numId w:val="8"/>
        </w:numPr>
        <w:spacing w:after="120"/>
        <w:rPr>
          <w:rFonts w:eastAsia="Calibri"/>
          <w:snapToGrid/>
          <w:color w:val="000000"/>
          <w:kern w:val="0"/>
          <w:szCs w:val="22"/>
        </w:rPr>
      </w:pPr>
      <w:r w:rsidRPr="00D50533">
        <w:rPr>
          <w:rFonts w:eastAsia="Calibri"/>
          <w:snapToGrid/>
          <w:color w:val="000000"/>
          <w:kern w:val="0"/>
          <w:szCs w:val="22"/>
        </w:rPr>
        <w:t>David Brown</w:t>
      </w:r>
      <w:r w:rsidRPr="00D50533" w:rsidR="00A9217E">
        <w:rPr>
          <w:rFonts w:eastAsia="Calibri"/>
          <w:snapToGrid/>
          <w:color w:val="000000"/>
          <w:kern w:val="0"/>
          <w:szCs w:val="22"/>
        </w:rPr>
        <w:t>, Video Division, Media Bureau, e-mail</w:t>
      </w:r>
      <w:r>
        <w:rPr>
          <w:rFonts w:eastAsia="Calibri"/>
          <w:snapToGrid/>
          <w:color w:val="000000"/>
          <w:kern w:val="0"/>
          <w:szCs w:val="22"/>
        </w:rPr>
        <w:t xml:space="preserve"> </w:t>
      </w:r>
      <w:hyperlink r:id="rId6" w:history="1">
        <w:r w:rsidRPr="00F3058F">
          <w:rPr>
            <w:rStyle w:val="Hyperlink"/>
            <w:rFonts w:eastAsia="Calibri"/>
            <w:snapToGrid/>
            <w:kern w:val="0"/>
            <w:szCs w:val="22"/>
          </w:rPr>
          <w:t>David.Brown@fcc.gov</w:t>
        </w:r>
      </w:hyperlink>
      <w:r>
        <w:rPr>
          <w:rFonts w:eastAsia="Calibri"/>
          <w:snapToGrid/>
          <w:color w:val="000000"/>
          <w:kern w:val="0"/>
          <w:szCs w:val="22"/>
        </w:rPr>
        <w:t xml:space="preserve"> </w:t>
      </w:r>
    </w:p>
    <w:p w:rsidR="00624B0B" w:rsidRPr="000F5926" w:rsidP="00137E0A" w14:paraId="5667E172" w14:textId="5ED0BBB9">
      <w:pPr>
        <w:widowControl/>
        <w:spacing w:after="120"/>
        <w:ind w:firstLine="720"/>
        <w:rPr>
          <w:rFonts w:eastAsia="Calibri"/>
          <w:snapToGrid/>
          <w:color w:val="000000"/>
          <w:kern w:val="0"/>
          <w:szCs w:val="22"/>
        </w:rPr>
      </w:pPr>
      <w:r w:rsidRPr="00262043">
        <w:rPr>
          <w:rFonts w:eastAsia="Calibri"/>
          <w:snapToGrid/>
          <w:color w:val="000000"/>
          <w:kern w:val="0"/>
          <w:szCs w:val="22"/>
        </w:rPr>
        <w:t xml:space="preserve">Any submission that is e-mailed to </w:t>
      </w:r>
      <w:r w:rsidR="00CD37D9">
        <w:rPr>
          <w:rFonts w:eastAsia="Calibri"/>
          <w:snapToGrid/>
          <w:color w:val="000000"/>
          <w:kern w:val="0"/>
          <w:szCs w:val="22"/>
        </w:rPr>
        <w:t>Jeremy Miller</w:t>
      </w:r>
      <w:r w:rsidRPr="00F35EF6" w:rsidR="00D539B4">
        <w:rPr>
          <w:rFonts w:eastAsia="Calibri"/>
          <w:snapToGrid/>
          <w:color w:val="000000"/>
          <w:kern w:val="0"/>
          <w:szCs w:val="22"/>
        </w:rPr>
        <w:t xml:space="preserve"> or </w:t>
      </w:r>
      <w:r w:rsidR="00D50533">
        <w:rPr>
          <w:rFonts w:eastAsia="Calibri"/>
          <w:snapToGrid/>
          <w:color w:val="000000"/>
          <w:kern w:val="0"/>
          <w:szCs w:val="22"/>
        </w:rPr>
        <w:t>David Brown</w:t>
      </w:r>
      <w:r w:rsidRPr="003A53CA">
        <w:rPr>
          <w:rFonts w:eastAsia="Calibri"/>
          <w:snapToGrid/>
          <w:color w:val="000000"/>
          <w:kern w:val="0"/>
          <w:szCs w:val="22"/>
        </w:rPr>
        <w:t xml:space="preserve"> should include in the subject line of the e-mail:  (1) MB Docket No. 2</w:t>
      </w:r>
      <w:r w:rsidR="007564B4">
        <w:rPr>
          <w:rFonts w:eastAsia="Calibri"/>
          <w:snapToGrid/>
          <w:color w:val="000000"/>
          <w:kern w:val="0"/>
          <w:szCs w:val="22"/>
        </w:rPr>
        <w:t>2</w:t>
      </w:r>
      <w:r w:rsidR="00C23F02">
        <w:rPr>
          <w:rFonts w:eastAsia="Calibri"/>
          <w:snapToGrid/>
          <w:color w:val="000000"/>
          <w:kern w:val="0"/>
          <w:szCs w:val="22"/>
        </w:rPr>
        <w:t>-166</w:t>
      </w:r>
      <w:r w:rsidRPr="000F5926" w:rsidR="004C5634">
        <w:rPr>
          <w:rFonts w:eastAsia="Calibri"/>
          <w:snapToGrid/>
          <w:color w:val="000000"/>
          <w:kern w:val="0"/>
          <w:szCs w:val="22"/>
        </w:rPr>
        <w:t>]</w:t>
      </w:r>
      <w:r w:rsidRPr="000F5926">
        <w:rPr>
          <w:rFonts w:eastAsia="Calibri"/>
          <w:snapToGrid/>
          <w:color w:val="000000"/>
          <w:kern w:val="0"/>
          <w:szCs w:val="22"/>
        </w:rPr>
        <w:t>; (2) the name of the submitting party; (3) a brief description or title identifying the type of document being submitted (</w:t>
      </w:r>
      <w:r w:rsidRPr="000F5926">
        <w:rPr>
          <w:rFonts w:eastAsia="Calibri"/>
          <w:i/>
          <w:iCs/>
          <w:snapToGrid/>
          <w:color w:val="000000"/>
          <w:kern w:val="0"/>
          <w:szCs w:val="22"/>
        </w:rPr>
        <w:t>e.g.</w:t>
      </w:r>
      <w:r w:rsidRPr="000F5926">
        <w:rPr>
          <w:rFonts w:eastAsia="Calibri"/>
          <w:snapToGrid/>
          <w:color w:val="000000"/>
          <w:kern w:val="0"/>
          <w:szCs w:val="22"/>
        </w:rPr>
        <w:t>, MB Docket No. 2</w:t>
      </w:r>
      <w:r w:rsidR="007564B4">
        <w:rPr>
          <w:rFonts w:eastAsia="Calibri"/>
          <w:snapToGrid/>
          <w:color w:val="000000"/>
          <w:kern w:val="0"/>
          <w:szCs w:val="22"/>
        </w:rPr>
        <w:t>2</w:t>
      </w:r>
      <w:r w:rsidR="00C23F02">
        <w:rPr>
          <w:rFonts w:eastAsia="Calibri"/>
          <w:snapToGrid/>
          <w:color w:val="000000"/>
          <w:kern w:val="0"/>
          <w:szCs w:val="22"/>
        </w:rPr>
        <w:t>-166</w:t>
      </w:r>
      <w:r w:rsidRPr="000F5926">
        <w:rPr>
          <w:rFonts w:eastAsia="Calibri"/>
          <w:snapToGrid/>
          <w:color w:val="000000"/>
          <w:kern w:val="0"/>
          <w:szCs w:val="22"/>
        </w:rPr>
        <w:t xml:space="preserve">, </w:t>
      </w:r>
      <w:r w:rsidR="00A6322E">
        <w:rPr>
          <w:rFonts w:eastAsia="Calibri"/>
          <w:snapToGrid/>
          <w:color w:val="000000"/>
          <w:kern w:val="0"/>
          <w:szCs w:val="22"/>
        </w:rPr>
        <w:t>TPC</w:t>
      </w:r>
      <w:r w:rsidRPr="000F5926" w:rsidR="003C188E">
        <w:rPr>
          <w:rFonts w:eastAsia="Calibri"/>
          <w:snapToGrid/>
          <w:color w:val="000000"/>
          <w:kern w:val="0"/>
          <w:szCs w:val="22"/>
        </w:rPr>
        <w:t xml:space="preserve"> Petition for Declaratory Ruling</w:t>
      </w:r>
      <w:r w:rsidRPr="000F5926">
        <w:rPr>
          <w:rFonts w:eastAsia="Calibri"/>
          <w:snapToGrid/>
          <w:color w:val="000000"/>
          <w:kern w:val="0"/>
          <w:szCs w:val="22"/>
        </w:rPr>
        <w:t xml:space="preserve">, </w:t>
      </w:r>
      <w:r w:rsidRPr="000F5926">
        <w:rPr>
          <w:rFonts w:eastAsia="Calibri"/>
          <w:i/>
          <w:iCs/>
          <w:snapToGrid/>
          <w:color w:val="000000"/>
          <w:kern w:val="0"/>
          <w:szCs w:val="22"/>
        </w:rPr>
        <w:t>Ex Parte</w:t>
      </w:r>
      <w:r w:rsidRPr="000F5926">
        <w:rPr>
          <w:rFonts w:eastAsia="Calibri"/>
          <w:snapToGrid/>
          <w:color w:val="000000"/>
          <w:kern w:val="0"/>
          <w:szCs w:val="22"/>
        </w:rPr>
        <w:t xml:space="preserve"> Notice).</w:t>
      </w:r>
    </w:p>
    <w:p w:rsidR="00624B0B" w:rsidRPr="006302AF" w:rsidP="00137E0A" w14:paraId="6A40ABF3" w14:textId="40D6F322">
      <w:pPr>
        <w:widowControl/>
        <w:spacing w:after="120"/>
        <w:ind w:firstLine="720"/>
        <w:rPr>
          <w:rFonts w:eastAsia="Calibri"/>
          <w:snapToGrid/>
          <w:kern w:val="0"/>
          <w:szCs w:val="22"/>
        </w:rPr>
      </w:pPr>
      <w:bookmarkStart w:id="6" w:name="co_pp_sp_999_4_1"/>
      <w:bookmarkStart w:id="7" w:name="co_pp_sp_4493_7386_1"/>
      <w:bookmarkEnd w:id="6"/>
      <w:bookmarkEnd w:id="7"/>
      <w:r w:rsidRPr="000F5926">
        <w:rPr>
          <w:rFonts w:eastAsia="Calibri"/>
          <w:i/>
          <w:iCs/>
          <w:snapToGrid/>
          <w:kern w:val="0"/>
          <w:szCs w:val="22"/>
        </w:rPr>
        <w:t>Availability of Documents</w:t>
      </w:r>
      <w:r w:rsidRPr="000F5926">
        <w:rPr>
          <w:rFonts w:eastAsia="Calibri"/>
          <w:snapToGrid/>
          <w:kern w:val="0"/>
          <w:szCs w:val="22"/>
        </w:rPr>
        <w:t xml:space="preserve">.  </w:t>
      </w:r>
      <w:r w:rsidRPr="000F5926">
        <w:rPr>
          <w:rFonts w:eastAsia="Calibri"/>
          <w:snapToGrid/>
          <w:color w:val="000000"/>
          <w:kern w:val="0"/>
          <w:szCs w:val="22"/>
        </w:rPr>
        <w:t>Documents</w:t>
      </w:r>
      <w:r w:rsidRPr="000F5926">
        <w:rPr>
          <w:rFonts w:eastAsia="Calibri"/>
          <w:snapToGrid/>
          <w:kern w:val="0"/>
          <w:szCs w:val="22"/>
        </w:rPr>
        <w:t xml:space="preserve"> in this proceeding are available electronically through ECFS.  ECFS may be accessed on the Commission’s Internet website at </w:t>
      </w:r>
      <w:hyperlink r:id="rId7" w:history="1">
        <w:r w:rsidRPr="006302AF">
          <w:rPr>
            <w:rFonts w:eastAsia="Calibri"/>
            <w:snapToGrid/>
            <w:color w:val="0000FF"/>
            <w:kern w:val="0"/>
            <w:szCs w:val="22"/>
            <w:u w:val="single"/>
          </w:rPr>
          <w:t>http://www.fcc.gov</w:t>
        </w:r>
      </w:hyperlink>
      <w:r w:rsidRPr="000F5926">
        <w:rPr>
          <w:rFonts w:eastAsia="Calibri"/>
          <w:snapToGrid/>
          <w:kern w:val="0"/>
          <w:szCs w:val="22"/>
        </w:rPr>
        <w:t>.</w:t>
      </w:r>
    </w:p>
    <w:p w:rsidR="00624B0B" w:rsidRPr="00262043" w:rsidP="00137E0A" w14:paraId="4E118BCD" w14:textId="3F906AF6">
      <w:pPr>
        <w:widowControl/>
        <w:spacing w:after="120"/>
        <w:ind w:firstLine="720"/>
        <w:rPr>
          <w:rFonts w:eastAsia="Calibri"/>
          <w:snapToGrid/>
          <w:kern w:val="0"/>
          <w:szCs w:val="22"/>
        </w:rPr>
      </w:pPr>
      <w:r w:rsidRPr="00262043">
        <w:rPr>
          <w:rFonts w:eastAsia="Calibri"/>
          <w:i/>
          <w:iCs/>
          <w:snapToGrid/>
          <w:kern w:val="0"/>
          <w:szCs w:val="22"/>
        </w:rPr>
        <w:t>People with Disabilities</w:t>
      </w:r>
      <w:r w:rsidRPr="00262043">
        <w:rPr>
          <w:rFonts w:eastAsia="Calibri"/>
          <w:snapToGrid/>
          <w:kern w:val="0"/>
          <w:szCs w:val="22"/>
        </w:rPr>
        <w:t xml:space="preserve">.  To </w:t>
      </w:r>
      <w:r w:rsidRPr="00F35EF6">
        <w:rPr>
          <w:rFonts w:eastAsia="Calibri"/>
          <w:snapToGrid/>
          <w:color w:val="000000"/>
          <w:kern w:val="0"/>
          <w:szCs w:val="22"/>
        </w:rPr>
        <w:t>request</w:t>
      </w:r>
      <w:r w:rsidRPr="003A53CA">
        <w:rPr>
          <w:rFonts w:eastAsia="Calibri"/>
          <w:snapToGrid/>
          <w:kern w:val="0"/>
          <w:szCs w:val="22"/>
        </w:rPr>
        <w:t xml:space="preserve"> materials in accessible formats for pe</w:t>
      </w:r>
      <w:r w:rsidRPr="000F5926">
        <w:rPr>
          <w:rFonts w:eastAsia="Calibri"/>
          <w:snapToGrid/>
          <w:kern w:val="0"/>
          <w:szCs w:val="22"/>
        </w:rPr>
        <w:t xml:space="preserve">ople with disabilities (braille, large print, electronic files, audio format), send an e-mail to </w:t>
      </w:r>
      <w:hyperlink r:id="rId8" w:history="1">
        <w:r w:rsidRPr="006302AF" w:rsidR="0059605A">
          <w:rPr>
            <w:rStyle w:val="Hyperlink"/>
            <w:rFonts w:eastAsia="Calibri"/>
            <w:snapToGrid/>
            <w:kern w:val="0"/>
            <w:szCs w:val="22"/>
          </w:rPr>
          <w:t>fcc504@fcc.gov</w:t>
        </w:r>
      </w:hyperlink>
      <w:r w:rsidRPr="000F5926" w:rsidR="0059605A">
        <w:rPr>
          <w:rFonts w:eastAsia="Calibri"/>
          <w:snapToGrid/>
          <w:kern w:val="0"/>
          <w:szCs w:val="22"/>
        </w:rPr>
        <w:t xml:space="preserve"> </w:t>
      </w:r>
      <w:r w:rsidRPr="006302AF">
        <w:rPr>
          <w:rFonts w:eastAsia="Calibri"/>
          <w:snapToGrid/>
          <w:kern w:val="0"/>
          <w:szCs w:val="22"/>
        </w:rPr>
        <w:t>or call the Consumer &amp; Governmental Affairs Bureau at 202-418-0530 (voice), 202-418-0432 (TTY).</w:t>
      </w:r>
    </w:p>
    <w:p w:rsidR="00624B0B" w:rsidRPr="000F5926" w:rsidP="00137E0A" w14:paraId="122D2159" w14:textId="76E6BDFB">
      <w:pPr>
        <w:widowControl/>
        <w:spacing w:after="120"/>
        <w:ind w:firstLine="720"/>
        <w:rPr>
          <w:rFonts w:eastAsia="Calibri"/>
          <w:snapToGrid/>
          <w:color w:val="000000"/>
          <w:kern w:val="0"/>
          <w:szCs w:val="22"/>
        </w:rPr>
      </w:pPr>
      <w:r w:rsidRPr="00262043">
        <w:rPr>
          <w:rFonts w:eastAsia="Calibri"/>
          <w:snapToGrid/>
          <w:color w:val="000000"/>
          <w:kern w:val="0"/>
          <w:szCs w:val="22"/>
        </w:rPr>
        <w:t>For furthe</w:t>
      </w:r>
      <w:r w:rsidRPr="00F35EF6">
        <w:rPr>
          <w:rFonts w:eastAsia="Calibri"/>
          <w:snapToGrid/>
          <w:color w:val="000000"/>
          <w:kern w:val="0"/>
          <w:szCs w:val="22"/>
        </w:rPr>
        <w:t xml:space="preserve">r information, contact </w:t>
      </w:r>
      <w:r w:rsidR="00CD37D9">
        <w:rPr>
          <w:rFonts w:eastAsia="Calibri"/>
          <w:snapToGrid/>
          <w:color w:val="000000"/>
          <w:kern w:val="0"/>
          <w:szCs w:val="22"/>
        </w:rPr>
        <w:t>Jeremy Miller at (202) 418-1507</w:t>
      </w:r>
      <w:r w:rsidRPr="000F5926" w:rsidR="00D539B4">
        <w:rPr>
          <w:rFonts w:eastAsia="Calibri"/>
          <w:snapToGrid/>
          <w:color w:val="000000"/>
          <w:kern w:val="0"/>
          <w:szCs w:val="22"/>
        </w:rPr>
        <w:t xml:space="preserve"> or </w:t>
      </w:r>
      <w:r w:rsidR="00D50533">
        <w:rPr>
          <w:rFonts w:eastAsia="Calibri"/>
          <w:snapToGrid/>
          <w:color w:val="000000"/>
          <w:kern w:val="0"/>
          <w:szCs w:val="22"/>
        </w:rPr>
        <w:t>David Brown</w:t>
      </w:r>
      <w:r w:rsidRPr="000F5926" w:rsidR="00D539B4">
        <w:rPr>
          <w:rFonts w:eastAsia="Calibri"/>
          <w:snapToGrid/>
          <w:color w:val="000000"/>
          <w:kern w:val="0"/>
          <w:szCs w:val="22"/>
        </w:rPr>
        <w:t xml:space="preserve"> at (202)</w:t>
      </w:r>
      <w:r w:rsidR="00B94B6D">
        <w:rPr>
          <w:rFonts w:eastAsia="Calibri"/>
          <w:snapToGrid/>
          <w:color w:val="000000"/>
          <w:kern w:val="0"/>
          <w:szCs w:val="22"/>
        </w:rPr>
        <w:t> </w:t>
      </w:r>
      <w:r w:rsidRPr="000F5926" w:rsidR="006513F2">
        <w:rPr>
          <w:rFonts w:eastAsia="Calibri"/>
          <w:snapToGrid/>
          <w:color w:val="000000"/>
          <w:kern w:val="0"/>
          <w:szCs w:val="22"/>
        </w:rPr>
        <w:t>418</w:t>
      </w:r>
      <w:r w:rsidR="00B94B6D">
        <w:rPr>
          <w:rFonts w:eastAsia="Calibri"/>
          <w:snapToGrid/>
          <w:color w:val="000000"/>
          <w:kern w:val="0"/>
          <w:szCs w:val="22"/>
        </w:rPr>
        <w:noBreakHyphen/>
      </w:r>
      <w:r w:rsidR="00D50533">
        <w:rPr>
          <w:rFonts w:eastAsia="Calibri"/>
          <w:snapToGrid/>
          <w:color w:val="000000"/>
          <w:kern w:val="0"/>
          <w:szCs w:val="22"/>
        </w:rPr>
        <w:t>1645</w:t>
      </w:r>
      <w:r w:rsidRPr="000F5926">
        <w:rPr>
          <w:rFonts w:eastAsia="Calibri"/>
          <w:snapToGrid/>
          <w:color w:val="000000"/>
          <w:kern w:val="0"/>
          <w:szCs w:val="22"/>
        </w:rPr>
        <w:t>.  For press inquiries, contact Janice Wise at (202) 418-</w:t>
      </w:r>
      <w:r w:rsidRPr="000F5926" w:rsidR="000D6652">
        <w:rPr>
          <w:rFonts w:eastAsia="Calibri"/>
          <w:snapToGrid/>
          <w:color w:val="000000"/>
          <w:kern w:val="0"/>
          <w:szCs w:val="22"/>
        </w:rPr>
        <w:t>81</w:t>
      </w:r>
      <w:r w:rsidRPr="000F5926">
        <w:rPr>
          <w:rFonts w:eastAsia="Calibri"/>
          <w:snapToGrid/>
          <w:color w:val="000000"/>
          <w:kern w:val="0"/>
          <w:szCs w:val="22"/>
        </w:rPr>
        <w:t>65.</w:t>
      </w:r>
    </w:p>
    <w:p w:rsidR="00624B0B" w:rsidRPr="000F5926" w:rsidP="00137E0A" w14:paraId="6865200E" w14:textId="3195DC08">
      <w:pPr>
        <w:widowControl/>
        <w:spacing w:after="120"/>
        <w:ind w:firstLine="720"/>
        <w:rPr>
          <w:rFonts w:eastAsia="Calibri"/>
          <w:snapToGrid/>
          <w:color w:val="000000"/>
          <w:kern w:val="0"/>
          <w:szCs w:val="22"/>
        </w:rPr>
      </w:pPr>
      <w:r w:rsidRPr="000F5926">
        <w:rPr>
          <w:rFonts w:eastAsia="Calibri"/>
          <w:snapToGrid/>
          <w:kern w:val="0"/>
          <w:szCs w:val="22"/>
        </w:rPr>
        <w:t xml:space="preserve">This action is taken by the Chief, </w:t>
      </w:r>
      <w:r w:rsidRPr="000F5926">
        <w:rPr>
          <w:rFonts w:eastAsia="Calibri"/>
          <w:snapToGrid/>
          <w:color w:val="000000"/>
          <w:kern w:val="0"/>
          <w:szCs w:val="22"/>
        </w:rPr>
        <w:t>Media</w:t>
      </w:r>
      <w:r w:rsidRPr="000F5926">
        <w:rPr>
          <w:rFonts w:eastAsia="Calibri"/>
          <w:snapToGrid/>
          <w:kern w:val="0"/>
          <w:szCs w:val="22"/>
        </w:rPr>
        <w:t xml:space="preserve"> Bureau, pursuant to authority delegated by sections 0.61 and 0.283 of the Commission’s rules.</w:t>
      </w:r>
      <w:r>
        <w:rPr>
          <w:rFonts w:eastAsia="Calibri"/>
          <w:snapToGrid/>
          <w:kern w:val="0"/>
          <w:szCs w:val="22"/>
          <w:vertAlign w:val="superscript"/>
        </w:rPr>
        <w:footnoteReference w:id="25"/>
      </w:r>
    </w:p>
    <w:p w:rsidR="00344BF3" w:rsidRPr="00262043" w:rsidP="00181972" w14:paraId="3DA1D7A6" w14:textId="60953B6F">
      <w:pPr>
        <w:widowControl/>
        <w:spacing w:after="160" w:line="259" w:lineRule="auto"/>
        <w:jc w:val="center"/>
        <w:rPr>
          <w:rFonts w:eastAsia="Calibri"/>
          <w:b/>
          <w:bCs/>
          <w:snapToGrid/>
          <w:kern w:val="0"/>
          <w:szCs w:val="22"/>
        </w:rPr>
      </w:pPr>
      <w:r w:rsidRPr="00262043">
        <w:rPr>
          <w:rFonts w:eastAsia="Calibri"/>
          <w:b/>
          <w:bCs/>
          <w:snapToGrid/>
          <w:kern w:val="0"/>
          <w:szCs w:val="22"/>
        </w:rPr>
        <w:t>- FCC -</w:t>
      </w:r>
    </w:p>
    <w:p w:rsidR="00B554AD" w:rsidRPr="00624B0B" w14:paraId="62336C72" w14:textId="77777777">
      <w:pPr>
        <w:rPr>
          <w:szCs w:val="22"/>
        </w:rPr>
      </w:pP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3C7A185D" w14:textId="77777777">
    <w:pPr>
      <w:pStyle w:val="Footer"/>
      <w:framePr w:wrap="around" w:vAnchor="text" w:hAnchor="margin" w:xAlign="center" w:y="1"/>
    </w:pPr>
    <w:r>
      <w:fldChar w:fldCharType="begin"/>
    </w:r>
    <w:r>
      <w:instrText xml:space="preserve">PAGE  </w:instrText>
    </w:r>
    <w:r>
      <w:fldChar w:fldCharType="separate"/>
    </w:r>
    <w:r>
      <w:fldChar w:fldCharType="end"/>
    </w:r>
  </w:p>
  <w:p w:rsidR="00344BF3" w14:paraId="33058D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344FBCC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7293EB2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1041" w14:paraId="0B672A17" w14:textId="77777777">
      <w:r>
        <w:separator/>
      </w:r>
    </w:p>
  </w:footnote>
  <w:footnote w:type="continuationSeparator" w:id="1">
    <w:p w:rsidR="001E1041" w14:paraId="49F1A365" w14:textId="77777777">
      <w:pPr>
        <w:rPr>
          <w:sz w:val="20"/>
        </w:rPr>
      </w:pPr>
      <w:r>
        <w:rPr>
          <w:sz w:val="20"/>
        </w:rPr>
        <w:t xml:space="preserve">(Continued from previous page)  </w:t>
      </w:r>
      <w:r>
        <w:rPr>
          <w:sz w:val="20"/>
        </w:rPr>
        <w:separator/>
      </w:r>
    </w:p>
  </w:footnote>
  <w:footnote w:type="continuationNotice" w:id="2">
    <w:p w:rsidR="001E1041" w14:paraId="2D75F210" w14:textId="77777777">
      <w:pPr>
        <w:jc w:val="right"/>
        <w:rPr>
          <w:sz w:val="20"/>
        </w:rPr>
      </w:pPr>
      <w:r>
        <w:rPr>
          <w:sz w:val="20"/>
        </w:rPr>
        <w:t>(continued….)</w:t>
      </w:r>
    </w:p>
  </w:footnote>
  <w:footnote w:id="3">
    <w:p w:rsidR="000A4BF0" w14:paraId="638B1CDF" w14:textId="7E611D9F">
      <w:pPr>
        <w:pStyle w:val="FootnoteText"/>
      </w:pPr>
      <w:r>
        <w:rPr>
          <w:rStyle w:val="FootnoteReference"/>
        </w:rPr>
        <w:footnoteRef/>
      </w:r>
      <w:r>
        <w:t xml:space="preserve"> </w:t>
      </w:r>
      <w:r w:rsidRPr="000A4BF0">
        <w:t xml:space="preserve">47 CFR § 1.5000 </w:t>
      </w:r>
      <w:r w:rsidRPr="000A4BF0">
        <w:rPr>
          <w:i/>
          <w:iCs/>
        </w:rPr>
        <w:t>et seq</w:t>
      </w:r>
      <w:r w:rsidRPr="000A4BF0">
        <w:t>.</w:t>
      </w:r>
    </w:p>
  </w:footnote>
  <w:footnote w:id="4">
    <w:p w:rsidR="00C31BF4" w14:paraId="7C28439E" w14:textId="7626D4D8">
      <w:pPr>
        <w:pStyle w:val="FootnoteText"/>
      </w:pPr>
      <w:r>
        <w:rPr>
          <w:rStyle w:val="FootnoteReference"/>
        </w:rPr>
        <w:footnoteRef/>
      </w:r>
      <w:r>
        <w:t xml:space="preserve"> Amended Petition for Declaratory Ruling of Teton Parent Corp.</w:t>
      </w:r>
      <w:r w:rsidR="00A46F03">
        <w:t xml:space="preserve"> (filed Apr</w:t>
      </w:r>
      <w:r w:rsidR="00AF2A4A">
        <w:t>.</w:t>
      </w:r>
      <w:r w:rsidR="00A46F03">
        <w:t xml:space="preserve"> 1, 2022).  TPC had previously filed its initial petition on March 10, 2022, and</w:t>
      </w:r>
      <w:r w:rsidR="000A4BF0">
        <w:t xml:space="preserve"> then</w:t>
      </w:r>
      <w:r w:rsidR="00A46F03">
        <w:t xml:space="preserve"> </w:t>
      </w:r>
      <w:r w:rsidR="000A4BF0">
        <w:t>filed its first amendmen</w:t>
      </w:r>
      <w:r w:rsidR="00A46F03">
        <w:t>t on March 23, 2022.</w:t>
      </w:r>
    </w:p>
  </w:footnote>
  <w:footnote w:id="5">
    <w:p w:rsidR="00C813E5" w:rsidP="00C813E5" w14:paraId="026BD9ED" w14:textId="5D8478AF">
      <w:pPr>
        <w:pStyle w:val="FootnoteText"/>
      </w:pPr>
      <w:r>
        <w:rPr>
          <w:rStyle w:val="FootnoteReference"/>
        </w:rPr>
        <w:footnoteRef/>
      </w:r>
      <w:r>
        <w:t xml:space="preserve"> </w:t>
      </w:r>
      <w:bookmarkStart w:id="1" w:name="_Hlk12438152"/>
      <w:r>
        <w:t>47 U.S.C. § 310(b)(4)</w:t>
      </w:r>
      <w:bookmarkEnd w:id="1"/>
      <w:r>
        <w:t xml:space="preserve"> (“No</w:t>
      </w:r>
      <w:r>
        <w:rPr>
          <w:szCs w:val="22"/>
        </w:rPr>
        <w:t xml:space="preserve"> broadcast station or common carrier or aeronautical en route or aeronautical fixed radio station license shall be granted to or held by</w:t>
      </w:r>
      <w:r w:rsidR="009227DC">
        <w:rPr>
          <w:szCs w:val="22"/>
        </w:rPr>
        <w:t xml:space="preserve"> . . . </w:t>
      </w:r>
      <w:r>
        <w:rPr>
          <w:szCs w:val="22"/>
        </w:rPr>
        <w:t>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t>.</w:t>
      </w:r>
      <w:r>
        <w:rPr>
          <w:szCs w:val="22"/>
        </w:rPr>
        <w:t xml:space="preserve"> </w:t>
      </w:r>
    </w:p>
  </w:footnote>
  <w:footnote w:id="6">
    <w:p w:rsidR="0032010B" w14:paraId="54338F67" w14:textId="40A5DDE3">
      <w:pPr>
        <w:pStyle w:val="FootnoteText"/>
      </w:pPr>
      <w:r>
        <w:rPr>
          <w:rStyle w:val="FootnoteReference"/>
        </w:rPr>
        <w:footnoteRef/>
      </w:r>
      <w:r>
        <w:t xml:space="preserve"> </w:t>
      </w:r>
      <w:r w:rsidRPr="0032010B">
        <w:t>Under section 1.5001(i)(1) of the Commission's rules, petitioners for a declaratory ruling are required to identify and seek specific approval for any foreign individual, entity, or group that holds or would hold, directly and/or indirectly, more than 5% of equity and/or voting interests, or a controlling interest, in the petitioner's controlling U.S. parent, subject to certain exemptions including an exemption that increases the specific approval threshold to 10% for certain institutional investors. 47 CFR § 1.5001(i)(1)(3).</w:t>
      </w:r>
    </w:p>
  </w:footnote>
  <w:footnote w:id="7">
    <w:p w:rsidR="00BA081D" w:rsidP="00BA081D" w14:paraId="53A97328" w14:textId="3427546B">
      <w:pPr>
        <w:pStyle w:val="FootnoteText"/>
      </w:pPr>
      <w:r>
        <w:rPr>
          <w:rStyle w:val="FootnoteReference"/>
        </w:rPr>
        <w:footnoteRef/>
      </w:r>
      <w:r>
        <w:rPr>
          <w:szCs w:val="18"/>
        </w:rPr>
        <w:t xml:space="preserve"> </w:t>
      </w:r>
      <w:r w:rsidRPr="00346752">
        <w:rPr>
          <w:szCs w:val="18"/>
        </w:rPr>
        <w:t xml:space="preserve">Concurrently with the filing of the </w:t>
      </w:r>
      <w:r>
        <w:rPr>
          <w:szCs w:val="18"/>
        </w:rPr>
        <w:t>Amended</w:t>
      </w:r>
      <w:r w:rsidRPr="00346752">
        <w:rPr>
          <w:szCs w:val="18"/>
        </w:rPr>
        <w:t xml:space="preserve"> Petition, on </w:t>
      </w:r>
      <w:r>
        <w:rPr>
          <w:szCs w:val="18"/>
        </w:rPr>
        <w:t xml:space="preserve">April 1, 2022, </w:t>
      </w:r>
      <w:r w:rsidRPr="00346752">
        <w:rPr>
          <w:szCs w:val="18"/>
        </w:rPr>
        <w:t xml:space="preserve">applications </w:t>
      </w:r>
      <w:r w:rsidR="006F1F28">
        <w:rPr>
          <w:szCs w:val="18"/>
        </w:rPr>
        <w:t xml:space="preserve">were filed </w:t>
      </w:r>
      <w:r w:rsidRPr="00346752">
        <w:rPr>
          <w:szCs w:val="18"/>
        </w:rPr>
        <w:t xml:space="preserve">with the Commission seeking consent to the transfer of control of broadcast radio and television station licenses </w:t>
      </w:r>
      <w:r>
        <w:rPr>
          <w:szCs w:val="18"/>
        </w:rPr>
        <w:t>that would result i</w:t>
      </w:r>
      <w:r w:rsidRPr="00BC2F27">
        <w:rPr>
          <w:szCs w:val="18"/>
        </w:rPr>
        <w:t>n, among other things, the transfer of all</w:t>
      </w:r>
      <w:r>
        <w:rPr>
          <w:szCs w:val="18"/>
        </w:rPr>
        <w:t xml:space="preserve"> </w:t>
      </w:r>
      <w:r w:rsidRPr="00BC2F27">
        <w:rPr>
          <w:szCs w:val="18"/>
        </w:rPr>
        <w:t>outstanding equity interests of TEGNA, the ultimate</w:t>
      </w:r>
      <w:r>
        <w:rPr>
          <w:szCs w:val="18"/>
        </w:rPr>
        <w:t xml:space="preserve"> </w:t>
      </w:r>
      <w:r w:rsidRPr="00BC2F27">
        <w:rPr>
          <w:szCs w:val="18"/>
        </w:rPr>
        <w:t>parent of the licensees of 64</w:t>
      </w:r>
      <w:r>
        <w:rPr>
          <w:szCs w:val="18"/>
        </w:rPr>
        <w:t xml:space="preserve"> </w:t>
      </w:r>
      <w:r w:rsidRPr="00BC2F27">
        <w:rPr>
          <w:szCs w:val="18"/>
        </w:rPr>
        <w:t>full-power television stations,</w:t>
      </w:r>
      <w:r>
        <w:rPr>
          <w:szCs w:val="18"/>
        </w:rPr>
        <w:t xml:space="preserve"> and</w:t>
      </w:r>
      <w:r w:rsidRPr="00BC2F27">
        <w:rPr>
          <w:szCs w:val="18"/>
        </w:rPr>
        <w:t xml:space="preserve"> two full-power radio stations, and other related FCC licenses, to an</w:t>
      </w:r>
      <w:r>
        <w:rPr>
          <w:szCs w:val="18"/>
        </w:rPr>
        <w:t xml:space="preserve"> </w:t>
      </w:r>
      <w:r w:rsidRPr="00BC2F27">
        <w:rPr>
          <w:szCs w:val="18"/>
        </w:rPr>
        <w:t>indirect subsidiary of SGCI Holdings III LLC (SGCI Holdings)</w:t>
      </w:r>
      <w:r>
        <w:rPr>
          <w:szCs w:val="18"/>
        </w:rPr>
        <w:t xml:space="preserve">. </w:t>
      </w:r>
      <w:r>
        <w:t xml:space="preserve"> </w:t>
      </w:r>
      <w:r w:rsidRPr="00DB166B">
        <w:rPr>
          <w:i/>
        </w:rPr>
        <w:t xml:space="preserve">See </w:t>
      </w:r>
      <w:r w:rsidRPr="00DB166B">
        <w:rPr>
          <w:i/>
          <w:iCs/>
        </w:rPr>
        <w:t xml:space="preserve">Media Bureau Establishes Pleading Cycle for Applications to </w:t>
      </w:r>
      <w:r>
        <w:rPr>
          <w:i/>
          <w:iCs/>
        </w:rPr>
        <w:t>T</w:t>
      </w:r>
      <w:r w:rsidRPr="00DB166B">
        <w:rPr>
          <w:i/>
          <w:iCs/>
        </w:rPr>
        <w:t>ransfer Control of</w:t>
      </w:r>
      <w:r>
        <w:rPr>
          <w:i/>
          <w:iCs/>
        </w:rPr>
        <w:t xml:space="preserve"> </w:t>
      </w:r>
      <w:r w:rsidR="00AF2A4A">
        <w:rPr>
          <w:i/>
          <w:iCs/>
        </w:rPr>
        <w:t>TEGNA Inc. to Standard General, L.P.</w:t>
      </w:r>
      <w:r w:rsidRPr="00DB166B">
        <w:rPr>
          <w:i/>
          <w:iCs/>
        </w:rPr>
        <w:t>, and Permit-But-Disclose Ex Parte Status for the Proceeding</w:t>
      </w:r>
      <w:r w:rsidRPr="00DB166B">
        <w:t xml:space="preserve">, MB Docket No. </w:t>
      </w:r>
      <w:r>
        <w:t>22-</w:t>
      </w:r>
      <w:r w:rsidR="00C23F02">
        <w:t>166</w:t>
      </w:r>
      <w:r w:rsidRPr="00DB166B">
        <w:t xml:space="preserve">, Public Notice, DA </w:t>
      </w:r>
      <w:r>
        <w:t>22-</w:t>
      </w:r>
      <w:r w:rsidR="00C23F02">
        <w:t>446</w:t>
      </w:r>
      <w:r w:rsidRPr="00DB166B">
        <w:t xml:space="preserve"> (</w:t>
      </w:r>
      <w:r>
        <w:t xml:space="preserve">MB </w:t>
      </w:r>
      <w:r w:rsidRPr="00DB166B">
        <w:t xml:space="preserve">rel. </w:t>
      </w:r>
      <w:r w:rsidRPr="00C23F02">
        <w:t xml:space="preserve">Apr. </w:t>
      </w:r>
      <w:r w:rsidR="00C23F02">
        <w:t>21</w:t>
      </w:r>
      <w:r w:rsidRPr="00C23F02">
        <w:t>, 2022</w:t>
      </w:r>
      <w:r w:rsidRPr="00DB166B">
        <w:t>).</w:t>
      </w:r>
    </w:p>
  </w:footnote>
  <w:footnote w:id="8">
    <w:p w:rsidR="00DB68B3" w:rsidP="00DB68B3" w14:paraId="6E0A985A" w14:textId="77777777">
      <w:pPr>
        <w:pStyle w:val="FootnoteText"/>
      </w:pPr>
      <w:r>
        <w:rPr>
          <w:rStyle w:val="FootnoteReference"/>
        </w:rPr>
        <w:footnoteRef/>
      </w:r>
      <w:r>
        <w:t xml:space="preserve"> </w:t>
      </w:r>
      <w:r>
        <w:rPr>
          <w:i/>
          <w:iCs/>
        </w:rPr>
        <w:t>Terrier Media Buyer, Inc.</w:t>
      </w:r>
      <w:r>
        <w:t>, Declaratory Ruling, 34 FCC Rcd 10544, 10549, paras. 14-15 (MB 2019).</w:t>
      </w:r>
    </w:p>
  </w:footnote>
  <w:footnote w:id="9">
    <w:p w:rsidR="00DB68B3" w14:paraId="446D383D" w14:textId="7A673008">
      <w:pPr>
        <w:pStyle w:val="FootnoteText"/>
      </w:pPr>
      <w:r>
        <w:rPr>
          <w:rStyle w:val="FootnoteReference"/>
        </w:rPr>
        <w:footnoteRef/>
      </w:r>
      <w:r>
        <w:t xml:space="preserve"> Amended Petition at 5-7.</w:t>
      </w:r>
    </w:p>
  </w:footnote>
  <w:footnote w:id="10">
    <w:p w:rsidR="00A84725" w:rsidP="00A84725" w14:paraId="0142DB96" w14:textId="3D746DD4">
      <w:pPr>
        <w:pStyle w:val="FootnoteText"/>
      </w:pPr>
      <w:r>
        <w:rPr>
          <w:rStyle w:val="FootnoteReference"/>
        </w:rPr>
        <w:footnoteRef/>
      </w:r>
      <w:r>
        <w:t xml:space="preserve"> </w:t>
      </w:r>
      <w:r w:rsidR="00DB68B3">
        <w:rPr>
          <w:i/>
          <w:iCs/>
        </w:rPr>
        <w:t>Id.</w:t>
      </w:r>
      <w:r>
        <w:t xml:space="preserve"> at 1 n.1</w:t>
      </w:r>
      <w:r w:rsidR="00DB68B3">
        <w:t>, 7</w:t>
      </w:r>
      <w:r>
        <w:t>.</w:t>
      </w:r>
    </w:p>
  </w:footnote>
  <w:footnote w:id="11">
    <w:p w:rsidR="00090584" w:rsidRPr="00090584" w14:paraId="0ECDE7BE" w14:textId="143BB437">
      <w:pPr>
        <w:pStyle w:val="FootnoteText"/>
      </w:pPr>
      <w:r>
        <w:rPr>
          <w:rStyle w:val="FootnoteReference"/>
        </w:rPr>
        <w:footnoteRef/>
      </w:r>
      <w:r>
        <w:t xml:space="preserve"> </w:t>
      </w:r>
      <w:r>
        <w:rPr>
          <w:i/>
          <w:iCs/>
        </w:rPr>
        <w:t>Id</w:t>
      </w:r>
      <w:r>
        <w:t xml:space="preserve">. at </w:t>
      </w:r>
      <w:r w:rsidR="00072DCF">
        <w:t>2</w:t>
      </w:r>
      <w:r>
        <w:t xml:space="preserve">. </w:t>
      </w:r>
      <w:r>
        <w:rPr>
          <w:i/>
          <w:iCs/>
        </w:rPr>
        <w:t xml:space="preserve"> </w:t>
      </w:r>
      <w:r w:rsidRPr="005231CA">
        <w:rPr>
          <w:szCs w:val="18"/>
        </w:rPr>
        <w:t xml:space="preserve">The </w:t>
      </w:r>
      <w:r>
        <w:rPr>
          <w:szCs w:val="18"/>
        </w:rPr>
        <w:t xml:space="preserve">Amended </w:t>
      </w:r>
      <w:r w:rsidRPr="005231CA">
        <w:rPr>
          <w:szCs w:val="18"/>
        </w:rPr>
        <w:t xml:space="preserve">Petition lays out the proposed post-merger structure of </w:t>
      </w:r>
      <w:r>
        <w:rPr>
          <w:szCs w:val="18"/>
        </w:rPr>
        <w:t>TPC and</w:t>
      </w:r>
      <w:r w:rsidRPr="005231CA">
        <w:rPr>
          <w:szCs w:val="18"/>
        </w:rPr>
        <w:t xml:space="preserve"> its parent and subsidiary entities</w:t>
      </w:r>
      <w:r>
        <w:rPr>
          <w:szCs w:val="18"/>
        </w:rPr>
        <w:t xml:space="preserve"> in greater detail.  </w:t>
      </w:r>
      <w:r>
        <w:rPr>
          <w:i/>
          <w:iCs/>
          <w:szCs w:val="18"/>
        </w:rPr>
        <w:t>Id</w:t>
      </w:r>
      <w:r>
        <w:rPr>
          <w:szCs w:val="18"/>
        </w:rPr>
        <w:t>. at 1-3, Exh. D.</w:t>
      </w:r>
    </w:p>
  </w:footnote>
  <w:footnote w:id="12">
    <w:p w:rsidR="008540F0" w:rsidRPr="005A2A76" w:rsidP="008540F0" w14:paraId="4BD44371" w14:textId="69448A3E">
      <w:pPr>
        <w:pStyle w:val="FootnoteText"/>
      </w:pPr>
      <w:r>
        <w:rPr>
          <w:rStyle w:val="FootnoteReference"/>
        </w:rPr>
        <w:footnoteRef/>
      </w:r>
      <w:r>
        <w:t xml:space="preserve"> </w:t>
      </w:r>
      <w:r>
        <w:rPr>
          <w:i/>
          <w:iCs/>
        </w:rPr>
        <w:t>Id</w:t>
      </w:r>
      <w:r>
        <w:t xml:space="preserve">. at </w:t>
      </w:r>
      <w:r w:rsidR="0057528A">
        <w:t>2-</w:t>
      </w:r>
      <w:r>
        <w:t>3.</w:t>
      </w:r>
    </w:p>
  </w:footnote>
  <w:footnote w:id="13">
    <w:p w:rsidR="00024A5B" w14:paraId="6CBF3757" w14:textId="26D63A77">
      <w:pPr>
        <w:pStyle w:val="FootnoteText"/>
      </w:pPr>
      <w:r>
        <w:rPr>
          <w:rStyle w:val="FootnoteReference"/>
        </w:rPr>
        <w:footnoteRef/>
      </w:r>
      <w:r>
        <w:t xml:space="preserve"> TPC </w:t>
      </w:r>
      <w:r w:rsidRPr="00024A5B">
        <w:t>states that these investors are insulated in accordance with the Commission's broadcast ownership rules.</w:t>
      </w:r>
      <w:r>
        <w:t xml:space="preserve"> </w:t>
      </w:r>
      <w:r w:rsidRPr="00024A5B">
        <w:t xml:space="preserve"> </w:t>
      </w:r>
      <w:r w:rsidRPr="00024A5B">
        <w:rPr>
          <w:i/>
          <w:iCs/>
        </w:rPr>
        <w:t>Id</w:t>
      </w:r>
      <w:r w:rsidRPr="00024A5B">
        <w:t>.</w:t>
      </w:r>
    </w:p>
  </w:footnote>
  <w:footnote w:id="14">
    <w:p w:rsidR="00C5440C" w:rsidRPr="00A95EDE" w:rsidP="00A95EDE" w14:paraId="66C66683" w14:textId="1AB7B8E0">
      <w:pPr>
        <w:pStyle w:val="FootnoteText"/>
      </w:pPr>
      <w:r>
        <w:rPr>
          <w:rStyle w:val="FootnoteReference"/>
        </w:rPr>
        <w:footnoteRef/>
      </w:r>
      <w:r>
        <w:t xml:space="preserve"> </w:t>
      </w:r>
      <w:r>
        <w:rPr>
          <w:i/>
          <w:iCs/>
        </w:rPr>
        <w:t>Id</w:t>
      </w:r>
      <w:r>
        <w:t>. at 3-4.</w:t>
      </w:r>
      <w:r w:rsidR="00A95EDE">
        <w:t xml:space="preserve">  However, certain Ares Funds (ASOF Holdings I, L.P., ASOF II Holdings I, L.P., ASOF II Holdings A (DE) Holdings I, L.P. and ASME Holdings I, L.P.) will collectively hold the non-attributable right to appoint a TPC Board observer.  </w:t>
      </w:r>
      <w:r w:rsidR="00A95EDE">
        <w:rPr>
          <w:i/>
          <w:iCs/>
        </w:rPr>
        <w:t>Id</w:t>
      </w:r>
      <w:r w:rsidR="00A95EDE">
        <w:t>. at 4 n.7.</w:t>
      </w:r>
    </w:p>
  </w:footnote>
  <w:footnote w:id="15">
    <w:p w:rsidR="008B5955" w:rsidRPr="00C929DB" w14:paraId="47249D69" w14:textId="0BA514C8">
      <w:pPr>
        <w:pStyle w:val="FootnoteText"/>
        <w:rPr>
          <w:highlight w:val="green"/>
        </w:rPr>
      </w:pPr>
      <w:r>
        <w:rPr>
          <w:rStyle w:val="FootnoteReference"/>
        </w:rPr>
        <w:footnoteRef/>
      </w:r>
      <w:r>
        <w:t xml:space="preserve"> </w:t>
      </w:r>
      <w:r>
        <w:rPr>
          <w:i/>
          <w:iCs/>
        </w:rPr>
        <w:t>Id</w:t>
      </w:r>
      <w:r>
        <w:t>. at 4</w:t>
      </w:r>
      <w:r w:rsidR="009C301B">
        <w:t>, 1</w:t>
      </w:r>
      <w:r w:rsidR="00837DD1">
        <w:t>6</w:t>
      </w:r>
      <w:r w:rsidR="003F2C52">
        <w:t>.</w:t>
      </w:r>
    </w:p>
  </w:footnote>
  <w:footnote w:id="16">
    <w:p w:rsidR="00EC55D4" w:rsidP="00EC55D4" w14:paraId="2DB7B858" w14:textId="0BCAEB6A">
      <w:pPr>
        <w:pStyle w:val="FootnoteText"/>
      </w:pPr>
      <w:r w:rsidRPr="00D26E04">
        <w:rPr>
          <w:rStyle w:val="FootnoteReference"/>
        </w:rPr>
        <w:footnoteRef/>
      </w:r>
      <w:r w:rsidRPr="00EC55D4">
        <w:rPr>
          <w:i/>
        </w:rPr>
        <w:t xml:space="preserve"> </w:t>
      </w:r>
      <w:r w:rsidRPr="001B008A">
        <w:rPr>
          <w:i/>
        </w:rPr>
        <w:t>See</w:t>
      </w:r>
      <w:r w:rsidRPr="00EC55D4">
        <w:rPr>
          <w:i/>
          <w:iCs/>
        </w:rPr>
        <w:t xml:space="preserve"> Process Reform for Executive Branch Review of Certain FCC Applications and Petitions Involving Foreign Ownership</w:t>
      </w:r>
      <w:r w:rsidRPr="001B008A">
        <w:rPr>
          <w:i/>
        </w:rPr>
        <w:t xml:space="preserve">, </w:t>
      </w:r>
      <w:r w:rsidRPr="00C929DB">
        <w:t>IB Docket 16-155, Report and Order, 35 FCC Rcd 10927 (2020).</w:t>
      </w:r>
      <w:r w:rsidRPr="001B008A" w:rsidR="004E1370">
        <w:rPr>
          <w:i/>
        </w:rPr>
        <w:t xml:space="preserve"> </w:t>
      </w:r>
      <w:r w:rsidRPr="001B008A">
        <w:rPr>
          <w:i/>
        </w:rPr>
        <w:t xml:space="preserve"> </w:t>
      </w:r>
      <w:r w:rsidRPr="00EC55D4">
        <w:rPr>
          <w:i/>
          <w:iCs/>
        </w:rPr>
        <w:t>See also Rules and Policies on Foreign Participation in the U.S. Telecommunications Market; Market Entry and Regulation of Foreign- Affiliated Entities</w:t>
      </w:r>
      <w:r w:rsidRPr="00C929DB">
        <w:t xml:space="preserve">, IB Docket Nos. 97-142 and 95-22, Report and Order and Order on Reconsideration, 12 FCC Rcd 23891, 23918-19, paras. 61-63 (1997) (Foreign Participation Order), recon. </w:t>
      </w:r>
      <w:r w:rsidRPr="00C929DB" w:rsidR="001B008A">
        <w:t>denied, 15 FCC Rcd 18158 (2000)</w:t>
      </w:r>
      <w:r w:rsidRPr="001B008A" w:rsidR="001B008A">
        <w:rPr>
          <w:i/>
          <w:iCs/>
        </w:rPr>
        <w:t>.</w:t>
      </w:r>
    </w:p>
  </w:footnote>
  <w:footnote w:id="17">
    <w:p w:rsidR="00624B0B" w:rsidRPr="002646AC" w:rsidP="00624B0B" w14:paraId="156214B3" w14:textId="77777777">
      <w:pPr>
        <w:pStyle w:val="FootnoteText"/>
        <w:widowControl w:val="0"/>
      </w:pPr>
      <w:r w:rsidRPr="002646AC">
        <w:rPr>
          <w:rStyle w:val="FootnoteReference"/>
        </w:rPr>
        <w:footnoteRef/>
      </w:r>
      <w:r w:rsidRPr="002646AC">
        <w:t xml:space="preserve"> 47 CFR § 1.1200(a).</w:t>
      </w:r>
    </w:p>
  </w:footnote>
  <w:footnote w:id="18">
    <w:p w:rsidR="00624B0B" w:rsidRPr="002646AC" w:rsidP="00624B0B" w14:paraId="6EC0D118" w14:textId="77777777">
      <w:pPr>
        <w:pStyle w:val="FootnoteText"/>
        <w:widowControl w:val="0"/>
      </w:pPr>
      <w:r w:rsidRPr="002646AC">
        <w:rPr>
          <w:rStyle w:val="FootnoteReference"/>
        </w:rPr>
        <w:footnoteRef/>
      </w:r>
      <w:r w:rsidRPr="002646AC">
        <w:t xml:space="preserve"> </w:t>
      </w:r>
      <w:r w:rsidRPr="002646AC">
        <w:rPr>
          <w:i/>
        </w:rPr>
        <w:t>See</w:t>
      </w:r>
      <w:r w:rsidRPr="002646AC">
        <w:t xml:space="preserve"> </w:t>
      </w:r>
      <w:bookmarkStart w:id="3" w:name="_Hlk72341813"/>
      <w:r w:rsidRPr="002646AC">
        <w:rPr>
          <w:iCs/>
        </w:rPr>
        <w:t>47 CFR</w:t>
      </w:r>
      <w:r w:rsidRPr="002646AC">
        <w:t xml:space="preserve"> § 1.1206.</w:t>
      </w:r>
      <w:bookmarkEnd w:id="3"/>
    </w:p>
  </w:footnote>
  <w:footnote w:id="19">
    <w:p w:rsidR="00FB6508" w14:paraId="031C2A3D" w14:textId="135A0B0C">
      <w:pPr>
        <w:pStyle w:val="FootnoteText"/>
      </w:pPr>
      <w:r>
        <w:rPr>
          <w:rStyle w:val="FootnoteReference"/>
        </w:rPr>
        <w:footnoteRef/>
      </w:r>
      <w:r>
        <w:t xml:space="preserve"> </w:t>
      </w:r>
      <w:r w:rsidR="007A0126">
        <w:rPr>
          <w:snapToGrid w:val="0"/>
        </w:rPr>
        <w:t>47 CFR § 1.1206(b)(1).</w:t>
      </w:r>
    </w:p>
  </w:footnote>
  <w:footnote w:id="20">
    <w:p w:rsidR="001A4CA3" w14:paraId="079CDC49" w14:textId="32AA9FB3">
      <w:pPr>
        <w:pStyle w:val="FootnoteText"/>
      </w:pPr>
      <w:r>
        <w:rPr>
          <w:rStyle w:val="FootnoteReference"/>
        </w:rPr>
        <w:footnoteRef/>
      </w:r>
      <w:r>
        <w:t xml:space="preserve"> </w:t>
      </w:r>
      <w:r w:rsidR="005F595A">
        <w:rPr>
          <w:i/>
          <w:iCs/>
        </w:rPr>
        <w:t>Id</w:t>
      </w:r>
      <w:r w:rsidRPr="001A4CA3">
        <w:t>.</w:t>
      </w:r>
    </w:p>
  </w:footnote>
  <w:footnote w:id="21">
    <w:p w:rsidR="00624B0B" w:rsidRPr="002646AC" w:rsidP="00624B0B" w14:paraId="76227D27" w14:textId="40D815EC">
      <w:pPr>
        <w:pStyle w:val="FootnoteText"/>
        <w:widowControl w:val="0"/>
      </w:pPr>
      <w:r w:rsidRPr="002646AC">
        <w:rPr>
          <w:rStyle w:val="FootnoteReference"/>
        </w:rPr>
        <w:footnoteRef/>
      </w:r>
      <w:r w:rsidRPr="002646AC">
        <w:t xml:space="preserve"> 47 CFR § 1.1206(b)</w:t>
      </w:r>
      <w:r w:rsidR="009D3FE4">
        <w:t>.</w:t>
      </w:r>
    </w:p>
  </w:footnote>
  <w:footnote w:id="22">
    <w:p w:rsidR="00624B0B" w:rsidRPr="00BF1DD9" w:rsidP="00624B0B" w14:paraId="24282FB0" w14:textId="27A72661">
      <w:pPr>
        <w:pStyle w:val="FootnoteText"/>
        <w:widowControl w:val="0"/>
      </w:pPr>
      <w:r w:rsidRPr="002646AC">
        <w:rPr>
          <w:rStyle w:val="FootnoteReference"/>
        </w:rPr>
        <w:footnoteRef/>
      </w:r>
      <w:r w:rsidRPr="002646AC">
        <w:t xml:space="preserve"> </w:t>
      </w:r>
      <w:r w:rsidR="00AB3D1F">
        <w:rPr>
          <w:i/>
          <w:iCs/>
        </w:rPr>
        <w:t xml:space="preserve">See </w:t>
      </w:r>
      <w:r w:rsidRPr="002646AC">
        <w:t>47 CFR § 1.120</w:t>
      </w:r>
      <w:r w:rsidR="00F27E49">
        <w:t xml:space="preserve">0 </w:t>
      </w:r>
      <w:r w:rsidRPr="0083761B" w:rsidR="00F27E49">
        <w:rPr>
          <w:i/>
          <w:iCs/>
        </w:rPr>
        <w:t>et seq.</w:t>
      </w:r>
    </w:p>
  </w:footnote>
  <w:footnote w:id="23">
    <w:p w:rsidR="00624B0B" w:rsidP="00624B0B" w14:paraId="69AD4523" w14:textId="77777777">
      <w:pPr>
        <w:pStyle w:val="FootnoteText"/>
        <w:widowControl w:val="0"/>
      </w:pPr>
      <w:r>
        <w:rPr>
          <w:rStyle w:val="FootnoteReference"/>
        </w:rPr>
        <w:footnoteRef/>
      </w:r>
      <w:r>
        <w:t xml:space="preserve"> </w:t>
      </w:r>
      <w:r>
        <w:rPr>
          <w:i/>
          <w:szCs w:val="22"/>
        </w:rPr>
        <w:t>See</w:t>
      </w:r>
      <w:r>
        <w:rPr>
          <w:szCs w:val="22"/>
        </w:rPr>
        <w:t xml:space="preserve"> </w:t>
      </w:r>
      <w:r>
        <w:rPr>
          <w:i/>
          <w:szCs w:val="22"/>
        </w:rPr>
        <w:t>Electronic Filing of Documents in Rulemaking Proceedings</w:t>
      </w:r>
      <w:r>
        <w:rPr>
          <w:szCs w:val="22"/>
        </w:rPr>
        <w:t>, Report and Order, 13 FCC Rcd 11322 (1998).</w:t>
      </w:r>
    </w:p>
  </w:footnote>
  <w:footnote w:id="24">
    <w:p w:rsidR="00624B0B" w:rsidRPr="00EC6B9A" w:rsidP="00624B0B" w14:paraId="3742347F" w14:textId="77777777">
      <w:pPr>
        <w:pStyle w:val="ParaNum"/>
        <w:numPr>
          <w:ilvl w:val="0"/>
          <w:numId w:val="0"/>
        </w:numPr>
        <w:rPr>
          <w:sz w:val="20"/>
        </w:rPr>
      </w:pPr>
      <w:r>
        <w:rPr>
          <w:rStyle w:val="FootnoteReference"/>
        </w:rPr>
        <w:footnoteRef/>
      </w:r>
      <w:r>
        <w:t xml:space="preserve"> </w:t>
      </w:r>
      <w:r>
        <w:rPr>
          <w:i/>
          <w:iCs/>
          <w:sz w:val="20"/>
        </w:rPr>
        <w:t>See</w:t>
      </w:r>
      <w:r>
        <w:rPr>
          <w:sz w:val="20"/>
        </w:rPr>
        <w:t xml:space="preserve"> </w:t>
      </w:r>
      <w:r>
        <w:rPr>
          <w:i/>
          <w:iCs/>
          <w:sz w:val="20"/>
        </w:rPr>
        <w:t>FCC Announces Closure of FCC Headquarters Open Window and Change in Hand-Delivery Policy</w:t>
      </w:r>
      <w:r>
        <w:rPr>
          <w:sz w:val="20"/>
        </w:rPr>
        <w:t>, Public Notice, 35 FCC Rcd 2788 (2020).</w:t>
      </w:r>
    </w:p>
  </w:footnote>
  <w:footnote w:id="25">
    <w:p w:rsidR="00624B0B" w:rsidP="00624B0B" w14:paraId="01E4AB61" w14:textId="77777777">
      <w:pPr>
        <w:pStyle w:val="FootnoteText"/>
        <w:widowControl w:val="0"/>
      </w:pPr>
      <w:r>
        <w:rPr>
          <w:rStyle w:val="FootnoteReference"/>
        </w:rPr>
        <w:footnoteRef/>
      </w:r>
      <w:r>
        <w:t xml:space="preserve"> 47 CFR §§ 0.61 and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20B39424" w14:textId="3E68D212">
    <w:pPr>
      <w:tabs>
        <w:tab w:val="center" w:pos="4680"/>
        <w:tab w:val="right" w:pos="9360"/>
      </w:tabs>
    </w:pPr>
    <w:r>
      <w:rPr>
        <w:b/>
      </w:rPr>
      <w:tab/>
    </w:r>
    <w:r>
      <w:rPr>
        <w:b/>
      </w:rPr>
      <w:t>Federal Communications Commission</w:t>
    </w:r>
    <w:r>
      <w:rPr>
        <w:b/>
      </w:rPr>
      <w:tab/>
    </w:r>
    <w:r w:rsidRPr="00D751DE" w:rsidR="00096397">
      <w:rPr>
        <w:b/>
        <w:szCs w:val="22"/>
      </w:rPr>
      <w:t>DA 22-</w:t>
    </w:r>
    <w:r w:rsidR="00C23F02">
      <w:rPr>
        <w:b/>
        <w:szCs w:val="22"/>
      </w:rPr>
      <w:t>446</w:t>
    </w:r>
    <w:r w:rsidRPr="00096397" w:rsidR="00096397">
      <w:rPr>
        <w:b/>
        <w:szCs w:val="22"/>
      </w:rPr>
      <w:t xml:space="preserve"> </w:t>
    </w:r>
  </w:p>
  <w:p w:rsidR="00344BF3" w14:paraId="2446E1BA" w14:textId="753F523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344BF3" w14:paraId="4E4E5C5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7920F984" w14:textId="4C2D5C61">
    <w:pPr>
      <w:pStyle w:val="Header"/>
      <w:ind w:left="-990"/>
      <w:rPr>
        <w:noProof/>
        <w:snapToGrid/>
        <w:sz w:val="20"/>
        <w:szCs w:val="20"/>
      </w:rPr>
    </w:pPr>
    <w:r>
      <w:rPr>
        <w:noProof/>
        <w:snapToGrid/>
      </w:rPr>
      <w:drawing>
        <wp:inline distT="0" distB="0" distL="0" distR="0">
          <wp:extent cx="6505575"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05575" cy="1447800"/>
                  </a:xfrm>
                  <a:prstGeom prst="rect">
                    <a:avLst/>
                  </a:prstGeom>
                  <a:noFill/>
                  <a:ln>
                    <a:noFill/>
                  </a:ln>
                </pic:spPr>
              </pic:pic>
            </a:graphicData>
          </a:graphic>
        </wp:inline>
      </w:drawing>
    </w:r>
  </w:p>
  <w:p w:rsidR="00344BF3" w14:paraId="011146C0"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408C3"/>
    <w:multiLevelType w:val="hybridMultilevel"/>
    <w:tmpl w:val="B99AE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CA673E"/>
    <w:multiLevelType w:val="hybridMultilevel"/>
    <w:tmpl w:val="161ED02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7E01EBE"/>
    <w:multiLevelType w:val="hybridMultilevel"/>
    <w:tmpl w:val="23C21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0B"/>
    <w:rsid w:val="00001932"/>
    <w:rsid w:val="00002482"/>
    <w:rsid w:val="00002676"/>
    <w:rsid w:val="000028C0"/>
    <w:rsid w:val="000039F8"/>
    <w:rsid w:val="00006239"/>
    <w:rsid w:val="0001044D"/>
    <w:rsid w:val="0001061E"/>
    <w:rsid w:val="00010E5B"/>
    <w:rsid w:val="00011F15"/>
    <w:rsid w:val="00013B6D"/>
    <w:rsid w:val="00013DCD"/>
    <w:rsid w:val="00015169"/>
    <w:rsid w:val="000157C8"/>
    <w:rsid w:val="000158EF"/>
    <w:rsid w:val="00015FF3"/>
    <w:rsid w:val="00016F1B"/>
    <w:rsid w:val="000202DC"/>
    <w:rsid w:val="00020AF9"/>
    <w:rsid w:val="00022C63"/>
    <w:rsid w:val="0002301B"/>
    <w:rsid w:val="00023864"/>
    <w:rsid w:val="00023DF2"/>
    <w:rsid w:val="00023FC4"/>
    <w:rsid w:val="00024A5B"/>
    <w:rsid w:val="0002623F"/>
    <w:rsid w:val="00026EED"/>
    <w:rsid w:val="00027798"/>
    <w:rsid w:val="0003422E"/>
    <w:rsid w:val="00034711"/>
    <w:rsid w:val="00034E7D"/>
    <w:rsid w:val="000352B3"/>
    <w:rsid w:val="00041847"/>
    <w:rsid w:val="00041A14"/>
    <w:rsid w:val="00041AE2"/>
    <w:rsid w:val="0004506A"/>
    <w:rsid w:val="00045AC9"/>
    <w:rsid w:val="0004622D"/>
    <w:rsid w:val="0004679F"/>
    <w:rsid w:val="000474BB"/>
    <w:rsid w:val="00050060"/>
    <w:rsid w:val="000503F6"/>
    <w:rsid w:val="000504EF"/>
    <w:rsid w:val="00051CA4"/>
    <w:rsid w:val="00052650"/>
    <w:rsid w:val="00055072"/>
    <w:rsid w:val="00056766"/>
    <w:rsid w:val="000568A8"/>
    <w:rsid w:val="000572A9"/>
    <w:rsid w:val="000608A3"/>
    <w:rsid w:val="000611E6"/>
    <w:rsid w:val="00062547"/>
    <w:rsid w:val="00063FEC"/>
    <w:rsid w:val="00064696"/>
    <w:rsid w:val="00065309"/>
    <w:rsid w:val="000654E3"/>
    <w:rsid w:val="00065C37"/>
    <w:rsid w:val="00066725"/>
    <w:rsid w:val="00066F97"/>
    <w:rsid w:val="000702B1"/>
    <w:rsid w:val="00070E39"/>
    <w:rsid w:val="00072DCF"/>
    <w:rsid w:val="00073995"/>
    <w:rsid w:val="00074004"/>
    <w:rsid w:val="0007433A"/>
    <w:rsid w:val="00076F0C"/>
    <w:rsid w:val="000805EE"/>
    <w:rsid w:val="00080C15"/>
    <w:rsid w:val="00081449"/>
    <w:rsid w:val="00084676"/>
    <w:rsid w:val="00084DDC"/>
    <w:rsid w:val="0008569F"/>
    <w:rsid w:val="00090467"/>
    <w:rsid w:val="00090584"/>
    <w:rsid w:val="00090B34"/>
    <w:rsid w:val="00091955"/>
    <w:rsid w:val="000919E5"/>
    <w:rsid w:val="00091FE0"/>
    <w:rsid w:val="000921C3"/>
    <w:rsid w:val="0009261F"/>
    <w:rsid w:val="00094896"/>
    <w:rsid w:val="000952DC"/>
    <w:rsid w:val="000961EF"/>
    <w:rsid w:val="00096397"/>
    <w:rsid w:val="000A08DF"/>
    <w:rsid w:val="000A19C5"/>
    <w:rsid w:val="000A437E"/>
    <w:rsid w:val="000A4BF0"/>
    <w:rsid w:val="000A531C"/>
    <w:rsid w:val="000A55D0"/>
    <w:rsid w:val="000A7F36"/>
    <w:rsid w:val="000B01EC"/>
    <w:rsid w:val="000B0B67"/>
    <w:rsid w:val="000B33BB"/>
    <w:rsid w:val="000B3F12"/>
    <w:rsid w:val="000B4AA8"/>
    <w:rsid w:val="000B4F4B"/>
    <w:rsid w:val="000B5123"/>
    <w:rsid w:val="000B5D80"/>
    <w:rsid w:val="000B6FD4"/>
    <w:rsid w:val="000B738C"/>
    <w:rsid w:val="000B74CB"/>
    <w:rsid w:val="000B78DD"/>
    <w:rsid w:val="000C0CEF"/>
    <w:rsid w:val="000C1334"/>
    <w:rsid w:val="000C1643"/>
    <w:rsid w:val="000C2FBC"/>
    <w:rsid w:val="000C3126"/>
    <w:rsid w:val="000C3276"/>
    <w:rsid w:val="000C459E"/>
    <w:rsid w:val="000C470A"/>
    <w:rsid w:val="000C5314"/>
    <w:rsid w:val="000C6030"/>
    <w:rsid w:val="000C72A4"/>
    <w:rsid w:val="000D03A8"/>
    <w:rsid w:val="000D16B3"/>
    <w:rsid w:val="000D2924"/>
    <w:rsid w:val="000D4125"/>
    <w:rsid w:val="000D6652"/>
    <w:rsid w:val="000E0AFB"/>
    <w:rsid w:val="000E1211"/>
    <w:rsid w:val="000E1385"/>
    <w:rsid w:val="000E158F"/>
    <w:rsid w:val="000E1D67"/>
    <w:rsid w:val="000E35F2"/>
    <w:rsid w:val="000E5C50"/>
    <w:rsid w:val="000E6A46"/>
    <w:rsid w:val="000E768A"/>
    <w:rsid w:val="000F07D2"/>
    <w:rsid w:val="000F09EA"/>
    <w:rsid w:val="000F1179"/>
    <w:rsid w:val="000F19DA"/>
    <w:rsid w:val="000F3984"/>
    <w:rsid w:val="000F4594"/>
    <w:rsid w:val="000F4BD8"/>
    <w:rsid w:val="000F5926"/>
    <w:rsid w:val="000F6352"/>
    <w:rsid w:val="000F66FB"/>
    <w:rsid w:val="000F6D89"/>
    <w:rsid w:val="00102B35"/>
    <w:rsid w:val="001030FF"/>
    <w:rsid w:val="001033BB"/>
    <w:rsid w:val="00104646"/>
    <w:rsid w:val="00104AF7"/>
    <w:rsid w:val="00105D32"/>
    <w:rsid w:val="00111752"/>
    <w:rsid w:val="00112A2B"/>
    <w:rsid w:val="00112C92"/>
    <w:rsid w:val="001141B3"/>
    <w:rsid w:val="0011604C"/>
    <w:rsid w:val="001162E0"/>
    <w:rsid w:val="001206EB"/>
    <w:rsid w:val="001217B0"/>
    <w:rsid w:val="001222B7"/>
    <w:rsid w:val="00122858"/>
    <w:rsid w:val="001236FF"/>
    <w:rsid w:val="00123CFC"/>
    <w:rsid w:val="0012465E"/>
    <w:rsid w:val="00124C1E"/>
    <w:rsid w:val="00125AE7"/>
    <w:rsid w:val="00127673"/>
    <w:rsid w:val="00130A5A"/>
    <w:rsid w:val="001337E9"/>
    <w:rsid w:val="00133CFB"/>
    <w:rsid w:val="00135255"/>
    <w:rsid w:val="00135DE1"/>
    <w:rsid w:val="00136087"/>
    <w:rsid w:val="0013697E"/>
    <w:rsid w:val="0013698F"/>
    <w:rsid w:val="0013721E"/>
    <w:rsid w:val="00137E0A"/>
    <w:rsid w:val="0014040F"/>
    <w:rsid w:val="001404B3"/>
    <w:rsid w:val="00141059"/>
    <w:rsid w:val="0014167C"/>
    <w:rsid w:val="00142669"/>
    <w:rsid w:val="001427BF"/>
    <w:rsid w:val="00143442"/>
    <w:rsid w:val="0014478E"/>
    <w:rsid w:val="00144948"/>
    <w:rsid w:val="001451B1"/>
    <w:rsid w:val="001453A5"/>
    <w:rsid w:val="00145F9E"/>
    <w:rsid w:val="00146433"/>
    <w:rsid w:val="00147585"/>
    <w:rsid w:val="001476E4"/>
    <w:rsid w:val="00147E5E"/>
    <w:rsid w:val="00151B91"/>
    <w:rsid w:val="001552C9"/>
    <w:rsid w:val="00155339"/>
    <w:rsid w:val="00155896"/>
    <w:rsid w:val="00155C63"/>
    <w:rsid w:val="00156EAE"/>
    <w:rsid w:val="00157287"/>
    <w:rsid w:val="001579F4"/>
    <w:rsid w:val="00161E6F"/>
    <w:rsid w:val="001630E8"/>
    <w:rsid w:val="00163D82"/>
    <w:rsid w:val="00164500"/>
    <w:rsid w:val="00165586"/>
    <w:rsid w:val="001663B5"/>
    <w:rsid w:val="00166920"/>
    <w:rsid w:val="00167947"/>
    <w:rsid w:val="00170024"/>
    <w:rsid w:val="0017121A"/>
    <w:rsid w:val="0017168F"/>
    <w:rsid w:val="001718EA"/>
    <w:rsid w:val="0017297E"/>
    <w:rsid w:val="00174304"/>
    <w:rsid w:val="0017436D"/>
    <w:rsid w:val="00174381"/>
    <w:rsid w:val="00174597"/>
    <w:rsid w:val="001755B8"/>
    <w:rsid w:val="00177C96"/>
    <w:rsid w:val="00180F05"/>
    <w:rsid w:val="00181972"/>
    <w:rsid w:val="001823CA"/>
    <w:rsid w:val="00183B68"/>
    <w:rsid w:val="00185B9C"/>
    <w:rsid w:val="00186B8F"/>
    <w:rsid w:val="00186DC8"/>
    <w:rsid w:val="00186E1B"/>
    <w:rsid w:val="00190B44"/>
    <w:rsid w:val="00190F78"/>
    <w:rsid w:val="00192B03"/>
    <w:rsid w:val="001972FA"/>
    <w:rsid w:val="00197F38"/>
    <w:rsid w:val="001A1283"/>
    <w:rsid w:val="001A2E98"/>
    <w:rsid w:val="001A2ED6"/>
    <w:rsid w:val="001A4CA3"/>
    <w:rsid w:val="001A676F"/>
    <w:rsid w:val="001A767B"/>
    <w:rsid w:val="001B008A"/>
    <w:rsid w:val="001B02B7"/>
    <w:rsid w:val="001B24FD"/>
    <w:rsid w:val="001B2846"/>
    <w:rsid w:val="001B2E5E"/>
    <w:rsid w:val="001B427C"/>
    <w:rsid w:val="001B6221"/>
    <w:rsid w:val="001B6791"/>
    <w:rsid w:val="001B6911"/>
    <w:rsid w:val="001C2116"/>
    <w:rsid w:val="001C3CEF"/>
    <w:rsid w:val="001C3E0E"/>
    <w:rsid w:val="001C47A4"/>
    <w:rsid w:val="001C4855"/>
    <w:rsid w:val="001C62F9"/>
    <w:rsid w:val="001D4371"/>
    <w:rsid w:val="001D47A8"/>
    <w:rsid w:val="001D57DF"/>
    <w:rsid w:val="001E1041"/>
    <w:rsid w:val="001E105E"/>
    <w:rsid w:val="001E12DB"/>
    <w:rsid w:val="001E2AFB"/>
    <w:rsid w:val="001E3581"/>
    <w:rsid w:val="001E54B7"/>
    <w:rsid w:val="001F00D8"/>
    <w:rsid w:val="001F33F2"/>
    <w:rsid w:val="001F3D4F"/>
    <w:rsid w:val="001F50FD"/>
    <w:rsid w:val="001F53F1"/>
    <w:rsid w:val="001F55D6"/>
    <w:rsid w:val="001F5BE0"/>
    <w:rsid w:val="001F6C3B"/>
    <w:rsid w:val="001F7648"/>
    <w:rsid w:val="002012AE"/>
    <w:rsid w:val="00201C76"/>
    <w:rsid w:val="002023D9"/>
    <w:rsid w:val="00202863"/>
    <w:rsid w:val="00203BD8"/>
    <w:rsid w:val="002051FC"/>
    <w:rsid w:val="00205AB9"/>
    <w:rsid w:val="00206405"/>
    <w:rsid w:val="00206DE4"/>
    <w:rsid w:val="00210D41"/>
    <w:rsid w:val="00211013"/>
    <w:rsid w:val="0021124F"/>
    <w:rsid w:val="00211998"/>
    <w:rsid w:val="002140D8"/>
    <w:rsid w:val="00215B04"/>
    <w:rsid w:val="00216B64"/>
    <w:rsid w:val="00217CE6"/>
    <w:rsid w:val="00217DD3"/>
    <w:rsid w:val="00220F68"/>
    <w:rsid w:val="002224DC"/>
    <w:rsid w:val="002227FD"/>
    <w:rsid w:val="00225023"/>
    <w:rsid w:val="002262B2"/>
    <w:rsid w:val="00227555"/>
    <w:rsid w:val="002317D0"/>
    <w:rsid w:val="00232646"/>
    <w:rsid w:val="002326A1"/>
    <w:rsid w:val="00233994"/>
    <w:rsid w:val="00233AF7"/>
    <w:rsid w:val="00235AE7"/>
    <w:rsid w:val="00242779"/>
    <w:rsid w:val="00245917"/>
    <w:rsid w:val="00245EF5"/>
    <w:rsid w:val="002460EA"/>
    <w:rsid w:val="00246253"/>
    <w:rsid w:val="00246497"/>
    <w:rsid w:val="00247A53"/>
    <w:rsid w:val="00247A98"/>
    <w:rsid w:val="0025226D"/>
    <w:rsid w:val="00252293"/>
    <w:rsid w:val="002526E0"/>
    <w:rsid w:val="002526EC"/>
    <w:rsid w:val="00252FBE"/>
    <w:rsid w:val="002545E1"/>
    <w:rsid w:val="00254EC4"/>
    <w:rsid w:val="0025503A"/>
    <w:rsid w:val="00255187"/>
    <w:rsid w:val="0025534B"/>
    <w:rsid w:val="0025618C"/>
    <w:rsid w:val="00256FDC"/>
    <w:rsid w:val="002570CD"/>
    <w:rsid w:val="002612DB"/>
    <w:rsid w:val="00261BA7"/>
    <w:rsid w:val="00262043"/>
    <w:rsid w:val="002637AE"/>
    <w:rsid w:val="00263D20"/>
    <w:rsid w:val="002646AC"/>
    <w:rsid w:val="00264A12"/>
    <w:rsid w:val="00265DFE"/>
    <w:rsid w:val="00267DCC"/>
    <w:rsid w:val="00267EE0"/>
    <w:rsid w:val="002726D1"/>
    <w:rsid w:val="002765D2"/>
    <w:rsid w:val="00276F5B"/>
    <w:rsid w:val="002802C7"/>
    <w:rsid w:val="002809C4"/>
    <w:rsid w:val="00280EBF"/>
    <w:rsid w:val="00281952"/>
    <w:rsid w:val="00282163"/>
    <w:rsid w:val="00283392"/>
    <w:rsid w:val="0028591F"/>
    <w:rsid w:val="002864A1"/>
    <w:rsid w:val="00290635"/>
    <w:rsid w:val="00290862"/>
    <w:rsid w:val="002919E3"/>
    <w:rsid w:val="00292076"/>
    <w:rsid w:val="002921BC"/>
    <w:rsid w:val="00292D08"/>
    <w:rsid w:val="002934FD"/>
    <w:rsid w:val="00295552"/>
    <w:rsid w:val="00296082"/>
    <w:rsid w:val="002A22E1"/>
    <w:rsid w:val="002A3B26"/>
    <w:rsid w:val="002A4AFD"/>
    <w:rsid w:val="002A66C0"/>
    <w:rsid w:val="002B0B9D"/>
    <w:rsid w:val="002B10D5"/>
    <w:rsid w:val="002B2125"/>
    <w:rsid w:val="002B4D95"/>
    <w:rsid w:val="002C0589"/>
    <w:rsid w:val="002C1C83"/>
    <w:rsid w:val="002C1D6E"/>
    <w:rsid w:val="002C2D88"/>
    <w:rsid w:val="002C2DCC"/>
    <w:rsid w:val="002C3909"/>
    <w:rsid w:val="002C4068"/>
    <w:rsid w:val="002C45DE"/>
    <w:rsid w:val="002C4FBD"/>
    <w:rsid w:val="002C5ECB"/>
    <w:rsid w:val="002D3650"/>
    <w:rsid w:val="002D4145"/>
    <w:rsid w:val="002D44A6"/>
    <w:rsid w:val="002D4C1D"/>
    <w:rsid w:val="002D5594"/>
    <w:rsid w:val="002D57C8"/>
    <w:rsid w:val="002D58C3"/>
    <w:rsid w:val="002D5979"/>
    <w:rsid w:val="002D7521"/>
    <w:rsid w:val="002E106F"/>
    <w:rsid w:val="002E18C7"/>
    <w:rsid w:val="002E1C0B"/>
    <w:rsid w:val="002E26C5"/>
    <w:rsid w:val="002E346B"/>
    <w:rsid w:val="002E4966"/>
    <w:rsid w:val="002E610E"/>
    <w:rsid w:val="002E6E4A"/>
    <w:rsid w:val="002E7652"/>
    <w:rsid w:val="002F011A"/>
    <w:rsid w:val="002F1D8D"/>
    <w:rsid w:val="002F2D90"/>
    <w:rsid w:val="002F2F56"/>
    <w:rsid w:val="002F3A04"/>
    <w:rsid w:val="002F62FD"/>
    <w:rsid w:val="002F78EB"/>
    <w:rsid w:val="00300547"/>
    <w:rsid w:val="00300EB5"/>
    <w:rsid w:val="00300FB8"/>
    <w:rsid w:val="00302037"/>
    <w:rsid w:val="0030282F"/>
    <w:rsid w:val="00302C6F"/>
    <w:rsid w:val="00303AC1"/>
    <w:rsid w:val="00304EF2"/>
    <w:rsid w:val="003055C7"/>
    <w:rsid w:val="00306FAA"/>
    <w:rsid w:val="0030768E"/>
    <w:rsid w:val="00307981"/>
    <w:rsid w:val="003109A6"/>
    <w:rsid w:val="00310AAC"/>
    <w:rsid w:val="00310BFA"/>
    <w:rsid w:val="00313229"/>
    <w:rsid w:val="003137B4"/>
    <w:rsid w:val="00313904"/>
    <w:rsid w:val="00313A29"/>
    <w:rsid w:val="0031432E"/>
    <w:rsid w:val="00315FCC"/>
    <w:rsid w:val="0032010B"/>
    <w:rsid w:val="0032026D"/>
    <w:rsid w:val="00320AD7"/>
    <w:rsid w:val="00320CB0"/>
    <w:rsid w:val="003239A1"/>
    <w:rsid w:val="00323A80"/>
    <w:rsid w:val="00323EA2"/>
    <w:rsid w:val="00325DBC"/>
    <w:rsid w:val="00326901"/>
    <w:rsid w:val="00326DC9"/>
    <w:rsid w:val="0032705A"/>
    <w:rsid w:val="00327106"/>
    <w:rsid w:val="00334BE3"/>
    <w:rsid w:val="00334CB0"/>
    <w:rsid w:val="00334CCE"/>
    <w:rsid w:val="00335DBC"/>
    <w:rsid w:val="0033721E"/>
    <w:rsid w:val="00337389"/>
    <w:rsid w:val="003379FE"/>
    <w:rsid w:val="0034069E"/>
    <w:rsid w:val="003411E0"/>
    <w:rsid w:val="003416CA"/>
    <w:rsid w:val="00341DF2"/>
    <w:rsid w:val="00342C27"/>
    <w:rsid w:val="00344742"/>
    <w:rsid w:val="00344BF3"/>
    <w:rsid w:val="00345F2D"/>
    <w:rsid w:val="00346752"/>
    <w:rsid w:val="003474ED"/>
    <w:rsid w:val="00347BC1"/>
    <w:rsid w:val="003503F7"/>
    <w:rsid w:val="00351C30"/>
    <w:rsid w:val="00352C22"/>
    <w:rsid w:val="00353807"/>
    <w:rsid w:val="00353EC2"/>
    <w:rsid w:val="0035407A"/>
    <w:rsid w:val="00354560"/>
    <w:rsid w:val="00354F65"/>
    <w:rsid w:val="003555E2"/>
    <w:rsid w:val="00355F77"/>
    <w:rsid w:val="003565AE"/>
    <w:rsid w:val="00356AE4"/>
    <w:rsid w:val="00356B29"/>
    <w:rsid w:val="00356E4A"/>
    <w:rsid w:val="003604DC"/>
    <w:rsid w:val="00367A38"/>
    <w:rsid w:val="003715EA"/>
    <w:rsid w:val="00372553"/>
    <w:rsid w:val="0037371C"/>
    <w:rsid w:val="00374190"/>
    <w:rsid w:val="003752B2"/>
    <w:rsid w:val="0037638A"/>
    <w:rsid w:val="003766CF"/>
    <w:rsid w:val="00377098"/>
    <w:rsid w:val="0038012F"/>
    <w:rsid w:val="0038065E"/>
    <w:rsid w:val="00380825"/>
    <w:rsid w:val="00380B8D"/>
    <w:rsid w:val="00380BBE"/>
    <w:rsid w:val="00382D74"/>
    <w:rsid w:val="00383A59"/>
    <w:rsid w:val="00384D19"/>
    <w:rsid w:val="00387261"/>
    <w:rsid w:val="00387ADE"/>
    <w:rsid w:val="003904E4"/>
    <w:rsid w:val="00390A5E"/>
    <w:rsid w:val="00390FCF"/>
    <w:rsid w:val="003927C3"/>
    <w:rsid w:val="00392B54"/>
    <w:rsid w:val="003953A1"/>
    <w:rsid w:val="0039689F"/>
    <w:rsid w:val="00396DAE"/>
    <w:rsid w:val="003A06E9"/>
    <w:rsid w:val="003A0C0C"/>
    <w:rsid w:val="003A0CCC"/>
    <w:rsid w:val="003A11FF"/>
    <w:rsid w:val="003A311C"/>
    <w:rsid w:val="003A3D4A"/>
    <w:rsid w:val="003A4209"/>
    <w:rsid w:val="003A5236"/>
    <w:rsid w:val="003A5350"/>
    <w:rsid w:val="003A53CA"/>
    <w:rsid w:val="003A6403"/>
    <w:rsid w:val="003A7052"/>
    <w:rsid w:val="003A7A62"/>
    <w:rsid w:val="003A7C4E"/>
    <w:rsid w:val="003B07B9"/>
    <w:rsid w:val="003B15FF"/>
    <w:rsid w:val="003B184E"/>
    <w:rsid w:val="003B1CBA"/>
    <w:rsid w:val="003B2776"/>
    <w:rsid w:val="003B2A28"/>
    <w:rsid w:val="003B408C"/>
    <w:rsid w:val="003B56F6"/>
    <w:rsid w:val="003B6C80"/>
    <w:rsid w:val="003B6F09"/>
    <w:rsid w:val="003C0907"/>
    <w:rsid w:val="003C188E"/>
    <w:rsid w:val="003C19C9"/>
    <w:rsid w:val="003C2AF7"/>
    <w:rsid w:val="003C2B07"/>
    <w:rsid w:val="003C3A37"/>
    <w:rsid w:val="003C5C69"/>
    <w:rsid w:val="003C5E4B"/>
    <w:rsid w:val="003C75EF"/>
    <w:rsid w:val="003C7BA1"/>
    <w:rsid w:val="003D0831"/>
    <w:rsid w:val="003D1481"/>
    <w:rsid w:val="003D1734"/>
    <w:rsid w:val="003D1902"/>
    <w:rsid w:val="003D225F"/>
    <w:rsid w:val="003D2AE5"/>
    <w:rsid w:val="003D2EED"/>
    <w:rsid w:val="003D4242"/>
    <w:rsid w:val="003D5546"/>
    <w:rsid w:val="003D5E34"/>
    <w:rsid w:val="003D6506"/>
    <w:rsid w:val="003D7148"/>
    <w:rsid w:val="003E023C"/>
    <w:rsid w:val="003E03E4"/>
    <w:rsid w:val="003E05AE"/>
    <w:rsid w:val="003E0FE0"/>
    <w:rsid w:val="003E181F"/>
    <w:rsid w:val="003E2C3E"/>
    <w:rsid w:val="003E39E8"/>
    <w:rsid w:val="003E3B49"/>
    <w:rsid w:val="003E4037"/>
    <w:rsid w:val="003E61CB"/>
    <w:rsid w:val="003F0E9A"/>
    <w:rsid w:val="003F2C52"/>
    <w:rsid w:val="003F5293"/>
    <w:rsid w:val="003F6351"/>
    <w:rsid w:val="003F702A"/>
    <w:rsid w:val="003F77A1"/>
    <w:rsid w:val="00401044"/>
    <w:rsid w:val="00401B6A"/>
    <w:rsid w:val="00402A69"/>
    <w:rsid w:val="00402C59"/>
    <w:rsid w:val="0040524F"/>
    <w:rsid w:val="00405702"/>
    <w:rsid w:val="00405D6D"/>
    <w:rsid w:val="004069CB"/>
    <w:rsid w:val="00411787"/>
    <w:rsid w:val="0041212A"/>
    <w:rsid w:val="00412147"/>
    <w:rsid w:val="00412E23"/>
    <w:rsid w:val="004131C6"/>
    <w:rsid w:val="004131D1"/>
    <w:rsid w:val="00414C06"/>
    <w:rsid w:val="0041534A"/>
    <w:rsid w:val="00415E09"/>
    <w:rsid w:val="00415FCB"/>
    <w:rsid w:val="004200CE"/>
    <w:rsid w:val="00420278"/>
    <w:rsid w:val="004211FD"/>
    <w:rsid w:val="00423246"/>
    <w:rsid w:val="004247A5"/>
    <w:rsid w:val="00426178"/>
    <w:rsid w:val="0042702E"/>
    <w:rsid w:val="004304CA"/>
    <w:rsid w:val="00430550"/>
    <w:rsid w:val="00430A31"/>
    <w:rsid w:val="00430B49"/>
    <w:rsid w:val="00431463"/>
    <w:rsid w:val="00432212"/>
    <w:rsid w:val="004327C4"/>
    <w:rsid w:val="00432E91"/>
    <w:rsid w:val="0043408E"/>
    <w:rsid w:val="00435982"/>
    <w:rsid w:val="00435A38"/>
    <w:rsid w:val="00435EC9"/>
    <w:rsid w:val="0043685F"/>
    <w:rsid w:val="00437637"/>
    <w:rsid w:val="00441140"/>
    <w:rsid w:val="00442421"/>
    <w:rsid w:val="00442647"/>
    <w:rsid w:val="00442D58"/>
    <w:rsid w:val="00443B78"/>
    <w:rsid w:val="0044421A"/>
    <w:rsid w:val="00444845"/>
    <w:rsid w:val="00444F27"/>
    <w:rsid w:val="00444F7E"/>
    <w:rsid w:val="0044556A"/>
    <w:rsid w:val="00445B4C"/>
    <w:rsid w:val="0044603B"/>
    <w:rsid w:val="00446EAF"/>
    <w:rsid w:val="00447C89"/>
    <w:rsid w:val="004505DE"/>
    <w:rsid w:val="00450C53"/>
    <w:rsid w:val="00452681"/>
    <w:rsid w:val="004528A1"/>
    <w:rsid w:val="0045618A"/>
    <w:rsid w:val="004563B8"/>
    <w:rsid w:val="00456842"/>
    <w:rsid w:val="004569F6"/>
    <w:rsid w:val="00456F5F"/>
    <w:rsid w:val="00460229"/>
    <w:rsid w:val="004607BE"/>
    <w:rsid w:val="0046159F"/>
    <w:rsid w:val="00462201"/>
    <w:rsid w:val="004624EC"/>
    <w:rsid w:val="004634D9"/>
    <w:rsid w:val="00470A02"/>
    <w:rsid w:val="00472A5E"/>
    <w:rsid w:val="00472E85"/>
    <w:rsid w:val="0047369D"/>
    <w:rsid w:val="004741CD"/>
    <w:rsid w:val="0047491F"/>
    <w:rsid w:val="004759AC"/>
    <w:rsid w:val="00475F54"/>
    <w:rsid w:val="00475FD9"/>
    <w:rsid w:val="00476030"/>
    <w:rsid w:val="00476D56"/>
    <w:rsid w:val="00476FFB"/>
    <w:rsid w:val="00477194"/>
    <w:rsid w:val="00477555"/>
    <w:rsid w:val="00477B28"/>
    <w:rsid w:val="00481763"/>
    <w:rsid w:val="0048280D"/>
    <w:rsid w:val="00482972"/>
    <w:rsid w:val="004833B4"/>
    <w:rsid w:val="00483855"/>
    <w:rsid w:val="004841E6"/>
    <w:rsid w:val="00484E3D"/>
    <w:rsid w:val="00485C95"/>
    <w:rsid w:val="00485F94"/>
    <w:rsid w:val="004860B4"/>
    <w:rsid w:val="004861E5"/>
    <w:rsid w:val="004864F3"/>
    <w:rsid w:val="00487962"/>
    <w:rsid w:val="00487B08"/>
    <w:rsid w:val="00487D41"/>
    <w:rsid w:val="00491370"/>
    <w:rsid w:val="00491792"/>
    <w:rsid w:val="004919D1"/>
    <w:rsid w:val="004920B9"/>
    <w:rsid w:val="00493258"/>
    <w:rsid w:val="00493A7D"/>
    <w:rsid w:val="0049409F"/>
    <w:rsid w:val="004948B2"/>
    <w:rsid w:val="00494C4F"/>
    <w:rsid w:val="0049633F"/>
    <w:rsid w:val="004A0CEF"/>
    <w:rsid w:val="004A12C6"/>
    <w:rsid w:val="004A1795"/>
    <w:rsid w:val="004A17E6"/>
    <w:rsid w:val="004A1BC5"/>
    <w:rsid w:val="004A3091"/>
    <w:rsid w:val="004A4C29"/>
    <w:rsid w:val="004A5A65"/>
    <w:rsid w:val="004A6F1B"/>
    <w:rsid w:val="004B18BC"/>
    <w:rsid w:val="004B1946"/>
    <w:rsid w:val="004B20D3"/>
    <w:rsid w:val="004B2AC6"/>
    <w:rsid w:val="004B30BE"/>
    <w:rsid w:val="004B3435"/>
    <w:rsid w:val="004B379B"/>
    <w:rsid w:val="004B3D2C"/>
    <w:rsid w:val="004B4423"/>
    <w:rsid w:val="004B44F2"/>
    <w:rsid w:val="004B5581"/>
    <w:rsid w:val="004B560C"/>
    <w:rsid w:val="004B569F"/>
    <w:rsid w:val="004B5CC2"/>
    <w:rsid w:val="004B6A20"/>
    <w:rsid w:val="004B7F2A"/>
    <w:rsid w:val="004C17C1"/>
    <w:rsid w:val="004C5634"/>
    <w:rsid w:val="004D177B"/>
    <w:rsid w:val="004D2066"/>
    <w:rsid w:val="004D3555"/>
    <w:rsid w:val="004D35C7"/>
    <w:rsid w:val="004D576A"/>
    <w:rsid w:val="004D6871"/>
    <w:rsid w:val="004D6C34"/>
    <w:rsid w:val="004E0D48"/>
    <w:rsid w:val="004E1370"/>
    <w:rsid w:val="004E1E08"/>
    <w:rsid w:val="004E1EEC"/>
    <w:rsid w:val="004E2D3F"/>
    <w:rsid w:val="004E3803"/>
    <w:rsid w:val="004E52EA"/>
    <w:rsid w:val="004E75F9"/>
    <w:rsid w:val="004F24F1"/>
    <w:rsid w:val="004F2A8C"/>
    <w:rsid w:val="004F3CC0"/>
    <w:rsid w:val="004F3D71"/>
    <w:rsid w:val="004F48F7"/>
    <w:rsid w:val="004F4F01"/>
    <w:rsid w:val="004F7A42"/>
    <w:rsid w:val="00501565"/>
    <w:rsid w:val="00501BCC"/>
    <w:rsid w:val="00501BD3"/>
    <w:rsid w:val="00502F6C"/>
    <w:rsid w:val="00504D67"/>
    <w:rsid w:val="0050518A"/>
    <w:rsid w:val="00505F2F"/>
    <w:rsid w:val="00506AA2"/>
    <w:rsid w:val="00511BEB"/>
    <w:rsid w:val="00512710"/>
    <w:rsid w:val="00514160"/>
    <w:rsid w:val="005142BC"/>
    <w:rsid w:val="005152E0"/>
    <w:rsid w:val="00521D9B"/>
    <w:rsid w:val="005231CA"/>
    <w:rsid w:val="00523B35"/>
    <w:rsid w:val="00524E09"/>
    <w:rsid w:val="00525B68"/>
    <w:rsid w:val="00527752"/>
    <w:rsid w:val="005279D8"/>
    <w:rsid w:val="00527FBD"/>
    <w:rsid w:val="0053080D"/>
    <w:rsid w:val="00530CE2"/>
    <w:rsid w:val="00534FCA"/>
    <w:rsid w:val="005379AB"/>
    <w:rsid w:val="0054190C"/>
    <w:rsid w:val="00543046"/>
    <w:rsid w:val="00544266"/>
    <w:rsid w:val="00544E0E"/>
    <w:rsid w:val="005457B9"/>
    <w:rsid w:val="00547C23"/>
    <w:rsid w:val="00550A80"/>
    <w:rsid w:val="00550FEF"/>
    <w:rsid w:val="00551E7A"/>
    <w:rsid w:val="00552556"/>
    <w:rsid w:val="00552CDD"/>
    <w:rsid w:val="00553B74"/>
    <w:rsid w:val="005545A6"/>
    <w:rsid w:val="0055486F"/>
    <w:rsid w:val="00554AA0"/>
    <w:rsid w:val="00554B57"/>
    <w:rsid w:val="00557280"/>
    <w:rsid w:val="005602DF"/>
    <w:rsid w:val="00562DC1"/>
    <w:rsid w:val="005632E0"/>
    <w:rsid w:val="005638CD"/>
    <w:rsid w:val="00565276"/>
    <w:rsid w:val="0056562A"/>
    <w:rsid w:val="0056571C"/>
    <w:rsid w:val="00565C1E"/>
    <w:rsid w:val="00567338"/>
    <w:rsid w:val="005677AB"/>
    <w:rsid w:val="00567DDB"/>
    <w:rsid w:val="0057025D"/>
    <w:rsid w:val="005707AE"/>
    <w:rsid w:val="00570DFC"/>
    <w:rsid w:val="00571BDE"/>
    <w:rsid w:val="00571D82"/>
    <w:rsid w:val="0057230A"/>
    <w:rsid w:val="0057237A"/>
    <w:rsid w:val="00572E59"/>
    <w:rsid w:val="005750E2"/>
    <w:rsid w:val="0057528A"/>
    <w:rsid w:val="00575694"/>
    <w:rsid w:val="00576651"/>
    <w:rsid w:val="005773DC"/>
    <w:rsid w:val="00577A50"/>
    <w:rsid w:val="00582515"/>
    <w:rsid w:val="00583050"/>
    <w:rsid w:val="0058484A"/>
    <w:rsid w:val="00584FC5"/>
    <w:rsid w:val="0058578E"/>
    <w:rsid w:val="005910CB"/>
    <w:rsid w:val="005914FB"/>
    <w:rsid w:val="0059447F"/>
    <w:rsid w:val="00594DF7"/>
    <w:rsid w:val="00595A02"/>
    <w:rsid w:val="0059605A"/>
    <w:rsid w:val="00597426"/>
    <w:rsid w:val="005A2A76"/>
    <w:rsid w:val="005A3600"/>
    <w:rsid w:val="005A388A"/>
    <w:rsid w:val="005A46F7"/>
    <w:rsid w:val="005A55CB"/>
    <w:rsid w:val="005A67E6"/>
    <w:rsid w:val="005A7DB6"/>
    <w:rsid w:val="005B016B"/>
    <w:rsid w:val="005B068C"/>
    <w:rsid w:val="005B0869"/>
    <w:rsid w:val="005B1F11"/>
    <w:rsid w:val="005B3B40"/>
    <w:rsid w:val="005B3E38"/>
    <w:rsid w:val="005B46A1"/>
    <w:rsid w:val="005B56A1"/>
    <w:rsid w:val="005B6818"/>
    <w:rsid w:val="005B6829"/>
    <w:rsid w:val="005B68FB"/>
    <w:rsid w:val="005C086D"/>
    <w:rsid w:val="005C0B50"/>
    <w:rsid w:val="005C31BE"/>
    <w:rsid w:val="005C3458"/>
    <w:rsid w:val="005C3ADD"/>
    <w:rsid w:val="005C3B49"/>
    <w:rsid w:val="005C714A"/>
    <w:rsid w:val="005D1731"/>
    <w:rsid w:val="005D297D"/>
    <w:rsid w:val="005D365B"/>
    <w:rsid w:val="005D3B11"/>
    <w:rsid w:val="005D3C82"/>
    <w:rsid w:val="005D3CD3"/>
    <w:rsid w:val="005D480E"/>
    <w:rsid w:val="005E0B9A"/>
    <w:rsid w:val="005E1C91"/>
    <w:rsid w:val="005E2AE8"/>
    <w:rsid w:val="005E2BB1"/>
    <w:rsid w:val="005E3C08"/>
    <w:rsid w:val="005E428D"/>
    <w:rsid w:val="005E6370"/>
    <w:rsid w:val="005E6B03"/>
    <w:rsid w:val="005E6EEB"/>
    <w:rsid w:val="005F0703"/>
    <w:rsid w:val="005F0E84"/>
    <w:rsid w:val="005F0FC0"/>
    <w:rsid w:val="005F1992"/>
    <w:rsid w:val="005F462B"/>
    <w:rsid w:val="005F566E"/>
    <w:rsid w:val="005F595A"/>
    <w:rsid w:val="00600886"/>
    <w:rsid w:val="006008FE"/>
    <w:rsid w:val="00602203"/>
    <w:rsid w:val="006022CC"/>
    <w:rsid w:val="00603327"/>
    <w:rsid w:val="00603BEF"/>
    <w:rsid w:val="006045F2"/>
    <w:rsid w:val="00604DD0"/>
    <w:rsid w:val="00605669"/>
    <w:rsid w:val="0060584E"/>
    <w:rsid w:val="00605862"/>
    <w:rsid w:val="006065CD"/>
    <w:rsid w:val="0061063F"/>
    <w:rsid w:val="00611ED0"/>
    <w:rsid w:val="00612834"/>
    <w:rsid w:val="00612F2D"/>
    <w:rsid w:val="0061306F"/>
    <w:rsid w:val="006153B8"/>
    <w:rsid w:val="006166C2"/>
    <w:rsid w:val="00616B7B"/>
    <w:rsid w:val="006175BB"/>
    <w:rsid w:val="00620BED"/>
    <w:rsid w:val="0062108F"/>
    <w:rsid w:val="00621121"/>
    <w:rsid w:val="006211A4"/>
    <w:rsid w:val="0062231D"/>
    <w:rsid w:val="0062295F"/>
    <w:rsid w:val="00623784"/>
    <w:rsid w:val="00623C72"/>
    <w:rsid w:val="00624425"/>
    <w:rsid w:val="00624B0B"/>
    <w:rsid w:val="0062592E"/>
    <w:rsid w:val="00626124"/>
    <w:rsid w:val="00627D33"/>
    <w:rsid w:val="00627D83"/>
    <w:rsid w:val="006302AF"/>
    <w:rsid w:val="006308B0"/>
    <w:rsid w:val="00632E6A"/>
    <w:rsid w:val="00632F97"/>
    <w:rsid w:val="0063422E"/>
    <w:rsid w:val="006349BD"/>
    <w:rsid w:val="00634F33"/>
    <w:rsid w:val="00635052"/>
    <w:rsid w:val="00635356"/>
    <w:rsid w:val="0063558E"/>
    <w:rsid w:val="00637288"/>
    <w:rsid w:val="0063765A"/>
    <w:rsid w:val="00637AB8"/>
    <w:rsid w:val="00637F6F"/>
    <w:rsid w:val="00641E67"/>
    <w:rsid w:val="006423E4"/>
    <w:rsid w:val="006427DD"/>
    <w:rsid w:val="0064351F"/>
    <w:rsid w:val="00643C90"/>
    <w:rsid w:val="0064411A"/>
    <w:rsid w:val="00647DFF"/>
    <w:rsid w:val="0065044D"/>
    <w:rsid w:val="006513F2"/>
    <w:rsid w:val="00651B01"/>
    <w:rsid w:val="00651CC7"/>
    <w:rsid w:val="00653CD0"/>
    <w:rsid w:val="00653D90"/>
    <w:rsid w:val="0065405A"/>
    <w:rsid w:val="00656678"/>
    <w:rsid w:val="00657925"/>
    <w:rsid w:val="00660F73"/>
    <w:rsid w:val="00661018"/>
    <w:rsid w:val="006662B9"/>
    <w:rsid w:val="00667301"/>
    <w:rsid w:val="00670861"/>
    <w:rsid w:val="006716E9"/>
    <w:rsid w:val="00674DF1"/>
    <w:rsid w:val="00676562"/>
    <w:rsid w:val="00676E95"/>
    <w:rsid w:val="006772A1"/>
    <w:rsid w:val="00677393"/>
    <w:rsid w:val="006779CB"/>
    <w:rsid w:val="00677D11"/>
    <w:rsid w:val="0068045F"/>
    <w:rsid w:val="006808BC"/>
    <w:rsid w:val="00680A11"/>
    <w:rsid w:val="00681567"/>
    <w:rsid w:val="00683447"/>
    <w:rsid w:val="00685040"/>
    <w:rsid w:val="006862D3"/>
    <w:rsid w:val="0068664A"/>
    <w:rsid w:val="00687633"/>
    <w:rsid w:val="0068775A"/>
    <w:rsid w:val="006877A0"/>
    <w:rsid w:val="00691C18"/>
    <w:rsid w:val="00692EB9"/>
    <w:rsid w:val="00693734"/>
    <w:rsid w:val="00693E5E"/>
    <w:rsid w:val="006955A5"/>
    <w:rsid w:val="00696844"/>
    <w:rsid w:val="006A07A5"/>
    <w:rsid w:val="006A1222"/>
    <w:rsid w:val="006A1662"/>
    <w:rsid w:val="006A4EE9"/>
    <w:rsid w:val="006A5B83"/>
    <w:rsid w:val="006A623E"/>
    <w:rsid w:val="006A6269"/>
    <w:rsid w:val="006A6B4F"/>
    <w:rsid w:val="006A6D43"/>
    <w:rsid w:val="006A79D9"/>
    <w:rsid w:val="006A7BA2"/>
    <w:rsid w:val="006B11A4"/>
    <w:rsid w:val="006B1FCA"/>
    <w:rsid w:val="006B2994"/>
    <w:rsid w:val="006B3229"/>
    <w:rsid w:val="006B33C8"/>
    <w:rsid w:val="006B3476"/>
    <w:rsid w:val="006B508A"/>
    <w:rsid w:val="006B54D5"/>
    <w:rsid w:val="006B5B8C"/>
    <w:rsid w:val="006B6624"/>
    <w:rsid w:val="006B6AD4"/>
    <w:rsid w:val="006B6D2F"/>
    <w:rsid w:val="006C0AB7"/>
    <w:rsid w:val="006C14F1"/>
    <w:rsid w:val="006C3468"/>
    <w:rsid w:val="006C3A10"/>
    <w:rsid w:val="006C43BF"/>
    <w:rsid w:val="006C4566"/>
    <w:rsid w:val="006C4AD1"/>
    <w:rsid w:val="006C4DC3"/>
    <w:rsid w:val="006C5107"/>
    <w:rsid w:val="006C69BB"/>
    <w:rsid w:val="006C6B19"/>
    <w:rsid w:val="006C6C05"/>
    <w:rsid w:val="006C742C"/>
    <w:rsid w:val="006D0A6D"/>
    <w:rsid w:val="006D0D2C"/>
    <w:rsid w:val="006D2C7E"/>
    <w:rsid w:val="006D3D29"/>
    <w:rsid w:val="006D3FEA"/>
    <w:rsid w:val="006D50CE"/>
    <w:rsid w:val="006D517D"/>
    <w:rsid w:val="006D5272"/>
    <w:rsid w:val="006D5955"/>
    <w:rsid w:val="006D6C00"/>
    <w:rsid w:val="006D7D97"/>
    <w:rsid w:val="006E0A59"/>
    <w:rsid w:val="006E103F"/>
    <w:rsid w:val="006E1BCA"/>
    <w:rsid w:val="006E25A6"/>
    <w:rsid w:val="006E31A5"/>
    <w:rsid w:val="006E3458"/>
    <w:rsid w:val="006E4F12"/>
    <w:rsid w:val="006E68DD"/>
    <w:rsid w:val="006E69FD"/>
    <w:rsid w:val="006E7CDF"/>
    <w:rsid w:val="006F1F28"/>
    <w:rsid w:val="006F2731"/>
    <w:rsid w:val="006F31F6"/>
    <w:rsid w:val="006F326D"/>
    <w:rsid w:val="006F33D1"/>
    <w:rsid w:val="006F38A4"/>
    <w:rsid w:val="006F4E88"/>
    <w:rsid w:val="006F6650"/>
    <w:rsid w:val="006F6D28"/>
    <w:rsid w:val="006F7380"/>
    <w:rsid w:val="006F7A1D"/>
    <w:rsid w:val="00700B0C"/>
    <w:rsid w:val="0070241F"/>
    <w:rsid w:val="00703160"/>
    <w:rsid w:val="0070573D"/>
    <w:rsid w:val="0070578E"/>
    <w:rsid w:val="00706897"/>
    <w:rsid w:val="0070707D"/>
    <w:rsid w:val="007105B7"/>
    <w:rsid w:val="00710DBD"/>
    <w:rsid w:val="00710DF2"/>
    <w:rsid w:val="00712B65"/>
    <w:rsid w:val="007145D3"/>
    <w:rsid w:val="0071460A"/>
    <w:rsid w:val="00715583"/>
    <w:rsid w:val="00721459"/>
    <w:rsid w:val="007214AA"/>
    <w:rsid w:val="00722624"/>
    <w:rsid w:val="007226D5"/>
    <w:rsid w:val="0072390C"/>
    <w:rsid w:val="00723E0D"/>
    <w:rsid w:val="0072627F"/>
    <w:rsid w:val="007266DC"/>
    <w:rsid w:val="00727949"/>
    <w:rsid w:val="00727DBE"/>
    <w:rsid w:val="007307F6"/>
    <w:rsid w:val="00730D3E"/>
    <w:rsid w:val="007316AE"/>
    <w:rsid w:val="007319FD"/>
    <w:rsid w:val="007353AC"/>
    <w:rsid w:val="00736058"/>
    <w:rsid w:val="0073646D"/>
    <w:rsid w:val="00736D4A"/>
    <w:rsid w:val="007371DC"/>
    <w:rsid w:val="00737AA5"/>
    <w:rsid w:val="007406A2"/>
    <w:rsid w:val="00741E8E"/>
    <w:rsid w:val="0074486C"/>
    <w:rsid w:val="00744FF6"/>
    <w:rsid w:val="007457E4"/>
    <w:rsid w:val="00747A2A"/>
    <w:rsid w:val="00754C1F"/>
    <w:rsid w:val="007564B4"/>
    <w:rsid w:val="00756FC9"/>
    <w:rsid w:val="0076033E"/>
    <w:rsid w:val="00764A66"/>
    <w:rsid w:val="007653D6"/>
    <w:rsid w:val="007654D1"/>
    <w:rsid w:val="007656F1"/>
    <w:rsid w:val="00765BB8"/>
    <w:rsid w:val="00765D07"/>
    <w:rsid w:val="00767588"/>
    <w:rsid w:val="00767D36"/>
    <w:rsid w:val="007703E6"/>
    <w:rsid w:val="007726C5"/>
    <w:rsid w:val="00773577"/>
    <w:rsid w:val="00773675"/>
    <w:rsid w:val="00774ABC"/>
    <w:rsid w:val="0077562F"/>
    <w:rsid w:val="00775FA9"/>
    <w:rsid w:val="0077631C"/>
    <w:rsid w:val="00776367"/>
    <w:rsid w:val="00777241"/>
    <w:rsid w:val="007808A5"/>
    <w:rsid w:val="00780D66"/>
    <w:rsid w:val="007815E5"/>
    <w:rsid w:val="00781B41"/>
    <w:rsid w:val="00781C82"/>
    <w:rsid w:val="007821CC"/>
    <w:rsid w:val="007824EB"/>
    <w:rsid w:val="0078368A"/>
    <w:rsid w:val="0078544B"/>
    <w:rsid w:val="007857A9"/>
    <w:rsid w:val="00786552"/>
    <w:rsid w:val="00786B34"/>
    <w:rsid w:val="0078710C"/>
    <w:rsid w:val="007872BE"/>
    <w:rsid w:val="00787308"/>
    <w:rsid w:val="00787C86"/>
    <w:rsid w:val="0079111C"/>
    <w:rsid w:val="00793277"/>
    <w:rsid w:val="0079345F"/>
    <w:rsid w:val="00793582"/>
    <w:rsid w:val="0079369C"/>
    <w:rsid w:val="00793C23"/>
    <w:rsid w:val="00794907"/>
    <w:rsid w:val="007952B2"/>
    <w:rsid w:val="007963C0"/>
    <w:rsid w:val="00796785"/>
    <w:rsid w:val="00797002"/>
    <w:rsid w:val="00797102"/>
    <w:rsid w:val="007A0126"/>
    <w:rsid w:val="007A082B"/>
    <w:rsid w:val="007A1785"/>
    <w:rsid w:val="007A255B"/>
    <w:rsid w:val="007A2F70"/>
    <w:rsid w:val="007A2FFD"/>
    <w:rsid w:val="007A4F99"/>
    <w:rsid w:val="007A6CDC"/>
    <w:rsid w:val="007A7B8E"/>
    <w:rsid w:val="007B003F"/>
    <w:rsid w:val="007B12A0"/>
    <w:rsid w:val="007B1774"/>
    <w:rsid w:val="007B35BE"/>
    <w:rsid w:val="007B3F07"/>
    <w:rsid w:val="007B560A"/>
    <w:rsid w:val="007B6424"/>
    <w:rsid w:val="007B72BA"/>
    <w:rsid w:val="007B7343"/>
    <w:rsid w:val="007B74D4"/>
    <w:rsid w:val="007C011D"/>
    <w:rsid w:val="007C0570"/>
    <w:rsid w:val="007C1B1D"/>
    <w:rsid w:val="007C243D"/>
    <w:rsid w:val="007C30CD"/>
    <w:rsid w:val="007C5A5C"/>
    <w:rsid w:val="007C5BB2"/>
    <w:rsid w:val="007C5D3C"/>
    <w:rsid w:val="007C7576"/>
    <w:rsid w:val="007D059B"/>
    <w:rsid w:val="007D06C9"/>
    <w:rsid w:val="007D085E"/>
    <w:rsid w:val="007D1616"/>
    <w:rsid w:val="007D286A"/>
    <w:rsid w:val="007D2E1F"/>
    <w:rsid w:val="007D3162"/>
    <w:rsid w:val="007D386D"/>
    <w:rsid w:val="007D3E1A"/>
    <w:rsid w:val="007D3FF6"/>
    <w:rsid w:val="007D4267"/>
    <w:rsid w:val="007D53E1"/>
    <w:rsid w:val="007D5B00"/>
    <w:rsid w:val="007D5D20"/>
    <w:rsid w:val="007D73D1"/>
    <w:rsid w:val="007E1011"/>
    <w:rsid w:val="007E13DD"/>
    <w:rsid w:val="007E165B"/>
    <w:rsid w:val="007E1BF9"/>
    <w:rsid w:val="007E2022"/>
    <w:rsid w:val="007E2404"/>
    <w:rsid w:val="007E40B6"/>
    <w:rsid w:val="007E60F4"/>
    <w:rsid w:val="007E6DDB"/>
    <w:rsid w:val="007E7CD5"/>
    <w:rsid w:val="007F06CC"/>
    <w:rsid w:val="007F0B3D"/>
    <w:rsid w:val="007F1E39"/>
    <w:rsid w:val="007F1F70"/>
    <w:rsid w:val="007F2004"/>
    <w:rsid w:val="007F4008"/>
    <w:rsid w:val="007F42CA"/>
    <w:rsid w:val="007F5D77"/>
    <w:rsid w:val="007F5E7E"/>
    <w:rsid w:val="007F7174"/>
    <w:rsid w:val="00800A90"/>
    <w:rsid w:val="00802E07"/>
    <w:rsid w:val="008039F4"/>
    <w:rsid w:val="00806822"/>
    <w:rsid w:val="00806D87"/>
    <w:rsid w:val="0081121A"/>
    <w:rsid w:val="00811E41"/>
    <w:rsid w:val="00812A54"/>
    <w:rsid w:val="00812B8B"/>
    <w:rsid w:val="00813927"/>
    <w:rsid w:val="00813B68"/>
    <w:rsid w:val="00813CE3"/>
    <w:rsid w:val="00813F91"/>
    <w:rsid w:val="0081498A"/>
    <w:rsid w:val="00814BBA"/>
    <w:rsid w:val="00815C7C"/>
    <w:rsid w:val="00816867"/>
    <w:rsid w:val="00816AD5"/>
    <w:rsid w:val="008210B3"/>
    <w:rsid w:val="008214C8"/>
    <w:rsid w:val="0082396B"/>
    <w:rsid w:val="008239D9"/>
    <w:rsid w:val="00824D71"/>
    <w:rsid w:val="00824DA6"/>
    <w:rsid w:val="0082685E"/>
    <w:rsid w:val="00827FEE"/>
    <w:rsid w:val="008305EB"/>
    <w:rsid w:val="0083158A"/>
    <w:rsid w:val="00831B8A"/>
    <w:rsid w:val="008336AA"/>
    <w:rsid w:val="008374CD"/>
    <w:rsid w:val="00837522"/>
    <w:rsid w:val="0083761B"/>
    <w:rsid w:val="008376D7"/>
    <w:rsid w:val="008377BA"/>
    <w:rsid w:val="00837B42"/>
    <w:rsid w:val="00837D8D"/>
    <w:rsid w:val="00837DD1"/>
    <w:rsid w:val="0084039F"/>
    <w:rsid w:val="00841CCA"/>
    <w:rsid w:val="00842053"/>
    <w:rsid w:val="008438C7"/>
    <w:rsid w:val="00844E45"/>
    <w:rsid w:val="008456F4"/>
    <w:rsid w:val="00846B5A"/>
    <w:rsid w:val="00850EC7"/>
    <w:rsid w:val="008515C4"/>
    <w:rsid w:val="00852088"/>
    <w:rsid w:val="00852308"/>
    <w:rsid w:val="00852864"/>
    <w:rsid w:val="0085347D"/>
    <w:rsid w:val="00853FCC"/>
    <w:rsid w:val="008540F0"/>
    <w:rsid w:val="0085437F"/>
    <w:rsid w:val="00855444"/>
    <w:rsid w:val="00855FB3"/>
    <w:rsid w:val="008604B4"/>
    <w:rsid w:val="0086064B"/>
    <w:rsid w:val="008608B0"/>
    <w:rsid w:val="00860DD8"/>
    <w:rsid w:val="00860E1B"/>
    <w:rsid w:val="00861E66"/>
    <w:rsid w:val="008623BF"/>
    <w:rsid w:val="008625A9"/>
    <w:rsid w:val="008636ED"/>
    <w:rsid w:val="00867F57"/>
    <w:rsid w:val="008701D2"/>
    <w:rsid w:val="00870346"/>
    <w:rsid w:val="008725F9"/>
    <w:rsid w:val="0087524C"/>
    <w:rsid w:val="008755BF"/>
    <w:rsid w:val="008830EF"/>
    <w:rsid w:val="00883816"/>
    <w:rsid w:val="00886530"/>
    <w:rsid w:val="0088681A"/>
    <w:rsid w:val="008902A1"/>
    <w:rsid w:val="00891174"/>
    <w:rsid w:val="00891AE1"/>
    <w:rsid w:val="00893909"/>
    <w:rsid w:val="00895495"/>
    <w:rsid w:val="0089779D"/>
    <w:rsid w:val="008A05D3"/>
    <w:rsid w:val="008A0C08"/>
    <w:rsid w:val="008A2A02"/>
    <w:rsid w:val="008A2FD4"/>
    <w:rsid w:val="008A3D8B"/>
    <w:rsid w:val="008A3EB7"/>
    <w:rsid w:val="008A3FCF"/>
    <w:rsid w:val="008A5CA9"/>
    <w:rsid w:val="008A6593"/>
    <w:rsid w:val="008A6DA9"/>
    <w:rsid w:val="008B13E0"/>
    <w:rsid w:val="008B337C"/>
    <w:rsid w:val="008B3715"/>
    <w:rsid w:val="008B4687"/>
    <w:rsid w:val="008B5955"/>
    <w:rsid w:val="008B5A4A"/>
    <w:rsid w:val="008B7262"/>
    <w:rsid w:val="008C0C44"/>
    <w:rsid w:val="008C2430"/>
    <w:rsid w:val="008C30F8"/>
    <w:rsid w:val="008C5DF2"/>
    <w:rsid w:val="008C62F3"/>
    <w:rsid w:val="008C6546"/>
    <w:rsid w:val="008C664E"/>
    <w:rsid w:val="008C7C94"/>
    <w:rsid w:val="008C7D97"/>
    <w:rsid w:val="008D117B"/>
    <w:rsid w:val="008D13FC"/>
    <w:rsid w:val="008D184C"/>
    <w:rsid w:val="008D25A2"/>
    <w:rsid w:val="008D2C4C"/>
    <w:rsid w:val="008D3216"/>
    <w:rsid w:val="008D3745"/>
    <w:rsid w:val="008D388A"/>
    <w:rsid w:val="008D62BD"/>
    <w:rsid w:val="008D7517"/>
    <w:rsid w:val="008D7C05"/>
    <w:rsid w:val="008E18EA"/>
    <w:rsid w:val="008E1E53"/>
    <w:rsid w:val="008E21DC"/>
    <w:rsid w:val="008E2ABA"/>
    <w:rsid w:val="008E35AF"/>
    <w:rsid w:val="008E4D2A"/>
    <w:rsid w:val="008E6608"/>
    <w:rsid w:val="008E6BA9"/>
    <w:rsid w:val="008E74A2"/>
    <w:rsid w:val="008E751F"/>
    <w:rsid w:val="008F0721"/>
    <w:rsid w:val="008F08A0"/>
    <w:rsid w:val="008F0944"/>
    <w:rsid w:val="008F38B1"/>
    <w:rsid w:val="008F3C24"/>
    <w:rsid w:val="008F42F9"/>
    <w:rsid w:val="008F4A7A"/>
    <w:rsid w:val="008F4E96"/>
    <w:rsid w:val="008F5C27"/>
    <w:rsid w:val="008F5E26"/>
    <w:rsid w:val="008F6075"/>
    <w:rsid w:val="008F677A"/>
    <w:rsid w:val="008F68EA"/>
    <w:rsid w:val="008F7C02"/>
    <w:rsid w:val="008F7FA8"/>
    <w:rsid w:val="009001B3"/>
    <w:rsid w:val="00902ABF"/>
    <w:rsid w:val="009034D5"/>
    <w:rsid w:val="00905684"/>
    <w:rsid w:val="009060B5"/>
    <w:rsid w:val="00906C0D"/>
    <w:rsid w:val="009078CF"/>
    <w:rsid w:val="00910212"/>
    <w:rsid w:val="00912C58"/>
    <w:rsid w:val="009145B5"/>
    <w:rsid w:val="00914A32"/>
    <w:rsid w:val="00915AA3"/>
    <w:rsid w:val="00916711"/>
    <w:rsid w:val="00917ADB"/>
    <w:rsid w:val="00920100"/>
    <w:rsid w:val="009227DC"/>
    <w:rsid w:val="00925D5F"/>
    <w:rsid w:val="00925E38"/>
    <w:rsid w:val="00927002"/>
    <w:rsid w:val="00927641"/>
    <w:rsid w:val="00931378"/>
    <w:rsid w:val="009314C4"/>
    <w:rsid w:val="009337FE"/>
    <w:rsid w:val="009355B3"/>
    <w:rsid w:val="00935BE1"/>
    <w:rsid w:val="009360C5"/>
    <w:rsid w:val="00936D70"/>
    <w:rsid w:val="00937BC2"/>
    <w:rsid w:val="009402A0"/>
    <w:rsid w:val="00940E76"/>
    <w:rsid w:val="00941967"/>
    <w:rsid w:val="009423EE"/>
    <w:rsid w:val="00943116"/>
    <w:rsid w:val="0094453E"/>
    <w:rsid w:val="00944916"/>
    <w:rsid w:val="009458A0"/>
    <w:rsid w:val="00945AFF"/>
    <w:rsid w:val="00945D1F"/>
    <w:rsid w:val="00946244"/>
    <w:rsid w:val="00947E69"/>
    <w:rsid w:val="00950D33"/>
    <w:rsid w:val="00951F54"/>
    <w:rsid w:val="00953993"/>
    <w:rsid w:val="00953A83"/>
    <w:rsid w:val="00954513"/>
    <w:rsid w:val="00956454"/>
    <w:rsid w:val="00956C0A"/>
    <w:rsid w:val="00956CAE"/>
    <w:rsid w:val="009570E0"/>
    <w:rsid w:val="00957C40"/>
    <w:rsid w:val="009601E2"/>
    <w:rsid w:val="009620E9"/>
    <w:rsid w:val="00963394"/>
    <w:rsid w:val="00964569"/>
    <w:rsid w:val="0096472A"/>
    <w:rsid w:val="0096531A"/>
    <w:rsid w:val="00967096"/>
    <w:rsid w:val="00971A09"/>
    <w:rsid w:val="00972A77"/>
    <w:rsid w:val="0097328B"/>
    <w:rsid w:val="00973E84"/>
    <w:rsid w:val="0097414F"/>
    <w:rsid w:val="00974A9B"/>
    <w:rsid w:val="009755D8"/>
    <w:rsid w:val="00975A20"/>
    <w:rsid w:val="00976EF6"/>
    <w:rsid w:val="0097710F"/>
    <w:rsid w:val="009776FD"/>
    <w:rsid w:val="009809F0"/>
    <w:rsid w:val="00981252"/>
    <w:rsid w:val="009812D7"/>
    <w:rsid w:val="0098244E"/>
    <w:rsid w:val="0098325C"/>
    <w:rsid w:val="00983683"/>
    <w:rsid w:val="00985999"/>
    <w:rsid w:val="00985E3E"/>
    <w:rsid w:val="00985F80"/>
    <w:rsid w:val="0098610F"/>
    <w:rsid w:val="00991771"/>
    <w:rsid w:val="00991892"/>
    <w:rsid w:val="009922AC"/>
    <w:rsid w:val="009924C3"/>
    <w:rsid w:val="009925FB"/>
    <w:rsid w:val="00993215"/>
    <w:rsid w:val="00994866"/>
    <w:rsid w:val="00995C01"/>
    <w:rsid w:val="009A1534"/>
    <w:rsid w:val="009A2523"/>
    <w:rsid w:val="009A273B"/>
    <w:rsid w:val="009A7796"/>
    <w:rsid w:val="009A79BF"/>
    <w:rsid w:val="009B05CC"/>
    <w:rsid w:val="009B28ED"/>
    <w:rsid w:val="009B3B4D"/>
    <w:rsid w:val="009B5F52"/>
    <w:rsid w:val="009B61CC"/>
    <w:rsid w:val="009B780F"/>
    <w:rsid w:val="009C1CFC"/>
    <w:rsid w:val="009C2046"/>
    <w:rsid w:val="009C2FB0"/>
    <w:rsid w:val="009C301B"/>
    <w:rsid w:val="009C4130"/>
    <w:rsid w:val="009C50A7"/>
    <w:rsid w:val="009C51D3"/>
    <w:rsid w:val="009C584E"/>
    <w:rsid w:val="009C67BD"/>
    <w:rsid w:val="009D20BE"/>
    <w:rsid w:val="009D3FE4"/>
    <w:rsid w:val="009D561A"/>
    <w:rsid w:val="009D62C8"/>
    <w:rsid w:val="009D69EC"/>
    <w:rsid w:val="009D71B0"/>
    <w:rsid w:val="009D71E3"/>
    <w:rsid w:val="009E1250"/>
    <w:rsid w:val="009E2092"/>
    <w:rsid w:val="009E24C8"/>
    <w:rsid w:val="009E3E03"/>
    <w:rsid w:val="009E44FA"/>
    <w:rsid w:val="009E5A0D"/>
    <w:rsid w:val="009E66E5"/>
    <w:rsid w:val="009E6834"/>
    <w:rsid w:val="009E7BA1"/>
    <w:rsid w:val="009F16FB"/>
    <w:rsid w:val="009F1BB4"/>
    <w:rsid w:val="009F31CA"/>
    <w:rsid w:val="009F338E"/>
    <w:rsid w:val="009F5E10"/>
    <w:rsid w:val="009F6078"/>
    <w:rsid w:val="009F6313"/>
    <w:rsid w:val="00A00126"/>
    <w:rsid w:val="00A01C35"/>
    <w:rsid w:val="00A01C9D"/>
    <w:rsid w:val="00A01F4B"/>
    <w:rsid w:val="00A027CB"/>
    <w:rsid w:val="00A02FF5"/>
    <w:rsid w:val="00A0304B"/>
    <w:rsid w:val="00A040CE"/>
    <w:rsid w:val="00A05285"/>
    <w:rsid w:val="00A05534"/>
    <w:rsid w:val="00A068C1"/>
    <w:rsid w:val="00A070BB"/>
    <w:rsid w:val="00A07DDC"/>
    <w:rsid w:val="00A1273C"/>
    <w:rsid w:val="00A13022"/>
    <w:rsid w:val="00A133B3"/>
    <w:rsid w:val="00A1350E"/>
    <w:rsid w:val="00A1462B"/>
    <w:rsid w:val="00A15B91"/>
    <w:rsid w:val="00A20771"/>
    <w:rsid w:val="00A22489"/>
    <w:rsid w:val="00A23DE7"/>
    <w:rsid w:val="00A24587"/>
    <w:rsid w:val="00A249AD"/>
    <w:rsid w:val="00A26AF0"/>
    <w:rsid w:val="00A30B23"/>
    <w:rsid w:val="00A31426"/>
    <w:rsid w:val="00A32452"/>
    <w:rsid w:val="00A332CA"/>
    <w:rsid w:val="00A3348D"/>
    <w:rsid w:val="00A3502C"/>
    <w:rsid w:val="00A369E4"/>
    <w:rsid w:val="00A40A4A"/>
    <w:rsid w:val="00A421F9"/>
    <w:rsid w:val="00A42736"/>
    <w:rsid w:val="00A43729"/>
    <w:rsid w:val="00A43CF4"/>
    <w:rsid w:val="00A43D1D"/>
    <w:rsid w:val="00A44A2D"/>
    <w:rsid w:val="00A44F5B"/>
    <w:rsid w:val="00A46F03"/>
    <w:rsid w:val="00A508E4"/>
    <w:rsid w:val="00A50C47"/>
    <w:rsid w:val="00A5106E"/>
    <w:rsid w:val="00A52B0E"/>
    <w:rsid w:val="00A532E4"/>
    <w:rsid w:val="00A55366"/>
    <w:rsid w:val="00A561E1"/>
    <w:rsid w:val="00A56CD5"/>
    <w:rsid w:val="00A571A3"/>
    <w:rsid w:val="00A62583"/>
    <w:rsid w:val="00A62F39"/>
    <w:rsid w:val="00A6322E"/>
    <w:rsid w:val="00A65FED"/>
    <w:rsid w:val="00A66F95"/>
    <w:rsid w:val="00A70EBD"/>
    <w:rsid w:val="00A71404"/>
    <w:rsid w:val="00A72E77"/>
    <w:rsid w:val="00A73605"/>
    <w:rsid w:val="00A7507E"/>
    <w:rsid w:val="00A7617F"/>
    <w:rsid w:val="00A7668B"/>
    <w:rsid w:val="00A76A8E"/>
    <w:rsid w:val="00A77A99"/>
    <w:rsid w:val="00A805EA"/>
    <w:rsid w:val="00A808F0"/>
    <w:rsid w:val="00A80D57"/>
    <w:rsid w:val="00A817B2"/>
    <w:rsid w:val="00A8288B"/>
    <w:rsid w:val="00A83A34"/>
    <w:rsid w:val="00A84725"/>
    <w:rsid w:val="00A84748"/>
    <w:rsid w:val="00A847B3"/>
    <w:rsid w:val="00A85159"/>
    <w:rsid w:val="00A86213"/>
    <w:rsid w:val="00A87668"/>
    <w:rsid w:val="00A87C9A"/>
    <w:rsid w:val="00A90685"/>
    <w:rsid w:val="00A9217E"/>
    <w:rsid w:val="00A946C2"/>
    <w:rsid w:val="00A94AFD"/>
    <w:rsid w:val="00A9515B"/>
    <w:rsid w:val="00A95872"/>
    <w:rsid w:val="00A95EDE"/>
    <w:rsid w:val="00A97601"/>
    <w:rsid w:val="00AA05E1"/>
    <w:rsid w:val="00AA1705"/>
    <w:rsid w:val="00AA1AB9"/>
    <w:rsid w:val="00AA2B97"/>
    <w:rsid w:val="00AA3DA4"/>
    <w:rsid w:val="00AA4E7A"/>
    <w:rsid w:val="00AA5A13"/>
    <w:rsid w:val="00AA6178"/>
    <w:rsid w:val="00AA6414"/>
    <w:rsid w:val="00AB0A8A"/>
    <w:rsid w:val="00AB125B"/>
    <w:rsid w:val="00AB1653"/>
    <w:rsid w:val="00AB2808"/>
    <w:rsid w:val="00AB2C1D"/>
    <w:rsid w:val="00AB2E8B"/>
    <w:rsid w:val="00AB3D1F"/>
    <w:rsid w:val="00AB4412"/>
    <w:rsid w:val="00AB5E84"/>
    <w:rsid w:val="00AB633D"/>
    <w:rsid w:val="00AC20F4"/>
    <w:rsid w:val="00AC22F4"/>
    <w:rsid w:val="00AC2826"/>
    <w:rsid w:val="00AC2865"/>
    <w:rsid w:val="00AC312C"/>
    <w:rsid w:val="00AC3400"/>
    <w:rsid w:val="00AC344A"/>
    <w:rsid w:val="00AC36A9"/>
    <w:rsid w:val="00AC54C2"/>
    <w:rsid w:val="00AC6E28"/>
    <w:rsid w:val="00AC76EC"/>
    <w:rsid w:val="00AD0B03"/>
    <w:rsid w:val="00AD141E"/>
    <w:rsid w:val="00AD29D0"/>
    <w:rsid w:val="00AD4580"/>
    <w:rsid w:val="00AD4729"/>
    <w:rsid w:val="00AD4F08"/>
    <w:rsid w:val="00AD553B"/>
    <w:rsid w:val="00AD58FA"/>
    <w:rsid w:val="00AD59A3"/>
    <w:rsid w:val="00AD6434"/>
    <w:rsid w:val="00AD7290"/>
    <w:rsid w:val="00AE0049"/>
    <w:rsid w:val="00AE0CEA"/>
    <w:rsid w:val="00AE101C"/>
    <w:rsid w:val="00AE15A0"/>
    <w:rsid w:val="00AE3025"/>
    <w:rsid w:val="00AE5D73"/>
    <w:rsid w:val="00AE6A2C"/>
    <w:rsid w:val="00AF04E5"/>
    <w:rsid w:val="00AF0F05"/>
    <w:rsid w:val="00AF0F52"/>
    <w:rsid w:val="00AF1190"/>
    <w:rsid w:val="00AF1B17"/>
    <w:rsid w:val="00AF2A4A"/>
    <w:rsid w:val="00AF2D61"/>
    <w:rsid w:val="00AF301C"/>
    <w:rsid w:val="00AF388B"/>
    <w:rsid w:val="00AF3986"/>
    <w:rsid w:val="00AF41C7"/>
    <w:rsid w:val="00AF4636"/>
    <w:rsid w:val="00AF5514"/>
    <w:rsid w:val="00AF7533"/>
    <w:rsid w:val="00B0167A"/>
    <w:rsid w:val="00B03AD0"/>
    <w:rsid w:val="00B04026"/>
    <w:rsid w:val="00B04A16"/>
    <w:rsid w:val="00B04C32"/>
    <w:rsid w:val="00B04C6A"/>
    <w:rsid w:val="00B04D15"/>
    <w:rsid w:val="00B05240"/>
    <w:rsid w:val="00B05582"/>
    <w:rsid w:val="00B05B49"/>
    <w:rsid w:val="00B0788D"/>
    <w:rsid w:val="00B10AC2"/>
    <w:rsid w:val="00B11424"/>
    <w:rsid w:val="00B118F4"/>
    <w:rsid w:val="00B149DE"/>
    <w:rsid w:val="00B14BD1"/>
    <w:rsid w:val="00B15992"/>
    <w:rsid w:val="00B17E40"/>
    <w:rsid w:val="00B20C7E"/>
    <w:rsid w:val="00B21140"/>
    <w:rsid w:val="00B224E5"/>
    <w:rsid w:val="00B25713"/>
    <w:rsid w:val="00B26DDC"/>
    <w:rsid w:val="00B272C0"/>
    <w:rsid w:val="00B27D55"/>
    <w:rsid w:val="00B31395"/>
    <w:rsid w:val="00B33CF5"/>
    <w:rsid w:val="00B3491C"/>
    <w:rsid w:val="00B3572C"/>
    <w:rsid w:val="00B358D8"/>
    <w:rsid w:val="00B35948"/>
    <w:rsid w:val="00B35B2F"/>
    <w:rsid w:val="00B35B51"/>
    <w:rsid w:val="00B37326"/>
    <w:rsid w:val="00B37C9C"/>
    <w:rsid w:val="00B425B8"/>
    <w:rsid w:val="00B42D13"/>
    <w:rsid w:val="00B431C5"/>
    <w:rsid w:val="00B43EC0"/>
    <w:rsid w:val="00B44B15"/>
    <w:rsid w:val="00B45277"/>
    <w:rsid w:val="00B45C11"/>
    <w:rsid w:val="00B45D12"/>
    <w:rsid w:val="00B4650A"/>
    <w:rsid w:val="00B46C00"/>
    <w:rsid w:val="00B47EFD"/>
    <w:rsid w:val="00B5170D"/>
    <w:rsid w:val="00B520EC"/>
    <w:rsid w:val="00B52ED7"/>
    <w:rsid w:val="00B53334"/>
    <w:rsid w:val="00B5393B"/>
    <w:rsid w:val="00B543AF"/>
    <w:rsid w:val="00B554AD"/>
    <w:rsid w:val="00B55E10"/>
    <w:rsid w:val="00B55E52"/>
    <w:rsid w:val="00B564BF"/>
    <w:rsid w:val="00B565A0"/>
    <w:rsid w:val="00B566A8"/>
    <w:rsid w:val="00B56E93"/>
    <w:rsid w:val="00B60CD3"/>
    <w:rsid w:val="00B6128F"/>
    <w:rsid w:val="00B6290E"/>
    <w:rsid w:val="00B62FA3"/>
    <w:rsid w:val="00B65B6C"/>
    <w:rsid w:val="00B66534"/>
    <w:rsid w:val="00B71EFD"/>
    <w:rsid w:val="00B74025"/>
    <w:rsid w:val="00B74DC7"/>
    <w:rsid w:val="00B771F7"/>
    <w:rsid w:val="00B779C1"/>
    <w:rsid w:val="00B8019E"/>
    <w:rsid w:val="00B8256D"/>
    <w:rsid w:val="00B83618"/>
    <w:rsid w:val="00B83DE2"/>
    <w:rsid w:val="00B844B0"/>
    <w:rsid w:val="00B852FD"/>
    <w:rsid w:val="00B866A8"/>
    <w:rsid w:val="00B87438"/>
    <w:rsid w:val="00B9008E"/>
    <w:rsid w:val="00B90B9F"/>
    <w:rsid w:val="00B90DD6"/>
    <w:rsid w:val="00B9155A"/>
    <w:rsid w:val="00B925DD"/>
    <w:rsid w:val="00B9264E"/>
    <w:rsid w:val="00B94B6D"/>
    <w:rsid w:val="00B953CB"/>
    <w:rsid w:val="00B95596"/>
    <w:rsid w:val="00B958CB"/>
    <w:rsid w:val="00B95A32"/>
    <w:rsid w:val="00B96009"/>
    <w:rsid w:val="00B968C3"/>
    <w:rsid w:val="00BA081D"/>
    <w:rsid w:val="00BA0964"/>
    <w:rsid w:val="00BA196F"/>
    <w:rsid w:val="00BA2A3F"/>
    <w:rsid w:val="00BA3359"/>
    <w:rsid w:val="00BA3E1E"/>
    <w:rsid w:val="00BA4B03"/>
    <w:rsid w:val="00BA5643"/>
    <w:rsid w:val="00BA6027"/>
    <w:rsid w:val="00BA6B88"/>
    <w:rsid w:val="00BA7DD0"/>
    <w:rsid w:val="00BA7E02"/>
    <w:rsid w:val="00BB0700"/>
    <w:rsid w:val="00BB1387"/>
    <w:rsid w:val="00BB2783"/>
    <w:rsid w:val="00BB312B"/>
    <w:rsid w:val="00BB71F1"/>
    <w:rsid w:val="00BC2F27"/>
    <w:rsid w:val="00BC3A58"/>
    <w:rsid w:val="00BC4176"/>
    <w:rsid w:val="00BC4697"/>
    <w:rsid w:val="00BC4EAE"/>
    <w:rsid w:val="00BC6297"/>
    <w:rsid w:val="00BC6BF5"/>
    <w:rsid w:val="00BC7C95"/>
    <w:rsid w:val="00BD0F04"/>
    <w:rsid w:val="00BD185D"/>
    <w:rsid w:val="00BD328F"/>
    <w:rsid w:val="00BD3781"/>
    <w:rsid w:val="00BD467C"/>
    <w:rsid w:val="00BD5339"/>
    <w:rsid w:val="00BD6AA7"/>
    <w:rsid w:val="00BD6D96"/>
    <w:rsid w:val="00BE08E8"/>
    <w:rsid w:val="00BE1BF9"/>
    <w:rsid w:val="00BE21E4"/>
    <w:rsid w:val="00BE35E2"/>
    <w:rsid w:val="00BE5250"/>
    <w:rsid w:val="00BE68A9"/>
    <w:rsid w:val="00BF1DD9"/>
    <w:rsid w:val="00BF323A"/>
    <w:rsid w:val="00BF50F3"/>
    <w:rsid w:val="00BF59E3"/>
    <w:rsid w:val="00BF6036"/>
    <w:rsid w:val="00BF66AA"/>
    <w:rsid w:val="00BF75E7"/>
    <w:rsid w:val="00C00D8A"/>
    <w:rsid w:val="00C01C1B"/>
    <w:rsid w:val="00C02A4E"/>
    <w:rsid w:val="00C0365D"/>
    <w:rsid w:val="00C065AE"/>
    <w:rsid w:val="00C07839"/>
    <w:rsid w:val="00C1389F"/>
    <w:rsid w:val="00C13F63"/>
    <w:rsid w:val="00C14F52"/>
    <w:rsid w:val="00C17760"/>
    <w:rsid w:val="00C17904"/>
    <w:rsid w:val="00C2056A"/>
    <w:rsid w:val="00C223D8"/>
    <w:rsid w:val="00C22B8C"/>
    <w:rsid w:val="00C22CD9"/>
    <w:rsid w:val="00C236F7"/>
    <w:rsid w:val="00C23F02"/>
    <w:rsid w:val="00C24A8C"/>
    <w:rsid w:val="00C24C2F"/>
    <w:rsid w:val="00C25433"/>
    <w:rsid w:val="00C258BB"/>
    <w:rsid w:val="00C30321"/>
    <w:rsid w:val="00C3058B"/>
    <w:rsid w:val="00C31BF4"/>
    <w:rsid w:val="00C3242A"/>
    <w:rsid w:val="00C32889"/>
    <w:rsid w:val="00C350EF"/>
    <w:rsid w:val="00C3516E"/>
    <w:rsid w:val="00C359B3"/>
    <w:rsid w:val="00C359D8"/>
    <w:rsid w:val="00C40875"/>
    <w:rsid w:val="00C4124D"/>
    <w:rsid w:val="00C42C65"/>
    <w:rsid w:val="00C45793"/>
    <w:rsid w:val="00C46738"/>
    <w:rsid w:val="00C50FAF"/>
    <w:rsid w:val="00C526CE"/>
    <w:rsid w:val="00C52A01"/>
    <w:rsid w:val="00C53D11"/>
    <w:rsid w:val="00C5440C"/>
    <w:rsid w:val="00C549F1"/>
    <w:rsid w:val="00C552DF"/>
    <w:rsid w:val="00C55956"/>
    <w:rsid w:val="00C576CE"/>
    <w:rsid w:val="00C5791C"/>
    <w:rsid w:val="00C60C0A"/>
    <w:rsid w:val="00C60DF0"/>
    <w:rsid w:val="00C60E28"/>
    <w:rsid w:val="00C62754"/>
    <w:rsid w:val="00C64372"/>
    <w:rsid w:val="00C6567F"/>
    <w:rsid w:val="00C6655E"/>
    <w:rsid w:val="00C711D9"/>
    <w:rsid w:val="00C71FC8"/>
    <w:rsid w:val="00C72355"/>
    <w:rsid w:val="00C72913"/>
    <w:rsid w:val="00C73ACE"/>
    <w:rsid w:val="00C75239"/>
    <w:rsid w:val="00C752BD"/>
    <w:rsid w:val="00C754E2"/>
    <w:rsid w:val="00C75D66"/>
    <w:rsid w:val="00C7606A"/>
    <w:rsid w:val="00C77B01"/>
    <w:rsid w:val="00C8080C"/>
    <w:rsid w:val="00C80F5D"/>
    <w:rsid w:val="00C813E5"/>
    <w:rsid w:val="00C81789"/>
    <w:rsid w:val="00C81FED"/>
    <w:rsid w:val="00C823A7"/>
    <w:rsid w:val="00C8279E"/>
    <w:rsid w:val="00C83CFD"/>
    <w:rsid w:val="00C8486A"/>
    <w:rsid w:val="00C8632C"/>
    <w:rsid w:val="00C8719B"/>
    <w:rsid w:val="00C929DB"/>
    <w:rsid w:val="00C92E0B"/>
    <w:rsid w:val="00C94D7D"/>
    <w:rsid w:val="00C96346"/>
    <w:rsid w:val="00C96FA2"/>
    <w:rsid w:val="00C973DE"/>
    <w:rsid w:val="00CA0E6B"/>
    <w:rsid w:val="00CA2387"/>
    <w:rsid w:val="00CA2401"/>
    <w:rsid w:val="00CA3089"/>
    <w:rsid w:val="00CA3182"/>
    <w:rsid w:val="00CA3418"/>
    <w:rsid w:val="00CA35A8"/>
    <w:rsid w:val="00CA393D"/>
    <w:rsid w:val="00CA3D34"/>
    <w:rsid w:val="00CA4843"/>
    <w:rsid w:val="00CA4FA4"/>
    <w:rsid w:val="00CA5A4D"/>
    <w:rsid w:val="00CA5CB2"/>
    <w:rsid w:val="00CA6557"/>
    <w:rsid w:val="00CA6C6D"/>
    <w:rsid w:val="00CA7B38"/>
    <w:rsid w:val="00CB027A"/>
    <w:rsid w:val="00CB2F4B"/>
    <w:rsid w:val="00CB30A3"/>
    <w:rsid w:val="00CB3A2E"/>
    <w:rsid w:val="00CB5134"/>
    <w:rsid w:val="00CB52C6"/>
    <w:rsid w:val="00CB599B"/>
    <w:rsid w:val="00CB70B2"/>
    <w:rsid w:val="00CB712B"/>
    <w:rsid w:val="00CB74D7"/>
    <w:rsid w:val="00CB7A32"/>
    <w:rsid w:val="00CB7B22"/>
    <w:rsid w:val="00CC0564"/>
    <w:rsid w:val="00CC1CED"/>
    <w:rsid w:val="00CC2021"/>
    <w:rsid w:val="00CC3D63"/>
    <w:rsid w:val="00CC5B15"/>
    <w:rsid w:val="00CD03CF"/>
    <w:rsid w:val="00CD37D9"/>
    <w:rsid w:val="00CD49FF"/>
    <w:rsid w:val="00CD65A4"/>
    <w:rsid w:val="00CE1124"/>
    <w:rsid w:val="00CE30DE"/>
    <w:rsid w:val="00CE313F"/>
    <w:rsid w:val="00CE3300"/>
    <w:rsid w:val="00CE3A29"/>
    <w:rsid w:val="00CE5262"/>
    <w:rsid w:val="00CE683B"/>
    <w:rsid w:val="00CE6A45"/>
    <w:rsid w:val="00CF0015"/>
    <w:rsid w:val="00CF039D"/>
    <w:rsid w:val="00CF31AB"/>
    <w:rsid w:val="00CF402B"/>
    <w:rsid w:val="00CF4CD4"/>
    <w:rsid w:val="00CF5272"/>
    <w:rsid w:val="00D00471"/>
    <w:rsid w:val="00D0204F"/>
    <w:rsid w:val="00D023B2"/>
    <w:rsid w:val="00D0300D"/>
    <w:rsid w:val="00D03346"/>
    <w:rsid w:val="00D04DBA"/>
    <w:rsid w:val="00D04F35"/>
    <w:rsid w:val="00D050C6"/>
    <w:rsid w:val="00D05E08"/>
    <w:rsid w:val="00D064DA"/>
    <w:rsid w:val="00D06A42"/>
    <w:rsid w:val="00D06AA9"/>
    <w:rsid w:val="00D07166"/>
    <w:rsid w:val="00D07A47"/>
    <w:rsid w:val="00D07B67"/>
    <w:rsid w:val="00D10109"/>
    <w:rsid w:val="00D10538"/>
    <w:rsid w:val="00D1092C"/>
    <w:rsid w:val="00D118EF"/>
    <w:rsid w:val="00D12089"/>
    <w:rsid w:val="00D133E8"/>
    <w:rsid w:val="00D13615"/>
    <w:rsid w:val="00D147D8"/>
    <w:rsid w:val="00D14E82"/>
    <w:rsid w:val="00D16390"/>
    <w:rsid w:val="00D17349"/>
    <w:rsid w:val="00D20E4D"/>
    <w:rsid w:val="00D21EC2"/>
    <w:rsid w:val="00D23197"/>
    <w:rsid w:val="00D232DF"/>
    <w:rsid w:val="00D23E3F"/>
    <w:rsid w:val="00D24C12"/>
    <w:rsid w:val="00D25239"/>
    <w:rsid w:val="00D25D8C"/>
    <w:rsid w:val="00D25F1F"/>
    <w:rsid w:val="00D26E04"/>
    <w:rsid w:val="00D30E05"/>
    <w:rsid w:val="00D34B96"/>
    <w:rsid w:val="00D34BFF"/>
    <w:rsid w:val="00D34D77"/>
    <w:rsid w:val="00D34D9F"/>
    <w:rsid w:val="00D36A4C"/>
    <w:rsid w:val="00D36C26"/>
    <w:rsid w:val="00D36E02"/>
    <w:rsid w:val="00D373B3"/>
    <w:rsid w:val="00D40B0A"/>
    <w:rsid w:val="00D4122C"/>
    <w:rsid w:val="00D4444F"/>
    <w:rsid w:val="00D44FEA"/>
    <w:rsid w:val="00D45A79"/>
    <w:rsid w:val="00D461D6"/>
    <w:rsid w:val="00D46A5B"/>
    <w:rsid w:val="00D46E7F"/>
    <w:rsid w:val="00D5013D"/>
    <w:rsid w:val="00D504BF"/>
    <w:rsid w:val="00D50533"/>
    <w:rsid w:val="00D52512"/>
    <w:rsid w:val="00D52A71"/>
    <w:rsid w:val="00D53166"/>
    <w:rsid w:val="00D536E8"/>
    <w:rsid w:val="00D538B0"/>
    <w:rsid w:val="00D539B4"/>
    <w:rsid w:val="00D53C18"/>
    <w:rsid w:val="00D54343"/>
    <w:rsid w:val="00D55C4E"/>
    <w:rsid w:val="00D55DD0"/>
    <w:rsid w:val="00D56791"/>
    <w:rsid w:val="00D62722"/>
    <w:rsid w:val="00D63C60"/>
    <w:rsid w:val="00D63EF7"/>
    <w:rsid w:val="00D64748"/>
    <w:rsid w:val="00D64FC7"/>
    <w:rsid w:val="00D664F7"/>
    <w:rsid w:val="00D66673"/>
    <w:rsid w:val="00D669E3"/>
    <w:rsid w:val="00D67A79"/>
    <w:rsid w:val="00D7390D"/>
    <w:rsid w:val="00D73C44"/>
    <w:rsid w:val="00D751DE"/>
    <w:rsid w:val="00D75CDD"/>
    <w:rsid w:val="00D7661B"/>
    <w:rsid w:val="00D77075"/>
    <w:rsid w:val="00D800F9"/>
    <w:rsid w:val="00D81013"/>
    <w:rsid w:val="00D8165C"/>
    <w:rsid w:val="00D8265D"/>
    <w:rsid w:val="00D827D4"/>
    <w:rsid w:val="00D82A75"/>
    <w:rsid w:val="00D82DDF"/>
    <w:rsid w:val="00D83380"/>
    <w:rsid w:val="00D83747"/>
    <w:rsid w:val="00D843AA"/>
    <w:rsid w:val="00D84FFE"/>
    <w:rsid w:val="00D85165"/>
    <w:rsid w:val="00D86EAE"/>
    <w:rsid w:val="00D87E16"/>
    <w:rsid w:val="00D87F5E"/>
    <w:rsid w:val="00D9066D"/>
    <w:rsid w:val="00D90A74"/>
    <w:rsid w:val="00D90ABA"/>
    <w:rsid w:val="00D918B0"/>
    <w:rsid w:val="00D92E05"/>
    <w:rsid w:val="00D94874"/>
    <w:rsid w:val="00DA01EC"/>
    <w:rsid w:val="00DA030F"/>
    <w:rsid w:val="00DA18E8"/>
    <w:rsid w:val="00DA2E7A"/>
    <w:rsid w:val="00DA41E7"/>
    <w:rsid w:val="00DA4B0C"/>
    <w:rsid w:val="00DA6490"/>
    <w:rsid w:val="00DA7665"/>
    <w:rsid w:val="00DA7832"/>
    <w:rsid w:val="00DA7A25"/>
    <w:rsid w:val="00DB0AFC"/>
    <w:rsid w:val="00DB166B"/>
    <w:rsid w:val="00DB1EDF"/>
    <w:rsid w:val="00DB2FDD"/>
    <w:rsid w:val="00DB302C"/>
    <w:rsid w:val="00DB3433"/>
    <w:rsid w:val="00DB4C05"/>
    <w:rsid w:val="00DB5092"/>
    <w:rsid w:val="00DB53AF"/>
    <w:rsid w:val="00DB68B3"/>
    <w:rsid w:val="00DB7F68"/>
    <w:rsid w:val="00DC182E"/>
    <w:rsid w:val="00DC1873"/>
    <w:rsid w:val="00DC2264"/>
    <w:rsid w:val="00DC2F90"/>
    <w:rsid w:val="00DC4A70"/>
    <w:rsid w:val="00DC586A"/>
    <w:rsid w:val="00DC5FBF"/>
    <w:rsid w:val="00DC73B9"/>
    <w:rsid w:val="00DC7968"/>
    <w:rsid w:val="00DD0101"/>
    <w:rsid w:val="00DD0217"/>
    <w:rsid w:val="00DD1718"/>
    <w:rsid w:val="00DD1924"/>
    <w:rsid w:val="00DD48E8"/>
    <w:rsid w:val="00DD6073"/>
    <w:rsid w:val="00DD60FC"/>
    <w:rsid w:val="00DE110D"/>
    <w:rsid w:val="00DE1A18"/>
    <w:rsid w:val="00DE2228"/>
    <w:rsid w:val="00DE3558"/>
    <w:rsid w:val="00DE35FF"/>
    <w:rsid w:val="00DE3FE6"/>
    <w:rsid w:val="00DF1E3E"/>
    <w:rsid w:val="00DF2012"/>
    <w:rsid w:val="00DF2719"/>
    <w:rsid w:val="00DF4DBA"/>
    <w:rsid w:val="00DF4EB8"/>
    <w:rsid w:val="00DF50CC"/>
    <w:rsid w:val="00DF595F"/>
    <w:rsid w:val="00DF7918"/>
    <w:rsid w:val="00E006F6"/>
    <w:rsid w:val="00E00B8B"/>
    <w:rsid w:val="00E011EF"/>
    <w:rsid w:val="00E01592"/>
    <w:rsid w:val="00E0199E"/>
    <w:rsid w:val="00E02A20"/>
    <w:rsid w:val="00E02A2C"/>
    <w:rsid w:val="00E03259"/>
    <w:rsid w:val="00E0382F"/>
    <w:rsid w:val="00E06B28"/>
    <w:rsid w:val="00E07E9C"/>
    <w:rsid w:val="00E10415"/>
    <w:rsid w:val="00E10858"/>
    <w:rsid w:val="00E11690"/>
    <w:rsid w:val="00E11AF0"/>
    <w:rsid w:val="00E11C5D"/>
    <w:rsid w:val="00E12170"/>
    <w:rsid w:val="00E12973"/>
    <w:rsid w:val="00E12DC2"/>
    <w:rsid w:val="00E14096"/>
    <w:rsid w:val="00E14731"/>
    <w:rsid w:val="00E1578B"/>
    <w:rsid w:val="00E15E94"/>
    <w:rsid w:val="00E16912"/>
    <w:rsid w:val="00E174F3"/>
    <w:rsid w:val="00E227B9"/>
    <w:rsid w:val="00E22E0A"/>
    <w:rsid w:val="00E24155"/>
    <w:rsid w:val="00E25895"/>
    <w:rsid w:val="00E266E3"/>
    <w:rsid w:val="00E27260"/>
    <w:rsid w:val="00E30686"/>
    <w:rsid w:val="00E30DF7"/>
    <w:rsid w:val="00E32534"/>
    <w:rsid w:val="00E33693"/>
    <w:rsid w:val="00E34939"/>
    <w:rsid w:val="00E35AC1"/>
    <w:rsid w:val="00E36EB4"/>
    <w:rsid w:val="00E374AD"/>
    <w:rsid w:val="00E40504"/>
    <w:rsid w:val="00E41C8E"/>
    <w:rsid w:val="00E43CAA"/>
    <w:rsid w:val="00E43F3E"/>
    <w:rsid w:val="00E44A18"/>
    <w:rsid w:val="00E44BCA"/>
    <w:rsid w:val="00E455A2"/>
    <w:rsid w:val="00E456D1"/>
    <w:rsid w:val="00E50012"/>
    <w:rsid w:val="00E50592"/>
    <w:rsid w:val="00E50CD5"/>
    <w:rsid w:val="00E5112A"/>
    <w:rsid w:val="00E54BE7"/>
    <w:rsid w:val="00E555CE"/>
    <w:rsid w:val="00E60642"/>
    <w:rsid w:val="00E61608"/>
    <w:rsid w:val="00E63B7F"/>
    <w:rsid w:val="00E63C16"/>
    <w:rsid w:val="00E6500B"/>
    <w:rsid w:val="00E663CB"/>
    <w:rsid w:val="00E671D3"/>
    <w:rsid w:val="00E6752C"/>
    <w:rsid w:val="00E71CB7"/>
    <w:rsid w:val="00E723CC"/>
    <w:rsid w:val="00E732EC"/>
    <w:rsid w:val="00E73CE7"/>
    <w:rsid w:val="00E74CA8"/>
    <w:rsid w:val="00E75130"/>
    <w:rsid w:val="00E76893"/>
    <w:rsid w:val="00E77298"/>
    <w:rsid w:val="00E800BF"/>
    <w:rsid w:val="00E8230B"/>
    <w:rsid w:val="00E83780"/>
    <w:rsid w:val="00E838EF"/>
    <w:rsid w:val="00E83E1E"/>
    <w:rsid w:val="00E8449C"/>
    <w:rsid w:val="00E869CC"/>
    <w:rsid w:val="00E9101E"/>
    <w:rsid w:val="00E912E8"/>
    <w:rsid w:val="00E91509"/>
    <w:rsid w:val="00E91D10"/>
    <w:rsid w:val="00E93502"/>
    <w:rsid w:val="00E94A5E"/>
    <w:rsid w:val="00E956E9"/>
    <w:rsid w:val="00E97FD3"/>
    <w:rsid w:val="00EA08FB"/>
    <w:rsid w:val="00EA4830"/>
    <w:rsid w:val="00EA512C"/>
    <w:rsid w:val="00EA745B"/>
    <w:rsid w:val="00EA75E6"/>
    <w:rsid w:val="00EB2AA7"/>
    <w:rsid w:val="00EB2B21"/>
    <w:rsid w:val="00EB3E3E"/>
    <w:rsid w:val="00EB3F38"/>
    <w:rsid w:val="00EB4596"/>
    <w:rsid w:val="00EB5BD2"/>
    <w:rsid w:val="00EB7009"/>
    <w:rsid w:val="00EB74B1"/>
    <w:rsid w:val="00EB7D65"/>
    <w:rsid w:val="00EC16EB"/>
    <w:rsid w:val="00EC3753"/>
    <w:rsid w:val="00EC55D4"/>
    <w:rsid w:val="00EC603D"/>
    <w:rsid w:val="00EC6B9A"/>
    <w:rsid w:val="00ED0D2B"/>
    <w:rsid w:val="00ED12A5"/>
    <w:rsid w:val="00ED2A41"/>
    <w:rsid w:val="00ED35FE"/>
    <w:rsid w:val="00ED4A40"/>
    <w:rsid w:val="00ED56F8"/>
    <w:rsid w:val="00ED7136"/>
    <w:rsid w:val="00ED749C"/>
    <w:rsid w:val="00ED75B6"/>
    <w:rsid w:val="00ED78CD"/>
    <w:rsid w:val="00ED7ABD"/>
    <w:rsid w:val="00EE004D"/>
    <w:rsid w:val="00EE04AD"/>
    <w:rsid w:val="00EE0676"/>
    <w:rsid w:val="00EE0B76"/>
    <w:rsid w:val="00EE1814"/>
    <w:rsid w:val="00EE1E7E"/>
    <w:rsid w:val="00EE29D3"/>
    <w:rsid w:val="00EE342B"/>
    <w:rsid w:val="00EE3B73"/>
    <w:rsid w:val="00EE438A"/>
    <w:rsid w:val="00EE7846"/>
    <w:rsid w:val="00EF1861"/>
    <w:rsid w:val="00EF2135"/>
    <w:rsid w:val="00EF261A"/>
    <w:rsid w:val="00EF3BD8"/>
    <w:rsid w:val="00EF3ECB"/>
    <w:rsid w:val="00EF5DBB"/>
    <w:rsid w:val="00EF6392"/>
    <w:rsid w:val="00EF65EE"/>
    <w:rsid w:val="00EF7371"/>
    <w:rsid w:val="00F00B34"/>
    <w:rsid w:val="00F013C3"/>
    <w:rsid w:val="00F01E7F"/>
    <w:rsid w:val="00F020E6"/>
    <w:rsid w:val="00F02F3C"/>
    <w:rsid w:val="00F032D6"/>
    <w:rsid w:val="00F0459C"/>
    <w:rsid w:val="00F051D6"/>
    <w:rsid w:val="00F052B1"/>
    <w:rsid w:val="00F05391"/>
    <w:rsid w:val="00F05556"/>
    <w:rsid w:val="00F05711"/>
    <w:rsid w:val="00F05B16"/>
    <w:rsid w:val="00F068D0"/>
    <w:rsid w:val="00F0739F"/>
    <w:rsid w:val="00F078B4"/>
    <w:rsid w:val="00F10860"/>
    <w:rsid w:val="00F120DF"/>
    <w:rsid w:val="00F143F1"/>
    <w:rsid w:val="00F14432"/>
    <w:rsid w:val="00F14CEA"/>
    <w:rsid w:val="00F14FB0"/>
    <w:rsid w:val="00F153EE"/>
    <w:rsid w:val="00F16F2D"/>
    <w:rsid w:val="00F20019"/>
    <w:rsid w:val="00F202AB"/>
    <w:rsid w:val="00F21A4A"/>
    <w:rsid w:val="00F22BEF"/>
    <w:rsid w:val="00F23159"/>
    <w:rsid w:val="00F240AA"/>
    <w:rsid w:val="00F252D6"/>
    <w:rsid w:val="00F25361"/>
    <w:rsid w:val="00F2633A"/>
    <w:rsid w:val="00F266B4"/>
    <w:rsid w:val="00F26A18"/>
    <w:rsid w:val="00F27B8A"/>
    <w:rsid w:val="00F27E49"/>
    <w:rsid w:val="00F3058F"/>
    <w:rsid w:val="00F31268"/>
    <w:rsid w:val="00F334D9"/>
    <w:rsid w:val="00F34437"/>
    <w:rsid w:val="00F34B68"/>
    <w:rsid w:val="00F34DFF"/>
    <w:rsid w:val="00F3522C"/>
    <w:rsid w:val="00F35D5C"/>
    <w:rsid w:val="00F35EF6"/>
    <w:rsid w:val="00F36344"/>
    <w:rsid w:val="00F36D8E"/>
    <w:rsid w:val="00F36EE0"/>
    <w:rsid w:val="00F374A9"/>
    <w:rsid w:val="00F378EB"/>
    <w:rsid w:val="00F41C2A"/>
    <w:rsid w:val="00F425A7"/>
    <w:rsid w:val="00F42CDC"/>
    <w:rsid w:val="00F4378D"/>
    <w:rsid w:val="00F43981"/>
    <w:rsid w:val="00F44201"/>
    <w:rsid w:val="00F44ED4"/>
    <w:rsid w:val="00F46BA7"/>
    <w:rsid w:val="00F4789A"/>
    <w:rsid w:val="00F51021"/>
    <w:rsid w:val="00F52426"/>
    <w:rsid w:val="00F52CD0"/>
    <w:rsid w:val="00F53538"/>
    <w:rsid w:val="00F5508F"/>
    <w:rsid w:val="00F55660"/>
    <w:rsid w:val="00F55FA5"/>
    <w:rsid w:val="00F56485"/>
    <w:rsid w:val="00F57720"/>
    <w:rsid w:val="00F57C65"/>
    <w:rsid w:val="00F61B70"/>
    <w:rsid w:val="00F6284E"/>
    <w:rsid w:val="00F631CA"/>
    <w:rsid w:val="00F65097"/>
    <w:rsid w:val="00F65217"/>
    <w:rsid w:val="00F66C4B"/>
    <w:rsid w:val="00F715F7"/>
    <w:rsid w:val="00F71831"/>
    <w:rsid w:val="00F71B31"/>
    <w:rsid w:val="00F71FDC"/>
    <w:rsid w:val="00F72D42"/>
    <w:rsid w:val="00F74CC6"/>
    <w:rsid w:val="00F80ABF"/>
    <w:rsid w:val="00F813AC"/>
    <w:rsid w:val="00F8179D"/>
    <w:rsid w:val="00F81881"/>
    <w:rsid w:val="00F81958"/>
    <w:rsid w:val="00F82352"/>
    <w:rsid w:val="00F83989"/>
    <w:rsid w:val="00F83C86"/>
    <w:rsid w:val="00F85207"/>
    <w:rsid w:val="00F86056"/>
    <w:rsid w:val="00F869A0"/>
    <w:rsid w:val="00F90693"/>
    <w:rsid w:val="00F91B01"/>
    <w:rsid w:val="00F924AB"/>
    <w:rsid w:val="00F93356"/>
    <w:rsid w:val="00F93617"/>
    <w:rsid w:val="00F93C4A"/>
    <w:rsid w:val="00F93D09"/>
    <w:rsid w:val="00F93E9F"/>
    <w:rsid w:val="00F94386"/>
    <w:rsid w:val="00F943FD"/>
    <w:rsid w:val="00F94781"/>
    <w:rsid w:val="00F961AB"/>
    <w:rsid w:val="00F96571"/>
    <w:rsid w:val="00FA269B"/>
    <w:rsid w:val="00FA2A67"/>
    <w:rsid w:val="00FA4359"/>
    <w:rsid w:val="00FA45A5"/>
    <w:rsid w:val="00FA4E06"/>
    <w:rsid w:val="00FA5185"/>
    <w:rsid w:val="00FA5C56"/>
    <w:rsid w:val="00FB0557"/>
    <w:rsid w:val="00FB05E6"/>
    <w:rsid w:val="00FB05FE"/>
    <w:rsid w:val="00FB0D62"/>
    <w:rsid w:val="00FB2165"/>
    <w:rsid w:val="00FB2943"/>
    <w:rsid w:val="00FB3679"/>
    <w:rsid w:val="00FB3AE4"/>
    <w:rsid w:val="00FB3BAB"/>
    <w:rsid w:val="00FB63FB"/>
    <w:rsid w:val="00FB6463"/>
    <w:rsid w:val="00FB6508"/>
    <w:rsid w:val="00FB699F"/>
    <w:rsid w:val="00FB74E7"/>
    <w:rsid w:val="00FC0355"/>
    <w:rsid w:val="00FC0F99"/>
    <w:rsid w:val="00FC2F6B"/>
    <w:rsid w:val="00FC310F"/>
    <w:rsid w:val="00FC513B"/>
    <w:rsid w:val="00FC5CD4"/>
    <w:rsid w:val="00FC62AC"/>
    <w:rsid w:val="00FC65B0"/>
    <w:rsid w:val="00FC799C"/>
    <w:rsid w:val="00FD01D7"/>
    <w:rsid w:val="00FD02E4"/>
    <w:rsid w:val="00FD0FE0"/>
    <w:rsid w:val="00FD1576"/>
    <w:rsid w:val="00FD1FF0"/>
    <w:rsid w:val="00FD2837"/>
    <w:rsid w:val="00FD53AC"/>
    <w:rsid w:val="00FE0B26"/>
    <w:rsid w:val="00FE0BE3"/>
    <w:rsid w:val="00FE0F8E"/>
    <w:rsid w:val="00FE2A8C"/>
    <w:rsid w:val="00FE49D8"/>
    <w:rsid w:val="00FE57D6"/>
    <w:rsid w:val="00FE6563"/>
    <w:rsid w:val="00FF07EE"/>
    <w:rsid w:val="00FF16D7"/>
    <w:rsid w:val="00FF1A36"/>
    <w:rsid w:val="00FF27D5"/>
    <w:rsid w:val="00FF4F6A"/>
    <w:rsid w:val="00FF61AC"/>
    <w:rsid w:val="00FF7169"/>
    <w:rsid w:val="066F4A7E"/>
    <w:rsid w:val="24083DDA"/>
    <w:rsid w:val="244D34C9"/>
    <w:rsid w:val="27BDE3E8"/>
    <w:rsid w:val="48180AB9"/>
    <w:rsid w:val="4C19302E"/>
    <w:rsid w:val="4C80DA34"/>
    <w:rsid w:val="4D6451A4"/>
    <w:rsid w:val="4E4F58CA"/>
    <w:rsid w:val="51B866F0"/>
    <w:rsid w:val="52C8D51A"/>
    <w:rsid w:val="530DCC09"/>
    <w:rsid w:val="536ABC65"/>
    <w:rsid w:val="5841921F"/>
    <w:rsid w:val="5F3DE8AF"/>
    <w:rsid w:val="62543A9E"/>
    <w:rsid w:val="7144EA48"/>
    <w:rsid w:val="794DF5C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2D28EED2"/>
  <w15:docId w15:val="{5A61B3E9-4648-45A5-BADE-27CE68E6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unhideWhenUsed/>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624B0B"/>
  </w:style>
  <w:style w:type="character" w:customStyle="1" w:styleId="ParaNumChar">
    <w:name w:val="ParaNum Char"/>
    <w:link w:val="ParaNum"/>
    <w:rsid w:val="00624B0B"/>
    <w:rPr>
      <w:snapToGrid w:val="0"/>
      <w:kern w:val="28"/>
      <w:sz w:val="22"/>
    </w:rPr>
  </w:style>
  <w:style w:type="table" w:styleId="TableGrid">
    <w:name w:val="Table Grid"/>
    <w:basedOn w:val="TableNormal"/>
    <w:uiPriority w:val="59"/>
    <w:rsid w:val="0062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3FD"/>
    <w:rPr>
      <w:rFonts w:ascii="Segoe UI" w:hAnsi="Segoe UI" w:cs="Segoe UI"/>
      <w:sz w:val="18"/>
      <w:szCs w:val="18"/>
    </w:rPr>
  </w:style>
  <w:style w:type="character" w:customStyle="1" w:styleId="BalloonTextChar">
    <w:name w:val="Balloon Text Char"/>
    <w:link w:val="BalloonText"/>
    <w:uiPriority w:val="99"/>
    <w:semiHidden/>
    <w:rsid w:val="00F943FD"/>
    <w:rPr>
      <w:rFonts w:ascii="Segoe UI" w:hAnsi="Segoe UI" w:cs="Segoe UI"/>
      <w:snapToGrid w:val="0"/>
      <w:kern w:val="28"/>
      <w:sz w:val="18"/>
      <w:szCs w:val="18"/>
    </w:rPr>
  </w:style>
  <w:style w:type="character" w:styleId="CommentReference">
    <w:name w:val="annotation reference"/>
    <w:uiPriority w:val="99"/>
    <w:semiHidden/>
    <w:unhideWhenUsed/>
    <w:rsid w:val="001F7648"/>
    <w:rPr>
      <w:sz w:val="16"/>
      <w:szCs w:val="16"/>
    </w:rPr>
  </w:style>
  <w:style w:type="paragraph" w:styleId="CommentText">
    <w:name w:val="annotation text"/>
    <w:basedOn w:val="Normal"/>
    <w:link w:val="CommentTextChar"/>
    <w:uiPriority w:val="99"/>
    <w:unhideWhenUsed/>
    <w:rsid w:val="001F7648"/>
    <w:rPr>
      <w:sz w:val="20"/>
    </w:rPr>
  </w:style>
  <w:style w:type="character" w:customStyle="1" w:styleId="CommentTextChar">
    <w:name w:val="Comment Text Char"/>
    <w:link w:val="CommentText"/>
    <w:uiPriority w:val="99"/>
    <w:rsid w:val="001F7648"/>
    <w:rPr>
      <w:snapToGrid w:val="0"/>
      <w:kern w:val="28"/>
    </w:rPr>
  </w:style>
  <w:style w:type="paragraph" w:styleId="CommentSubject">
    <w:name w:val="annotation subject"/>
    <w:basedOn w:val="CommentText"/>
    <w:next w:val="CommentText"/>
    <w:link w:val="CommentSubjectChar"/>
    <w:uiPriority w:val="99"/>
    <w:semiHidden/>
    <w:unhideWhenUsed/>
    <w:rsid w:val="001F7648"/>
    <w:rPr>
      <w:b/>
      <w:bCs/>
    </w:rPr>
  </w:style>
  <w:style w:type="character" w:customStyle="1" w:styleId="CommentSubjectChar">
    <w:name w:val="Comment Subject Char"/>
    <w:link w:val="CommentSubject"/>
    <w:uiPriority w:val="99"/>
    <w:semiHidden/>
    <w:rsid w:val="001F7648"/>
    <w:rPr>
      <w:b/>
      <w:bCs/>
      <w:snapToGrid w:val="0"/>
      <w:kern w:val="28"/>
    </w:rPr>
  </w:style>
  <w:style w:type="paragraph" w:styleId="ListParagraph">
    <w:name w:val="List Paragraph"/>
    <w:basedOn w:val="Normal"/>
    <w:uiPriority w:val="34"/>
    <w:qFormat/>
    <w:rsid w:val="009C301B"/>
    <w:pPr>
      <w:ind w:left="720"/>
      <w:contextualSpacing/>
    </w:pPr>
  </w:style>
  <w:style w:type="paragraph" w:styleId="Revision">
    <w:name w:val="Revision"/>
    <w:hidden/>
    <w:uiPriority w:val="99"/>
    <w:semiHidden/>
    <w:rsid w:val="00080C1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vid.Brown@fcc.gov" TargetMode="External" /><Relationship Id="rId7" Type="http://schemas.openxmlformats.org/officeDocument/2006/relationships/hyperlink" Target="http://www.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