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260" w14:paraId="05FE35C1" w14:textId="77777777">
      <w:pPr>
        <w:jc w:val="right"/>
        <w:rPr>
          <w:sz w:val="24"/>
        </w:rPr>
      </w:pPr>
    </w:p>
    <w:p w:rsidR="003474AA" w:rsidRPr="00B02A93" w:rsidP="003474AA" w14:paraId="0460DC52" w14:textId="77777777">
      <w:pPr>
        <w:jc w:val="right"/>
        <w:rPr>
          <w:sz w:val="24"/>
          <w:szCs w:val="24"/>
        </w:rPr>
      </w:pPr>
    </w:p>
    <w:p w:rsidR="003474AA" w:rsidRPr="00B02A93" w:rsidP="003474AA" w14:paraId="12F0F9E7" w14:textId="19A9EE52">
      <w:pPr>
        <w:widowControl/>
        <w:suppressAutoHyphens/>
        <w:jc w:val="right"/>
        <w:rPr>
          <w:b/>
        </w:rPr>
      </w:pPr>
      <w:r w:rsidRPr="00B02A93">
        <w:rPr>
          <w:b/>
        </w:rPr>
        <w:t xml:space="preserve">DA </w:t>
      </w:r>
      <w:r>
        <w:rPr>
          <w:b/>
        </w:rPr>
        <w:t>2</w:t>
      </w:r>
      <w:r w:rsidR="00446101">
        <w:rPr>
          <w:b/>
        </w:rPr>
        <w:t>2</w:t>
      </w:r>
      <w:r>
        <w:rPr>
          <w:b/>
        </w:rPr>
        <w:t>-</w:t>
      </w:r>
      <w:r w:rsidR="00743F3C">
        <w:rPr>
          <w:b/>
        </w:rPr>
        <w:t>451</w:t>
      </w:r>
    </w:p>
    <w:p w:rsidR="003474AA" w:rsidRPr="00B02A93" w:rsidP="003474AA" w14:paraId="41AFCAAA" w14:textId="6BFFAA89">
      <w:pPr>
        <w:widowControl/>
        <w:suppressAutoHyphens/>
        <w:spacing w:after="240"/>
        <w:jc w:val="right"/>
        <w:rPr>
          <w:b/>
        </w:rPr>
      </w:pPr>
      <w:r w:rsidRPr="00B02A93">
        <w:rPr>
          <w:b/>
        </w:rPr>
        <w:t xml:space="preserve">Released:  </w:t>
      </w:r>
      <w:r w:rsidR="008E53CD">
        <w:rPr>
          <w:b/>
        </w:rPr>
        <w:t xml:space="preserve">April </w:t>
      </w:r>
      <w:r w:rsidR="007B1711">
        <w:rPr>
          <w:b/>
        </w:rPr>
        <w:t>22</w:t>
      </w:r>
      <w:r>
        <w:rPr>
          <w:b/>
        </w:rPr>
        <w:t>, 202</w:t>
      </w:r>
      <w:r w:rsidR="001D13D1">
        <w:rPr>
          <w:b/>
        </w:rPr>
        <w:t>2</w:t>
      </w:r>
    </w:p>
    <w:p w:rsidR="006E512D" w:rsidP="00341E03" w14:paraId="5984E9F5" w14:textId="77777777">
      <w:pPr>
        <w:autoSpaceDE w:val="0"/>
        <w:autoSpaceDN w:val="0"/>
        <w:adjustRightInd w:val="0"/>
        <w:ind w:left="-180" w:right="90"/>
        <w:jc w:val="center"/>
        <w:rPr>
          <w:b/>
          <w:bCs/>
          <w:szCs w:val="22"/>
        </w:rPr>
      </w:pPr>
      <w:r w:rsidRPr="00477B03">
        <w:rPr>
          <w:b/>
          <w:bCs/>
          <w:szCs w:val="22"/>
        </w:rPr>
        <w:t xml:space="preserve">DOMESTIC SECTION 214 APPLICATION FILED FOR THE </w:t>
      </w:r>
    </w:p>
    <w:p w:rsidR="003474AA" w:rsidRPr="00341E03" w:rsidP="00341E03" w14:paraId="0FFEBAFF" w14:textId="41D312CC">
      <w:pPr>
        <w:autoSpaceDE w:val="0"/>
        <w:autoSpaceDN w:val="0"/>
        <w:adjustRightInd w:val="0"/>
        <w:ind w:left="-180" w:right="90"/>
        <w:jc w:val="center"/>
        <w:rPr>
          <w:b/>
          <w:bCs/>
          <w:szCs w:val="22"/>
        </w:rPr>
      </w:pPr>
      <w:r w:rsidRPr="00477B03">
        <w:rPr>
          <w:b/>
          <w:bCs/>
          <w:szCs w:val="22"/>
        </w:rPr>
        <w:t xml:space="preserve">TRANSFER OF CONTROL OF </w:t>
      </w:r>
      <w:r w:rsidRPr="008E53CD" w:rsidR="008E53CD">
        <w:rPr>
          <w:b/>
          <w:bCs/>
          <w:szCs w:val="22"/>
        </w:rPr>
        <w:t>PONDEROSA COMMUNICATIONS, INC</w:t>
      </w:r>
      <w:r w:rsidR="008E53CD">
        <w:rPr>
          <w:b/>
          <w:bCs/>
          <w:szCs w:val="22"/>
        </w:rPr>
        <w:t>.</w:t>
      </w:r>
    </w:p>
    <w:p w:rsidR="003474AA" w:rsidRPr="00B02A93" w:rsidP="003474AA" w14:paraId="3A5876F1" w14:textId="77777777">
      <w:pPr>
        <w:autoSpaceDE w:val="0"/>
        <w:autoSpaceDN w:val="0"/>
        <w:adjustRightInd w:val="0"/>
        <w:rPr>
          <w:b/>
          <w:szCs w:val="22"/>
        </w:rPr>
      </w:pPr>
    </w:p>
    <w:p w:rsidR="003474AA" w:rsidRPr="00477B03" w:rsidP="003474AA" w14:paraId="6ED7DF21" w14:textId="77777777">
      <w:pPr>
        <w:autoSpaceDE w:val="0"/>
        <w:autoSpaceDN w:val="0"/>
        <w:adjustRightInd w:val="0"/>
        <w:jc w:val="center"/>
        <w:rPr>
          <w:b/>
          <w:szCs w:val="22"/>
        </w:rPr>
      </w:pPr>
      <w:r w:rsidRPr="00477B03">
        <w:rPr>
          <w:b/>
          <w:szCs w:val="22"/>
        </w:rPr>
        <w:t>STREAMLINED PLEADING CYCLE ESTABLISHED</w:t>
      </w:r>
    </w:p>
    <w:p w:rsidR="003474AA" w:rsidP="003474AA" w14:paraId="6A97DE2F" w14:textId="77777777">
      <w:pPr>
        <w:autoSpaceDE w:val="0"/>
        <w:autoSpaceDN w:val="0"/>
        <w:adjustRightInd w:val="0"/>
        <w:jc w:val="center"/>
        <w:rPr>
          <w:b/>
          <w:szCs w:val="22"/>
        </w:rPr>
      </w:pPr>
    </w:p>
    <w:p w:rsidR="003474AA" w:rsidP="003474AA" w14:paraId="5F33B22D" w14:textId="0FC3CE95">
      <w:pPr>
        <w:autoSpaceDE w:val="0"/>
        <w:autoSpaceDN w:val="0"/>
        <w:adjustRightInd w:val="0"/>
        <w:jc w:val="center"/>
        <w:rPr>
          <w:b/>
          <w:szCs w:val="22"/>
        </w:rPr>
      </w:pPr>
      <w:r w:rsidRPr="00B02A93">
        <w:rPr>
          <w:b/>
          <w:szCs w:val="22"/>
        </w:rPr>
        <w:t>WC Docket No. 2</w:t>
      </w:r>
      <w:r w:rsidR="008E53CD">
        <w:rPr>
          <w:b/>
          <w:szCs w:val="22"/>
        </w:rPr>
        <w:t>2</w:t>
      </w:r>
      <w:r w:rsidRPr="00B02A93">
        <w:rPr>
          <w:b/>
          <w:szCs w:val="22"/>
        </w:rPr>
        <w:t>-</w:t>
      </w:r>
      <w:r w:rsidR="003B2B28">
        <w:rPr>
          <w:b/>
          <w:szCs w:val="22"/>
        </w:rPr>
        <w:t>145</w:t>
      </w:r>
    </w:p>
    <w:p w:rsidR="003474AA" w:rsidP="003474AA" w14:paraId="5D4740E9" w14:textId="77777777">
      <w:pPr>
        <w:autoSpaceDE w:val="0"/>
        <w:autoSpaceDN w:val="0"/>
        <w:adjustRightInd w:val="0"/>
        <w:jc w:val="center"/>
        <w:rPr>
          <w:b/>
          <w:szCs w:val="22"/>
        </w:rPr>
      </w:pPr>
    </w:p>
    <w:p w:rsidR="003474AA" w:rsidP="003474AA" w14:paraId="11921F50" w14:textId="74587AAE">
      <w:pPr>
        <w:pStyle w:val="NoSpacing"/>
        <w:rPr>
          <w:b/>
          <w:szCs w:val="22"/>
        </w:rPr>
      </w:pPr>
      <w:r w:rsidRPr="005B2105">
        <w:rPr>
          <w:b/>
          <w:szCs w:val="22"/>
        </w:rPr>
        <w:t xml:space="preserve">Comments Due:  </w:t>
      </w:r>
      <w:r w:rsidR="007B1711">
        <w:rPr>
          <w:b/>
          <w:szCs w:val="22"/>
        </w:rPr>
        <w:t>May</w:t>
      </w:r>
      <w:r w:rsidR="008E53CD">
        <w:rPr>
          <w:b/>
          <w:szCs w:val="22"/>
        </w:rPr>
        <w:t xml:space="preserve"> </w:t>
      </w:r>
      <w:r w:rsidR="002163E9">
        <w:rPr>
          <w:b/>
          <w:szCs w:val="22"/>
        </w:rPr>
        <w:t>6</w:t>
      </w:r>
      <w:r>
        <w:rPr>
          <w:b/>
          <w:szCs w:val="22"/>
        </w:rPr>
        <w:t>,</w:t>
      </w:r>
      <w:r w:rsidRPr="005B2105">
        <w:rPr>
          <w:b/>
          <w:szCs w:val="22"/>
        </w:rPr>
        <w:t xml:space="preserve"> 202</w:t>
      </w:r>
      <w:r>
        <w:rPr>
          <w:b/>
          <w:szCs w:val="22"/>
        </w:rPr>
        <w:t xml:space="preserve">2 </w:t>
      </w:r>
    </w:p>
    <w:p w:rsidR="003474AA" w:rsidRPr="005B2105" w:rsidP="003474AA" w14:paraId="2DC7EC6C" w14:textId="753A75CE">
      <w:pPr>
        <w:pStyle w:val="NoSpacing"/>
        <w:rPr>
          <w:b/>
          <w:szCs w:val="22"/>
        </w:rPr>
      </w:pPr>
      <w:r>
        <w:rPr>
          <w:b/>
          <w:szCs w:val="22"/>
        </w:rPr>
        <w:t xml:space="preserve">Reply Comment Due:  </w:t>
      </w:r>
      <w:r w:rsidR="007B1711">
        <w:rPr>
          <w:b/>
          <w:szCs w:val="22"/>
        </w:rPr>
        <w:t>May</w:t>
      </w:r>
      <w:r w:rsidR="008E53CD">
        <w:rPr>
          <w:b/>
          <w:szCs w:val="22"/>
        </w:rPr>
        <w:t xml:space="preserve"> </w:t>
      </w:r>
      <w:r w:rsidR="007B1711">
        <w:rPr>
          <w:b/>
          <w:szCs w:val="22"/>
        </w:rPr>
        <w:t>1</w:t>
      </w:r>
      <w:r w:rsidR="002163E9">
        <w:rPr>
          <w:b/>
          <w:szCs w:val="22"/>
        </w:rPr>
        <w:t>3</w:t>
      </w:r>
      <w:r>
        <w:rPr>
          <w:b/>
          <w:szCs w:val="22"/>
        </w:rPr>
        <w:t xml:space="preserve">, 2022 </w:t>
      </w:r>
    </w:p>
    <w:p w:rsidR="003474AA" w:rsidRPr="00B02A93" w:rsidP="003474AA" w14:paraId="69C5B317" w14:textId="77777777">
      <w:pPr>
        <w:autoSpaceDE w:val="0"/>
        <w:autoSpaceDN w:val="0"/>
        <w:adjustRightInd w:val="0"/>
        <w:jc w:val="center"/>
        <w:rPr>
          <w:b/>
          <w:szCs w:val="22"/>
        </w:rPr>
      </w:pPr>
    </w:p>
    <w:p w:rsidR="003474AA" w:rsidRPr="00477B03" w:rsidP="00582F12" w14:paraId="60745A9C" w14:textId="2CA657A8">
      <w:pPr>
        <w:widowControl/>
        <w:autoSpaceDE w:val="0"/>
        <w:autoSpaceDN w:val="0"/>
        <w:adjustRightInd w:val="0"/>
        <w:spacing w:after="120"/>
        <w:ind w:firstLine="720"/>
        <w:rPr>
          <w:snapToGrid/>
          <w:kern w:val="0"/>
          <w:szCs w:val="22"/>
        </w:rPr>
      </w:pPr>
      <w:r w:rsidRPr="00477B03">
        <w:rPr>
          <w:snapToGrid/>
          <w:kern w:val="0"/>
          <w:szCs w:val="22"/>
        </w:rPr>
        <w:t xml:space="preserve">By this Public Notice, the Wireline Competition Bureau seeks comment from interested parties on an application filed by </w:t>
      </w:r>
      <w:r w:rsidR="00851CA6">
        <w:rPr>
          <w:snapToGrid/>
          <w:kern w:val="0"/>
          <w:szCs w:val="22"/>
        </w:rPr>
        <w:t>t</w:t>
      </w:r>
      <w:r w:rsidRPr="008E53CD" w:rsidR="008E53CD">
        <w:rPr>
          <w:snapToGrid/>
          <w:kern w:val="0"/>
          <w:szCs w:val="22"/>
        </w:rPr>
        <w:t xml:space="preserve">he Estate of Elizabeth Luanne Silkwood </w:t>
      </w:r>
      <w:r w:rsidR="00851CA6">
        <w:rPr>
          <w:snapToGrid/>
          <w:kern w:val="0"/>
          <w:szCs w:val="22"/>
        </w:rPr>
        <w:t xml:space="preserve">(Ms. Silkwood) </w:t>
      </w:r>
      <w:r w:rsidRPr="008E53CD" w:rsidR="008E53CD">
        <w:rPr>
          <w:snapToGrid/>
          <w:kern w:val="0"/>
          <w:szCs w:val="22"/>
        </w:rPr>
        <w:t>via Kristann Silkwood Mattes</w:t>
      </w:r>
      <w:r w:rsidR="00851CA6">
        <w:rPr>
          <w:snapToGrid/>
          <w:kern w:val="0"/>
          <w:szCs w:val="22"/>
        </w:rPr>
        <w:t xml:space="preserve"> (Ms. Mattes)</w:t>
      </w:r>
      <w:r w:rsidR="00CD74ED">
        <w:rPr>
          <w:snapToGrid/>
          <w:kern w:val="0"/>
          <w:szCs w:val="22"/>
        </w:rPr>
        <w:t xml:space="preserve"> </w:t>
      </w:r>
      <w:r w:rsidRPr="00477B03">
        <w:rPr>
          <w:snapToGrid/>
          <w:kern w:val="0"/>
          <w:szCs w:val="22"/>
        </w:rPr>
        <w:t xml:space="preserve">(collectively, Applicants), pursuant to section 214 of the Communications Act of 1934, as amended, and sections 63.03-04 of the Commission’s rules, requesting consent </w:t>
      </w:r>
      <w:r w:rsidR="005D1BA2">
        <w:rPr>
          <w:snapToGrid/>
          <w:kern w:val="0"/>
          <w:szCs w:val="22"/>
        </w:rPr>
        <w:t xml:space="preserve">for </w:t>
      </w:r>
      <w:r w:rsidR="00452453">
        <w:rPr>
          <w:snapToGrid/>
          <w:kern w:val="0"/>
          <w:szCs w:val="22"/>
        </w:rPr>
        <w:t>the</w:t>
      </w:r>
      <w:r w:rsidRPr="00477B03">
        <w:rPr>
          <w:snapToGrid/>
          <w:kern w:val="0"/>
          <w:szCs w:val="22"/>
        </w:rPr>
        <w:t xml:space="preserve"> transfer</w:t>
      </w:r>
      <w:r w:rsidR="00452453">
        <w:rPr>
          <w:snapToGrid/>
          <w:kern w:val="0"/>
          <w:szCs w:val="22"/>
        </w:rPr>
        <w:t xml:space="preserve"> of</w:t>
      </w:r>
      <w:r w:rsidRPr="00477B03">
        <w:rPr>
          <w:snapToGrid/>
          <w:kern w:val="0"/>
          <w:szCs w:val="22"/>
        </w:rPr>
        <w:t xml:space="preserve"> control </w:t>
      </w:r>
      <w:r w:rsidR="009A6A28">
        <w:rPr>
          <w:snapToGrid/>
          <w:kern w:val="0"/>
          <w:szCs w:val="22"/>
        </w:rPr>
        <w:t>of</w:t>
      </w:r>
      <w:r w:rsidR="005D1BA2">
        <w:rPr>
          <w:snapToGrid/>
          <w:kern w:val="0"/>
          <w:szCs w:val="22"/>
        </w:rPr>
        <w:t xml:space="preserve"> </w:t>
      </w:r>
      <w:r w:rsidRPr="009A6A28" w:rsidR="009A6A28">
        <w:rPr>
          <w:snapToGrid/>
          <w:kern w:val="0"/>
          <w:szCs w:val="22"/>
        </w:rPr>
        <w:t>Ponderosa Communications, Inc. (PCI)</w:t>
      </w:r>
      <w:r w:rsidR="005D1BA2">
        <w:rPr>
          <w:snapToGrid/>
          <w:kern w:val="0"/>
          <w:szCs w:val="22"/>
        </w:rPr>
        <w:t xml:space="preserve"> </w:t>
      </w:r>
      <w:r w:rsidRPr="009A6A28" w:rsidR="009A6A28">
        <w:rPr>
          <w:snapToGrid/>
          <w:kern w:val="0"/>
          <w:szCs w:val="22"/>
        </w:rPr>
        <w:t xml:space="preserve">and </w:t>
      </w:r>
      <w:r w:rsidR="00B13FD4">
        <w:rPr>
          <w:snapToGrid/>
          <w:kern w:val="0"/>
          <w:szCs w:val="22"/>
        </w:rPr>
        <w:t>its subsidiaries</w:t>
      </w:r>
      <w:r w:rsidRPr="009A6A28" w:rsidR="009A6A28">
        <w:rPr>
          <w:snapToGrid/>
          <w:kern w:val="0"/>
          <w:szCs w:val="22"/>
        </w:rPr>
        <w:t xml:space="preserve"> from </w:t>
      </w:r>
      <w:r w:rsidR="006E7E38">
        <w:rPr>
          <w:snapToGrid/>
          <w:kern w:val="0"/>
          <w:szCs w:val="22"/>
        </w:rPr>
        <w:t xml:space="preserve">the Estate of </w:t>
      </w:r>
      <w:r w:rsidR="00851CA6">
        <w:rPr>
          <w:snapToGrid/>
          <w:kern w:val="0"/>
          <w:szCs w:val="22"/>
        </w:rPr>
        <w:t>Ms.</w:t>
      </w:r>
      <w:r w:rsidRPr="009A6A28" w:rsidR="009A6A28">
        <w:rPr>
          <w:snapToGrid/>
          <w:kern w:val="0"/>
          <w:szCs w:val="22"/>
        </w:rPr>
        <w:t xml:space="preserve"> Silkwood to her daughter</w:t>
      </w:r>
      <w:r w:rsidR="000215FF">
        <w:rPr>
          <w:snapToGrid/>
          <w:kern w:val="0"/>
          <w:szCs w:val="22"/>
        </w:rPr>
        <w:t>,</w:t>
      </w:r>
      <w:r w:rsidRPr="009A6A28" w:rsidR="009A6A28">
        <w:rPr>
          <w:snapToGrid/>
          <w:kern w:val="0"/>
          <w:szCs w:val="22"/>
        </w:rPr>
        <w:t xml:space="preserve"> Ms. Mattes</w:t>
      </w:r>
      <w:r w:rsidR="000215FF">
        <w:rPr>
          <w:snapToGrid/>
          <w:kern w:val="0"/>
          <w:szCs w:val="22"/>
        </w:rPr>
        <w:t>,</w:t>
      </w:r>
      <w:r w:rsidRPr="009A6A28" w:rsidR="009A6A28">
        <w:rPr>
          <w:snapToGrid/>
          <w:kern w:val="0"/>
          <w:szCs w:val="22"/>
        </w:rPr>
        <w:t xml:space="preserve"> </w:t>
      </w:r>
      <w:r w:rsidR="00CD74ED">
        <w:rPr>
          <w:snapToGrid/>
          <w:kern w:val="0"/>
          <w:szCs w:val="22"/>
        </w:rPr>
        <w:t xml:space="preserve">who is the </w:t>
      </w:r>
      <w:r w:rsidR="0047294E">
        <w:rPr>
          <w:snapToGrid/>
          <w:kern w:val="0"/>
          <w:szCs w:val="22"/>
        </w:rPr>
        <w:t>e</w:t>
      </w:r>
      <w:r w:rsidR="00CD74ED">
        <w:rPr>
          <w:snapToGrid/>
          <w:kern w:val="0"/>
          <w:szCs w:val="22"/>
        </w:rPr>
        <w:t>xecutrix of the Estate.</w:t>
      </w:r>
      <w:r>
        <w:rPr>
          <w:snapToGrid/>
          <w:kern w:val="0"/>
          <w:szCs w:val="22"/>
          <w:vertAlign w:val="superscript"/>
        </w:rPr>
        <w:footnoteReference w:id="3"/>
      </w:r>
    </w:p>
    <w:p w:rsidR="00AB0384" w:rsidP="009B4822" w14:paraId="7BB556FB" w14:textId="7D5E5D96">
      <w:pPr>
        <w:widowControl/>
        <w:autoSpaceDE w:val="0"/>
        <w:autoSpaceDN w:val="0"/>
        <w:adjustRightInd w:val="0"/>
        <w:spacing w:after="120"/>
        <w:ind w:firstLine="720"/>
        <w:rPr>
          <w:szCs w:val="22"/>
        </w:rPr>
      </w:pPr>
      <w:bookmarkStart w:id="0" w:name="_Hlk92105902"/>
      <w:r w:rsidRPr="00AB0384">
        <w:rPr>
          <w:szCs w:val="22"/>
        </w:rPr>
        <w:t>PCI, a California corporation</w:t>
      </w:r>
      <w:r w:rsidR="005B4406">
        <w:rPr>
          <w:szCs w:val="22"/>
        </w:rPr>
        <w:t xml:space="preserve"> and holding company</w:t>
      </w:r>
      <w:r w:rsidRPr="00AB0384">
        <w:rPr>
          <w:szCs w:val="22"/>
        </w:rPr>
        <w:t>, has the following three wholly-owned subsidiaries</w:t>
      </w:r>
      <w:r w:rsidR="00A2278D">
        <w:rPr>
          <w:szCs w:val="22"/>
        </w:rPr>
        <w:t xml:space="preserve"> that</w:t>
      </w:r>
      <w:r w:rsidRPr="00AB0384">
        <w:rPr>
          <w:szCs w:val="22"/>
        </w:rPr>
        <w:t xml:space="preserve"> </w:t>
      </w:r>
      <w:r w:rsidR="0047294E">
        <w:rPr>
          <w:szCs w:val="22"/>
        </w:rPr>
        <w:t xml:space="preserve">provide </w:t>
      </w:r>
      <w:r w:rsidR="005B4406">
        <w:rPr>
          <w:szCs w:val="22"/>
        </w:rPr>
        <w:t>incumbent local exchange services and other services</w:t>
      </w:r>
      <w:r w:rsidRPr="00AB0384">
        <w:rPr>
          <w:szCs w:val="22"/>
        </w:rPr>
        <w:t xml:space="preserve">: </w:t>
      </w:r>
      <w:r w:rsidR="005B4406">
        <w:rPr>
          <w:szCs w:val="22"/>
        </w:rPr>
        <w:t>“</w:t>
      </w:r>
      <w:r w:rsidRPr="00AB0384">
        <w:rPr>
          <w:szCs w:val="22"/>
        </w:rPr>
        <w:t xml:space="preserve">(1) The Ponderosa Telephone Co., a California corporation, </w:t>
      </w:r>
      <w:r w:rsidR="00A2278D">
        <w:rPr>
          <w:szCs w:val="22"/>
        </w:rPr>
        <w:t>which</w:t>
      </w:r>
      <w:r w:rsidRPr="00AB0384">
        <w:rPr>
          <w:szCs w:val="22"/>
        </w:rPr>
        <w:t xml:space="preserve"> provides local exchange telephone service and interstate exchange access service in eight exchanges in three California counties (approximately 7,635 access lines); (2) Ponderosa Cablevision, a California corporation, </w:t>
      </w:r>
      <w:r w:rsidR="00A2278D">
        <w:rPr>
          <w:szCs w:val="22"/>
        </w:rPr>
        <w:t>which</w:t>
      </w:r>
      <w:r w:rsidRPr="00AB0384">
        <w:rPr>
          <w:szCs w:val="22"/>
        </w:rPr>
        <w:t xml:space="preserve"> provides interstate long distance toll services to customers in the local exchange service areas of The Ponderosa Telephone Co.; and (3) Table Top Telephone Company, Inc., a Nevada corporation, </w:t>
      </w:r>
      <w:r w:rsidR="00A2278D">
        <w:rPr>
          <w:szCs w:val="22"/>
        </w:rPr>
        <w:t>which</w:t>
      </w:r>
      <w:r w:rsidRPr="00AB0384">
        <w:rPr>
          <w:szCs w:val="22"/>
        </w:rPr>
        <w:t xml:space="preserve"> provides local exchange, interstate exchange access and intestate long distance toll services in six exchanges in six Arizona counties.</w:t>
      </w:r>
      <w:r w:rsidR="00851CA6">
        <w:rPr>
          <w:szCs w:val="22"/>
        </w:rPr>
        <w:t>”</w:t>
      </w:r>
      <w:r>
        <w:rPr>
          <w:rStyle w:val="FootnoteReference"/>
          <w:szCs w:val="22"/>
        </w:rPr>
        <w:footnoteReference w:id="4"/>
      </w:r>
      <w:r>
        <w:rPr>
          <w:szCs w:val="22"/>
        </w:rPr>
        <w:t xml:space="preserve">  </w:t>
      </w:r>
      <w:r w:rsidRPr="00AB0384">
        <w:rPr>
          <w:szCs w:val="22"/>
        </w:rPr>
        <w:t xml:space="preserve">PCI also has the following three affiliates that provide </w:t>
      </w:r>
      <w:r w:rsidR="00FF724F">
        <w:rPr>
          <w:szCs w:val="22"/>
        </w:rPr>
        <w:t>incumbent local exchange services and other services</w:t>
      </w:r>
      <w:r w:rsidRPr="00AB0384">
        <w:rPr>
          <w:szCs w:val="22"/>
        </w:rPr>
        <w:t xml:space="preserve">: </w:t>
      </w:r>
      <w:r w:rsidR="00FF724F">
        <w:rPr>
          <w:szCs w:val="22"/>
        </w:rPr>
        <w:t>“</w:t>
      </w:r>
      <w:r w:rsidRPr="00AB0384">
        <w:rPr>
          <w:szCs w:val="22"/>
        </w:rPr>
        <w:t>(1) Tularosa Basin Telephone Company, Inc. (TBTC), a New Mexico corporation owned 50</w:t>
      </w:r>
      <w:r>
        <w:rPr>
          <w:szCs w:val="22"/>
        </w:rPr>
        <w:t xml:space="preserve">% </w:t>
      </w:r>
      <w:r w:rsidRPr="00AB0384">
        <w:rPr>
          <w:szCs w:val="22"/>
        </w:rPr>
        <w:t>by PCI, that provides local exchange service and interstate exchange access in three exchanges in two New Mexico counties; (2) Tularosa Communications, Inc., a New Mexico corporation that is a wholly-owned subsidiary of TBTC and therefore indirectly owned 50</w:t>
      </w:r>
      <w:r>
        <w:rPr>
          <w:szCs w:val="22"/>
        </w:rPr>
        <w:t xml:space="preserve">% </w:t>
      </w:r>
      <w:r w:rsidRPr="00AB0384">
        <w:rPr>
          <w:szCs w:val="22"/>
        </w:rPr>
        <w:t xml:space="preserve">by PCI, which provides interstate long distance toll services to customers in the local exchange service areas of TBTC; and (3) CVIN, LLC, a California </w:t>
      </w:r>
      <w:r w:rsidRPr="00AB0384">
        <w:rPr>
          <w:szCs w:val="22"/>
        </w:rPr>
        <w:t>limited liability company in which PCI holds a non-controlling 16.89</w:t>
      </w:r>
      <w:r>
        <w:rPr>
          <w:szCs w:val="22"/>
        </w:rPr>
        <w:t xml:space="preserve">% </w:t>
      </w:r>
      <w:r w:rsidRPr="00AB0384">
        <w:rPr>
          <w:szCs w:val="22"/>
        </w:rPr>
        <w:t>member interest, which provides various transport and business services in central California</w:t>
      </w:r>
      <w:r>
        <w:rPr>
          <w:szCs w:val="22"/>
        </w:rPr>
        <w:t>.</w:t>
      </w:r>
      <w:r w:rsidR="00054558">
        <w:rPr>
          <w:szCs w:val="22"/>
        </w:rPr>
        <w:t>”</w:t>
      </w:r>
      <w:r>
        <w:rPr>
          <w:rStyle w:val="FootnoteReference"/>
          <w:szCs w:val="22"/>
        </w:rPr>
        <w:footnoteReference w:id="5"/>
      </w:r>
      <w:r w:rsidR="009E35B7">
        <w:rPr>
          <w:szCs w:val="22"/>
        </w:rPr>
        <w:t xml:space="preserve">  </w:t>
      </w:r>
    </w:p>
    <w:p w:rsidR="008932BC" w:rsidP="009B4822" w14:paraId="6BCC18A7" w14:textId="13C764FB">
      <w:pPr>
        <w:widowControl/>
        <w:autoSpaceDE w:val="0"/>
        <w:autoSpaceDN w:val="0"/>
        <w:adjustRightInd w:val="0"/>
        <w:spacing w:after="120"/>
        <w:ind w:firstLine="720"/>
        <w:rPr>
          <w:szCs w:val="22"/>
        </w:rPr>
      </w:pPr>
      <w:r w:rsidRPr="009B4822">
        <w:rPr>
          <w:szCs w:val="22"/>
        </w:rPr>
        <w:t xml:space="preserve">Ms. Silkwood died on December 22, 2021, and </w:t>
      </w:r>
      <w:r w:rsidR="000215FF">
        <w:rPr>
          <w:szCs w:val="22"/>
        </w:rPr>
        <w:t>a</w:t>
      </w:r>
      <w:r w:rsidRPr="009B4822">
        <w:rPr>
          <w:szCs w:val="22"/>
        </w:rPr>
        <w:t xml:space="preserve">t the time of her death, </w:t>
      </w:r>
      <w:r w:rsidR="005B4406">
        <w:rPr>
          <w:szCs w:val="22"/>
        </w:rPr>
        <w:t>she</w:t>
      </w:r>
      <w:r w:rsidRPr="009B4822">
        <w:rPr>
          <w:szCs w:val="22"/>
        </w:rPr>
        <w:t xml:space="preserve"> had </w:t>
      </w:r>
      <w:r w:rsidRPr="009B4822">
        <w:rPr>
          <w:i/>
          <w:iCs/>
          <w:szCs w:val="22"/>
        </w:rPr>
        <w:t>de facto</w:t>
      </w:r>
      <w:r w:rsidRPr="009B4822">
        <w:rPr>
          <w:szCs w:val="22"/>
        </w:rPr>
        <w:t xml:space="preserve"> cont</w:t>
      </w:r>
      <w:r w:rsidR="004505BF">
        <w:rPr>
          <w:szCs w:val="22"/>
        </w:rPr>
        <w:t>r</w:t>
      </w:r>
      <w:r w:rsidRPr="009B4822">
        <w:rPr>
          <w:szCs w:val="22"/>
        </w:rPr>
        <w:t xml:space="preserve">ol of </w:t>
      </w:r>
      <w:r w:rsidR="00FF724F">
        <w:rPr>
          <w:szCs w:val="22"/>
        </w:rPr>
        <w:t xml:space="preserve">PCI </w:t>
      </w:r>
      <w:r w:rsidRPr="009B4822">
        <w:rPr>
          <w:szCs w:val="22"/>
        </w:rPr>
        <w:t xml:space="preserve">and its subsidiaries and affiliates via: </w:t>
      </w:r>
      <w:r w:rsidR="00FF724F">
        <w:rPr>
          <w:szCs w:val="22"/>
        </w:rPr>
        <w:t xml:space="preserve"> “</w:t>
      </w:r>
      <w:r w:rsidRPr="009B4822">
        <w:rPr>
          <w:szCs w:val="22"/>
        </w:rPr>
        <w:t>(1) her ownership of 29.44</w:t>
      </w:r>
      <w:r w:rsidR="00CC7A38">
        <w:rPr>
          <w:szCs w:val="22"/>
        </w:rPr>
        <w:t xml:space="preserve"> percent</w:t>
      </w:r>
      <w:r w:rsidRPr="009B4822">
        <w:rPr>
          <w:szCs w:val="22"/>
        </w:rPr>
        <w:t xml:space="preserve"> of PCI's voting stock; (2) her role as trustee or co-trustee of family trusts that held another 29.57</w:t>
      </w:r>
      <w:r w:rsidR="00CC7A38">
        <w:rPr>
          <w:szCs w:val="22"/>
        </w:rPr>
        <w:t xml:space="preserve"> percent </w:t>
      </w:r>
      <w:r w:rsidRPr="009B4822">
        <w:rPr>
          <w:szCs w:val="22"/>
        </w:rPr>
        <w:t>of PCI's voting stock; and (3) her 50</w:t>
      </w:r>
      <w:r w:rsidR="00CC7A38">
        <w:rPr>
          <w:szCs w:val="22"/>
        </w:rPr>
        <w:t xml:space="preserve"> percent</w:t>
      </w:r>
      <w:r>
        <w:rPr>
          <w:szCs w:val="22"/>
        </w:rPr>
        <w:t xml:space="preserve"> </w:t>
      </w:r>
      <w:r w:rsidRPr="009B4822">
        <w:rPr>
          <w:szCs w:val="22"/>
        </w:rPr>
        <w:t>control of Silkwood Ventures, LLC which controls 2.80</w:t>
      </w:r>
      <w:r w:rsidR="00CC7A38">
        <w:rPr>
          <w:szCs w:val="22"/>
        </w:rPr>
        <w:t xml:space="preserve"> percent</w:t>
      </w:r>
      <w:r>
        <w:rPr>
          <w:szCs w:val="22"/>
        </w:rPr>
        <w:t xml:space="preserve"> </w:t>
      </w:r>
      <w:r w:rsidRPr="009B4822">
        <w:rPr>
          <w:szCs w:val="22"/>
        </w:rPr>
        <w:t>of PCI's voting stock (for a total of 61.81</w:t>
      </w:r>
      <w:r w:rsidR="00CC7A38">
        <w:rPr>
          <w:szCs w:val="22"/>
        </w:rPr>
        <w:t xml:space="preserve"> percent</w:t>
      </w:r>
      <w:r>
        <w:rPr>
          <w:szCs w:val="22"/>
        </w:rPr>
        <w:t xml:space="preserve"> </w:t>
      </w:r>
      <w:r w:rsidRPr="009B4822">
        <w:rPr>
          <w:szCs w:val="22"/>
        </w:rPr>
        <w:t>of PCI's voting stock).</w:t>
      </w:r>
      <w:r w:rsidR="00CC7A38">
        <w:rPr>
          <w:szCs w:val="22"/>
        </w:rPr>
        <w:t>”</w:t>
      </w:r>
      <w:r w:rsidR="00D96FF9">
        <w:rPr>
          <w:szCs w:val="22"/>
        </w:rPr>
        <w:t xml:space="preserve"> </w:t>
      </w:r>
      <w:r>
        <w:rPr>
          <w:rStyle w:val="FootnoteReference"/>
          <w:szCs w:val="22"/>
        </w:rPr>
        <w:footnoteReference w:id="6"/>
      </w:r>
      <w:r w:rsidR="001D1996">
        <w:rPr>
          <w:szCs w:val="22"/>
        </w:rPr>
        <w:t xml:space="preserve">  </w:t>
      </w:r>
      <w:r w:rsidR="001F0214">
        <w:rPr>
          <w:szCs w:val="22"/>
        </w:rPr>
        <w:t>Applicants state that Ms. Mattes, a U.S. citizen, does not hold a 10% or greater interest in any other telecommunications provider.</w:t>
      </w:r>
      <w:r w:rsidR="000A6BCF">
        <w:rPr>
          <w:szCs w:val="22"/>
        </w:rPr>
        <w:t xml:space="preserve">  Applicants </w:t>
      </w:r>
      <w:r w:rsidR="00FF724F">
        <w:rPr>
          <w:szCs w:val="22"/>
        </w:rPr>
        <w:t xml:space="preserve">further </w:t>
      </w:r>
      <w:r w:rsidR="000A6BCF">
        <w:rPr>
          <w:szCs w:val="22"/>
        </w:rPr>
        <w:t>state that Franklin E. Bigelow and Mary Costales, both U.S. citizens</w:t>
      </w:r>
      <w:r w:rsidR="00CE5255">
        <w:rPr>
          <w:szCs w:val="22"/>
        </w:rPr>
        <w:t>, each directly hold 2.02</w:t>
      </w:r>
      <w:r w:rsidR="005B4406">
        <w:rPr>
          <w:szCs w:val="22"/>
        </w:rPr>
        <w:t>%</w:t>
      </w:r>
      <w:r w:rsidR="00CE5255">
        <w:rPr>
          <w:szCs w:val="22"/>
        </w:rPr>
        <w:t xml:space="preserve"> of the PCI voting stock and are the trustee or co-trustees of fifteen separate trusts that hold a cumulative 24.20% of the PCI voting stock.    </w:t>
      </w:r>
    </w:p>
    <w:p w:rsidR="0047294E" w:rsidP="009B4822" w14:paraId="7BEE5887" w14:textId="77777777">
      <w:pPr>
        <w:widowControl/>
        <w:autoSpaceDE w:val="0"/>
        <w:autoSpaceDN w:val="0"/>
        <w:adjustRightInd w:val="0"/>
        <w:spacing w:after="120"/>
        <w:ind w:firstLine="720"/>
        <w:rPr>
          <w:szCs w:val="22"/>
        </w:rPr>
      </w:pPr>
      <w:r>
        <w:rPr>
          <w:szCs w:val="22"/>
        </w:rPr>
        <w:t xml:space="preserve">Applicants describe that </w:t>
      </w:r>
      <w:r w:rsidRPr="009B4822" w:rsidR="009B4822">
        <w:rPr>
          <w:szCs w:val="22"/>
        </w:rPr>
        <w:t xml:space="preserve">Ms. Mattes will </w:t>
      </w:r>
      <w:r>
        <w:rPr>
          <w:szCs w:val="22"/>
        </w:rPr>
        <w:t>“</w:t>
      </w:r>
      <w:r w:rsidRPr="009B4822" w:rsidR="009B4822">
        <w:rPr>
          <w:szCs w:val="22"/>
        </w:rPr>
        <w:t xml:space="preserve">obtain </w:t>
      </w:r>
      <w:r w:rsidRPr="009B4822" w:rsidR="009B4822">
        <w:rPr>
          <w:i/>
          <w:iCs/>
          <w:szCs w:val="22"/>
        </w:rPr>
        <w:t>de facto</w:t>
      </w:r>
      <w:r w:rsidRPr="009B4822" w:rsidR="009B4822">
        <w:rPr>
          <w:szCs w:val="22"/>
        </w:rPr>
        <w:t xml:space="preserve"> control of PCI and its subsidiaries and affiliates via: (a) her ownership of 4.98</w:t>
      </w:r>
      <w:r>
        <w:rPr>
          <w:szCs w:val="22"/>
        </w:rPr>
        <w:t xml:space="preserve"> percent</w:t>
      </w:r>
      <w:r w:rsidR="009B4822">
        <w:rPr>
          <w:szCs w:val="22"/>
        </w:rPr>
        <w:t xml:space="preserve"> </w:t>
      </w:r>
      <w:r w:rsidRPr="009B4822" w:rsidR="009B4822">
        <w:rPr>
          <w:szCs w:val="22"/>
        </w:rPr>
        <w:t>of the voting stock of PCI prior to Ms. Silkwood's death;</w:t>
      </w:r>
      <w:r w:rsidR="009B4822">
        <w:rPr>
          <w:szCs w:val="22"/>
        </w:rPr>
        <w:t xml:space="preserve"> </w:t>
      </w:r>
      <w:r w:rsidRPr="009B4822" w:rsidR="009B4822">
        <w:rPr>
          <w:szCs w:val="22"/>
        </w:rPr>
        <w:t>(b) her control as Executrix of the 29.44</w:t>
      </w:r>
      <w:r>
        <w:rPr>
          <w:szCs w:val="22"/>
        </w:rPr>
        <w:t xml:space="preserve"> percent</w:t>
      </w:r>
      <w:r w:rsidR="009B4822">
        <w:rPr>
          <w:szCs w:val="22"/>
        </w:rPr>
        <w:t xml:space="preserve"> </w:t>
      </w:r>
      <w:r w:rsidRPr="009B4822" w:rsidR="009B4822">
        <w:rPr>
          <w:szCs w:val="22"/>
        </w:rPr>
        <w:t>of the voting stock of PCI in Ms. Silkwood's estate; (c) her control as trustee of the 23.52</w:t>
      </w:r>
      <w:r>
        <w:rPr>
          <w:szCs w:val="22"/>
        </w:rPr>
        <w:t xml:space="preserve"> percent</w:t>
      </w:r>
      <w:r w:rsidR="009B4822">
        <w:rPr>
          <w:szCs w:val="22"/>
        </w:rPr>
        <w:t xml:space="preserve"> </w:t>
      </w:r>
      <w:r w:rsidRPr="009B4822" w:rsidR="009B4822">
        <w:rPr>
          <w:szCs w:val="22"/>
        </w:rPr>
        <w:t>of the voting stock of PCI that is held by family trusts for which she succeeds Ms. Silkwood as trustee; and</w:t>
      </w:r>
      <w:r w:rsidR="009B4822">
        <w:rPr>
          <w:szCs w:val="22"/>
        </w:rPr>
        <w:t xml:space="preserve"> </w:t>
      </w:r>
      <w:r w:rsidRPr="009B4822" w:rsidR="009B4822">
        <w:rPr>
          <w:szCs w:val="22"/>
        </w:rPr>
        <w:t>(d) her control as co-trustee of a trust that contains the membership interests of a limited liability company that owns 2.80</w:t>
      </w:r>
      <w:r>
        <w:rPr>
          <w:szCs w:val="22"/>
        </w:rPr>
        <w:t xml:space="preserve"> percent</w:t>
      </w:r>
      <w:r w:rsidR="009B4822">
        <w:rPr>
          <w:szCs w:val="22"/>
        </w:rPr>
        <w:t xml:space="preserve"> </w:t>
      </w:r>
      <w:r w:rsidRPr="009B4822" w:rsidR="009B4822">
        <w:rPr>
          <w:szCs w:val="22"/>
        </w:rPr>
        <w:t>of the voting stock of PCI.</w:t>
      </w:r>
      <w:r w:rsidR="001D1996">
        <w:rPr>
          <w:szCs w:val="22"/>
        </w:rPr>
        <w:t xml:space="preserve">  </w:t>
      </w:r>
      <w:r w:rsidR="00821E6A">
        <w:rPr>
          <w:szCs w:val="22"/>
        </w:rPr>
        <w:t>Thus</w:t>
      </w:r>
      <w:r w:rsidRPr="009B4822" w:rsidR="009B4822">
        <w:rPr>
          <w:szCs w:val="22"/>
        </w:rPr>
        <w:t xml:space="preserve">, Ms. Mattes will own directly or control as Executrix or </w:t>
      </w:r>
      <w:r w:rsidR="00E267D2">
        <w:rPr>
          <w:szCs w:val="22"/>
        </w:rPr>
        <w:t>T</w:t>
      </w:r>
      <w:r w:rsidRPr="009B4822" w:rsidR="009B4822">
        <w:rPr>
          <w:szCs w:val="22"/>
        </w:rPr>
        <w:t>rustee a total of 60.74</w:t>
      </w:r>
      <w:r>
        <w:rPr>
          <w:szCs w:val="22"/>
        </w:rPr>
        <w:t xml:space="preserve"> percent</w:t>
      </w:r>
      <w:r w:rsidR="009B4822">
        <w:rPr>
          <w:szCs w:val="22"/>
        </w:rPr>
        <w:t xml:space="preserve"> </w:t>
      </w:r>
      <w:r w:rsidRPr="001D1996" w:rsidR="001D1996">
        <w:rPr>
          <w:szCs w:val="22"/>
        </w:rPr>
        <w:t>of the voting stock of PCI</w:t>
      </w:r>
      <w:r w:rsidR="001D1996">
        <w:rPr>
          <w:szCs w:val="22"/>
        </w:rPr>
        <w:t>.</w:t>
      </w:r>
      <w:r w:rsidR="00E267D2">
        <w:rPr>
          <w:szCs w:val="22"/>
        </w:rPr>
        <w:t>”</w:t>
      </w:r>
      <w:r>
        <w:rPr>
          <w:rStyle w:val="FootnoteReference"/>
          <w:szCs w:val="22"/>
        </w:rPr>
        <w:footnoteReference w:id="7"/>
      </w:r>
      <w:r w:rsidR="001D1996">
        <w:rPr>
          <w:szCs w:val="22"/>
        </w:rPr>
        <w:t xml:space="preserve">  </w:t>
      </w:r>
    </w:p>
    <w:p w:rsidR="003474AA" w:rsidRPr="009B4822" w:rsidP="009B4822" w14:paraId="6AC50A08" w14:textId="30909AEB">
      <w:pPr>
        <w:widowControl/>
        <w:autoSpaceDE w:val="0"/>
        <w:autoSpaceDN w:val="0"/>
        <w:adjustRightInd w:val="0"/>
        <w:spacing w:after="120"/>
        <w:ind w:firstLine="720"/>
        <w:rPr>
          <w:szCs w:val="22"/>
        </w:rPr>
      </w:pPr>
      <w:r>
        <w:rPr>
          <w:szCs w:val="22"/>
        </w:rPr>
        <w:t xml:space="preserve">Applicants state that </w:t>
      </w:r>
      <w:r w:rsidR="00B42CC1">
        <w:rPr>
          <w:szCs w:val="22"/>
        </w:rPr>
        <w:t>“</w:t>
      </w:r>
      <w:r>
        <w:rPr>
          <w:szCs w:val="22"/>
        </w:rPr>
        <w:t xml:space="preserve">after </w:t>
      </w:r>
      <w:r w:rsidRPr="001D1996" w:rsidR="001D1996">
        <w:rPr>
          <w:szCs w:val="22"/>
        </w:rPr>
        <w:t>the probate of Ms. Silkwood's estate is completed and the PCI stock is distributed</w:t>
      </w:r>
      <w:r w:rsidR="00B42CC1">
        <w:rPr>
          <w:szCs w:val="22"/>
        </w:rPr>
        <w:t xml:space="preserve"> in accordance with the terms of the applicable will provisions and trust documents</w:t>
      </w:r>
      <w:r w:rsidRPr="001D1996" w:rsidR="001D1996">
        <w:rPr>
          <w:szCs w:val="22"/>
        </w:rPr>
        <w:t>, Ms. Mattes, as the primary beneficiary of Ms. Silkwood's will and the various family trusts, will own more than 50.1</w:t>
      </w:r>
      <w:r>
        <w:rPr>
          <w:szCs w:val="22"/>
        </w:rPr>
        <w:t>%</w:t>
      </w:r>
      <w:r w:rsidR="001D1996">
        <w:rPr>
          <w:szCs w:val="22"/>
        </w:rPr>
        <w:t xml:space="preserve"> </w:t>
      </w:r>
      <w:r w:rsidRPr="001D1996" w:rsidR="001D1996">
        <w:rPr>
          <w:szCs w:val="22"/>
        </w:rPr>
        <w:t>of the voting stock of PCI</w:t>
      </w:r>
      <w:r w:rsidR="00B42CC1">
        <w:rPr>
          <w:szCs w:val="22"/>
        </w:rPr>
        <w:t xml:space="preserve"> and her </w:t>
      </w:r>
      <w:r w:rsidRPr="00B42CC1" w:rsidR="00B42CC1">
        <w:rPr>
          <w:i/>
          <w:iCs/>
          <w:szCs w:val="22"/>
        </w:rPr>
        <w:t>de facto</w:t>
      </w:r>
      <w:r w:rsidR="00B42CC1">
        <w:rPr>
          <w:szCs w:val="22"/>
        </w:rPr>
        <w:t xml:space="preserve"> control of PCI will have evolved on a </w:t>
      </w:r>
      <w:r w:rsidRPr="00F4163D" w:rsidR="00B42CC1">
        <w:rPr>
          <w:i/>
          <w:iCs/>
          <w:szCs w:val="22"/>
        </w:rPr>
        <w:t>pro forma</w:t>
      </w:r>
      <w:r w:rsidR="00B42CC1">
        <w:rPr>
          <w:szCs w:val="22"/>
        </w:rPr>
        <w:t xml:space="preserve"> basis into </w:t>
      </w:r>
      <w:r w:rsidRPr="00B42CC1" w:rsidR="00B42CC1">
        <w:rPr>
          <w:i/>
          <w:iCs/>
          <w:szCs w:val="22"/>
        </w:rPr>
        <w:t>de jure</w:t>
      </w:r>
      <w:r w:rsidR="00B42CC1">
        <w:rPr>
          <w:szCs w:val="22"/>
        </w:rPr>
        <w:t xml:space="preserve"> control</w:t>
      </w:r>
      <w:r w:rsidR="00027F5B">
        <w:rPr>
          <w:szCs w:val="22"/>
        </w:rPr>
        <w:t>.</w:t>
      </w:r>
      <w:r w:rsidR="00F4163D">
        <w:rPr>
          <w:szCs w:val="22"/>
        </w:rPr>
        <w:t>”</w:t>
      </w:r>
      <w:r>
        <w:rPr>
          <w:rStyle w:val="FootnoteReference"/>
          <w:szCs w:val="22"/>
        </w:rPr>
        <w:footnoteReference w:id="8"/>
      </w:r>
      <w:r w:rsidR="001D1996">
        <w:rPr>
          <w:szCs w:val="22"/>
        </w:rPr>
        <w:t xml:space="preserve">  </w:t>
      </w:r>
      <w:r>
        <w:rPr>
          <w:szCs w:val="22"/>
        </w:rPr>
        <w:t xml:space="preserve">As a result, </w:t>
      </w:r>
      <w:r w:rsidR="00027F5B">
        <w:rPr>
          <w:szCs w:val="22"/>
        </w:rPr>
        <w:t>Ms. Mattes’</w:t>
      </w:r>
      <w:r w:rsidRPr="001D1996" w:rsidR="001D1996">
        <w:rPr>
          <w:i/>
          <w:szCs w:val="22"/>
        </w:rPr>
        <w:t xml:space="preserve"> </w:t>
      </w:r>
      <w:r w:rsidRPr="001D1996" w:rsidR="001D1996">
        <w:rPr>
          <w:szCs w:val="22"/>
        </w:rPr>
        <w:t>control of PCI will give</w:t>
      </w:r>
      <w:r w:rsidR="00027F5B">
        <w:rPr>
          <w:szCs w:val="22"/>
        </w:rPr>
        <w:t xml:space="preserve"> her</w:t>
      </w:r>
      <w:r w:rsidRPr="001D1996" w:rsidR="001D1996">
        <w:rPr>
          <w:szCs w:val="22"/>
        </w:rPr>
        <w:t xml:space="preserve"> control of The Ponderosa Telephone Co.</w:t>
      </w:r>
      <w:r w:rsidR="00027F5B">
        <w:rPr>
          <w:szCs w:val="22"/>
        </w:rPr>
        <w:t>,</w:t>
      </w:r>
      <w:r w:rsidRPr="001D1996" w:rsidR="001D1996">
        <w:rPr>
          <w:szCs w:val="22"/>
        </w:rPr>
        <w:t xml:space="preserve"> Table Top Telephone Company, Inc.</w:t>
      </w:r>
      <w:r w:rsidR="00027F5B">
        <w:rPr>
          <w:szCs w:val="22"/>
        </w:rPr>
        <w:t>,</w:t>
      </w:r>
      <w:r w:rsidRPr="001D1996" w:rsidR="001D1996">
        <w:rPr>
          <w:szCs w:val="22"/>
        </w:rPr>
        <w:t xml:space="preserve"> and Ponderosa Cablevision.</w:t>
      </w:r>
      <w:r w:rsidR="001D1996">
        <w:rPr>
          <w:szCs w:val="22"/>
        </w:rPr>
        <w:t xml:space="preserve">  </w:t>
      </w:r>
      <w:r w:rsidRPr="001D1996" w:rsidR="001D1996">
        <w:rPr>
          <w:szCs w:val="22"/>
        </w:rPr>
        <w:t>In addition, control of PCI will give Ms. Mattes negative control of Tularosa Basin Telephone Company, Inc. and Tularosa Communications, Inc</w:t>
      </w:r>
      <w:r w:rsidR="001D1996">
        <w:rPr>
          <w:szCs w:val="22"/>
        </w:rPr>
        <w:t>.</w:t>
      </w:r>
      <w:r w:rsidR="00533F0C">
        <w:rPr>
          <w:szCs w:val="22"/>
        </w:rPr>
        <w:t xml:space="preserve">  </w:t>
      </w:r>
    </w:p>
    <w:bookmarkEnd w:id="0"/>
    <w:p w:rsidR="003474AA" w:rsidRPr="00B83962" w:rsidP="00B83962" w14:paraId="241EBC4F" w14:textId="057BE720">
      <w:pPr>
        <w:widowControl/>
        <w:autoSpaceDE w:val="0"/>
        <w:autoSpaceDN w:val="0"/>
        <w:adjustRightInd w:val="0"/>
        <w:spacing w:after="120"/>
        <w:ind w:firstLine="720"/>
        <w:rPr>
          <w:snapToGrid/>
        </w:rPr>
      </w:pPr>
      <w:r w:rsidRPr="005C743D">
        <w:rPr>
          <w:snapToGrid/>
          <w:kern w:val="0"/>
          <w:szCs w:val="22"/>
        </w:rPr>
        <w:t>Applicants</w:t>
      </w:r>
      <w:r w:rsidRPr="005C743D">
        <w:rPr>
          <w:bCs/>
          <w:snapToGrid/>
          <w:kern w:val="0"/>
          <w:szCs w:val="22"/>
        </w:rPr>
        <w:t xml:space="preserve"> </w:t>
      </w:r>
      <w:r w:rsidR="00A808A5">
        <w:rPr>
          <w:bCs/>
          <w:snapToGrid/>
          <w:kern w:val="0"/>
          <w:szCs w:val="22"/>
        </w:rPr>
        <w:t xml:space="preserve">request streamlined treatment of the transaction and </w:t>
      </w:r>
      <w:r w:rsidRPr="005C743D">
        <w:rPr>
          <w:bCs/>
          <w:snapToGrid/>
          <w:kern w:val="0"/>
          <w:szCs w:val="22"/>
        </w:rPr>
        <w:t xml:space="preserve">assert that a grant of the application would serve the public interest, convenience, and necessity.  We accept the </w:t>
      </w:r>
      <w:r w:rsidR="00F4163D">
        <w:rPr>
          <w:bCs/>
          <w:snapToGrid/>
          <w:kern w:val="0"/>
          <w:szCs w:val="22"/>
        </w:rPr>
        <w:t>A</w:t>
      </w:r>
      <w:r w:rsidRPr="005C743D">
        <w:rPr>
          <w:bCs/>
          <w:snapToGrid/>
          <w:kern w:val="0"/>
          <w:szCs w:val="22"/>
        </w:rPr>
        <w:t>pplication for filing under section 63.03(b)(</w:t>
      </w:r>
      <w:r w:rsidR="009437BB">
        <w:rPr>
          <w:bCs/>
          <w:snapToGrid/>
          <w:kern w:val="0"/>
          <w:szCs w:val="22"/>
        </w:rPr>
        <w:t>1</w:t>
      </w:r>
      <w:r w:rsidRPr="005C743D">
        <w:rPr>
          <w:bCs/>
          <w:snapToGrid/>
          <w:kern w:val="0"/>
          <w:szCs w:val="22"/>
        </w:rPr>
        <w:t>)(i</w:t>
      </w:r>
      <w:r w:rsidR="00A808A5">
        <w:rPr>
          <w:bCs/>
          <w:snapToGrid/>
          <w:kern w:val="0"/>
          <w:szCs w:val="22"/>
        </w:rPr>
        <w:t>i</w:t>
      </w:r>
      <w:r w:rsidRPr="005C743D">
        <w:rPr>
          <w:bCs/>
          <w:snapToGrid/>
          <w:kern w:val="0"/>
          <w:szCs w:val="22"/>
        </w:rPr>
        <w:t>) of the Commission’s rules.</w:t>
      </w:r>
      <w:r>
        <w:rPr>
          <w:bCs/>
          <w:snapToGrid/>
          <w:kern w:val="0"/>
          <w:szCs w:val="22"/>
          <w:vertAlign w:val="superscript"/>
        </w:rPr>
        <w:footnoteReference w:id="9"/>
      </w:r>
    </w:p>
    <w:p w:rsidR="003474AA" w:rsidP="003474AA" w14:paraId="4A2AEFA6" w14:textId="77777777">
      <w:pPr>
        <w:widowControl/>
        <w:ind w:left="720"/>
        <w:rPr>
          <w:snapToGrid/>
          <w:kern w:val="0"/>
          <w:szCs w:val="22"/>
        </w:rPr>
      </w:pPr>
      <w:r w:rsidRPr="005C743D">
        <w:rPr>
          <w:snapToGrid/>
          <w:kern w:val="0"/>
          <w:szCs w:val="22"/>
        </w:rPr>
        <w:t xml:space="preserve">Domestic Section 214 Application Filed for the Transfer of Control of </w:t>
      </w:r>
    </w:p>
    <w:p w:rsidR="003474AA" w:rsidP="007B1711" w14:paraId="53AD9208" w14:textId="642C1B20">
      <w:pPr>
        <w:widowControl/>
        <w:ind w:left="720"/>
        <w:rPr>
          <w:snapToGrid/>
          <w:kern w:val="0"/>
          <w:szCs w:val="22"/>
        </w:rPr>
      </w:pPr>
      <w:r w:rsidRPr="00F53BC5">
        <w:rPr>
          <w:snapToGrid/>
          <w:kern w:val="0"/>
          <w:szCs w:val="22"/>
        </w:rPr>
        <w:t>Ponderosa Communications, Inc.</w:t>
      </w:r>
      <w:r w:rsidRPr="005C743D">
        <w:rPr>
          <w:snapToGrid/>
          <w:kern w:val="0"/>
          <w:szCs w:val="22"/>
        </w:rPr>
        <w:t>, WC Docket No. 2</w:t>
      </w:r>
      <w:r>
        <w:rPr>
          <w:snapToGrid/>
          <w:kern w:val="0"/>
          <w:szCs w:val="22"/>
        </w:rPr>
        <w:t>2</w:t>
      </w:r>
      <w:r w:rsidRPr="005C743D">
        <w:rPr>
          <w:snapToGrid/>
          <w:kern w:val="0"/>
          <w:szCs w:val="22"/>
        </w:rPr>
        <w:t>-</w:t>
      </w:r>
      <w:r w:rsidR="003B2B28">
        <w:rPr>
          <w:snapToGrid/>
          <w:kern w:val="0"/>
          <w:szCs w:val="22"/>
        </w:rPr>
        <w:t>145</w:t>
      </w:r>
      <w:r w:rsidRPr="005C743D">
        <w:rPr>
          <w:snapToGrid/>
          <w:kern w:val="0"/>
          <w:szCs w:val="22"/>
        </w:rPr>
        <w:t xml:space="preserve"> (filed </w:t>
      </w:r>
      <w:r>
        <w:rPr>
          <w:snapToGrid/>
          <w:kern w:val="0"/>
          <w:szCs w:val="22"/>
        </w:rPr>
        <w:t>Mar</w:t>
      </w:r>
      <w:r w:rsidR="001C1595">
        <w:rPr>
          <w:snapToGrid/>
          <w:kern w:val="0"/>
          <w:szCs w:val="22"/>
        </w:rPr>
        <w:t>.</w:t>
      </w:r>
      <w:r w:rsidRPr="005C743D">
        <w:rPr>
          <w:snapToGrid/>
          <w:kern w:val="0"/>
          <w:szCs w:val="22"/>
        </w:rPr>
        <w:t xml:space="preserve"> </w:t>
      </w:r>
      <w:r>
        <w:rPr>
          <w:snapToGrid/>
          <w:kern w:val="0"/>
          <w:szCs w:val="22"/>
        </w:rPr>
        <w:t>3</w:t>
      </w:r>
      <w:r w:rsidRPr="005C743D">
        <w:rPr>
          <w:snapToGrid/>
          <w:kern w:val="0"/>
          <w:szCs w:val="22"/>
        </w:rPr>
        <w:t>1, 202</w:t>
      </w:r>
      <w:r>
        <w:rPr>
          <w:snapToGrid/>
          <w:kern w:val="0"/>
          <w:szCs w:val="22"/>
        </w:rPr>
        <w:t>2</w:t>
      </w:r>
      <w:r w:rsidRPr="005C743D">
        <w:rPr>
          <w:snapToGrid/>
          <w:kern w:val="0"/>
          <w:szCs w:val="22"/>
        </w:rPr>
        <w:t>).</w:t>
      </w:r>
    </w:p>
    <w:p w:rsidR="00590452" w:rsidP="003474AA" w14:paraId="44C8177F" w14:textId="77777777">
      <w:pPr>
        <w:widowControl/>
        <w:autoSpaceDE w:val="0"/>
        <w:autoSpaceDN w:val="0"/>
        <w:adjustRightInd w:val="0"/>
        <w:rPr>
          <w:b/>
          <w:snapToGrid/>
          <w:kern w:val="0"/>
          <w:szCs w:val="22"/>
          <w:u w:val="single"/>
        </w:rPr>
      </w:pPr>
      <w:bookmarkStart w:id="1" w:name="_Hlk91058179"/>
    </w:p>
    <w:p w:rsidR="003474AA" w:rsidRPr="005C743D" w:rsidP="003474AA" w14:paraId="4B3A2DC4"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11FA8EC0" w14:textId="77777777">
      <w:pPr>
        <w:widowControl/>
        <w:autoSpaceDE w:val="0"/>
        <w:autoSpaceDN w:val="0"/>
        <w:adjustRightInd w:val="0"/>
        <w:rPr>
          <w:snapToGrid/>
          <w:kern w:val="0"/>
          <w:szCs w:val="22"/>
        </w:rPr>
      </w:pPr>
    </w:p>
    <w:p w:rsidR="003474AA" w:rsidRPr="005C743D" w:rsidP="003474AA" w14:paraId="5443075B" w14:textId="1A75C6CC">
      <w:pPr>
        <w:widowControl/>
        <w:autoSpaceDE w:val="0"/>
        <w:autoSpaceDN w:val="0"/>
        <w:adjustRightInd w:val="0"/>
        <w:spacing w:after="120"/>
        <w:ind w:firstLine="720"/>
        <w:rPr>
          <w:snapToGrid/>
          <w:kern w:val="0"/>
          <w:szCs w:val="22"/>
        </w:rPr>
      </w:pPr>
      <w:r w:rsidRPr="005C743D">
        <w:rPr>
          <w:snapToGrid/>
          <w:kern w:val="0"/>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5C743D">
        <w:rPr>
          <w:b/>
          <w:snapToGrid/>
          <w:kern w:val="0"/>
          <w:szCs w:val="22"/>
        </w:rPr>
        <w:t xml:space="preserve">on or before </w:t>
      </w:r>
      <w:r w:rsidR="007B1711">
        <w:rPr>
          <w:b/>
          <w:snapToGrid/>
          <w:kern w:val="0"/>
          <w:szCs w:val="22"/>
        </w:rPr>
        <w:t>May</w:t>
      </w:r>
      <w:r w:rsidR="00F53BC5">
        <w:rPr>
          <w:b/>
          <w:snapToGrid/>
          <w:kern w:val="0"/>
          <w:szCs w:val="22"/>
        </w:rPr>
        <w:t xml:space="preserve"> </w:t>
      </w:r>
      <w:r w:rsidR="002163E9">
        <w:rPr>
          <w:b/>
          <w:snapToGrid/>
          <w:kern w:val="0"/>
          <w:szCs w:val="22"/>
        </w:rPr>
        <w:t>6</w:t>
      </w:r>
      <w:r w:rsidRPr="005C743D">
        <w:rPr>
          <w:b/>
          <w:snapToGrid/>
          <w:kern w:val="0"/>
          <w:szCs w:val="22"/>
        </w:rPr>
        <w:t>, 202</w:t>
      </w:r>
      <w:r>
        <w:rPr>
          <w:b/>
          <w:snapToGrid/>
          <w:kern w:val="0"/>
          <w:szCs w:val="22"/>
        </w:rPr>
        <w:t>2</w:t>
      </w:r>
      <w:r w:rsidRPr="005C743D">
        <w:rPr>
          <w:snapToGrid/>
          <w:kern w:val="0"/>
          <w:szCs w:val="22"/>
        </w:rPr>
        <w:t xml:space="preserve">, and reply comments </w:t>
      </w:r>
      <w:r w:rsidRPr="005C743D">
        <w:rPr>
          <w:b/>
          <w:snapToGrid/>
          <w:kern w:val="0"/>
          <w:szCs w:val="22"/>
        </w:rPr>
        <w:t xml:space="preserve">on or </w:t>
      </w:r>
      <w:r w:rsidRPr="005C743D">
        <w:rPr>
          <w:b/>
          <w:snapToGrid/>
          <w:kern w:val="0"/>
          <w:szCs w:val="22"/>
        </w:rPr>
        <w:t xml:space="preserve">before </w:t>
      </w:r>
      <w:r w:rsidR="007B1711">
        <w:rPr>
          <w:b/>
          <w:snapToGrid/>
          <w:kern w:val="0"/>
          <w:szCs w:val="22"/>
        </w:rPr>
        <w:t>May</w:t>
      </w:r>
      <w:r w:rsidR="00AA0AF9">
        <w:rPr>
          <w:b/>
          <w:snapToGrid/>
          <w:kern w:val="0"/>
          <w:szCs w:val="22"/>
        </w:rPr>
        <w:t xml:space="preserve"> </w:t>
      </w:r>
      <w:r w:rsidR="007B1711">
        <w:rPr>
          <w:b/>
          <w:snapToGrid/>
          <w:kern w:val="0"/>
          <w:szCs w:val="22"/>
        </w:rPr>
        <w:t>1</w:t>
      </w:r>
      <w:r w:rsidR="002163E9">
        <w:rPr>
          <w:b/>
          <w:snapToGrid/>
          <w:kern w:val="0"/>
          <w:szCs w:val="22"/>
        </w:rPr>
        <w:t>3</w:t>
      </w:r>
      <w:r w:rsidRPr="005C743D">
        <w:rPr>
          <w:b/>
          <w:bCs/>
          <w:snapToGrid/>
          <w:kern w:val="0"/>
          <w:szCs w:val="22"/>
        </w:rPr>
        <w:t>,</w:t>
      </w:r>
      <w:r w:rsidRPr="005C743D">
        <w:rPr>
          <w:b/>
          <w:snapToGrid/>
          <w:kern w:val="0"/>
          <w:szCs w:val="22"/>
        </w:rPr>
        <w:t xml:space="preserve"> 202</w:t>
      </w:r>
      <w:r>
        <w:rPr>
          <w:b/>
          <w:snapToGrid/>
          <w:kern w:val="0"/>
          <w:szCs w:val="22"/>
        </w:rPr>
        <w:t>2</w:t>
      </w:r>
      <w:r w:rsidRPr="005C743D">
        <w:rPr>
          <w:snapToGrid/>
          <w:kern w:val="0"/>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3474AA" w:rsidRPr="005C743D" w:rsidP="003474AA" w14:paraId="2A7E2353" w14:textId="77777777">
      <w:pPr>
        <w:widowControl/>
        <w:autoSpaceDE w:val="0"/>
        <w:autoSpaceDN w:val="0"/>
        <w:adjustRightInd w:val="0"/>
        <w:spacing w:after="120"/>
        <w:ind w:firstLine="720"/>
        <w:rPr>
          <w:snapToGrid/>
          <w:kern w:val="0"/>
          <w:szCs w:val="22"/>
        </w:rPr>
      </w:pPr>
      <w:r w:rsidRPr="005C743D">
        <w:rPr>
          <w:snapToGrid/>
          <w:kern w:val="0"/>
          <w:szCs w:val="22"/>
        </w:rPr>
        <w:t xml:space="preserve">Pursuant to section 63.03 of the Commission’s rules, 47 CFR § 63.03, parties to this proceeding should file any documents using the Commission’s Electronic Comment Filing System (ECFS):  http://apps.fcc.gov/ecfs/.  </w:t>
      </w:r>
    </w:p>
    <w:p w:rsidR="003474AA" w:rsidRPr="005C743D" w:rsidP="003474AA" w14:paraId="441DE4E5" w14:textId="77777777">
      <w:pPr>
        <w:widowControl/>
        <w:autoSpaceDE w:val="0"/>
        <w:autoSpaceDN w:val="0"/>
        <w:adjustRightInd w:val="0"/>
        <w:spacing w:after="120"/>
        <w:ind w:firstLine="720"/>
        <w:rPr>
          <w:b/>
          <w:snapToGrid/>
          <w:kern w:val="0"/>
          <w:szCs w:val="22"/>
        </w:rPr>
      </w:pPr>
      <w:r w:rsidRPr="005C743D">
        <w:rPr>
          <w:b/>
          <w:snapToGrid/>
          <w:kern w:val="0"/>
          <w:szCs w:val="22"/>
        </w:rPr>
        <w:t>In addition, e-mail one copy of each pleading to each of the following:</w:t>
      </w:r>
    </w:p>
    <w:p w:rsidR="003474AA" w:rsidRPr="005C743D" w:rsidP="003474AA" w14:paraId="49E2F271" w14:textId="77777777">
      <w:pPr>
        <w:widowControl/>
        <w:numPr>
          <w:ilvl w:val="0"/>
          <w:numId w:val="7"/>
        </w:numPr>
        <w:autoSpaceDE w:val="0"/>
        <w:autoSpaceDN w:val="0"/>
        <w:adjustRightInd w:val="0"/>
        <w:spacing w:after="120"/>
        <w:rPr>
          <w:snapToGrid/>
          <w:kern w:val="0"/>
          <w:szCs w:val="22"/>
        </w:rPr>
      </w:pPr>
      <w:r w:rsidRPr="001C1595">
        <w:rPr>
          <w:snapToGrid/>
          <w:kern w:val="0"/>
          <w:szCs w:val="22"/>
        </w:rPr>
        <w:t>Myrva Charles</w:t>
      </w:r>
      <w:r w:rsidRPr="005C743D">
        <w:rPr>
          <w:snapToGrid/>
          <w:kern w:val="0"/>
          <w:szCs w:val="22"/>
        </w:rPr>
        <w:t xml:space="preserve">, Competition Policy Division, Wireline Competition Bureau,  </w:t>
      </w:r>
      <w:hyperlink r:id="rId5" w:history="1">
        <w:r w:rsidRPr="00A3458C">
          <w:rPr>
            <w:rStyle w:val="Hyperlink"/>
            <w:snapToGrid/>
            <w:kern w:val="0"/>
            <w:szCs w:val="22"/>
          </w:rPr>
          <w:t>myrva.charles@fcc.gov</w:t>
        </w:r>
      </w:hyperlink>
      <w:r w:rsidRPr="005C743D">
        <w:rPr>
          <w:snapToGrid/>
          <w:kern w:val="0"/>
          <w:szCs w:val="22"/>
        </w:rPr>
        <w:t>;</w:t>
      </w:r>
    </w:p>
    <w:p w:rsidR="00FF724F" w:rsidP="003474AA" w14:paraId="77AB6918" w14:textId="77777777">
      <w:pPr>
        <w:widowControl/>
        <w:numPr>
          <w:ilvl w:val="0"/>
          <w:numId w:val="7"/>
        </w:numPr>
        <w:autoSpaceDE w:val="0"/>
        <w:autoSpaceDN w:val="0"/>
        <w:adjustRightInd w:val="0"/>
        <w:spacing w:after="120"/>
        <w:rPr>
          <w:snapToGrid/>
          <w:kern w:val="0"/>
          <w:szCs w:val="22"/>
        </w:rPr>
      </w:pPr>
      <w:r>
        <w:rPr>
          <w:snapToGrid/>
          <w:kern w:val="0"/>
          <w:szCs w:val="22"/>
        </w:rPr>
        <w:t>Dennis Johnson</w:t>
      </w:r>
      <w:r w:rsidRPr="005C743D" w:rsidR="003474AA">
        <w:rPr>
          <w:snapToGrid/>
          <w:kern w:val="0"/>
          <w:szCs w:val="22"/>
        </w:rPr>
        <w:t xml:space="preserve">, Competition Policy Division, Wireline Competition Bureau, </w:t>
      </w:r>
      <w:hyperlink r:id="rId6" w:history="1">
        <w:r w:rsidRPr="00543D11">
          <w:rPr>
            <w:rStyle w:val="Hyperlink"/>
            <w:snapToGrid/>
            <w:kern w:val="0"/>
            <w:szCs w:val="22"/>
          </w:rPr>
          <w:t>dennis.johnson@fcc.gov</w:t>
        </w:r>
      </w:hyperlink>
      <w:r w:rsidRPr="005C743D" w:rsidR="003474AA">
        <w:rPr>
          <w:snapToGrid/>
          <w:kern w:val="0"/>
          <w:szCs w:val="22"/>
        </w:rPr>
        <w:t xml:space="preserve">; </w:t>
      </w:r>
    </w:p>
    <w:p w:rsidR="003474AA" w:rsidRPr="005C743D" w:rsidP="003474AA" w14:paraId="227BBD4F" w14:textId="5AC63CD7">
      <w:pPr>
        <w:widowControl/>
        <w:numPr>
          <w:ilvl w:val="0"/>
          <w:numId w:val="7"/>
        </w:numPr>
        <w:autoSpaceDE w:val="0"/>
        <w:autoSpaceDN w:val="0"/>
        <w:adjustRightInd w:val="0"/>
        <w:spacing w:after="120"/>
        <w:rPr>
          <w:snapToGrid/>
          <w:kern w:val="0"/>
          <w:szCs w:val="22"/>
        </w:rPr>
      </w:pPr>
      <w:r w:rsidRPr="00E4684A">
        <w:rPr>
          <w:szCs w:val="22"/>
        </w:rPr>
        <w:t xml:space="preserve">David Krech or Sumita Mukhoty, Telecommunications and Analysis Division, International Bureau, </w:t>
      </w:r>
      <w:hyperlink r:id="rId7" w:history="1">
        <w:r w:rsidRPr="00E4684A">
          <w:rPr>
            <w:rStyle w:val="Hyperlink"/>
            <w:szCs w:val="22"/>
          </w:rPr>
          <w:t>david.krech@fcc.gov</w:t>
        </w:r>
      </w:hyperlink>
      <w:r w:rsidRPr="00E4684A">
        <w:rPr>
          <w:szCs w:val="22"/>
        </w:rPr>
        <w:t xml:space="preserve">; </w:t>
      </w:r>
      <w:hyperlink r:id="rId8" w:history="1">
        <w:r w:rsidRPr="00E4684A">
          <w:rPr>
            <w:rStyle w:val="Hyperlink"/>
            <w:szCs w:val="22"/>
          </w:rPr>
          <w:t>sumita.mukhoty@fcc.</w:t>
        </w:r>
        <w:r w:rsidRPr="00FF724F">
          <w:rPr>
            <w:rStyle w:val="Hyperlink"/>
            <w:szCs w:val="22"/>
            <w:u w:val="none"/>
          </w:rPr>
          <w:t>gov</w:t>
        </w:r>
      </w:hyperlink>
      <w:r>
        <w:rPr>
          <w:rStyle w:val="Hyperlink"/>
          <w:szCs w:val="22"/>
          <w:u w:val="none"/>
        </w:rPr>
        <w:t xml:space="preserve">; </w:t>
      </w:r>
      <w:r w:rsidRPr="00FF724F">
        <w:rPr>
          <w:snapToGrid/>
          <w:kern w:val="0"/>
          <w:szCs w:val="22"/>
        </w:rPr>
        <w:t>and</w:t>
      </w:r>
    </w:p>
    <w:p w:rsidR="003474AA" w:rsidRPr="005C743D" w:rsidP="003474AA" w14:paraId="001A3487" w14:textId="77777777">
      <w:pPr>
        <w:widowControl/>
        <w:numPr>
          <w:ilvl w:val="0"/>
          <w:numId w:val="7"/>
        </w:numPr>
        <w:autoSpaceDE w:val="0"/>
        <w:autoSpaceDN w:val="0"/>
        <w:adjustRightInd w:val="0"/>
        <w:spacing w:after="120"/>
        <w:rPr>
          <w:snapToGrid/>
          <w:kern w:val="0"/>
          <w:szCs w:val="22"/>
        </w:rPr>
      </w:pPr>
      <w:bookmarkStart w:id="2" w:name="_Hlk91058366"/>
      <w:bookmarkEnd w:id="1"/>
      <w:r w:rsidRPr="005C743D">
        <w:rPr>
          <w:snapToGrid/>
          <w:kern w:val="0"/>
          <w:szCs w:val="22"/>
        </w:rPr>
        <w:t xml:space="preserve">Jim Bird, Office of General Counsel, </w:t>
      </w:r>
      <w:hyperlink r:id="rId9" w:history="1">
        <w:r w:rsidRPr="005C743D">
          <w:rPr>
            <w:snapToGrid/>
            <w:color w:val="0000FF"/>
            <w:kern w:val="0"/>
            <w:szCs w:val="22"/>
            <w:u w:val="single"/>
          </w:rPr>
          <w:t>jim.bird@fcc.gov</w:t>
        </w:r>
      </w:hyperlink>
      <w:r w:rsidRPr="005C743D">
        <w:rPr>
          <w:snapToGrid/>
          <w:kern w:val="0"/>
          <w:szCs w:val="22"/>
        </w:rPr>
        <w:t>.</w:t>
      </w:r>
    </w:p>
    <w:p w:rsidR="003474AA" w:rsidRPr="005C743D" w:rsidP="003474AA" w14:paraId="085DD4B2" w14:textId="77777777">
      <w:pPr>
        <w:widowControl/>
        <w:autoSpaceDE w:val="0"/>
        <w:autoSpaceDN w:val="0"/>
        <w:adjustRightInd w:val="0"/>
        <w:spacing w:after="120"/>
        <w:ind w:firstLine="720"/>
        <w:rPr>
          <w:snapToGrid/>
          <w:kern w:val="0"/>
          <w:szCs w:val="22"/>
        </w:rPr>
      </w:pPr>
      <w:r w:rsidRPr="005C743D">
        <w:rPr>
          <w:snapToGrid/>
          <w:kern w:val="0"/>
          <w:szCs w:val="22"/>
        </w:rPr>
        <w:t>People with Disabilities:  We ask that requests for accommodations be made as soon as possible in order to allow the agency to satisfy such requests whenever possible.  Send an email to </w:t>
      </w:r>
      <w:hyperlink r:id="rId10" w:tgtFrame="_blank" w:history="1">
        <w:r w:rsidRPr="005C743D">
          <w:rPr>
            <w:snapToGrid/>
            <w:color w:val="0000FF"/>
            <w:kern w:val="0"/>
            <w:szCs w:val="22"/>
            <w:u w:val="single"/>
          </w:rPr>
          <w:t>fcc504@fcc.gov</w:t>
        </w:r>
      </w:hyperlink>
      <w:r w:rsidRPr="005C743D">
        <w:rPr>
          <w:snapToGrid/>
          <w:kern w:val="0"/>
          <w:szCs w:val="22"/>
        </w:rPr>
        <w:t> or call the Consumer and Governmental Affairs Bureau at (202) 418-0530.</w:t>
      </w:r>
    </w:p>
    <w:p w:rsidR="003474AA" w:rsidRPr="005C743D" w:rsidP="003474AA" w14:paraId="12B5663E" w14:textId="77777777">
      <w:pPr>
        <w:widowControl/>
        <w:autoSpaceDE w:val="0"/>
        <w:autoSpaceDN w:val="0"/>
        <w:adjustRightInd w:val="0"/>
        <w:spacing w:after="120"/>
        <w:ind w:firstLine="720"/>
        <w:rPr>
          <w:snapToGrid/>
          <w:kern w:val="0"/>
          <w:szCs w:val="22"/>
        </w:rPr>
      </w:pPr>
      <w:r w:rsidRPr="005C743D">
        <w:rPr>
          <w:snapToGrid/>
          <w:kern w:val="0"/>
          <w:szCs w:val="22"/>
        </w:rPr>
        <w:t xml:space="preserve">The proceeding in this Notice shall be treated as a “permit-but-disclose” proceeding in accordance with the Commission’s </w:t>
      </w:r>
      <w:r w:rsidRPr="005C743D">
        <w:rPr>
          <w:i/>
          <w:snapToGrid/>
          <w:kern w:val="0"/>
          <w:szCs w:val="22"/>
        </w:rPr>
        <w:t>ex parte</w:t>
      </w:r>
      <w:r w:rsidRPr="005C743D">
        <w:rPr>
          <w:snapToGrid/>
          <w:kern w:val="0"/>
          <w:szCs w:val="22"/>
        </w:rPr>
        <w:t xml:space="preserve"> rules.  Persons making </w:t>
      </w:r>
      <w:r w:rsidRPr="005C743D">
        <w:rPr>
          <w:i/>
          <w:snapToGrid/>
          <w:kern w:val="0"/>
          <w:szCs w:val="22"/>
        </w:rPr>
        <w:t>ex parte</w:t>
      </w:r>
      <w:r w:rsidRPr="005C743D">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5C743D">
        <w:rPr>
          <w:i/>
          <w:snapToGrid/>
          <w:kern w:val="0"/>
          <w:szCs w:val="22"/>
        </w:rPr>
        <w:t>ex parte</w:t>
      </w:r>
      <w:r w:rsidRPr="005C743D">
        <w:rPr>
          <w:snapToGrid/>
          <w:kern w:val="0"/>
          <w:szCs w:val="22"/>
        </w:rPr>
        <w:t xml:space="preserve"> presentations are reminded that memoranda summarizing the presentation must (1) list all persons attending or otherwise participating in the meeting at which the </w:t>
      </w:r>
      <w:r w:rsidRPr="005C743D">
        <w:rPr>
          <w:i/>
          <w:snapToGrid/>
          <w:kern w:val="0"/>
          <w:szCs w:val="22"/>
        </w:rPr>
        <w:t>ex parte</w:t>
      </w:r>
      <w:r w:rsidRPr="005C743D">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43D">
        <w:rPr>
          <w:i/>
          <w:snapToGrid/>
          <w:kern w:val="0"/>
          <w:szCs w:val="22"/>
        </w:rPr>
        <w:t>ex parte</w:t>
      </w:r>
      <w:r w:rsidRPr="005C743D">
        <w:rPr>
          <w:snapToGrid/>
          <w:kern w:val="0"/>
          <w:szCs w:val="22"/>
        </w:rPr>
        <w:t xml:space="preserve"> meetings are deemed to be written </w:t>
      </w:r>
      <w:r w:rsidRPr="005C743D">
        <w:rPr>
          <w:i/>
          <w:snapToGrid/>
          <w:kern w:val="0"/>
          <w:szCs w:val="22"/>
        </w:rPr>
        <w:t>ex parte</w:t>
      </w:r>
      <w:r w:rsidRPr="005C743D">
        <w:rPr>
          <w:snapToGrid/>
          <w:kern w:val="0"/>
          <w:szCs w:val="22"/>
        </w:rPr>
        <w:t xml:space="preserve"> presentations and must be filed consistent with rule 1.1206(b), 47 CFR § 1.1206(b).  Participants in this proceeding should familiarize themselves with the Commission’s </w:t>
      </w:r>
      <w:r w:rsidRPr="005C743D">
        <w:rPr>
          <w:i/>
          <w:snapToGrid/>
          <w:kern w:val="0"/>
          <w:szCs w:val="22"/>
        </w:rPr>
        <w:t>ex parte</w:t>
      </w:r>
      <w:r w:rsidRPr="005C743D">
        <w:rPr>
          <w:snapToGrid/>
          <w:kern w:val="0"/>
          <w:szCs w:val="22"/>
        </w:rPr>
        <w:t xml:space="preserve"> rules.</w:t>
      </w:r>
    </w:p>
    <w:p w:rsidR="003474AA" w:rsidRPr="005C743D" w:rsidP="00BC5FEF" w14:paraId="6DE5E145" w14:textId="2A301328">
      <w:pPr>
        <w:widowControl/>
        <w:autoSpaceDE w:val="0"/>
        <w:autoSpaceDN w:val="0"/>
        <w:adjustRightInd w:val="0"/>
        <w:spacing w:after="120"/>
        <w:ind w:firstLine="720"/>
        <w:rPr>
          <w:snapToGrid/>
          <w:kern w:val="0"/>
          <w:szCs w:val="22"/>
        </w:rPr>
      </w:pPr>
      <w:r w:rsidRPr="005C743D">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0"/>
      </w:r>
      <w:r w:rsidRPr="005C743D">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BC5FEF">
        <w:rPr>
          <w:snapToGrid/>
          <w:kern w:val="0"/>
          <w:szCs w:val="22"/>
        </w:rPr>
        <w:t xml:space="preserve">  </w:t>
      </w:r>
      <w:r w:rsidRPr="005C743D">
        <w:rPr>
          <w:snapToGrid/>
          <w:kern w:val="0"/>
          <w:szCs w:val="22"/>
        </w:rPr>
        <w:t xml:space="preserve">For further information, please contact </w:t>
      </w:r>
      <w:r w:rsidR="001C1595">
        <w:rPr>
          <w:snapToGrid/>
          <w:kern w:val="0"/>
          <w:szCs w:val="22"/>
        </w:rPr>
        <w:t>Myrva Charles</w:t>
      </w:r>
      <w:r w:rsidRPr="005C743D">
        <w:rPr>
          <w:snapToGrid/>
          <w:kern w:val="0"/>
          <w:szCs w:val="22"/>
        </w:rPr>
        <w:t xml:space="preserve"> at (202) 418-</w:t>
      </w:r>
      <w:r w:rsidR="001C1595">
        <w:rPr>
          <w:snapToGrid/>
          <w:kern w:val="0"/>
          <w:szCs w:val="22"/>
        </w:rPr>
        <w:t>1506</w:t>
      </w:r>
      <w:r w:rsidRPr="005C743D">
        <w:rPr>
          <w:snapToGrid/>
          <w:kern w:val="0"/>
          <w:szCs w:val="22"/>
        </w:rPr>
        <w:t xml:space="preserve"> or </w:t>
      </w:r>
      <w:r w:rsidR="00AA0AF9">
        <w:rPr>
          <w:snapToGrid/>
          <w:kern w:val="0"/>
          <w:szCs w:val="22"/>
        </w:rPr>
        <w:t>Dennis Johnson</w:t>
      </w:r>
      <w:r w:rsidRPr="001C1595" w:rsidR="001C1595">
        <w:rPr>
          <w:snapToGrid/>
          <w:kern w:val="0"/>
          <w:szCs w:val="22"/>
        </w:rPr>
        <w:t xml:space="preserve"> </w:t>
      </w:r>
      <w:r w:rsidRPr="005C743D">
        <w:rPr>
          <w:snapToGrid/>
          <w:kern w:val="0"/>
          <w:szCs w:val="22"/>
        </w:rPr>
        <w:t>at (202)</w:t>
      </w:r>
      <w:r w:rsidR="001D13D1">
        <w:rPr>
          <w:snapToGrid/>
          <w:kern w:val="0"/>
          <w:szCs w:val="22"/>
        </w:rPr>
        <w:t xml:space="preserve"> </w:t>
      </w:r>
      <w:r w:rsidRPr="005C743D">
        <w:rPr>
          <w:snapToGrid/>
          <w:kern w:val="0"/>
          <w:szCs w:val="22"/>
        </w:rPr>
        <w:t>418-</w:t>
      </w:r>
      <w:r w:rsidR="00AA0AF9">
        <w:rPr>
          <w:snapToGrid/>
          <w:kern w:val="0"/>
          <w:szCs w:val="22"/>
        </w:rPr>
        <w:t>0809</w:t>
      </w:r>
      <w:r w:rsidRPr="005C743D">
        <w:rPr>
          <w:snapToGrid/>
          <w:kern w:val="0"/>
          <w:szCs w:val="22"/>
        </w:rPr>
        <w:t>.</w:t>
      </w:r>
    </w:p>
    <w:p w:rsidR="003474AA" w:rsidRPr="005C743D" w:rsidP="003474AA" w14:paraId="27000FB3" w14:textId="77777777">
      <w:pPr>
        <w:widowControl/>
        <w:autoSpaceDE w:val="0"/>
        <w:autoSpaceDN w:val="0"/>
        <w:adjustRightInd w:val="0"/>
        <w:rPr>
          <w:snapToGrid/>
          <w:kern w:val="0"/>
          <w:szCs w:val="22"/>
        </w:rPr>
      </w:pPr>
    </w:p>
    <w:p w:rsidR="003474AA" w:rsidP="00BC5FEF" w14:paraId="2D40405D" w14:textId="5919D20C">
      <w:pPr>
        <w:widowControl/>
        <w:autoSpaceDE w:val="0"/>
        <w:autoSpaceDN w:val="0"/>
        <w:adjustRightInd w:val="0"/>
        <w:jc w:val="center"/>
      </w:pPr>
      <w:r w:rsidRPr="005C743D">
        <w:rPr>
          <w:b/>
          <w:snapToGrid/>
          <w:kern w:val="0"/>
          <w:szCs w:val="22"/>
        </w:rPr>
        <w:t>-FCC-</w:t>
      </w:r>
      <w:bookmarkEnd w:id="2"/>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FADA0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72FF6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BBC065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84491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28A" w14:paraId="7B541040" w14:textId="77777777">
      <w:r>
        <w:separator/>
      </w:r>
    </w:p>
  </w:footnote>
  <w:footnote w:type="continuationSeparator" w:id="1">
    <w:p w:rsidR="00F4428A" w14:paraId="214E61BC" w14:textId="77777777">
      <w:pPr>
        <w:rPr>
          <w:sz w:val="20"/>
        </w:rPr>
      </w:pPr>
      <w:r>
        <w:rPr>
          <w:sz w:val="20"/>
        </w:rPr>
        <w:t xml:space="preserve">(Continued from previous page)  </w:t>
      </w:r>
      <w:r>
        <w:rPr>
          <w:sz w:val="20"/>
        </w:rPr>
        <w:separator/>
      </w:r>
    </w:p>
  </w:footnote>
  <w:footnote w:type="continuationNotice" w:id="2">
    <w:p w:rsidR="00F4428A" w14:paraId="7055664B" w14:textId="77777777">
      <w:pPr>
        <w:jc w:val="right"/>
        <w:rPr>
          <w:sz w:val="20"/>
        </w:rPr>
      </w:pPr>
      <w:r>
        <w:rPr>
          <w:sz w:val="20"/>
        </w:rPr>
        <w:t>(continued….)</w:t>
      </w:r>
    </w:p>
  </w:footnote>
  <w:footnote w:id="3">
    <w:p w:rsidR="003474AA" w:rsidRPr="00D354C2" w:rsidP="003474AA" w14:paraId="29228564" w14:textId="14DA11DB">
      <w:pPr>
        <w:spacing w:after="120"/>
        <w:rPr>
          <w:bCs/>
          <w:sz w:val="20"/>
        </w:rPr>
      </w:pPr>
      <w:r w:rsidRPr="00D354C2">
        <w:rPr>
          <w:rStyle w:val="FootnoteReference"/>
          <w:sz w:val="20"/>
        </w:rPr>
        <w:footnoteRef/>
      </w:r>
      <w:r w:rsidRPr="00D354C2">
        <w:rPr>
          <w:sz w:val="20"/>
        </w:rPr>
        <w:t xml:space="preserve"> </w:t>
      </w:r>
      <w:r w:rsidRPr="00D354C2">
        <w:rPr>
          <w:i/>
          <w:sz w:val="20"/>
        </w:rPr>
        <w:t>See</w:t>
      </w:r>
      <w:r w:rsidRPr="00D354C2">
        <w:rPr>
          <w:sz w:val="20"/>
        </w:rPr>
        <w:t xml:space="preserve"> 47 U.S.C. § 214; 47 CFR §§ 63.03-04</w:t>
      </w:r>
      <w:r w:rsidRPr="00884C47">
        <w:rPr>
          <w:sz w:val="20"/>
        </w:rPr>
        <w:t>.</w:t>
      </w:r>
      <w:r w:rsidR="00582F12">
        <w:rPr>
          <w:sz w:val="20"/>
        </w:rPr>
        <w:t xml:space="preserve">  </w:t>
      </w:r>
      <w:r w:rsidR="00054558">
        <w:rPr>
          <w:sz w:val="20"/>
        </w:rPr>
        <w:t xml:space="preserve">Application for the Involuntary Transfer of Control of Ponderosa Communications, Inc. and its Subsidiaries </w:t>
      </w:r>
      <w:r w:rsidR="009B1636">
        <w:rPr>
          <w:sz w:val="20"/>
        </w:rPr>
        <w:t>from the Estate of Elizabeth Luanne Silkwood to Kristann Silkwood Mattes, WC Docket No. 22-145 (filed Mar. 31, 2022)</w:t>
      </w:r>
      <w:r w:rsidR="002163E9">
        <w:rPr>
          <w:sz w:val="20"/>
        </w:rPr>
        <w:t xml:space="preserve"> (Application)</w:t>
      </w:r>
      <w:r w:rsidR="009B1636">
        <w:rPr>
          <w:sz w:val="20"/>
        </w:rPr>
        <w:t xml:space="preserve">.  </w:t>
      </w:r>
      <w:r w:rsidR="001F3F56">
        <w:rPr>
          <w:sz w:val="20"/>
        </w:rPr>
        <w:t xml:space="preserve">Applicants filed a supplement to their application on April </w:t>
      </w:r>
      <w:r w:rsidR="002163E9">
        <w:rPr>
          <w:sz w:val="20"/>
        </w:rPr>
        <w:t>12</w:t>
      </w:r>
      <w:r w:rsidR="001F3F56">
        <w:rPr>
          <w:sz w:val="20"/>
        </w:rPr>
        <w:t xml:space="preserve">, 2022.  </w:t>
      </w:r>
      <w:r w:rsidR="002163E9">
        <w:rPr>
          <w:sz w:val="20"/>
        </w:rPr>
        <w:t xml:space="preserve">Letter from Gerard J. Duffy, Counsel for the Applicants, to Marlene H. Dortch, Secretary, FCC, WC Docket No. 22-145 (filed Apr. 12, 2022).  </w:t>
      </w:r>
      <w:r w:rsidR="001F3F56">
        <w:rPr>
          <w:sz w:val="20"/>
        </w:rPr>
        <w:t xml:space="preserve">Applicants state that they will file applications to transfer international and wireless authorizations.  </w:t>
      </w:r>
      <w:r w:rsidRPr="00884C47">
        <w:rPr>
          <w:sz w:val="20"/>
        </w:rPr>
        <w:t>Any action on this domestic section 214 application is without prejudice to Commission action on other related, pending applications</w:t>
      </w:r>
      <w:r>
        <w:rPr>
          <w:sz w:val="20"/>
        </w:rPr>
        <w:t xml:space="preserve">.  </w:t>
      </w:r>
      <w:r w:rsidRPr="00D354C2">
        <w:rPr>
          <w:sz w:val="20"/>
        </w:rPr>
        <w:t xml:space="preserve">  </w:t>
      </w:r>
    </w:p>
  </w:footnote>
  <w:footnote w:id="4">
    <w:p w:rsidR="00851CA6" w14:paraId="28F2C94F" w14:textId="0CDC0D43">
      <w:pPr>
        <w:pStyle w:val="FootnoteText"/>
      </w:pPr>
      <w:r>
        <w:rPr>
          <w:rStyle w:val="FootnoteReference"/>
        </w:rPr>
        <w:footnoteRef/>
      </w:r>
      <w:r>
        <w:t xml:space="preserve"> Application at 3.</w:t>
      </w:r>
    </w:p>
  </w:footnote>
  <w:footnote w:id="5">
    <w:p w:rsidR="00054558" w14:paraId="69CF1858" w14:textId="76018EE4">
      <w:pPr>
        <w:pStyle w:val="FootnoteText"/>
      </w:pPr>
      <w:r>
        <w:rPr>
          <w:rStyle w:val="FootnoteReference"/>
        </w:rPr>
        <w:footnoteRef/>
      </w:r>
      <w:r>
        <w:t xml:space="preserve"> </w:t>
      </w:r>
      <w:r w:rsidRPr="00851CA6" w:rsidR="00851CA6">
        <w:rPr>
          <w:i/>
          <w:iCs/>
        </w:rPr>
        <w:t>Id</w:t>
      </w:r>
      <w:r>
        <w:t>.</w:t>
      </w:r>
    </w:p>
  </w:footnote>
  <w:footnote w:id="6">
    <w:p w:rsidR="00CC7A38" w14:paraId="273EB15B" w14:textId="58D4221D">
      <w:pPr>
        <w:pStyle w:val="FootnoteText"/>
      </w:pPr>
      <w:r>
        <w:rPr>
          <w:rStyle w:val="FootnoteReference"/>
        </w:rPr>
        <w:footnoteRef/>
      </w:r>
      <w:r>
        <w:t xml:space="preserve"> </w:t>
      </w:r>
      <w:r w:rsidRPr="00CC7A38">
        <w:rPr>
          <w:i/>
          <w:iCs/>
        </w:rPr>
        <w:t>Id.</w:t>
      </w:r>
      <w:r>
        <w:t xml:space="preserve"> at 2. </w:t>
      </w:r>
    </w:p>
  </w:footnote>
  <w:footnote w:id="7">
    <w:p w:rsidR="00E267D2" w14:paraId="00A35B9C" w14:textId="01EBD92B">
      <w:pPr>
        <w:pStyle w:val="FootnoteText"/>
      </w:pPr>
      <w:r>
        <w:rPr>
          <w:rStyle w:val="FootnoteReference"/>
        </w:rPr>
        <w:footnoteRef/>
      </w:r>
      <w:r>
        <w:t xml:space="preserve"> </w:t>
      </w:r>
      <w:r w:rsidRPr="00E267D2">
        <w:rPr>
          <w:i/>
          <w:iCs/>
        </w:rPr>
        <w:t>Id</w:t>
      </w:r>
      <w:r>
        <w:t>. at 10-11.</w:t>
      </w:r>
      <w:r w:rsidR="00586FCD">
        <w:t xml:space="preserve">  Applicants provided a description of the family trusts and their ownership interests in the application.</w:t>
      </w:r>
      <w:r w:rsidR="009E35B7">
        <w:t xml:space="preserve">  </w:t>
      </w:r>
      <w:r w:rsidRPr="0047294E" w:rsidR="0047294E">
        <w:t>Id</w:t>
      </w:r>
      <w:r w:rsidR="0047294E">
        <w:t xml:space="preserve">. </w:t>
      </w:r>
      <w:r w:rsidRPr="0047294E" w:rsidR="009E35B7">
        <w:t>at</w:t>
      </w:r>
      <w:r w:rsidR="009E35B7">
        <w:t xml:space="preserve"> 8-10.</w:t>
      </w:r>
    </w:p>
  </w:footnote>
  <w:footnote w:id="8">
    <w:p w:rsidR="00F4163D" w:rsidRPr="00F4163D" w14:paraId="369409CE" w14:textId="4C071A3C">
      <w:pPr>
        <w:pStyle w:val="FootnoteText"/>
      </w:pPr>
      <w:r>
        <w:rPr>
          <w:rStyle w:val="FootnoteReference"/>
        </w:rPr>
        <w:footnoteRef/>
      </w:r>
      <w:r>
        <w:t xml:space="preserve"> </w:t>
      </w:r>
      <w:r>
        <w:rPr>
          <w:i/>
          <w:iCs/>
        </w:rPr>
        <w:t>Id</w:t>
      </w:r>
      <w:r>
        <w:t>. at 11.</w:t>
      </w:r>
    </w:p>
  </w:footnote>
  <w:footnote w:id="9">
    <w:p w:rsidR="003474AA" w:rsidRPr="00351689" w:rsidP="003474AA" w14:paraId="13DE8C3E" w14:textId="0DD8CDBC">
      <w:pPr>
        <w:pStyle w:val="FootnoteText"/>
      </w:pPr>
      <w:r w:rsidRPr="00D354C2">
        <w:rPr>
          <w:rStyle w:val="FootnoteReference"/>
        </w:rPr>
        <w:footnoteRef/>
      </w:r>
      <w:r w:rsidRPr="00D354C2">
        <w:t xml:space="preserve"> </w:t>
      </w:r>
      <w:r w:rsidRPr="00D354C2">
        <w:rPr>
          <w:color w:val="020100"/>
        </w:rPr>
        <w:t>47 CFR § 63.03(b)(</w:t>
      </w:r>
      <w:r w:rsidR="009437BB">
        <w:rPr>
          <w:color w:val="020100"/>
        </w:rPr>
        <w:t>1</w:t>
      </w:r>
      <w:r w:rsidRPr="00D354C2">
        <w:rPr>
          <w:color w:val="020100"/>
        </w:rPr>
        <w:t>)(i</w:t>
      </w:r>
      <w:r w:rsidR="00A808A5">
        <w:rPr>
          <w:color w:val="020100"/>
        </w:rPr>
        <w:t>i</w:t>
      </w:r>
      <w:r w:rsidRPr="00D354C2">
        <w:rPr>
          <w:color w:val="020100"/>
        </w:rPr>
        <w:t>).</w:t>
      </w:r>
    </w:p>
  </w:footnote>
  <w:footnote w:id="10">
    <w:p w:rsidR="003474AA" w:rsidRPr="00351689" w:rsidP="003474AA" w14:paraId="5BB6EB02" w14:textId="77777777">
      <w:pPr>
        <w:pStyle w:val="FootnoteText"/>
      </w:pPr>
      <w:r w:rsidRPr="00F71244">
        <w:rPr>
          <w:rStyle w:val="FootnoteReference"/>
        </w:rPr>
        <w:footnoteRef/>
      </w:r>
      <w:r w:rsidRPr="00F71244">
        <w:t xml:space="preserve"> </w:t>
      </w:r>
      <w:r w:rsidRPr="00F71244">
        <w:rPr>
          <w:i/>
        </w:rPr>
        <w:t>See</w:t>
      </w:r>
      <w:r w:rsidRPr="00F71244">
        <w:t xml:space="preserve"> 47 CFR </w:t>
      </w:r>
      <w:bookmarkStart w:id="3" w:name="_Hlk83199899"/>
      <w:r w:rsidRPr="00F71244">
        <w:t>§</w:t>
      </w:r>
      <w:bookmarkEnd w:id="3"/>
      <w:r w:rsidRPr="00F71244">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E82F69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19B273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6D0A"/>
    <w:rsid w:val="00007129"/>
    <w:rsid w:val="000215FF"/>
    <w:rsid w:val="00027F5B"/>
    <w:rsid w:val="00054558"/>
    <w:rsid w:val="00065A2D"/>
    <w:rsid w:val="000757CC"/>
    <w:rsid w:val="000A6BCF"/>
    <w:rsid w:val="000B4033"/>
    <w:rsid w:val="000C23EA"/>
    <w:rsid w:val="000F15DC"/>
    <w:rsid w:val="0011284D"/>
    <w:rsid w:val="00113860"/>
    <w:rsid w:val="001421A0"/>
    <w:rsid w:val="001647F1"/>
    <w:rsid w:val="001805F0"/>
    <w:rsid w:val="001A3419"/>
    <w:rsid w:val="001C0EEC"/>
    <w:rsid w:val="001C1595"/>
    <w:rsid w:val="001C5E50"/>
    <w:rsid w:val="001D13D1"/>
    <w:rsid w:val="001D1996"/>
    <w:rsid w:val="001F0214"/>
    <w:rsid w:val="001F3F56"/>
    <w:rsid w:val="001F79F1"/>
    <w:rsid w:val="0021422C"/>
    <w:rsid w:val="002163E9"/>
    <w:rsid w:val="0024459C"/>
    <w:rsid w:val="00273EBC"/>
    <w:rsid w:val="002A6342"/>
    <w:rsid w:val="002F5A1F"/>
    <w:rsid w:val="00302AF3"/>
    <w:rsid w:val="00315A20"/>
    <w:rsid w:val="00341E03"/>
    <w:rsid w:val="003474AA"/>
    <w:rsid w:val="00351578"/>
    <w:rsid w:val="00351689"/>
    <w:rsid w:val="00381D63"/>
    <w:rsid w:val="00386DD2"/>
    <w:rsid w:val="0039560D"/>
    <w:rsid w:val="003B2B28"/>
    <w:rsid w:val="003D18FA"/>
    <w:rsid w:val="003E7D94"/>
    <w:rsid w:val="003F6505"/>
    <w:rsid w:val="004301FA"/>
    <w:rsid w:val="004329D9"/>
    <w:rsid w:val="00446101"/>
    <w:rsid w:val="004505BF"/>
    <w:rsid w:val="00452453"/>
    <w:rsid w:val="00463CAB"/>
    <w:rsid w:val="0047294E"/>
    <w:rsid w:val="00477B03"/>
    <w:rsid w:val="004A5F0F"/>
    <w:rsid w:val="004A75F3"/>
    <w:rsid w:val="004D6C3D"/>
    <w:rsid w:val="00533F0C"/>
    <w:rsid w:val="00543D11"/>
    <w:rsid w:val="00582F12"/>
    <w:rsid w:val="00586FCD"/>
    <w:rsid w:val="00590452"/>
    <w:rsid w:val="005A0083"/>
    <w:rsid w:val="005B2105"/>
    <w:rsid w:val="005B4406"/>
    <w:rsid w:val="005C743D"/>
    <w:rsid w:val="005D1BA2"/>
    <w:rsid w:val="005D4EA8"/>
    <w:rsid w:val="00603D3C"/>
    <w:rsid w:val="00607DD7"/>
    <w:rsid w:val="00610F36"/>
    <w:rsid w:val="00637C9C"/>
    <w:rsid w:val="00644592"/>
    <w:rsid w:val="006924C8"/>
    <w:rsid w:val="00696223"/>
    <w:rsid w:val="006D7F2B"/>
    <w:rsid w:val="006E512D"/>
    <w:rsid w:val="006E7E38"/>
    <w:rsid w:val="00743F3C"/>
    <w:rsid w:val="00763A02"/>
    <w:rsid w:val="00770F07"/>
    <w:rsid w:val="007A212D"/>
    <w:rsid w:val="007B1711"/>
    <w:rsid w:val="007D7102"/>
    <w:rsid w:val="007E3607"/>
    <w:rsid w:val="00800740"/>
    <w:rsid w:val="00821E6A"/>
    <w:rsid w:val="00851CA6"/>
    <w:rsid w:val="00861844"/>
    <w:rsid w:val="00884C47"/>
    <w:rsid w:val="00885A98"/>
    <w:rsid w:val="008932BC"/>
    <w:rsid w:val="008C56C5"/>
    <w:rsid w:val="008E2BBB"/>
    <w:rsid w:val="008E53CD"/>
    <w:rsid w:val="0091104D"/>
    <w:rsid w:val="00914BB8"/>
    <w:rsid w:val="0092490C"/>
    <w:rsid w:val="009308B7"/>
    <w:rsid w:val="009437BB"/>
    <w:rsid w:val="00982E5A"/>
    <w:rsid w:val="009A6A28"/>
    <w:rsid w:val="009B1636"/>
    <w:rsid w:val="009B4822"/>
    <w:rsid w:val="009D5E46"/>
    <w:rsid w:val="009E35B7"/>
    <w:rsid w:val="00A2278D"/>
    <w:rsid w:val="00A3150E"/>
    <w:rsid w:val="00A3458C"/>
    <w:rsid w:val="00A55EB5"/>
    <w:rsid w:val="00A65CFD"/>
    <w:rsid w:val="00A739E9"/>
    <w:rsid w:val="00A808A5"/>
    <w:rsid w:val="00AA0192"/>
    <w:rsid w:val="00AA0AF9"/>
    <w:rsid w:val="00AA5EF7"/>
    <w:rsid w:val="00AB0384"/>
    <w:rsid w:val="00AD1C04"/>
    <w:rsid w:val="00AF3ECD"/>
    <w:rsid w:val="00B02A93"/>
    <w:rsid w:val="00B13BD5"/>
    <w:rsid w:val="00B13FD4"/>
    <w:rsid w:val="00B2293A"/>
    <w:rsid w:val="00B2695F"/>
    <w:rsid w:val="00B42CC1"/>
    <w:rsid w:val="00B45BDE"/>
    <w:rsid w:val="00B83962"/>
    <w:rsid w:val="00BA09CB"/>
    <w:rsid w:val="00BC5FEF"/>
    <w:rsid w:val="00C11660"/>
    <w:rsid w:val="00C42323"/>
    <w:rsid w:val="00C75306"/>
    <w:rsid w:val="00C87AF0"/>
    <w:rsid w:val="00CB5A0F"/>
    <w:rsid w:val="00CC7A38"/>
    <w:rsid w:val="00CD0F58"/>
    <w:rsid w:val="00CD74ED"/>
    <w:rsid w:val="00CE5255"/>
    <w:rsid w:val="00CF27DD"/>
    <w:rsid w:val="00D02BB8"/>
    <w:rsid w:val="00D14B5C"/>
    <w:rsid w:val="00D311C9"/>
    <w:rsid w:val="00D354C2"/>
    <w:rsid w:val="00D43260"/>
    <w:rsid w:val="00D96FF9"/>
    <w:rsid w:val="00DB0790"/>
    <w:rsid w:val="00DB41A7"/>
    <w:rsid w:val="00E267D2"/>
    <w:rsid w:val="00E3339B"/>
    <w:rsid w:val="00E4684A"/>
    <w:rsid w:val="00E57208"/>
    <w:rsid w:val="00E82844"/>
    <w:rsid w:val="00E84325"/>
    <w:rsid w:val="00E96300"/>
    <w:rsid w:val="00EE04BD"/>
    <w:rsid w:val="00EE736C"/>
    <w:rsid w:val="00F034E1"/>
    <w:rsid w:val="00F043DD"/>
    <w:rsid w:val="00F24066"/>
    <w:rsid w:val="00F4163D"/>
    <w:rsid w:val="00F4428A"/>
    <w:rsid w:val="00F53BC5"/>
    <w:rsid w:val="00F57C05"/>
    <w:rsid w:val="00F63815"/>
    <w:rsid w:val="00F71244"/>
    <w:rsid w:val="00FC11C8"/>
    <w:rsid w:val="00FF5AB4"/>
    <w:rsid w:val="00FF72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BA9BA2"/>
  <w15:docId w15:val="{EC75A001-80F2-43DC-8277-04884D0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yrva.charles@fcc.gov" TargetMode="External" /><Relationship Id="rId6" Type="http://schemas.openxmlformats.org/officeDocument/2006/relationships/hyperlink" Target="mailto:dennis.johnson@fcc.gov" TargetMode="External" /><Relationship Id="rId7" Type="http://schemas.openxmlformats.org/officeDocument/2006/relationships/hyperlink" Target="mailto:david.krech@fcc.gov" TargetMode="External" /><Relationship Id="rId8" Type="http://schemas.openxmlformats.org/officeDocument/2006/relationships/hyperlink" Target="mailto:sumita.mukhoty@fcc.gov" TargetMode="External" /><Relationship Id="rId9" Type="http://schemas.openxmlformats.org/officeDocument/2006/relationships/hyperlink" Target="mailto:jim.bird@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