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60604" w:rsidRPr="00160604" w:rsidP="00160604" w14:paraId="55811948" w14:textId="7A9A8D4B">
      <w:pPr>
        <w:spacing w:before="120" w:after="0"/>
        <w:contextualSpacing/>
        <w:jc w:val="right"/>
        <w:mirrorIndents/>
        <w:rPr>
          <w:rFonts w:ascii="Times New Roman" w:eastAsia="Calibri" w:hAnsi="Times New Roman" w:cs="Times New Roman"/>
          <w:b/>
        </w:rPr>
      </w:pPr>
      <w:r w:rsidRPr="00160604">
        <w:rPr>
          <w:rFonts w:ascii="Times New Roman" w:eastAsia="Calibri" w:hAnsi="Times New Roman" w:cs="Times New Roman"/>
        </w:rPr>
        <w:t xml:space="preserve">                                                                                                                    </w:t>
      </w:r>
      <w:r w:rsidRPr="00160604">
        <w:rPr>
          <w:rFonts w:ascii="Times New Roman" w:eastAsia="Calibri" w:hAnsi="Times New Roman" w:cs="Times New Roman"/>
        </w:rPr>
        <w:tab/>
        <w:t xml:space="preserve">          </w:t>
      </w:r>
      <w:r w:rsidR="00264F5F">
        <w:rPr>
          <w:rFonts w:ascii="Times New Roman" w:eastAsia="Calibri" w:hAnsi="Times New Roman" w:cs="Times New Roman"/>
          <w:b/>
        </w:rPr>
        <w:t>DA</w:t>
      </w:r>
      <w:r w:rsidR="0017583D">
        <w:rPr>
          <w:rFonts w:ascii="Times New Roman" w:eastAsia="Calibri" w:hAnsi="Times New Roman" w:cs="Times New Roman"/>
          <w:b/>
        </w:rPr>
        <w:t xml:space="preserve"> </w:t>
      </w:r>
      <w:r w:rsidR="008F6E89">
        <w:rPr>
          <w:rFonts w:ascii="Times New Roman" w:eastAsia="Calibri" w:hAnsi="Times New Roman" w:cs="Times New Roman"/>
          <w:b/>
        </w:rPr>
        <w:t>22</w:t>
      </w:r>
      <w:r w:rsidR="0017583D">
        <w:rPr>
          <w:rFonts w:ascii="Times New Roman" w:eastAsia="Calibri" w:hAnsi="Times New Roman" w:cs="Times New Roman"/>
          <w:b/>
        </w:rPr>
        <w:t>-</w:t>
      </w:r>
      <w:r w:rsidR="00181E30">
        <w:rPr>
          <w:rFonts w:ascii="Times New Roman" w:eastAsia="Calibri" w:hAnsi="Times New Roman" w:cs="Times New Roman"/>
          <w:b/>
        </w:rPr>
        <w:t>464</w:t>
      </w:r>
    </w:p>
    <w:p w:rsidR="00160604" w:rsidRPr="00160604" w:rsidP="00160604" w14:paraId="54B3D29F" w14:textId="77777777">
      <w:pPr>
        <w:spacing w:before="120" w:after="0"/>
        <w:contextualSpacing/>
        <w:jc w:val="right"/>
        <w:mirrorIndents/>
        <w:rPr>
          <w:rFonts w:ascii="Times New Roman" w:eastAsia="Calibri" w:hAnsi="Times New Roman" w:cs="Times New Roman"/>
        </w:rPr>
      </w:pPr>
    </w:p>
    <w:p w:rsidR="00160604" w:rsidRPr="00A84E41" w:rsidP="00160604" w14:paraId="11A3F415" w14:textId="04332223">
      <w:pPr>
        <w:spacing w:before="120" w:after="0"/>
        <w:contextualSpacing/>
        <w:jc w:val="center"/>
        <w:mirrorIndents/>
        <w:rPr>
          <w:rFonts w:ascii="Times New Roman" w:eastAsia="Calibri" w:hAnsi="Times New Roman" w:cs="Times New Roman"/>
          <w:b/>
          <w:sz w:val="28"/>
          <w:szCs w:val="28"/>
        </w:rPr>
      </w:pPr>
      <w:r>
        <w:rPr>
          <w:rFonts w:ascii="Times New Roman" w:eastAsia="Calibri" w:hAnsi="Times New Roman" w:cs="Times New Roman"/>
          <w:b/>
          <w:sz w:val="28"/>
          <w:szCs w:val="28"/>
        </w:rPr>
        <w:t>SMALL ENTITY COMPLIANCE GUIDE</w:t>
      </w:r>
    </w:p>
    <w:p w:rsidR="00A272FE" w:rsidP="00160604" w14:paraId="37EF16D7" w14:textId="77777777">
      <w:pPr>
        <w:spacing w:before="120" w:after="0"/>
        <w:contextualSpacing/>
        <w:jc w:val="center"/>
        <w:mirrorIndents/>
        <w:rPr>
          <w:rFonts w:ascii="Times New Roman" w:eastAsia="Calibri" w:hAnsi="Times New Roman" w:cs="Times New Roman"/>
          <w:b/>
        </w:rPr>
      </w:pPr>
    </w:p>
    <w:p w:rsidR="0034543A" w:rsidP="0034543A" w14:paraId="4342F2AC" w14:textId="446AA164">
      <w:pPr>
        <w:spacing w:before="120" w:after="0"/>
        <w:contextualSpacing/>
        <w:jc w:val="center"/>
        <w:mirrorIndents/>
        <w:rPr>
          <w:rFonts w:ascii="Times New Roman" w:hAnsi="Times New Roman" w:cs="Times New Roman"/>
          <w:b/>
          <w:sz w:val="24"/>
          <w:szCs w:val="24"/>
        </w:rPr>
      </w:pPr>
      <w:r>
        <w:rPr>
          <w:rFonts w:ascii="Times New Roman" w:hAnsi="Times New Roman" w:cs="Times New Roman"/>
          <w:b/>
          <w:sz w:val="24"/>
          <w:szCs w:val="24"/>
        </w:rPr>
        <w:t xml:space="preserve">Auction of </w:t>
      </w:r>
      <w:r w:rsidR="0048294E">
        <w:rPr>
          <w:rFonts w:ascii="Times New Roman" w:hAnsi="Times New Roman" w:cs="Times New Roman"/>
          <w:b/>
          <w:sz w:val="24"/>
          <w:szCs w:val="24"/>
        </w:rPr>
        <w:t>Construction Permits for Full Power Television Stations</w:t>
      </w:r>
    </w:p>
    <w:p w:rsidR="0034543A" w:rsidP="0034543A" w14:paraId="7A647AE3" w14:textId="60BC3EB1">
      <w:pPr>
        <w:spacing w:before="120" w:after="0"/>
        <w:contextualSpacing/>
        <w:jc w:val="center"/>
        <w:mirrorIndents/>
        <w:rPr>
          <w:rFonts w:ascii="Times New Roman" w:hAnsi="Times New Roman" w:cs="Times New Roman"/>
          <w:b/>
          <w:sz w:val="24"/>
          <w:szCs w:val="24"/>
        </w:rPr>
      </w:pPr>
      <w:r>
        <w:rPr>
          <w:rFonts w:ascii="Times New Roman" w:hAnsi="Times New Roman" w:cs="Times New Roman"/>
          <w:b/>
          <w:sz w:val="24"/>
          <w:szCs w:val="24"/>
        </w:rPr>
        <w:t xml:space="preserve">(Auction </w:t>
      </w:r>
      <w:r w:rsidR="0048294E">
        <w:rPr>
          <w:rFonts w:ascii="Times New Roman" w:hAnsi="Times New Roman" w:cs="Times New Roman"/>
          <w:b/>
          <w:sz w:val="24"/>
          <w:szCs w:val="24"/>
        </w:rPr>
        <w:t>112</w:t>
      </w:r>
      <w:r>
        <w:rPr>
          <w:rFonts w:ascii="Times New Roman" w:hAnsi="Times New Roman" w:cs="Times New Roman"/>
          <w:b/>
          <w:sz w:val="24"/>
          <w:szCs w:val="24"/>
        </w:rPr>
        <w:t xml:space="preserve"> Procedures)</w:t>
      </w:r>
    </w:p>
    <w:p w:rsidR="0034543A" w:rsidRPr="00160604" w:rsidP="0034543A" w14:paraId="7BCB3E76" w14:textId="77777777">
      <w:pPr>
        <w:spacing w:before="120" w:after="0"/>
        <w:ind w:left="1080"/>
        <w:contextualSpacing/>
        <w:jc w:val="center"/>
        <w:mirrorIndents/>
        <w:rPr>
          <w:rFonts w:ascii="Times New Roman" w:eastAsia="Calibri" w:hAnsi="Times New Roman" w:cs="Times New Roman"/>
          <w:b/>
        </w:rPr>
      </w:pPr>
    </w:p>
    <w:p w:rsidR="0034543A" w:rsidRPr="00705E46" w:rsidP="0034543A" w14:paraId="3F283991" w14:textId="1804F954">
      <w:pPr>
        <w:spacing w:before="120" w:after="0"/>
        <w:contextualSpacing/>
        <w:jc w:val="center"/>
        <w:mirrorIndents/>
        <w:rPr>
          <w:rFonts w:ascii="Times New Roman" w:eastAsia="Calibri" w:hAnsi="Times New Roman" w:cs="Times New Roman"/>
          <w:b/>
        </w:rPr>
      </w:pPr>
      <w:r>
        <w:rPr>
          <w:rFonts w:ascii="Times New Roman" w:eastAsia="Calibri" w:hAnsi="Times New Roman" w:cs="Times New Roman"/>
          <w:b/>
        </w:rPr>
        <w:t>DA</w:t>
      </w:r>
      <w:r w:rsidRPr="00705E46">
        <w:rPr>
          <w:rFonts w:ascii="Times New Roman" w:eastAsia="Calibri" w:hAnsi="Times New Roman" w:cs="Times New Roman"/>
          <w:b/>
        </w:rPr>
        <w:t xml:space="preserve"> </w:t>
      </w:r>
      <w:r>
        <w:rPr>
          <w:rFonts w:ascii="Times New Roman" w:eastAsia="Calibri" w:hAnsi="Times New Roman" w:cs="Times New Roman"/>
          <w:b/>
        </w:rPr>
        <w:t>2</w:t>
      </w:r>
      <w:r>
        <w:rPr>
          <w:rFonts w:ascii="Times New Roman" w:eastAsia="Calibri" w:hAnsi="Times New Roman" w:cs="Times New Roman"/>
          <w:b/>
        </w:rPr>
        <w:t>2</w:t>
      </w:r>
      <w:r w:rsidRPr="00705E46">
        <w:rPr>
          <w:rFonts w:ascii="Times New Roman" w:eastAsia="Calibri" w:hAnsi="Times New Roman" w:cs="Times New Roman"/>
          <w:b/>
        </w:rPr>
        <w:t>-</w:t>
      </w:r>
      <w:r>
        <w:rPr>
          <w:rFonts w:ascii="Times New Roman" w:eastAsia="Calibri" w:hAnsi="Times New Roman" w:cs="Times New Roman"/>
          <w:b/>
        </w:rPr>
        <w:t>125</w:t>
      </w:r>
    </w:p>
    <w:p w:rsidR="0017583D" w:rsidP="0017583D" w14:paraId="5B15A532" w14:textId="42362ADA">
      <w:pPr>
        <w:spacing w:before="120" w:after="0"/>
        <w:contextualSpacing/>
        <w:jc w:val="center"/>
        <w:mirrorIndents/>
      </w:pPr>
      <w:r w:rsidRPr="00705E46">
        <w:rPr>
          <w:rFonts w:ascii="Times New Roman" w:eastAsia="Calibri" w:hAnsi="Times New Roman" w:cs="Times New Roman"/>
          <w:b/>
        </w:rPr>
        <w:t xml:space="preserve">AU Docket No. </w:t>
      </w:r>
      <w:r w:rsidR="0048294E">
        <w:rPr>
          <w:rFonts w:ascii="Times New Roman" w:eastAsia="Calibri" w:hAnsi="Times New Roman" w:cs="Times New Roman"/>
          <w:b/>
        </w:rPr>
        <w:t>21</w:t>
      </w:r>
      <w:r>
        <w:rPr>
          <w:rFonts w:ascii="Times New Roman" w:eastAsia="Calibri" w:hAnsi="Times New Roman" w:cs="Times New Roman"/>
          <w:b/>
        </w:rPr>
        <w:t>-</w:t>
      </w:r>
      <w:r w:rsidR="0048294E">
        <w:rPr>
          <w:rFonts w:ascii="Times New Roman" w:eastAsia="Calibri" w:hAnsi="Times New Roman" w:cs="Times New Roman"/>
          <w:b/>
        </w:rPr>
        <w:t>449</w:t>
      </w:r>
    </w:p>
    <w:p w:rsidR="0017583D" w:rsidP="0017583D" w14:paraId="0F8A25F6" w14:textId="77777777">
      <w:pPr>
        <w:spacing w:before="120" w:after="0"/>
        <w:contextualSpacing/>
        <w:jc w:val="center"/>
        <w:mirrorIndents/>
        <w:rPr>
          <w:rFonts w:ascii="Times New Roman" w:eastAsia="Calibri" w:hAnsi="Times New Roman" w:cs="Times New Roman"/>
          <w:b/>
        </w:rPr>
      </w:pPr>
    </w:p>
    <w:p w:rsidR="00160604" w:rsidRPr="0017583D" w:rsidP="0017583D" w14:paraId="60360F19" w14:textId="35843D9B">
      <w:pPr>
        <w:spacing w:before="120" w:after="0"/>
        <w:contextualSpacing/>
        <w:jc w:val="center"/>
        <w:mirrorIndents/>
      </w:pPr>
      <w:r w:rsidRPr="00705E46">
        <w:rPr>
          <w:rFonts w:ascii="Times New Roman" w:eastAsia="Calibri" w:hAnsi="Times New Roman" w:cs="Times New Roman"/>
          <w:b/>
        </w:rPr>
        <w:t>Released</w:t>
      </w:r>
      <w:r>
        <w:rPr>
          <w:rFonts w:ascii="Times New Roman" w:eastAsia="Calibri" w:hAnsi="Times New Roman" w:cs="Times New Roman"/>
          <w:b/>
        </w:rPr>
        <w:t>:</w:t>
      </w:r>
      <w:r w:rsidRPr="00705E46">
        <w:rPr>
          <w:rFonts w:ascii="Times New Roman" w:eastAsia="Calibri" w:hAnsi="Times New Roman" w:cs="Times New Roman"/>
          <w:b/>
        </w:rPr>
        <w:t xml:space="preserve"> </w:t>
      </w:r>
      <w:r>
        <w:rPr>
          <w:rFonts w:ascii="Times New Roman" w:eastAsia="Calibri" w:hAnsi="Times New Roman" w:cs="Times New Roman"/>
          <w:b/>
        </w:rPr>
        <w:t xml:space="preserve"> </w:t>
      </w:r>
      <w:r w:rsidR="00521A56">
        <w:rPr>
          <w:rFonts w:ascii="Times New Roman" w:eastAsia="Calibri" w:hAnsi="Times New Roman" w:cs="Times New Roman"/>
          <w:b/>
        </w:rPr>
        <w:t>February 10</w:t>
      </w:r>
      <w:r w:rsidRPr="00705E46">
        <w:rPr>
          <w:rFonts w:ascii="Times New Roman" w:eastAsia="Calibri" w:hAnsi="Times New Roman" w:cs="Times New Roman"/>
          <w:b/>
        </w:rPr>
        <w:t>, 20</w:t>
      </w:r>
      <w:r>
        <w:rPr>
          <w:rFonts w:ascii="Times New Roman" w:eastAsia="Calibri" w:hAnsi="Times New Roman" w:cs="Times New Roman"/>
          <w:b/>
        </w:rPr>
        <w:t>2</w:t>
      </w:r>
      <w:r w:rsidR="00521A56">
        <w:rPr>
          <w:rFonts w:ascii="Times New Roman" w:eastAsia="Calibri" w:hAnsi="Times New Roman" w:cs="Times New Roman"/>
          <w:b/>
        </w:rPr>
        <w:t>2</w:t>
      </w:r>
    </w:p>
    <w:p w:rsidR="0017583D" w:rsidP="00A84E41" w14:paraId="30DEDDCC" w14:textId="77777777">
      <w:pPr>
        <w:spacing w:before="120" w:after="0"/>
        <w:ind w:left="540" w:right="180"/>
        <w:contextualSpacing/>
        <w:jc w:val="both"/>
        <w:mirrorIndents/>
        <w:rPr>
          <w:rFonts w:ascii="Times New Roman" w:eastAsia="Calibri" w:hAnsi="Times New Roman" w:cs="Times New Roman"/>
          <w:b/>
        </w:rPr>
      </w:pPr>
    </w:p>
    <w:p w:rsidR="00160604" w:rsidRPr="00160604" w:rsidP="00A84E41" w14:paraId="14EE2387" w14:textId="56EF2EAF">
      <w:pPr>
        <w:spacing w:before="120" w:after="0"/>
        <w:ind w:left="540" w:right="180"/>
        <w:contextualSpacing/>
        <w:jc w:val="both"/>
        <w:mirrorIndents/>
        <w:rPr>
          <w:rFonts w:ascii="Times New Roman" w:eastAsia="Calibri" w:hAnsi="Times New Roman" w:cs="Times New Roman"/>
          <w:b/>
        </w:rPr>
      </w:pPr>
      <w:r w:rsidRPr="00160604">
        <w:rPr>
          <w:rFonts w:ascii="Times New Roman" w:eastAsia="Calibri"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160604" w:rsidRPr="00160604" w:rsidP="00BC3EA7" w14:paraId="0ED5A5AC" w14:textId="01C62255">
      <w:pPr>
        <w:tabs>
          <w:tab w:val="left" w:pos="6945"/>
        </w:tabs>
        <w:spacing w:before="120" w:after="0" w:line="240" w:lineRule="auto"/>
        <w:ind w:left="540" w:right="180"/>
        <w:contextualSpacing/>
        <w:jc w:val="both"/>
        <w:mirrorIndents/>
        <w:rPr>
          <w:rFonts w:ascii="Times New Roman" w:eastAsia="Calibri" w:hAnsi="Times New Roman" w:cs="Times New Roman"/>
          <w:b/>
        </w:rPr>
      </w:pPr>
      <w:r>
        <w:rPr>
          <w:rFonts w:ascii="Times New Roman" w:eastAsia="Calibri" w:hAnsi="Times New Roman" w:cs="Times New Roman"/>
          <w:b/>
        </w:rPr>
        <w:tab/>
      </w:r>
    </w:p>
    <w:p w:rsidR="00160604" w:rsidRPr="00160604" w:rsidP="00A84E41" w14:paraId="354170BB" w14:textId="70E573FB">
      <w:pPr>
        <w:spacing w:before="120" w:after="0"/>
        <w:ind w:left="540" w:right="180"/>
        <w:contextualSpacing/>
        <w:jc w:val="both"/>
        <w:mirrorIndents/>
        <w:rPr>
          <w:rFonts w:ascii="Times New Roman" w:eastAsia="Calibri" w:hAnsi="Times New Roman" w:cs="Times New Roman"/>
          <w:b/>
        </w:rPr>
      </w:pPr>
      <w:r w:rsidRPr="00160604">
        <w:rPr>
          <w:rFonts w:ascii="Times New Roman" w:eastAsia="Calibri"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w:t>
      </w:r>
      <w:r w:rsidR="006A72AA">
        <w:rPr>
          <w:rFonts w:ascii="Times New Roman" w:eastAsia="Calibri" w:hAnsi="Times New Roman" w:cs="Times New Roman"/>
          <w:b/>
        </w:rPr>
        <w:t>,</w:t>
      </w:r>
      <w:r w:rsidRPr="00160604">
        <w:rPr>
          <w:rFonts w:ascii="Times New Roman" w:eastAsia="Calibri" w:hAnsi="Times New Roman" w:cs="Times New Roman"/>
          <w:b/>
        </w:rPr>
        <w:t xml:space="preserve"> or damages.  Interested parties are free to file comments regarding this Guide and the appropriateness of its application to a particular situation. </w:t>
      </w:r>
      <w:r w:rsidR="006A72AA">
        <w:rPr>
          <w:rFonts w:ascii="Times New Roman" w:eastAsia="Calibri" w:hAnsi="Times New Roman" w:cs="Times New Roman"/>
          <w:b/>
        </w:rPr>
        <w:t xml:space="preserve"> </w:t>
      </w:r>
      <w:r w:rsidRPr="00160604">
        <w:rPr>
          <w:rFonts w:ascii="Times New Roman" w:eastAsia="Calibri" w:hAnsi="Times New Roman" w:cs="Times New Roman"/>
          <w:b/>
        </w:rPr>
        <w:t>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160604" w:rsidP="004E7CAD" w14:paraId="2A8E8715" w14:textId="5C23DF31">
      <w:pPr>
        <w:spacing w:before="120" w:after="0"/>
        <w:ind w:left="540" w:right="180"/>
        <w:contextualSpacing/>
        <w:mirrorIndents/>
        <w:rPr>
          <w:rFonts w:ascii="Times New Roman" w:eastAsia="Calibri" w:hAnsi="Times New Roman" w:cs="Times New Roman"/>
          <w:b/>
        </w:rPr>
      </w:pPr>
    </w:p>
    <w:p w:rsidR="00CC36EA" w:rsidRPr="00160604" w:rsidP="004E7CAD" w14:paraId="67365096" w14:textId="77777777">
      <w:pPr>
        <w:spacing w:before="120" w:after="0"/>
        <w:ind w:left="540" w:right="180"/>
        <w:contextualSpacing/>
        <w:mirrorIndents/>
        <w:rPr>
          <w:rFonts w:ascii="Times New Roman" w:eastAsia="Calibri" w:hAnsi="Times New Roman" w:cs="Times New Roman"/>
          <w:b/>
        </w:rPr>
      </w:pPr>
    </w:p>
    <w:p w:rsidR="00160604" w:rsidRPr="00160604" w:rsidP="004E7CAD" w14:paraId="38E0FF9B"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1-888-CALL-FCC (1-888-225-5322)</w:t>
      </w:r>
    </w:p>
    <w:p w:rsidR="00160604" w:rsidRPr="00160604" w:rsidP="004E7CAD" w14:paraId="2ABAA205"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TTY: 1-888-TELL-FCC (1-888-835-5322)</w:t>
      </w:r>
    </w:p>
    <w:p w:rsidR="00160604" w:rsidRPr="00160604" w:rsidP="004E7CAD" w14:paraId="54E662F2"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Videophone: 1-844-4-FCC-ASL (1-844-432-2275)</w:t>
      </w:r>
    </w:p>
    <w:p w:rsidR="00160604" w:rsidP="004E7CAD" w14:paraId="0B353EDC"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Fax: 1-866-418-0232</w:t>
      </w:r>
    </w:p>
    <w:p w:rsidR="00CC36EA" w:rsidP="004E7CAD" w14:paraId="295365E0" w14:textId="77777777">
      <w:pPr>
        <w:spacing w:before="120" w:after="0"/>
        <w:ind w:left="540" w:right="180"/>
        <w:contextualSpacing/>
        <w:jc w:val="center"/>
        <w:mirrorIndents/>
        <w:rPr>
          <w:rFonts w:ascii="Times New Roman" w:eastAsia="Calibri" w:hAnsi="Times New Roman" w:cs="Times New Roman"/>
          <w:b/>
        </w:rPr>
      </w:pPr>
    </w:p>
    <w:p w:rsidR="00CC36EA" w:rsidP="004E7CAD" w14:paraId="3BEB1228" w14:textId="77777777">
      <w:pPr>
        <w:spacing w:before="120" w:after="0"/>
        <w:ind w:left="540" w:right="180"/>
        <w:contextualSpacing/>
        <w:jc w:val="center"/>
        <w:mirrorIndents/>
        <w:rPr>
          <w:rFonts w:ascii="Times New Roman" w:eastAsia="Calibri" w:hAnsi="Times New Roman" w:cs="Times New Roman"/>
          <w:b/>
        </w:rPr>
      </w:pPr>
    </w:p>
    <w:p w:rsidR="00CC36EA" w:rsidRPr="00160604" w:rsidP="004E7CAD" w14:paraId="256EC28B" w14:textId="7F780F2C">
      <w:pPr>
        <w:spacing w:before="120" w:after="0"/>
        <w:ind w:left="540" w:right="180"/>
        <w:contextualSpacing/>
        <w:jc w:val="center"/>
        <w:mirrorIndents/>
        <w:rPr>
          <w:rFonts w:ascii="Times New Roman" w:eastAsia="Calibri" w:hAnsi="Times New Roman" w:cs="Times New Roman"/>
          <w:b/>
        </w:rPr>
        <w:sectPr w:rsidSect="00737389">
          <w:headerReference w:type="default" r:id="rId5"/>
          <w:pgSz w:w="12240" w:h="15840"/>
          <w:pgMar w:top="1440" w:right="1440" w:bottom="1008" w:left="1440" w:header="720" w:footer="187" w:gutter="0"/>
          <w:cols w:space="720"/>
          <w:docGrid w:linePitch="360"/>
        </w:sectPr>
      </w:pPr>
    </w:p>
    <w:p w:rsidR="00181E30" w:rsidP="00181E30" w14:paraId="2F37B489" w14:textId="7067A125">
      <w:pPr>
        <w:jc w:val="center"/>
      </w:pPr>
      <w:r>
        <w:t>Table of Contents</w:t>
      </w:r>
    </w:p>
    <w:p w:rsidR="00181E30" w:rsidP="00181E30" w14:paraId="529DF7A2" w14:textId="77777777">
      <w:pPr>
        <w:jc w:val="center"/>
      </w:pPr>
    </w:p>
    <w:p w:rsidR="00181E30" w:rsidP="00181E30" w14:paraId="0715B4E7" w14:textId="77777777">
      <w:pPr>
        <w:tabs>
          <w:tab w:val="right" w:leader="dot" w:pos="8640"/>
        </w:tabs>
      </w:pPr>
      <w:r>
        <w:t>I.     OBJECTIVES OF THE PROCEEDING</w:t>
      </w:r>
      <w:r>
        <w:tab/>
        <w:t>1</w:t>
      </w:r>
    </w:p>
    <w:p w:rsidR="00181E30" w:rsidP="00181E30" w14:paraId="66C9C02E" w14:textId="77777777">
      <w:pPr>
        <w:tabs>
          <w:tab w:val="right" w:leader="dot" w:pos="8640"/>
        </w:tabs>
      </w:pPr>
      <w:r>
        <w:t>II.    COMPLIANCE REQUIREMENTS</w:t>
      </w:r>
      <w:r>
        <w:tab/>
        <w:t>1</w:t>
      </w:r>
    </w:p>
    <w:p w:rsidR="00181E30" w:rsidP="00181E30" w14:paraId="64DEA2BD" w14:textId="77777777">
      <w:pPr>
        <w:tabs>
          <w:tab w:val="right" w:leader="dot" w:pos="8640"/>
        </w:tabs>
      </w:pPr>
      <w:r>
        <w:t>A.    Auction Specifics</w:t>
      </w:r>
      <w:r>
        <w:tab/>
        <w:t>1</w:t>
      </w:r>
    </w:p>
    <w:p w:rsidR="00181E30" w:rsidP="00181E30" w14:paraId="4C161A6E" w14:textId="77777777">
      <w:pPr>
        <w:tabs>
          <w:tab w:val="right" w:leader="dot" w:pos="8640"/>
        </w:tabs>
      </w:pPr>
      <w:r>
        <w:t>B.    Application Procedures</w:t>
      </w:r>
      <w:r>
        <w:tab/>
        <w:t>2</w:t>
      </w:r>
    </w:p>
    <w:p w:rsidR="00181E30" w:rsidP="00181E30" w14:paraId="0700CBC6" w14:textId="77777777">
      <w:pPr>
        <w:tabs>
          <w:tab w:val="right" w:leader="dot" w:pos="8640"/>
        </w:tabs>
      </w:pPr>
      <w:r>
        <w:t>C.    Bidding Procedures</w:t>
      </w:r>
      <w:r>
        <w:tab/>
        <w:t>2</w:t>
      </w:r>
    </w:p>
    <w:p w:rsidR="00181E30" w:rsidP="00181E30" w14:paraId="44962E4A" w14:textId="77777777">
      <w:pPr>
        <w:tabs>
          <w:tab w:val="right" w:leader="dot" w:pos="8640"/>
        </w:tabs>
      </w:pPr>
      <w:r>
        <w:t>D.    Post-Auction Procedures</w:t>
      </w:r>
      <w:r>
        <w:tab/>
        <w:t>3</w:t>
      </w:r>
    </w:p>
    <w:p w:rsidR="00181E30" w:rsidP="00181E30" w14:paraId="507AB209" w14:textId="77777777">
      <w:pPr>
        <w:tabs>
          <w:tab w:val="right" w:leader="dot" w:pos="8640"/>
        </w:tabs>
      </w:pPr>
      <w:r>
        <w:t>III.    RECORDKEEPING AND REPORTING REQUIREMENTS</w:t>
      </w:r>
      <w:r>
        <w:tab/>
        <w:t>4</w:t>
      </w:r>
    </w:p>
    <w:p w:rsidR="00181E30" w:rsidP="00181E30" w14:paraId="0E0CE55B" w14:textId="77777777">
      <w:pPr>
        <w:tabs>
          <w:tab w:val="right" w:leader="dot" w:pos="8640"/>
        </w:tabs>
      </w:pPr>
      <w:r>
        <w:t>IV.    IMPLEMENTATION DATE</w:t>
      </w:r>
      <w:r>
        <w:tab/>
        <w:t>4</w:t>
      </w:r>
    </w:p>
    <w:p w:rsidR="00181E30" w:rsidP="00181E30" w14:paraId="1FC77E9F" w14:textId="77777777">
      <w:pPr>
        <w:tabs>
          <w:tab w:val="right" w:leader="dot" w:pos="8640"/>
        </w:tabs>
      </w:pPr>
      <w:r>
        <w:t>V.    INTERNET LINKS</w:t>
      </w:r>
      <w:r>
        <w:tab/>
        <w:t>4</w:t>
      </w:r>
    </w:p>
    <w:p w:rsidR="00160604" w:rsidRPr="00160604" w:rsidP="00160604" w14:paraId="5C637FA2" w14:textId="29090317">
      <w:pPr>
        <w:spacing w:before="120" w:after="0"/>
        <w:contextualSpacing/>
        <w:mirrorIndents/>
        <w:rPr>
          <w:rFonts w:ascii="Times New Roman" w:eastAsia="Calibri" w:hAnsi="Times New Roman" w:cs="Times New Roman"/>
          <w:b/>
        </w:rPr>
      </w:pPr>
    </w:p>
    <w:p w:rsidR="00160604" w:rsidP="00160604" w14:paraId="70245585" w14:textId="77777777">
      <w:pPr>
        <w:spacing w:before="120" w:after="0"/>
        <w:contextualSpacing/>
        <w:mirrorIndents/>
        <w:rPr>
          <w:rFonts w:ascii="Times New Roman" w:eastAsia="Calibri" w:hAnsi="Times New Roman" w:cs="Times New Roman"/>
          <w:b/>
        </w:rPr>
      </w:pPr>
    </w:p>
    <w:p w:rsidR="00E12D34" w:rsidRPr="00160604" w:rsidP="00160604" w14:paraId="1DDDF6F9" w14:textId="77777777">
      <w:pPr>
        <w:spacing w:before="120" w:after="0"/>
        <w:contextualSpacing/>
        <w:mirrorIndents/>
        <w:rPr>
          <w:rFonts w:ascii="Times New Roman" w:eastAsia="Calibri" w:hAnsi="Times New Roman" w:cs="Times New Roman"/>
          <w:b/>
        </w:rPr>
      </w:pPr>
    </w:p>
    <w:p w:rsidR="00160604" w:rsidRPr="00160604" w:rsidP="00160604" w14:paraId="3CF1D032" w14:textId="77777777">
      <w:pPr>
        <w:spacing w:before="120" w:after="0"/>
        <w:contextualSpacing/>
        <w:mirrorIndents/>
        <w:rPr>
          <w:rFonts w:ascii="Times New Roman" w:eastAsia="Calibri" w:hAnsi="Times New Roman" w:cs="Times New Roman"/>
          <w:b/>
        </w:rPr>
      </w:pPr>
    </w:p>
    <w:p w:rsidR="00160604" w:rsidRPr="00160604" w:rsidP="00160604" w14:paraId="23CCD1D4" w14:textId="77777777">
      <w:pPr>
        <w:spacing w:before="120" w:after="0"/>
        <w:contextualSpacing/>
        <w:mirrorIndents/>
        <w:rPr>
          <w:rFonts w:ascii="Times New Roman" w:eastAsia="Calibri" w:hAnsi="Times New Roman" w:cs="Times New Roman"/>
          <w:b/>
        </w:rPr>
        <w:sectPr w:rsidSect="00737389">
          <w:headerReference w:type="default" r:id="rId6"/>
          <w:pgSz w:w="12240" w:h="15840"/>
          <w:pgMar w:top="1440" w:right="1440" w:bottom="1008" w:left="1440" w:header="720" w:footer="187" w:gutter="0"/>
          <w:pgNumType w:start="1"/>
          <w:cols w:space="720"/>
          <w:docGrid w:linePitch="360"/>
        </w:sectPr>
      </w:pPr>
    </w:p>
    <w:p w:rsidR="00160604" w:rsidRPr="00A32EC9" w:rsidP="00F130D6" w14:paraId="55540306" w14:textId="4D1F7A91">
      <w:pPr>
        <w:pStyle w:val="Heading1"/>
        <w:tabs>
          <w:tab w:val="left" w:pos="720"/>
        </w:tabs>
        <w:spacing w:after="240"/>
        <w:rPr>
          <w:rFonts w:cs="Times New Roman"/>
          <w:b w:val="0"/>
          <w:bCs/>
          <w:color w:val="2F5496" w:themeColor="accent1" w:themeShade="BF"/>
          <w:szCs w:val="22"/>
        </w:rPr>
      </w:pPr>
      <w:bookmarkStart w:id="0" w:name="_Toc4055160"/>
      <w:r w:rsidRPr="00E272C1">
        <w:rPr>
          <w:rFonts w:cs="Times New Roman"/>
          <w:szCs w:val="22"/>
        </w:rPr>
        <w:t>I.           OBJECTIVES OF THE PROCEEDING</w:t>
      </w:r>
      <w:bookmarkEnd w:id="0"/>
    </w:p>
    <w:p w:rsidR="008B5F44" w:rsidRPr="00AE2943" w:rsidP="00FB64BC" w14:paraId="7C9CC8B7" w14:textId="777C31CF">
      <w:pPr>
        <w:spacing w:line="240" w:lineRule="auto"/>
        <w:ind w:firstLine="720"/>
        <w:rPr>
          <w:rFonts w:ascii="Times New Roman" w:hAnsi="Times New Roman" w:cs="Times New Roman"/>
        </w:rPr>
      </w:pPr>
      <w:r w:rsidRPr="00AE2943">
        <w:rPr>
          <w:rFonts w:ascii="Times New Roman" w:hAnsi="Times New Roman" w:cs="Times New Roman"/>
        </w:rPr>
        <w:t>This Small Entity Compliance Guide (SECG)</w:t>
      </w:r>
      <w:r w:rsidRPr="00AE2943" w:rsidR="00FC7A36">
        <w:rPr>
          <w:rFonts w:ascii="Times New Roman" w:hAnsi="Times New Roman" w:cs="Times New Roman"/>
        </w:rPr>
        <w:t xml:space="preserve"> i</w:t>
      </w:r>
      <w:r w:rsidRPr="00AE2943" w:rsidR="00FC7A36">
        <w:rPr>
          <w:iCs/>
        </w:rPr>
        <w:t>s designed to help individuals and small businesses understand</w:t>
      </w:r>
      <w:r w:rsidRPr="00AE2943">
        <w:rPr>
          <w:rFonts w:ascii="Times New Roman" w:hAnsi="Times New Roman" w:cs="Times New Roman"/>
        </w:rPr>
        <w:t xml:space="preserve"> the </w:t>
      </w:r>
      <w:r w:rsidRPr="00AE2943">
        <w:rPr>
          <w:rFonts w:ascii="Times New Roman" w:hAnsi="Times New Roman" w:cs="Times New Roman"/>
        </w:rPr>
        <w:t>filing requirements and other procedure</w:t>
      </w:r>
      <w:r w:rsidRPr="00AE2943" w:rsidR="007E6F75">
        <w:rPr>
          <w:rFonts w:ascii="Times New Roman" w:hAnsi="Times New Roman" w:cs="Times New Roman"/>
        </w:rPr>
        <w:t>s</w:t>
      </w:r>
      <w:r w:rsidRPr="00AE2943">
        <w:rPr>
          <w:rFonts w:ascii="Times New Roman" w:hAnsi="Times New Roman" w:cs="Times New Roman"/>
        </w:rPr>
        <w:t xml:space="preserve"> for the Commission’s auction of</w:t>
      </w:r>
      <w:r w:rsidRPr="00AE2943" w:rsidR="004E1578">
        <w:rPr>
          <w:rFonts w:ascii="Times New Roman" w:hAnsi="Times New Roman" w:cs="Times New Roman"/>
        </w:rPr>
        <w:t xml:space="preserve"> </w:t>
      </w:r>
      <w:r w:rsidR="00493420">
        <w:t>construction permits for full power television (TV) stations</w:t>
      </w:r>
      <w:r w:rsidRPr="00AE2943">
        <w:rPr>
          <w:rFonts w:ascii="Times New Roman" w:hAnsi="Times New Roman" w:cs="Times New Roman"/>
        </w:rPr>
        <w:t xml:space="preserve">, which were established in the </w:t>
      </w:r>
      <w:r w:rsidRPr="00AE2943">
        <w:rPr>
          <w:rFonts w:ascii="Times New Roman" w:hAnsi="Times New Roman" w:cs="Times New Roman"/>
        </w:rPr>
        <w:t>Commission</w:t>
      </w:r>
      <w:r w:rsidRPr="00AE2943" w:rsidR="00695ED5">
        <w:rPr>
          <w:rFonts w:ascii="Times New Roman" w:hAnsi="Times New Roman" w:cs="Times New Roman"/>
        </w:rPr>
        <w:t>’</w:t>
      </w:r>
      <w:r w:rsidRPr="00AE2943">
        <w:rPr>
          <w:rFonts w:ascii="Times New Roman" w:hAnsi="Times New Roman" w:cs="Times New Roman"/>
        </w:rPr>
        <w:t>s</w:t>
      </w:r>
      <w:r w:rsidRPr="00AE2943" w:rsidR="00945A5E">
        <w:rPr>
          <w:rFonts w:ascii="Times New Roman" w:hAnsi="Times New Roman" w:cs="Times New Roman"/>
        </w:rPr>
        <w:t xml:space="preserve"> </w:t>
      </w:r>
      <w:r w:rsidRPr="00AE2943" w:rsidR="00945A5E">
        <w:rPr>
          <w:rFonts w:ascii="Times New Roman" w:hAnsi="Times New Roman" w:cs="Times New Roman"/>
          <w:i/>
          <w:color w:val="000000" w:themeColor="text1"/>
        </w:rPr>
        <w:t xml:space="preserve">Auction </w:t>
      </w:r>
      <w:r w:rsidR="00493420">
        <w:rPr>
          <w:rFonts w:ascii="Times New Roman" w:hAnsi="Times New Roman" w:cs="Times New Roman"/>
          <w:i/>
          <w:color w:val="000000" w:themeColor="text1"/>
        </w:rPr>
        <w:t>112</w:t>
      </w:r>
      <w:r w:rsidRPr="00AE2943" w:rsidR="00945A5E">
        <w:rPr>
          <w:rFonts w:ascii="Times New Roman" w:hAnsi="Times New Roman" w:cs="Times New Roman"/>
          <w:i/>
          <w:color w:val="000000" w:themeColor="text1"/>
        </w:rPr>
        <w:t xml:space="preserve"> Procedures Public Notice</w:t>
      </w:r>
      <w:r w:rsidRPr="00AE2943">
        <w:rPr>
          <w:rFonts w:ascii="Times New Roman" w:hAnsi="Times New Roman" w:cs="Times New Roman"/>
        </w:rPr>
        <w:t>.</w:t>
      </w:r>
      <w:bookmarkStart w:id="1" w:name="_Ref511656218"/>
      <w:r>
        <w:rPr>
          <w:rFonts w:ascii="Times New Roman" w:hAnsi="Times New Roman" w:cs="Times New Roman"/>
          <w:vertAlign w:val="superscript"/>
        </w:rPr>
        <w:footnoteReference w:id="3"/>
      </w:r>
      <w:bookmarkEnd w:id="1"/>
      <w:r w:rsidRPr="00AE2943" w:rsidR="003D77FF">
        <w:rPr>
          <w:rFonts w:ascii="Times New Roman" w:hAnsi="Times New Roman" w:cs="Times New Roman"/>
        </w:rPr>
        <w:t xml:space="preserve">  </w:t>
      </w:r>
      <w:r w:rsidRPr="00AE2943">
        <w:t>This guide is not a substitute for reading and reviewing orders, rules</w:t>
      </w:r>
      <w:r w:rsidRPr="00AE2943" w:rsidR="00C0065E">
        <w:t>,</w:t>
      </w:r>
      <w:r w:rsidRPr="00AE2943">
        <w:t xml:space="preserve"> and public notices applicable </w:t>
      </w:r>
      <w:r w:rsidRPr="00AE2943" w:rsidR="00FE317F">
        <w:t>to</w:t>
      </w:r>
      <w:r w:rsidRPr="00AE2943">
        <w:t xml:space="preserve"> the auction, nor is it a substitute for legal advice on how the competitive bidding rules apply to your circumstances. </w:t>
      </w:r>
    </w:p>
    <w:p w:rsidR="00FF2019" w:rsidP="00FF2019" w14:paraId="28A72A99" w14:textId="7DE46AA1">
      <w:pPr>
        <w:spacing w:line="240" w:lineRule="auto"/>
        <w:ind w:firstLine="720"/>
        <w:rPr>
          <w:rFonts w:ascii="Times New Roman" w:hAnsi="Times New Roman" w:cs="Times New Roman"/>
        </w:rPr>
      </w:pPr>
      <w:bookmarkStart w:id="2" w:name="_Toc4055161"/>
      <w:r>
        <w:rPr>
          <w:rFonts w:ascii="Times New Roman" w:hAnsi="Times New Roman" w:cs="Times New Roman"/>
        </w:rPr>
        <w:t xml:space="preserve">The </w:t>
      </w:r>
      <w:r w:rsidRPr="00F130D6">
        <w:rPr>
          <w:rFonts w:ascii="Times New Roman" w:hAnsi="Times New Roman" w:cs="Times New Roman"/>
          <w:i/>
        </w:rPr>
        <w:t xml:space="preserve">Auction </w:t>
      </w:r>
      <w:r w:rsidR="008C3669">
        <w:rPr>
          <w:rFonts w:ascii="Times New Roman" w:hAnsi="Times New Roman" w:cs="Times New Roman"/>
          <w:i/>
        </w:rPr>
        <w:t>112</w:t>
      </w:r>
      <w:r w:rsidRPr="00F130D6">
        <w:rPr>
          <w:rFonts w:ascii="Times New Roman" w:hAnsi="Times New Roman" w:cs="Times New Roman"/>
          <w:i/>
        </w:rPr>
        <w:t xml:space="preserve"> Procedures Public Notice</w:t>
      </w:r>
      <w:r>
        <w:rPr>
          <w:rFonts w:ascii="Times New Roman" w:hAnsi="Times New Roman" w:cs="Times New Roman"/>
        </w:rPr>
        <w:t xml:space="preserve"> provides details regarding the procedures, terms, and conditions, as well as dates and deadlines,</w:t>
      </w:r>
      <w:r>
        <w:rPr>
          <w:rStyle w:val="FootnoteReference"/>
          <w:rFonts w:ascii="Times New Roman" w:hAnsi="Times New Roman" w:cs="Times New Roman"/>
        </w:rPr>
        <w:footnoteReference w:id="4"/>
      </w:r>
      <w:r>
        <w:rPr>
          <w:rFonts w:ascii="Times New Roman" w:hAnsi="Times New Roman" w:cs="Times New Roman"/>
        </w:rPr>
        <w:t xml:space="preserve"> governing participation in Auction </w:t>
      </w:r>
      <w:r w:rsidR="008C3669">
        <w:rPr>
          <w:rFonts w:ascii="Times New Roman" w:hAnsi="Times New Roman" w:cs="Times New Roman"/>
        </w:rPr>
        <w:t>112</w:t>
      </w:r>
      <w:r>
        <w:rPr>
          <w:rFonts w:ascii="Times New Roman" w:hAnsi="Times New Roman" w:cs="Times New Roman"/>
        </w:rPr>
        <w:t xml:space="preserve">, and an overview of the post-auction application and payment processes.  Additional materials to assist small entities in complying with the rules and procedures for Auction </w:t>
      </w:r>
      <w:r w:rsidR="008C3669">
        <w:rPr>
          <w:rFonts w:ascii="Times New Roman" w:hAnsi="Times New Roman" w:cs="Times New Roman"/>
        </w:rPr>
        <w:t>112</w:t>
      </w:r>
      <w:r>
        <w:rPr>
          <w:rFonts w:ascii="Times New Roman" w:hAnsi="Times New Roman" w:cs="Times New Roman"/>
        </w:rPr>
        <w:t xml:space="preserve"> can be found on the Auction </w:t>
      </w:r>
      <w:r w:rsidR="008C3669">
        <w:rPr>
          <w:rFonts w:ascii="Times New Roman" w:hAnsi="Times New Roman" w:cs="Times New Roman"/>
        </w:rPr>
        <w:t>112</w:t>
      </w:r>
      <w:r>
        <w:rPr>
          <w:rFonts w:ascii="Times New Roman" w:hAnsi="Times New Roman" w:cs="Times New Roman"/>
        </w:rPr>
        <w:t xml:space="preserve"> website at </w:t>
      </w:r>
      <w:hyperlink r:id="rId7" w:history="1">
        <w:r w:rsidRPr="008C3669" w:rsidR="008C3669">
          <w:rPr>
            <w:rStyle w:val="Hyperlink"/>
            <w:rFonts w:ascii="Times New Roman" w:hAnsi="Times New Roman" w:cs="Times New Roman"/>
          </w:rPr>
          <w:t>https://www.fcc.gov/auction/112</w:t>
        </w:r>
      </w:hyperlink>
      <w:r>
        <w:rPr>
          <w:rFonts w:ascii="Times New Roman" w:hAnsi="Times New Roman" w:cs="Times New Roman"/>
        </w:rPr>
        <w:t>.</w:t>
      </w:r>
    </w:p>
    <w:p w:rsidR="00160604" w:rsidRPr="00433237" w:rsidP="00433237" w14:paraId="7198D0E5" w14:textId="651415EB">
      <w:pPr>
        <w:pStyle w:val="Heading1"/>
        <w:tabs>
          <w:tab w:val="left" w:pos="720"/>
        </w:tabs>
        <w:spacing w:after="240"/>
        <w:rPr>
          <w:rFonts w:eastAsia="Calibri" w:cs="Times New Roman"/>
        </w:rPr>
      </w:pPr>
      <w:r w:rsidRPr="003D5331">
        <w:rPr>
          <w:rFonts w:eastAsia="Calibri" w:cs="Times New Roman"/>
          <w:szCs w:val="22"/>
        </w:rPr>
        <w:t xml:space="preserve">II. </w:t>
      </w:r>
      <w:r w:rsidRPr="003D5331">
        <w:rPr>
          <w:rFonts w:eastAsia="Calibri" w:cs="Times New Roman"/>
          <w:szCs w:val="22"/>
        </w:rPr>
        <w:tab/>
      </w:r>
      <w:r w:rsidRPr="005244CA">
        <w:rPr>
          <w:rStyle w:val="Heading1Char"/>
          <w:rFonts w:cs="Times New Roman"/>
          <w:b/>
          <w:szCs w:val="22"/>
        </w:rPr>
        <w:t>COMPLIANCE REQUIREMENTS</w:t>
      </w:r>
      <w:bookmarkEnd w:id="2"/>
    </w:p>
    <w:p w:rsidR="00160604" w:rsidRPr="00E30D96" w:rsidP="002F7580" w14:paraId="0E92C872" w14:textId="70BC6BA2">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bookmarkStart w:id="3" w:name="_Toc4055162"/>
      <w:r>
        <w:rPr>
          <w:rFonts w:ascii="Times New Roman" w:hAnsi="Times New Roman" w:cs="Times New Roman"/>
          <w:b/>
        </w:rPr>
        <w:t>Auction Specifics</w:t>
      </w:r>
      <w:bookmarkEnd w:id="3"/>
    </w:p>
    <w:p w:rsidR="00AE2943" w:rsidP="003D7985" w14:paraId="74C68E8E" w14:textId="10E6F964">
      <w:pPr>
        <w:tabs>
          <w:tab w:val="left" w:pos="720"/>
        </w:tabs>
        <w:spacing w:before="120" w:after="120" w:line="240" w:lineRule="auto"/>
        <w:ind w:firstLine="360"/>
        <w:mirrorIndents/>
      </w:pPr>
      <w:r>
        <w:rPr>
          <w:rFonts w:ascii="Times New Roman" w:eastAsia="Calibri" w:hAnsi="Times New Roman" w:cs="Times New Roman"/>
        </w:rPr>
        <w:tab/>
      </w:r>
      <w:r>
        <w:t>Bidding in this auction for</w:t>
      </w:r>
      <w:r w:rsidR="003D7985">
        <w:t xml:space="preserve"> 27</w:t>
      </w:r>
      <w:r>
        <w:t xml:space="preserve"> </w:t>
      </w:r>
      <w:r w:rsidR="00BD3D85">
        <w:t>construction permits</w:t>
      </w:r>
      <w:r>
        <w:t xml:space="preserve"> </w:t>
      </w:r>
      <w:r w:rsidR="003D7985">
        <w:t xml:space="preserve">for TV stations </w:t>
      </w:r>
      <w:r>
        <w:t xml:space="preserve">is scheduled to begin on June </w:t>
      </w:r>
      <w:r w:rsidR="00BD3D85">
        <w:t>7</w:t>
      </w:r>
      <w:r>
        <w:t>, 202</w:t>
      </w:r>
      <w:r w:rsidR="00BD3D85">
        <w:t>2</w:t>
      </w:r>
      <w:r>
        <w:t>.</w:t>
      </w:r>
      <w:r w:rsidR="003D7985">
        <w:t xml:space="preserve">  </w:t>
      </w:r>
      <w:r>
        <w:t xml:space="preserve">A list of </w:t>
      </w:r>
      <w:r w:rsidR="00BD3D85">
        <w:t xml:space="preserve">the </w:t>
      </w:r>
      <w:r w:rsidR="00C033E6">
        <w:t xml:space="preserve">available </w:t>
      </w:r>
      <w:r w:rsidR="00BD3D85">
        <w:t xml:space="preserve">construction permits is </w:t>
      </w:r>
      <w:r w:rsidR="006275FF">
        <w:t>provided in</w:t>
      </w:r>
      <w:r>
        <w:t xml:space="preserve"> “Attachment A” of the </w:t>
      </w:r>
      <w:r w:rsidRPr="003D7985">
        <w:rPr>
          <w:i/>
        </w:rPr>
        <w:t xml:space="preserve">Auction </w:t>
      </w:r>
      <w:r w:rsidRPr="003D7985" w:rsidR="006275FF">
        <w:rPr>
          <w:i/>
        </w:rPr>
        <w:t>112</w:t>
      </w:r>
      <w:r w:rsidRPr="003D7985">
        <w:rPr>
          <w:i/>
        </w:rPr>
        <w:t xml:space="preserve"> Procedures Public Notice</w:t>
      </w:r>
      <w:r w:rsidRPr="003D7985" w:rsidR="00655F81">
        <w:rPr>
          <w:iCs/>
        </w:rPr>
        <w:t>,</w:t>
      </w:r>
      <w:r>
        <w:t xml:space="preserve"> available at </w:t>
      </w:r>
      <w:hyperlink r:id="rId7" w:history="1">
        <w:r w:rsidRPr="003D7985" w:rsidR="008C3669">
          <w:rPr>
            <w:rStyle w:val="Hyperlink"/>
            <w:rFonts w:ascii="Times New Roman" w:hAnsi="Times New Roman" w:cs="Times New Roman"/>
          </w:rPr>
          <w:t>https://www.fcc.gov/auction/112</w:t>
        </w:r>
      </w:hyperlink>
      <w:hyperlink r:id="rId8" w:history="1"/>
      <w:r w:rsidRPr="003D7985">
        <w:rPr>
          <w:rStyle w:val="Hyperlink"/>
          <w:color w:val="auto"/>
          <w:u w:val="none"/>
        </w:rPr>
        <w:t>.</w:t>
      </w:r>
      <w:r>
        <w:t xml:space="preserve">  </w:t>
      </w:r>
    </w:p>
    <w:p w:rsidR="00AE2943" w:rsidP="00AE2943" w14:paraId="0057D613" w14:textId="3E98E175">
      <w:pPr>
        <w:tabs>
          <w:tab w:val="left" w:pos="720"/>
        </w:tabs>
        <w:spacing w:before="120" w:after="120" w:line="240" w:lineRule="auto"/>
        <w:ind w:firstLine="720"/>
        <w:mirrorIndents/>
      </w:pPr>
      <w:r>
        <w:t xml:space="preserve">To qualify to bid in Auction </w:t>
      </w:r>
      <w:r w:rsidR="006275FF">
        <w:t>112</w:t>
      </w:r>
      <w:r>
        <w:t>, applicants must comply with the following requirements:</w:t>
      </w:r>
    </w:p>
    <w:p w:rsidR="00AE2943" w:rsidP="00D126FA" w14:paraId="44BC58EA" w14:textId="191A541B">
      <w:pPr>
        <w:numPr>
          <w:ilvl w:val="0"/>
          <w:numId w:val="9"/>
        </w:numPr>
        <w:spacing w:after="120" w:line="240" w:lineRule="auto"/>
      </w:pPr>
      <w:r>
        <w:t>S</w:t>
      </w:r>
      <w:r w:rsidRPr="00F50628">
        <w:t xml:space="preserve">ubmission of a short-form application </w:t>
      </w:r>
      <w:r>
        <w:t xml:space="preserve">(FCC Form 175) by the filing deadline of 6:00 p.m. Eastern Time (ET) on March </w:t>
      </w:r>
      <w:r w:rsidR="006275FF">
        <w:t>30</w:t>
      </w:r>
      <w:r>
        <w:t>, 202</w:t>
      </w:r>
      <w:r w:rsidR="006275FF">
        <w:t>2</w:t>
      </w:r>
      <w:r>
        <w:t>,</w:t>
      </w:r>
      <w:r w:rsidRPr="00F50628">
        <w:t xml:space="preserve"> that </w:t>
      </w:r>
      <w:r>
        <w:t>is</w:t>
      </w:r>
      <w:r w:rsidRPr="00F50628">
        <w:t xml:space="preserve"> found to be substantially complete</w:t>
      </w:r>
      <w:r w:rsidR="006C51F4">
        <w:t>.</w:t>
      </w:r>
      <w:r>
        <w:rPr>
          <w:rStyle w:val="FootnoteReference"/>
        </w:rPr>
        <w:footnoteReference w:id="5"/>
      </w:r>
    </w:p>
    <w:p w:rsidR="00AE2943" w:rsidP="00AD61ED" w14:paraId="454FDD35" w14:textId="1588C2DE">
      <w:pPr>
        <w:numPr>
          <w:ilvl w:val="0"/>
          <w:numId w:val="9"/>
        </w:numPr>
        <w:spacing w:after="120" w:line="240" w:lineRule="auto"/>
      </w:pPr>
      <w:r>
        <w:t>S</w:t>
      </w:r>
      <w:r w:rsidRPr="00F50628">
        <w:t xml:space="preserve">ubmission of a sufficient upfront payment for at least one of the </w:t>
      </w:r>
      <w:r>
        <w:t>construction permits</w:t>
      </w:r>
      <w:r w:rsidRPr="00F50628">
        <w:t xml:space="preserve"> </w:t>
      </w:r>
      <w:r>
        <w:t xml:space="preserve">listed for that applicant </w:t>
      </w:r>
      <w:r w:rsidRPr="00F50628">
        <w:t xml:space="preserve">in Auction </w:t>
      </w:r>
      <w:r w:rsidR="006C51F4">
        <w:t>112</w:t>
      </w:r>
      <w:r>
        <w:t xml:space="preserve"> by 6:00 p.m. ET on May </w:t>
      </w:r>
      <w:r w:rsidR="00AD1681">
        <w:t>6</w:t>
      </w:r>
      <w:r>
        <w:t>, 202</w:t>
      </w:r>
      <w:r w:rsidR="00AD1681">
        <w:t>2</w:t>
      </w:r>
      <w:r>
        <w:t>.</w:t>
      </w:r>
    </w:p>
    <w:p w:rsidR="00AE2943" w:rsidP="00D126FA" w14:paraId="4F4CAF7B" w14:textId="1512661F">
      <w:pPr>
        <w:numPr>
          <w:ilvl w:val="0"/>
          <w:numId w:val="9"/>
        </w:numPr>
        <w:spacing w:after="120" w:line="240" w:lineRule="auto"/>
      </w:pPr>
      <w:r w:rsidRPr="00F50628">
        <w:t xml:space="preserve">The timely submitted </w:t>
      </w:r>
      <w:r>
        <w:t xml:space="preserve">upfront </w:t>
      </w:r>
      <w:r w:rsidRPr="00F50628">
        <w:t xml:space="preserve">payment must </w:t>
      </w:r>
      <w:r>
        <w:t xml:space="preserve">be </w:t>
      </w:r>
      <w:r w:rsidRPr="00F50628">
        <w:t>accompanied by a complete and accurate FCC Remittance Advice Form (FCC Form 159)</w:t>
      </w:r>
      <w:r w:rsidRPr="007C3D8E">
        <w:t>,</w:t>
      </w:r>
      <w:r w:rsidRPr="00F50628">
        <w:t xml:space="preserve"> following the procedures and instructions set forth in </w:t>
      </w:r>
      <w:r>
        <w:t xml:space="preserve">the </w:t>
      </w:r>
      <w:r w:rsidRPr="00B52D57">
        <w:rPr>
          <w:i/>
          <w:iCs/>
        </w:rPr>
        <w:t xml:space="preserve">Auction </w:t>
      </w:r>
      <w:r w:rsidRPr="00B52D57" w:rsidR="00AD1681">
        <w:rPr>
          <w:i/>
          <w:iCs/>
        </w:rPr>
        <w:t>112</w:t>
      </w:r>
      <w:r w:rsidRPr="00B52D57">
        <w:rPr>
          <w:i/>
          <w:iCs/>
        </w:rPr>
        <w:t xml:space="preserve"> Procedures Public Notice</w:t>
      </w:r>
      <w:r>
        <w:t>.</w:t>
      </w:r>
      <w:r>
        <w:rPr>
          <w:vertAlign w:val="superscript"/>
        </w:rPr>
        <w:footnoteReference w:id="6"/>
      </w:r>
      <w:r w:rsidRPr="00BD6EB6">
        <w:rPr>
          <w:vertAlign w:val="superscript"/>
        </w:rPr>
        <w:t xml:space="preserve"> </w:t>
      </w:r>
    </w:p>
    <w:p w:rsidR="00AE2943" w:rsidP="00D126FA" w14:paraId="0D654089" w14:textId="5DE238A3">
      <w:pPr>
        <w:numPr>
          <w:ilvl w:val="0"/>
          <w:numId w:val="9"/>
        </w:numPr>
        <w:spacing w:after="120" w:line="240" w:lineRule="auto"/>
      </w:pPr>
      <w:r w:rsidRPr="0071520F">
        <w:t>An applicant whose application contain</w:t>
      </w:r>
      <w:r>
        <w:t>s</w:t>
      </w:r>
      <w:r w:rsidRPr="0071520F">
        <w:t xml:space="preserve"> deficiencies </w:t>
      </w:r>
      <w:r>
        <w:t xml:space="preserve">will be provided </w:t>
      </w:r>
      <w:r w:rsidRPr="0071520F">
        <w:t xml:space="preserve">a limited opportunity to bring its application into compliance with the Commission’s </w:t>
      </w:r>
      <w:r>
        <w:t>auction application</w:t>
      </w:r>
      <w:r w:rsidRPr="0071520F">
        <w:t xml:space="preserve"> rules during a resubmission window.</w:t>
      </w:r>
      <w:r>
        <w:rPr>
          <w:vertAlign w:val="superscript"/>
        </w:rPr>
        <w:footnoteReference w:id="7"/>
      </w:r>
    </w:p>
    <w:p w:rsidR="00AE2943" w:rsidP="00E301CB" w14:paraId="67E6A5DC" w14:textId="3B5AE925">
      <w:pPr>
        <w:numPr>
          <w:ilvl w:val="0"/>
          <w:numId w:val="9"/>
        </w:numPr>
        <w:spacing w:after="120" w:line="240" w:lineRule="auto"/>
      </w:pPr>
      <w:r w:rsidRPr="0071520F">
        <w:t xml:space="preserve">All qualified bidders </w:t>
      </w:r>
      <w:r>
        <w:t xml:space="preserve">will be </w:t>
      </w:r>
      <w:r w:rsidRPr="0071520F">
        <w:t>automatically registered for the auction and mailed the necessary registration materials.</w:t>
      </w:r>
    </w:p>
    <w:p w:rsidR="00AE2943" w:rsidP="008B4F87" w14:paraId="43A5BA62" w14:textId="7F2EE517">
      <w:pPr>
        <w:keepLines/>
        <w:numPr>
          <w:ilvl w:val="0"/>
          <w:numId w:val="9"/>
        </w:numPr>
        <w:spacing w:after="120" w:line="240" w:lineRule="auto"/>
      </w:pPr>
      <w:r>
        <w:t>P</w:t>
      </w:r>
      <w:r w:rsidRPr="005B509A">
        <w:t xml:space="preserve">arties that timely submit short-form applications are </w:t>
      </w:r>
      <w:r w:rsidR="005C10EE">
        <w:t>all considered “</w:t>
      </w:r>
      <w:r>
        <w:t>applicants</w:t>
      </w:r>
      <w:r w:rsidR="005C10EE">
        <w:t>”</w:t>
      </w:r>
      <w:r>
        <w:t xml:space="preserve"> and</w:t>
      </w:r>
      <w:r w:rsidRPr="005B509A">
        <w:t xml:space="preserve"> </w:t>
      </w:r>
      <w:r>
        <w:t xml:space="preserve">are </w:t>
      </w:r>
      <w:r w:rsidR="005C10EE">
        <w:t>there</w:t>
      </w:r>
      <w:r w:rsidR="00BE02BC">
        <w:t>f</w:t>
      </w:r>
      <w:r w:rsidR="005C10EE">
        <w:t xml:space="preserve">ore </w:t>
      </w:r>
      <w:r>
        <w:t xml:space="preserve">subject to </w:t>
      </w:r>
      <w:r w:rsidRPr="005B509A">
        <w:t xml:space="preserve">certain of the Commission’s </w:t>
      </w:r>
      <w:r>
        <w:t xml:space="preserve">Part 1 </w:t>
      </w:r>
      <w:r w:rsidRPr="005B509A">
        <w:t xml:space="preserve">auction rules regarding application requirements and certifications (e.g., joint bidding agreements relating to the </w:t>
      </w:r>
      <w:r>
        <w:t>construction permits</w:t>
      </w:r>
      <w:r w:rsidRPr="005B509A">
        <w:t xml:space="preserve"> subject to auction), </w:t>
      </w:r>
      <w:r>
        <w:t xml:space="preserve">and </w:t>
      </w:r>
      <w:r w:rsidRPr="005B509A">
        <w:t>the rule</w:t>
      </w:r>
      <w:r>
        <w:t>s</w:t>
      </w:r>
      <w:r w:rsidRPr="005B509A">
        <w:t xml:space="preserve"> prohibiting certain communications</w:t>
      </w:r>
      <w:r>
        <w:t>.</w:t>
      </w:r>
    </w:p>
    <w:p w:rsidR="00E12DDD" w:rsidRPr="005F5EA7" w:rsidP="00A93CCC" w14:paraId="24268983" w14:textId="4BF8F1B5">
      <w:pPr>
        <w:tabs>
          <w:tab w:val="left" w:pos="720"/>
        </w:tabs>
        <w:spacing w:after="120" w:line="240" w:lineRule="auto"/>
        <w:ind w:firstLine="720"/>
        <w:mirrorIndents/>
      </w:pPr>
      <w:r>
        <w:t>For example, th</w:t>
      </w:r>
      <w:r w:rsidRPr="005712E5">
        <w:t xml:space="preserve">e prohibition on certain communications </w:t>
      </w:r>
      <w:r>
        <w:t xml:space="preserve">for </w:t>
      </w:r>
      <w:r w:rsidRPr="005712E5">
        <w:t xml:space="preserve">applicants in Auction </w:t>
      </w:r>
      <w:r w:rsidR="00680285">
        <w:t>112</w:t>
      </w:r>
      <w:r>
        <w:t xml:space="preserve"> </w:t>
      </w:r>
      <w:r w:rsidRPr="00DF040A">
        <w:t>begins</w:t>
      </w:r>
      <w:r w:rsidRPr="005712E5">
        <w:t xml:space="preserve"> at the short-form application filing deadline </w:t>
      </w:r>
      <w:r>
        <w:t xml:space="preserve">on </w:t>
      </w:r>
      <w:r w:rsidR="00680285">
        <w:t>March 30</w:t>
      </w:r>
      <w:r>
        <w:t>, 202</w:t>
      </w:r>
      <w:r w:rsidR="00680285">
        <w:t>2</w:t>
      </w:r>
      <w:r>
        <w:t>,</w:t>
      </w:r>
      <w:r w:rsidRPr="005712E5">
        <w:t xml:space="preserve"> and will end at the down payment deadline for </w:t>
      </w:r>
      <w:r>
        <w:t xml:space="preserve">Auction </w:t>
      </w:r>
      <w:r w:rsidR="00680285">
        <w:t>112</w:t>
      </w:r>
      <w:r>
        <w:t xml:space="preserve">, </w:t>
      </w:r>
      <w:r w:rsidR="00680285">
        <w:t>which will</w:t>
      </w:r>
      <w:r>
        <w:t xml:space="preserve"> be announced in a future public notice.</w:t>
      </w:r>
    </w:p>
    <w:p w:rsidR="00446802" w:rsidP="002F7580" w14:paraId="0D13A98D" w14:textId="3B6529AF">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bookmarkStart w:id="4" w:name="_Toc4055163"/>
      <w:r>
        <w:rPr>
          <w:rFonts w:ascii="Times New Roman" w:hAnsi="Times New Roman" w:cs="Times New Roman"/>
          <w:b/>
        </w:rPr>
        <w:t>Application Procedures</w:t>
      </w:r>
      <w:bookmarkEnd w:id="4"/>
    </w:p>
    <w:p w:rsidR="00AE2943" w:rsidP="00AE2943" w14:paraId="4C20C3E3" w14:textId="78283EE8">
      <w:pPr>
        <w:spacing w:after="120" w:line="240" w:lineRule="auto"/>
        <w:ind w:firstLine="720"/>
      </w:pPr>
      <w:r>
        <w:t xml:space="preserve">Auction 112 will be conducted in conformity with </w:t>
      </w:r>
      <w:r>
        <w:t>the general competitive bidding rules in Part 1, Subpart Q, of the Commission</w:t>
      </w:r>
      <w:r w:rsidR="006D1F3E">
        <w:t>’</w:t>
      </w:r>
      <w:r>
        <w:t>s Rule</w:t>
      </w:r>
      <w:r w:rsidR="004818E8">
        <w:t>s</w:t>
      </w:r>
      <w:r w:rsidR="0091406A">
        <w:t>,</w:t>
      </w:r>
      <w:r>
        <w:rPr>
          <w:rStyle w:val="FootnoteReference"/>
        </w:rPr>
        <w:footnoteReference w:id="8"/>
      </w:r>
      <w:r w:rsidR="004818E8">
        <w:t xml:space="preserve"> </w:t>
      </w:r>
      <w:r w:rsidR="00D46CA1">
        <w:t>and with</w:t>
      </w:r>
      <w:r w:rsidR="00F23F6E">
        <w:t xml:space="preserve"> </w:t>
      </w:r>
      <w:r w:rsidR="00DF5824">
        <w:t>the</w:t>
      </w:r>
      <w:r w:rsidR="00F23F6E">
        <w:t xml:space="preserve"> television broadcast service and competitive bidding requirements in </w:t>
      </w:r>
      <w:r w:rsidR="003B6BE9">
        <w:t>P</w:t>
      </w:r>
      <w:r w:rsidR="00F23F6E">
        <w:t xml:space="preserve">art 73 of the Commission’s </w:t>
      </w:r>
      <w:r w:rsidR="00CA14B9">
        <w:t>R</w:t>
      </w:r>
      <w:r w:rsidR="007977DB">
        <w:t>ules.</w:t>
      </w:r>
      <w:r>
        <w:rPr>
          <w:rStyle w:val="FootnoteReference"/>
        </w:rPr>
        <w:footnoteReference w:id="9"/>
      </w:r>
      <w:r w:rsidR="007977DB">
        <w:t xml:space="preserve"> </w:t>
      </w:r>
    </w:p>
    <w:p w:rsidR="00D126FA" w:rsidP="00D126FA" w14:paraId="0086A703" w14:textId="25F8F802">
      <w:pPr>
        <w:numPr>
          <w:ilvl w:val="0"/>
          <w:numId w:val="9"/>
        </w:numPr>
        <w:spacing w:after="120" w:line="240" w:lineRule="auto"/>
      </w:pPr>
      <w:r>
        <w:t>T</w:t>
      </w:r>
      <w:r w:rsidR="00436896">
        <w:t>he</w:t>
      </w:r>
      <w:r w:rsidR="00995E98">
        <w:t xml:space="preserve"> Auction 112 application </w:t>
      </w:r>
      <w:r w:rsidR="00BC395C">
        <w:t>procedures</w:t>
      </w:r>
      <w:r w:rsidR="00436896">
        <w:t xml:space="preserve"> are substantially </w:t>
      </w:r>
      <w:r w:rsidR="004818E8">
        <w:t>similar</w:t>
      </w:r>
      <w:r w:rsidR="00436896">
        <w:t xml:space="preserve"> </w:t>
      </w:r>
      <w:r w:rsidR="00CA14B9">
        <w:t xml:space="preserve">to </w:t>
      </w:r>
      <w:r w:rsidR="00436896">
        <w:t xml:space="preserve">the </w:t>
      </w:r>
      <w:r w:rsidR="00BC395C">
        <w:t>procedures</w:t>
      </w:r>
      <w:r w:rsidR="00995E98">
        <w:t xml:space="preserve"> that</w:t>
      </w:r>
      <w:r w:rsidR="00436896">
        <w:t xml:space="preserve"> the Commission has applied to other services </w:t>
      </w:r>
      <w:r w:rsidR="004E5CB1">
        <w:t>in the past several auctions</w:t>
      </w:r>
      <w:r w:rsidR="00436896">
        <w:t>.</w:t>
      </w:r>
    </w:p>
    <w:p w:rsidR="002D041C" w:rsidP="00D126FA" w14:paraId="468626D7" w14:textId="07C1933B">
      <w:pPr>
        <w:numPr>
          <w:ilvl w:val="0"/>
          <w:numId w:val="9"/>
        </w:numPr>
        <w:spacing w:after="120" w:line="240" w:lineRule="auto"/>
      </w:pPr>
      <w:r>
        <w:t xml:space="preserve">Applicants are </w:t>
      </w:r>
      <w:r w:rsidR="00436896">
        <w:t>require</w:t>
      </w:r>
      <w:r>
        <w:t>d to</w:t>
      </w:r>
      <w:r w:rsidR="00436896">
        <w:t xml:space="preserve"> fil</w:t>
      </w:r>
      <w:r>
        <w:t>e</w:t>
      </w:r>
      <w:r w:rsidR="00436896">
        <w:t xml:space="preserve"> </w:t>
      </w:r>
      <w:r w:rsidR="00E144BF">
        <w:t>short-</w:t>
      </w:r>
      <w:r w:rsidR="00BC395C">
        <w:t>form</w:t>
      </w:r>
      <w:r w:rsidR="00E144BF">
        <w:t xml:space="preserve"> and long-form applications</w:t>
      </w:r>
      <w:r w:rsidR="00436896">
        <w:t xml:space="preserve"> to ensure that applicants are qualified to participate in</w:t>
      </w:r>
      <w:r w:rsidR="00BC395C">
        <w:t xml:space="preserve"> </w:t>
      </w:r>
      <w:r w:rsidR="00436896">
        <w:t>auction</w:t>
      </w:r>
      <w:r w:rsidR="00BC395C">
        <w:t>s</w:t>
      </w:r>
      <w:r w:rsidR="00436896">
        <w:t xml:space="preserve"> and hold licenses. </w:t>
      </w:r>
      <w:r w:rsidR="002D146E">
        <w:t xml:space="preserve"> </w:t>
      </w:r>
      <w:r w:rsidR="00436896">
        <w:t xml:space="preserve">Certain information required on </w:t>
      </w:r>
      <w:r w:rsidR="007479F4">
        <w:t>the short-form application (</w:t>
      </w:r>
      <w:r w:rsidR="00436896">
        <w:t>FCC Form 175</w:t>
      </w:r>
      <w:r w:rsidR="007479F4">
        <w:t>)</w:t>
      </w:r>
      <w:r w:rsidR="00436896">
        <w:t xml:space="preserve"> is also necessary to ensure that </w:t>
      </w:r>
      <w:r w:rsidR="000118D5">
        <w:t xml:space="preserve">the </w:t>
      </w:r>
      <w:r w:rsidR="00206A24">
        <w:t xml:space="preserve">available </w:t>
      </w:r>
      <w:r w:rsidR="000118D5">
        <w:t>new entrant bidding credit</w:t>
      </w:r>
      <w:r w:rsidR="002D146E">
        <w:t xml:space="preserve"> </w:t>
      </w:r>
      <w:r w:rsidR="003B7E60">
        <w:t>is applied only to qualifying applicants</w:t>
      </w:r>
      <w:r w:rsidR="00134A6E">
        <w:t xml:space="preserve">, and only for the </w:t>
      </w:r>
      <w:r w:rsidR="003B7E60">
        <w:t xml:space="preserve">specific </w:t>
      </w:r>
      <w:r w:rsidR="00134A6E">
        <w:t xml:space="preserve">construction permit(s) for which they </w:t>
      </w:r>
      <w:r w:rsidR="003B7E60">
        <w:t>are entitled to the credit</w:t>
      </w:r>
      <w:r w:rsidR="00436896">
        <w:t>.</w:t>
      </w:r>
      <w:r w:rsidRPr="00D126FA">
        <w:t xml:space="preserve"> </w:t>
      </w:r>
    </w:p>
    <w:p w:rsidR="00BE57E7" w:rsidRPr="003B7E60" w:rsidP="00D126FA" w14:paraId="2839F9B4" w14:textId="20EAE785">
      <w:pPr>
        <w:numPr>
          <w:ilvl w:val="0"/>
          <w:numId w:val="9"/>
        </w:numPr>
        <w:spacing w:after="120" w:line="240" w:lineRule="auto"/>
      </w:pPr>
      <w:r>
        <w:t xml:space="preserve">There is a new entrant bidding credit available to qualifying Auction 112 applicants.  </w:t>
      </w:r>
      <w:r w:rsidRPr="00610D61">
        <w:t>The</w:t>
      </w:r>
      <w:r w:rsidRPr="007F110F">
        <w:rPr>
          <w:i/>
          <w:iCs/>
        </w:rPr>
        <w:t xml:space="preserve"> Auction 112 Procedure</w:t>
      </w:r>
      <w:r w:rsidRPr="007F110F" w:rsidR="007F110F">
        <w:rPr>
          <w:i/>
          <w:iCs/>
        </w:rPr>
        <w:t>s</w:t>
      </w:r>
      <w:r w:rsidRPr="007F110F">
        <w:rPr>
          <w:i/>
          <w:iCs/>
        </w:rPr>
        <w:t xml:space="preserve"> Public Notice</w:t>
      </w:r>
      <w:r>
        <w:t xml:space="preserve"> provides detailed information regarding the qualification requirements and obligations for applicants who seek this bidding credit.</w:t>
      </w:r>
      <w:r>
        <w:rPr>
          <w:rStyle w:val="FootnoteReference"/>
        </w:rPr>
        <w:footnoteReference w:id="10"/>
      </w:r>
    </w:p>
    <w:p w:rsidR="00160604" w:rsidRPr="00A4487F" w:rsidP="002F7580" w14:paraId="2221DFEE" w14:textId="016A9FE8">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bookmarkStart w:id="5" w:name="_Toc4055164"/>
      <w:r>
        <w:rPr>
          <w:rFonts w:ascii="Times New Roman" w:hAnsi="Times New Roman" w:cs="Times New Roman"/>
          <w:b/>
        </w:rPr>
        <w:t>Bidding Procedures</w:t>
      </w:r>
      <w:bookmarkEnd w:id="5"/>
    </w:p>
    <w:p w:rsidR="005B509A" w:rsidP="005B509A" w14:paraId="55A2896A" w14:textId="7612D544">
      <w:pPr>
        <w:spacing w:after="120" w:line="240" w:lineRule="auto"/>
        <w:ind w:firstLine="720"/>
      </w:pPr>
      <w:r w:rsidRPr="009404B2">
        <w:t xml:space="preserve">The </w:t>
      </w:r>
      <w:r>
        <w:t>Office of Economics and Analytics (OEA), in conjunction with the</w:t>
      </w:r>
      <w:r w:rsidR="00C63DC8">
        <w:t xml:space="preserve"> Media</w:t>
      </w:r>
      <w:r w:rsidR="00D73824">
        <w:t xml:space="preserve"> Bureau</w:t>
      </w:r>
      <w:r>
        <w:t xml:space="preserve"> (</w:t>
      </w:r>
      <w:r w:rsidR="00C63DC8">
        <w:t>M</w:t>
      </w:r>
      <w:r w:rsidR="00D73824">
        <w:t>B</w:t>
      </w:r>
      <w:r>
        <w:t>),</w:t>
      </w:r>
      <w:r w:rsidRPr="009404B2">
        <w:t xml:space="preserve"> adopted</w:t>
      </w:r>
      <w:r w:rsidRPr="00435180" w:rsidR="00CF0E02">
        <w:t xml:space="preserve"> a</w:t>
      </w:r>
      <w:r w:rsidR="00C63DC8">
        <w:t xml:space="preserve"> simultaneous multi</w:t>
      </w:r>
      <w:r w:rsidR="00A6144F">
        <w:t>ple-</w:t>
      </w:r>
      <w:r w:rsidR="00C63DC8">
        <w:t xml:space="preserve">round </w:t>
      </w:r>
      <w:r w:rsidRPr="00435180" w:rsidR="00CF0E02">
        <w:t xml:space="preserve">auction design </w:t>
      </w:r>
      <w:r w:rsidR="00AE2943">
        <w:t xml:space="preserve">for Auction </w:t>
      </w:r>
      <w:r w:rsidR="009D6B87">
        <w:t>112</w:t>
      </w:r>
      <w:r w:rsidR="00CF0E02">
        <w:t>.</w:t>
      </w:r>
      <w:r>
        <w:rPr>
          <w:rStyle w:val="FootnoteReference"/>
        </w:rPr>
        <w:footnoteReference w:id="11"/>
      </w:r>
      <w:r w:rsidR="00CF0E02">
        <w:t xml:space="preserve">  </w:t>
      </w:r>
      <w:r w:rsidRPr="00CF0E02" w:rsidR="00CF0E02">
        <w:t>In</w:t>
      </w:r>
      <w:r w:rsidR="00EF411F">
        <w:t xml:space="preserve"> the auction, </w:t>
      </w:r>
      <w:r w:rsidRPr="00CF0E02" w:rsidR="00CF0E02">
        <w:t xml:space="preserve">bidders </w:t>
      </w:r>
      <w:r w:rsidR="00EF411F">
        <w:t>will indicate</w:t>
      </w:r>
      <w:r w:rsidRPr="00CF0E02" w:rsidR="00CF0E02">
        <w:t xml:space="preserve"> their demands for a number of</w:t>
      </w:r>
      <w:r w:rsidR="008A1B84">
        <w:t xml:space="preserve"> </w:t>
      </w:r>
      <w:r w:rsidR="00C424F9">
        <w:t>construction permits for TV stations</w:t>
      </w:r>
      <w:r w:rsidRPr="00CF0E02" w:rsidR="00CF0E02">
        <w:t xml:space="preserve">.  </w:t>
      </w:r>
      <w:r w:rsidR="00BA2542">
        <w:t xml:space="preserve">Additional procedures adopted for Auction </w:t>
      </w:r>
      <w:r w:rsidR="009D6B87">
        <w:t>112</w:t>
      </w:r>
      <w:r w:rsidR="00BA2542">
        <w:t xml:space="preserve"> include:</w:t>
      </w:r>
    </w:p>
    <w:p w:rsidR="00531968" w:rsidRPr="00426574" w:rsidP="00531968" w14:paraId="453FC84F" w14:textId="77777777">
      <w:pPr>
        <w:numPr>
          <w:ilvl w:val="0"/>
          <w:numId w:val="9"/>
        </w:numPr>
        <w:spacing w:after="120" w:line="240" w:lineRule="auto"/>
      </w:pPr>
      <w:r w:rsidRPr="00426574">
        <w:rPr>
          <w:iCs/>
        </w:rPr>
        <w:t xml:space="preserve">a requirement that any applicant seeking to participate in Auction 112 certify in its short-form application, under penalty of perjury, that </w:t>
      </w:r>
      <w:r w:rsidRPr="00426574">
        <w:t>it has read the public notice adopting procedures for Auction 112 and that it has familiarized itself with those procedures and the requirements for obtaining a construction permit for a TV station;</w:t>
      </w:r>
    </w:p>
    <w:p w:rsidR="00531968" w:rsidRPr="004D3847" w:rsidP="00531968" w14:paraId="3AF44941" w14:textId="77777777">
      <w:pPr>
        <w:numPr>
          <w:ilvl w:val="0"/>
          <w:numId w:val="9"/>
        </w:numPr>
        <w:spacing w:after="120" w:line="240" w:lineRule="auto"/>
      </w:pPr>
      <w:r w:rsidRPr="004D3847">
        <w:t>establishment of an additional default payment of 20</w:t>
      </w:r>
      <w:r>
        <w:t>%</w:t>
      </w:r>
      <w:r w:rsidRPr="004D3847">
        <w:t xml:space="preserve"> under section 1.2104(g)(2) in the event that a winning bidder defaults or is disqualified after the auction</w:t>
      </w:r>
      <w:r>
        <w:t>;</w:t>
      </w:r>
    </w:p>
    <w:p w:rsidR="00531968" w:rsidP="00531968" w14:paraId="48AB1230" w14:textId="77777777">
      <w:pPr>
        <w:numPr>
          <w:ilvl w:val="0"/>
          <w:numId w:val="9"/>
        </w:numPr>
        <w:spacing w:after="120" w:line="240" w:lineRule="auto"/>
      </w:pPr>
      <w:r w:rsidRPr="004D3847">
        <w:t xml:space="preserve">use of a simultaneous multiple-round auction format, consisting of sequential bidding rounds with a </w:t>
      </w:r>
      <w:r w:rsidRPr="0036164F">
        <w:t>simultaneous stopping rule (with discretion to exercise alternative stopping rules under certain circumstances</w:t>
      </w:r>
      <w:r w:rsidRPr="004D3847">
        <w:t>);</w:t>
      </w:r>
    </w:p>
    <w:p w:rsidR="00531968" w:rsidRPr="000C739B" w:rsidP="00531968" w14:paraId="65E59187" w14:textId="77777777">
      <w:pPr>
        <w:numPr>
          <w:ilvl w:val="0"/>
          <w:numId w:val="9"/>
        </w:numPr>
        <w:spacing w:after="120" w:line="240" w:lineRule="auto"/>
      </w:pPr>
      <w:r w:rsidRPr="000C739B">
        <w:t xml:space="preserve">use of anonymous bidding/limited information procedures which will not make public until after bidding has closed:  (1) the construction permits that an applicant selects for bidding in its short-form application, (2) the amount of any upfront payment made by or on behalf of an </w:t>
      </w:r>
      <w:r w:rsidRPr="000C739B">
        <w:t>applicant, (3) any applicant’s bidding eligibility, and (4) any other bidding-related information that might reveal the identity of the bidder placing a bid;</w:t>
      </w:r>
    </w:p>
    <w:p w:rsidR="00531968" w:rsidP="00531968" w14:paraId="330CDCEF" w14:textId="77777777">
      <w:pPr>
        <w:numPr>
          <w:ilvl w:val="0"/>
          <w:numId w:val="9"/>
        </w:numPr>
        <w:spacing w:after="120" w:line="240" w:lineRule="auto"/>
      </w:pPr>
      <w:r>
        <w:t xml:space="preserve">retention by OEA, in conjunction with MB, of its discretion to delay, suspend, or cancel bidding in Auction 112 for any reason that affects the fair and efficient conduct of the competitive bidding process;  </w:t>
      </w:r>
    </w:p>
    <w:p w:rsidR="00531968" w:rsidP="00531968" w14:paraId="0F847E17" w14:textId="77777777">
      <w:pPr>
        <w:numPr>
          <w:ilvl w:val="0"/>
          <w:numId w:val="9"/>
        </w:numPr>
        <w:spacing w:after="120" w:line="240" w:lineRule="auto"/>
      </w:pPr>
      <w:bookmarkStart w:id="6" w:name="_Hlk20145839"/>
      <w:r>
        <w:t xml:space="preserve">retention by OEA of its discretion to adjust the bidding schedule in order to manage the pace of Auction </w:t>
      </w:r>
      <w:bookmarkEnd w:id="6"/>
      <w:r>
        <w:t>112;</w:t>
      </w:r>
    </w:p>
    <w:p w:rsidR="00531968" w:rsidP="00531968" w14:paraId="68E5F3D9" w14:textId="389103C3">
      <w:pPr>
        <w:numPr>
          <w:ilvl w:val="0"/>
          <w:numId w:val="9"/>
        </w:numPr>
        <w:spacing w:after="120" w:line="240" w:lineRule="auto"/>
      </w:pPr>
      <w:r w:rsidRPr="004D3847">
        <w:t xml:space="preserve">a specific minimum opening bid amount for each construction permit </w:t>
      </w:r>
      <w:r>
        <w:t>available</w:t>
      </w:r>
      <w:r w:rsidRPr="004D3847">
        <w:t xml:space="preserve"> in Auction</w:t>
      </w:r>
      <w:r w:rsidR="00CC36EA">
        <w:t> </w:t>
      </w:r>
      <w:r>
        <w:t>112;</w:t>
      </w:r>
    </w:p>
    <w:p w:rsidR="00531968" w:rsidRPr="004D3847" w:rsidP="00531968" w14:paraId="58C8AE36" w14:textId="77777777">
      <w:pPr>
        <w:numPr>
          <w:ilvl w:val="0"/>
          <w:numId w:val="9"/>
        </w:numPr>
        <w:spacing w:after="120" w:line="240" w:lineRule="auto"/>
      </w:pPr>
      <w:r>
        <w:t>a specific number of bidding units for each construction permit</w:t>
      </w:r>
      <w:r w:rsidRPr="004D3847">
        <w:t>;</w:t>
      </w:r>
    </w:p>
    <w:p w:rsidR="00531968" w:rsidRPr="004D3847" w:rsidP="00531968" w14:paraId="25D03A6A" w14:textId="77777777">
      <w:pPr>
        <w:numPr>
          <w:ilvl w:val="0"/>
          <w:numId w:val="9"/>
        </w:numPr>
        <w:spacing w:after="120" w:line="240" w:lineRule="auto"/>
      </w:pPr>
      <w:r w:rsidRPr="004D3847">
        <w:t>a specific upfront payment amount for each construction permit;</w:t>
      </w:r>
    </w:p>
    <w:p w:rsidR="00531968" w:rsidRPr="004D3847" w:rsidP="00531968" w14:paraId="405DC475" w14:textId="77777777">
      <w:pPr>
        <w:numPr>
          <w:ilvl w:val="0"/>
          <w:numId w:val="9"/>
        </w:numPr>
        <w:spacing w:after="120" w:line="240" w:lineRule="auto"/>
      </w:pPr>
      <w:r w:rsidRPr="004D3847">
        <w:t>establishment of a bidder’s initial bidding eligibility in bidding units based on that bidder’s upfront payment through assignment of a specific number of bidding units for each construction permit;</w:t>
      </w:r>
    </w:p>
    <w:p w:rsidR="00531968" w:rsidRPr="004D3847" w:rsidP="00531968" w14:paraId="68468F13" w14:textId="77777777">
      <w:pPr>
        <w:numPr>
          <w:ilvl w:val="0"/>
          <w:numId w:val="9"/>
        </w:numPr>
        <w:spacing w:after="120" w:line="240" w:lineRule="auto"/>
      </w:pPr>
      <w:r w:rsidRPr="004D3847">
        <w:t xml:space="preserve">use of an activity </w:t>
      </w:r>
      <w:r>
        <w:t>requirement so</w:t>
      </w:r>
      <w:r w:rsidRPr="004D3847">
        <w:t xml:space="preserve"> that bidders </w:t>
      </w:r>
      <w:r>
        <w:t>must</w:t>
      </w:r>
      <w:r w:rsidRPr="004D3847">
        <w:t xml:space="preserve"> bid actively during the auction rather than waiting until late in the auction before participating;</w:t>
      </w:r>
    </w:p>
    <w:p w:rsidR="00531968" w:rsidRPr="004D3847" w:rsidP="00531968" w14:paraId="75EBAC2F" w14:textId="77777777">
      <w:pPr>
        <w:numPr>
          <w:ilvl w:val="0"/>
          <w:numId w:val="9"/>
        </w:numPr>
        <w:spacing w:after="120" w:line="240" w:lineRule="auto"/>
      </w:pPr>
      <w:r w:rsidRPr="004D3847">
        <w:t xml:space="preserve">a single stage auction in which a bidder is required to be active on </w:t>
      </w:r>
      <w:r>
        <w:t>100%</w:t>
      </w:r>
      <w:r w:rsidRPr="004D3847">
        <w:t xml:space="preserve"> of its bidding eligibility in each round of the auction;</w:t>
      </w:r>
    </w:p>
    <w:p w:rsidR="00531968" w:rsidRPr="004D3847" w:rsidP="00531968" w14:paraId="6D397092" w14:textId="77777777">
      <w:pPr>
        <w:numPr>
          <w:ilvl w:val="0"/>
          <w:numId w:val="9"/>
        </w:numPr>
        <w:spacing w:after="120" w:line="240" w:lineRule="auto"/>
      </w:pPr>
      <w:r w:rsidRPr="004D3847">
        <w:t xml:space="preserve">provision of three activity waivers for each </w:t>
      </w:r>
      <w:r>
        <w:t xml:space="preserve">qualified </w:t>
      </w:r>
      <w:r w:rsidRPr="004D3847">
        <w:t>bidder to allow it to preserve eligibility during the course of the auction;</w:t>
      </w:r>
    </w:p>
    <w:p w:rsidR="00531968" w:rsidRPr="004D3847" w:rsidP="00531968" w14:paraId="4FA087A6" w14:textId="77777777">
      <w:pPr>
        <w:numPr>
          <w:ilvl w:val="0"/>
          <w:numId w:val="9"/>
        </w:numPr>
        <w:spacing w:after="120" w:line="240" w:lineRule="auto"/>
      </w:pPr>
      <w:r w:rsidRPr="004D3847">
        <w:t xml:space="preserve">use of minimum acceptable bid amounts and additional bid increments, along with a proposed methodology for calculating such amounts, </w:t>
      </w:r>
      <w:r>
        <w:t>while</w:t>
      </w:r>
      <w:r w:rsidRPr="004D3847">
        <w:t xml:space="preserve"> retaining discretion to change their methodology if circumstances dictate;</w:t>
      </w:r>
    </w:p>
    <w:p w:rsidR="00531968" w:rsidRPr="004D3847" w:rsidP="00531968" w14:paraId="5C80D9D3" w14:textId="77777777">
      <w:pPr>
        <w:numPr>
          <w:ilvl w:val="0"/>
          <w:numId w:val="9"/>
        </w:numPr>
        <w:spacing w:after="120" w:line="240" w:lineRule="auto"/>
      </w:pPr>
      <w:r w:rsidRPr="004D3847">
        <w:t xml:space="preserve">bid removal procedures; </w:t>
      </w:r>
      <w:r>
        <w:t>and</w:t>
      </w:r>
    </w:p>
    <w:p w:rsidR="00BA2542" w:rsidRPr="00531968" w:rsidP="00531968" w14:paraId="3DF49FA7" w14:textId="6F5C3823">
      <w:pPr>
        <w:numPr>
          <w:ilvl w:val="0"/>
          <w:numId w:val="9"/>
        </w:numPr>
        <w:spacing w:after="120" w:line="240" w:lineRule="auto"/>
      </w:pPr>
      <w:r>
        <w:t>a prohibition on</w:t>
      </w:r>
      <w:r w:rsidRPr="004D3847">
        <w:t xml:space="preserve"> bid withdrawals</w:t>
      </w:r>
      <w:r>
        <w:t>.</w:t>
      </w:r>
    </w:p>
    <w:p w:rsidR="00154D9C" w:rsidP="001E6D97" w14:paraId="62A5574F" w14:textId="62BF3F7B">
      <w:pPr>
        <w:spacing w:after="120" w:line="240" w:lineRule="auto"/>
        <w:ind w:firstLine="720"/>
      </w:pPr>
      <w:r w:rsidRPr="009404B2">
        <w:t xml:space="preserve">Bidding in Auction </w:t>
      </w:r>
      <w:r w:rsidR="00531968">
        <w:t>112</w:t>
      </w:r>
      <w:r w:rsidR="008D0EE1">
        <w:t xml:space="preserve"> is scheduled to begin </w:t>
      </w:r>
      <w:r w:rsidRPr="009404B2">
        <w:t xml:space="preserve">on </w:t>
      </w:r>
      <w:r w:rsidR="008D0EE1">
        <w:t xml:space="preserve">June </w:t>
      </w:r>
      <w:r w:rsidR="00531968">
        <w:t>7</w:t>
      </w:r>
      <w:r w:rsidRPr="009404B2">
        <w:t>, 20</w:t>
      </w:r>
      <w:r w:rsidR="008D0EE1">
        <w:t>2</w:t>
      </w:r>
      <w:r w:rsidR="00531968">
        <w:t>2</w:t>
      </w:r>
      <w:r w:rsidRPr="009404B2">
        <w:t xml:space="preserve">.  </w:t>
      </w:r>
      <w:r w:rsidR="00E12C26">
        <w:t>B</w:t>
      </w:r>
      <w:r w:rsidRPr="009404B2">
        <w:t xml:space="preserve">idding on all </w:t>
      </w:r>
      <w:r w:rsidR="00531968">
        <w:t xml:space="preserve">construction permits </w:t>
      </w:r>
      <w:r w:rsidR="00BC6DA8">
        <w:t>will be c</w:t>
      </w:r>
      <w:r w:rsidRPr="009404B2">
        <w:t xml:space="preserve">onducted </w:t>
      </w:r>
      <w:r w:rsidR="003C2A86">
        <w:t>in each round of the auction until bidding stops on every construction permit</w:t>
      </w:r>
      <w:r w:rsidRPr="009404B2">
        <w:t>.</w:t>
      </w:r>
      <w:r>
        <w:rPr>
          <w:vertAlign w:val="superscript"/>
        </w:rPr>
        <w:footnoteReference w:id="12"/>
      </w:r>
    </w:p>
    <w:p w:rsidR="00160604" w:rsidRPr="00DB0F1A" w:rsidP="002F7580" w14:paraId="2FFB7B26" w14:textId="1D92E89F">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bookmarkStart w:id="7" w:name="_Toc4055165"/>
      <w:r>
        <w:rPr>
          <w:rFonts w:ascii="Times New Roman" w:hAnsi="Times New Roman" w:cs="Times New Roman"/>
          <w:b/>
        </w:rPr>
        <w:t>Post-Auction Procedures</w:t>
      </w:r>
      <w:bookmarkEnd w:id="7"/>
    </w:p>
    <w:p w:rsidR="00B4748B" w:rsidP="00B4748B" w14:paraId="6BEC7CCE" w14:textId="6CDB595F">
      <w:pPr>
        <w:pStyle w:val="ParaNum"/>
        <w:keepNext/>
        <w:widowControl/>
        <w:numPr>
          <w:ilvl w:val="0"/>
          <w:numId w:val="0"/>
        </w:numPr>
        <w:ind w:firstLine="720"/>
        <w:rPr>
          <w:sz w:val="22"/>
          <w:szCs w:val="22"/>
        </w:rPr>
      </w:pPr>
      <w:r w:rsidRPr="0056720E">
        <w:rPr>
          <w:sz w:val="22"/>
          <w:szCs w:val="22"/>
        </w:rPr>
        <w:t>Shortly after bidding end</w:t>
      </w:r>
      <w:r w:rsidR="00EE188E">
        <w:rPr>
          <w:sz w:val="22"/>
          <w:szCs w:val="22"/>
        </w:rPr>
        <w:t>s</w:t>
      </w:r>
      <w:r w:rsidRPr="0056720E">
        <w:rPr>
          <w:sz w:val="22"/>
          <w:szCs w:val="22"/>
        </w:rPr>
        <w:t xml:space="preserve"> in </w:t>
      </w:r>
      <w:r w:rsidR="0056720E">
        <w:rPr>
          <w:sz w:val="22"/>
          <w:szCs w:val="22"/>
        </w:rPr>
        <w:t xml:space="preserve">Auction </w:t>
      </w:r>
      <w:r w:rsidR="001418C1">
        <w:rPr>
          <w:sz w:val="22"/>
          <w:szCs w:val="22"/>
        </w:rPr>
        <w:t>112</w:t>
      </w:r>
      <w:r w:rsidRPr="0056720E">
        <w:rPr>
          <w:sz w:val="22"/>
          <w:szCs w:val="22"/>
        </w:rPr>
        <w:t xml:space="preserve">, the Commission will issue a public notice declaring that the auction </w:t>
      </w:r>
      <w:r w:rsidR="002D07B9">
        <w:rPr>
          <w:sz w:val="22"/>
          <w:szCs w:val="22"/>
        </w:rPr>
        <w:t xml:space="preserve">has </w:t>
      </w:r>
      <w:r w:rsidRPr="0056720E">
        <w:rPr>
          <w:sz w:val="22"/>
          <w:szCs w:val="22"/>
        </w:rPr>
        <w:t xml:space="preserve">closed and establishing the deadlines for submitting down payments, final payments, and the long-form applications (FCC Form </w:t>
      </w:r>
      <w:r w:rsidR="00054BC3">
        <w:rPr>
          <w:sz w:val="22"/>
          <w:szCs w:val="22"/>
        </w:rPr>
        <w:t>2100</w:t>
      </w:r>
      <w:r w:rsidR="0029455D">
        <w:rPr>
          <w:sz w:val="22"/>
          <w:szCs w:val="22"/>
        </w:rPr>
        <w:t xml:space="preserve"> – </w:t>
      </w:r>
      <w:r w:rsidR="008A1B84">
        <w:rPr>
          <w:sz w:val="22"/>
          <w:szCs w:val="22"/>
        </w:rPr>
        <w:t>Schedule A</w:t>
      </w:r>
      <w:r w:rsidRPr="0056720E">
        <w:rPr>
          <w:sz w:val="22"/>
          <w:szCs w:val="22"/>
        </w:rPr>
        <w:t>) for the auction.</w:t>
      </w:r>
      <w:r w:rsidR="0056720E">
        <w:rPr>
          <w:sz w:val="22"/>
          <w:szCs w:val="22"/>
        </w:rPr>
        <w:t xml:space="preserve">  </w:t>
      </w:r>
      <w:r w:rsidRPr="0056720E" w:rsidR="0056720E">
        <w:rPr>
          <w:sz w:val="22"/>
          <w:szCs w:val="22"/>
        </w:rPr>
        <w:t>Further instructions on these and other filing requirements will be provided to winning bidders in the auction closing public notice</w:t>
      </w:r>
      <w:r w:rsidR="0038509F">
        <w:rPr>
          <w:sz w:val="22"/>
          <w:szCs w:val="22"/>
        </w:rPr>
        <w:t xml:space="preserve"> for Auction</w:t>
      </w:r>
      <w:r w:rsidRPr="0056720E" w:rsidR="0056720E">
        <w:rPr>
          <w:sz w:val="22"/>
          <w:szCs w:val="22"/>
        </w:rPr>
        <w:t xml:space="preserve"> </w:t>
      </w:r>
      <w:r w:rsidR="001418C1">
        <w:rPr>
          <w:sz w:val="22"/>
          <w:szCs w:val="22"/>
        </w:rPr>
        <w:t>112</w:t>
      </w:r>
      <w:r w:rsidR="0056720E">
        <w:rPr>
          <w:sz w:val="22"/>
          <w:szCs w:val="22"/>
        </w:rPr>
        <w:t>.</w:t>
      </w:r>
    </w:p>
    <w:p w:rsidR="004D32C9" w:rsidP="009562C4" w14:paraId="7C61B1D2" w14:textId="77777777">
      <w:pPr>
        <w:pStyle w:val="ParaNum"/>
        <w:keepNext/>
        <w:numPr>
          <w:ilvl w:val="0"/>
          <w:numId w:val="0"/>
        </w:numPr>
        <w:ind w:firstLine="720"/>
        <w:rPr>
          <w:sz w:val="22"/>
          <w:szCs w:val="22"/>
        </w:rPr>
      </w:pPr>
      <w:r>
        <w:rPr>
          <w:sz w:val="22"/>
          <w:szCs w:val="22"/>
        </w:rPr>
        <w:t>Additional</w:t>
      </w:r>
      <w:r w:rsidRPr="006511EE">
        <w:rPr>
          <w:sz w:val="22"/>
          <w:szCs w:val="22"/>
        </w:rPr>
        <w:t xml:space="preserve"> compliance requirements </w:t>
      </w:r>
      <w:r>
        <w:rPr>
          <w:sz w:val="22"/>
          <w:szCs w:val="22"/>
        </w:rPr>
        <w:t xml:space="preserve">apply to </w:t>
      </w:r>
      <w:r w:rsidRPr="006511EE">
        <w:rPr>
          <w:sz w:val="22"/>
          <w:szCs w:val="22"/>
        </w:rPr>
        <w:t xml:space="preserve">winning bidders.  As with other winning bidders, any small entity that is a winning bidder will be required to comply with the following:  </w:t>
      </w:r>
    </w:p>
    <w:p w:rsidR="004D32C9" w:rsidP="006371DF" w14:paraId="746A8B3F" w14:textId="77967707">
      <w:pPr>
        <w:pStyle w:val="ParaNum"/>
        <w:keepNext/>
        <w:widowControl/>
        <w:numPr>
          <w:ilvl w:val="0"/>
          <w:numId w:val="16"/>
        </w:numPr>
        <w:tabs>
          <w:tab w:val="left" w:pos="1080"/>
        </w:tabs>
        <w:ind w:left="1080"/>
        <w:rPr>
          <w:sz w:val="22"/>
          <w:szCs w:val="22"/>
        </w:rPr>
      </w:pPr>
      <w:r>
        <w:rPr>
          <w:sz w:val="22"/>
          <w:szCs w:val="22"/>
        </w:rPr>
        <w:t>W</w:t>
      </w:r>
      <w:r w:rsidRPr="006511EE" w:rsidR="00FD0613">
        <w:rPr>
          <w:sz w:val="22"/>
          <w:szCs w:val="22"/>
        </w:rPr>
        <w:t xml:space="preserve">ithin 10 business days of release of the auction closing public notice for Auction </w:t>
      </w:r>
      <w:r w:rsidR="0029455D">
        <w:rPr>
          <w:sz w:val="22"/>
          <w:szCs w:val="22"/>
        </w:rPr>
        <w:t>112</w:t>
      </w:r>
      <w:r w:rsidRPr="006511EE" w:rsidR="00FD0613">
        <w:rPr>
          <w:sz w:val="22"/>
          <w:szCs w:val="22"/>
        </w:rPr>
        <w:t xml:space="preserve">, submit as a down payment sufficient funds (in addition to its upfront payment) to bring its </w:t>
      </w:r>
      <w:r w:rsidRPr="006511EE" w:rsidR="00FD0613">
        <w:rPr>
          <w:sz w:val="22"/>
          <w:szCs w:val="22"/>
        </w:rPr>
        <w:t>total amount of money on deposit with the Commission to 20</w:t>
      </w:r>
      <w:r w:rsidR="006D1F3E">
        <w:rPr>
          <w:sz w:val="22"/>
          <w:szCs w:val="22"/>
        </w:rPr>
        <w:t>%</w:t>
      </w:r>
      <w:r w:rsidRPr="006511EE" w:rsidR="00FD0613">
        <w:rPr>
          <w:sz w:val="22"/>
          <w:szCs w:val="22"/>
        </w:rPr>
        <w:t xml:space="preserve"> of the net amount of its winning bids</w:t>
      </w:r>
      <w:r w:rsidR="006C5D2A">
        <w:rPr>
          <w:sz w:val="22"/>
          <w:szCs w:val="22"/>
        </w:rPr>
        <w:t xml:space="preserve"> (gross bid(s) less any applicable new entrant bidding credit)</w:t>
      </w:r>
      <w:r w:rsidRPr="006511EE" w:rsidR="00FD0613">
        <w:rPr>
          <w:sz w:val="22"/>
          <w:szCs w:val="22"/>
        </w:rPr>
        <w:t xml:space="preserve">; </w:t>
      </w:r>
    </w:p>
    <w:p w:rsidR="004D32C9" w:rsidP="006371DF" w14:paraId="4CD30803" w14:textId="4653B6A4">
      <w:pPr>
        <w:pStyle w:val="ParaNum"/>
        <w:keepNext/>
        <w:widowControl/>
        <w:numPr>
          <w:ilvl w:val="0"/>
          <w:numId w:val="16"/>
        </w:numPr>
        <w:tabs>
          <w:tab w:val="left" w:pos="1440"/>
        </w:tabs>
        <w:ind w:left="1080"/>
        <w:rPr>
          <w:sz w:val="22"/>
          <w:szCs w:val="22"/>
        </w:rPr>
      </w:pPr>
      <w:r>
        <w:rPr>
          <w:sz w:val="22"/>
          <w:szCs w:val="22"/>
        </w:rPr>
        <w:t>W</w:t>
      </w:r>
      <w:r w:rsidRPr="006511EE" w:rsidR="00FD0613">
        <w:rPr>
          <w:sz w:val="22"/>
          <w:szCs w:val="22"/>
        </w:rPr>
        <w:t xml:space="preserve">ithin 10 business days after the down payment deadline, submit the balance of the net amount for each of its winning bids; and </w:t>
      </w:r>
    </w:p>
    <w:p w:rsidR="004D32C9" w:rsidP="006371DF" w14:paraId="7128D6C4" w14:textId="2B308B08">
      <w:pPr>
        <w:pStyle w:val="ParaNum"/>
        <w:keepNext/>
        <w:widowControl/>
        <w:numPr>
          <w:ilvl w:val="0"/>
          <w:numId w:val="16"/>
        </w:numPr>
        <w:tabs>
          <w:tab w:val="left" w:pos="1440"/>
        </w:tabs>
        <w:ind w:left="1080"/>
        <w:rPr>
          <w:sz w:val="22"/>
          <w:szCs w:val="22"/>
        </w:rPr>
      </w:pPr>
      <w:r>
        <w:rPr>
          <w:sz w:val="22"/>
          <w:szCs w:val="22"/>
        </w:rPr>
        <w:t>W</w:t>
      </w:r>
      <w:r w:rsidRPr="006511EE" w:rsidR="00FD0613">
        <w:rPr>
          <w:sz w:val="22"/>
          <w:szCs w:val="22"/>
        </w:rPr>
        <w:t xml:space="preserve">ithin </w:t>
      </w:r>
      <w:r w:rsidR="00EE188E">
        <w:rPr>
          <w:sz w:val="22"/>
          <w:szCs w:val="22"/>
        </w:rPr>
        <w:t>1</w:t>
      </w:r>
      <w:r w:rsidRPr="006511EE" w:rsidR="00FD0613">
        <w:rPr>
          <w:sz w:val="22"/>
          <w:szCs w:val="22"/>
        </w:rPr>
        <w:t xml:space="preserve">0 days </w:t>
      </w:r>
      <w:r w:rsidR="00EE188E">
        <w:rPr>
          <w:sz w:val="22"/>
          <w:szCs w:val="22"/>
        </w:rPr>
        <w:t>after the release of the auction closing public notice</w:t>
      </w:r>
      <w:r w:rsidRPr="006511EE" w:rsidR="00FD0613">
        <w:rPr>
          <w:sz w:val="22"/>
          <w:szCs w:val="22"/>
        </w:rPr>
        <w:t>, electronically submit a properly completed long-form application (</w:t>
      </w:r>
      <w:r w:rsidRPr="0056720E" w:rsidR="00637717">
        <w:rPr>
          <w:sz w:val="22"/>
          <w:szCs w:val="22"/>
        </w:rPr>
        <w:t xml:space="preserve">FCC Form </w:t>
      </w:r>
      <w:r w:rsidR="00637717">
        <w:rPr>
          <w:sz w:val="22"/>
          <w:szCs w:val="22"/>
        </w:rPr>
        <w:t>2100 – Schedule A</w:t>
      </w:r>
      <w:r w:rsidRPr="006511EE" w:rsidR="00FD0613">
        <w:rPr>
          <w:sz w:val="22"/>
          <w:szCs w:val="22"/>
        </w:rPr>
        <w:t xml:space="preserve">) and required exhibits for each </w:t>
      </w:r>
      <w:r w:rsidR="005E3B34">
        <w:rPr>
          <w:sz w:val="22"/>
          <w:szCs w:val="22"/>
        </w:rPr>
        <w:t>construction permit</w:t>
      </w:r>
      <w:r w:rsidRPr="006511EE" w:rsidR="00FD0613">
        <w:rPr>
          <w:sz w:val="22"/>
          <w:szCs w:val="22"/>
        </w:rPr>
        <w:t xml:space="preserve"> won </w:t>
      </w:r>
      <w:r w:rsidR="007C4462">
        <w:rPr>
          <w:sz w:val="22"/>
          <w:szCs w:val="22"/>
        </w:rPr>
        <w:t>in</w:t>
      </w:r>
      <w:r w:rsidRPr="006511EE" w:rsidR="00FD0613">
        <w:rPr>
          <w:sz w:val="22"/>
          <w:szCs w:val="22"/>
        </w:rPr>
        <w:t xml:space="preserve"> Auction</w:t>
      </w:r>
      <w:r w:rsidR="00FD0613">
        <w:rPr>
          <w:sz w:val="22"/>
          <w:szCs w:val="22"/>
        </w:rPr>
        <w:t xml:space="preserve"> </w:t>
      </w:r>
      <w:r w:rsidR="005E3B34">
        <w:rPr>
          <w:sz w:val="22"/>
          <w:szCs w:val="22"/>
        </w:rPr>
        <w:t>112</w:t>
      </w:r>
      <w:r w:rsidRPr="006511EE" w:rsidR="00FD0613">
        <w:rPr>
          <w:sz w:val="22"/>
          <w:szCs w:val="22"/>
        </w:rPr>
        <w:t xml:space="preserve">.  </w:t>
      </w:r>
    </w:p>
    <w:p w:rsidR="00FD0613" w:rsidRPr="0056720E" w:rsidP="006371DF" w14:paraId="38D92F3A" w14:textId="33563207">
      <w:pPr>
        <w:pStyle w:val="ParaNum"/>
        <w:keepNext/>
        <w:widowControl/>
        <w:numPr>
          <w:ilvl w:val="0"/>
          <w:numId w:val="16"/>
        </w:numPr>
        <w:tabs>
          <w:tab w:val="left" w:pos="1440"/>
        </w:tabs>
        <w:ind w:left="1080"/>
        <w:rPr>
          <w:sz w:val="22"/>
          <w:szCs w:val="22"/>
        </w:rPr>
      </w:pPr>
      <w:r w:rsidRPr="006511EE">
        <w:rPr>
          <w:sz w:val="22"/>
          <w:szCs w:val="22"/>
        </w:rPr>
        <w:t xml:space="preserve">A winning bidder claiming </w:t>
      </w:r>
      <w:r w:rsidR="00B17C54">
        <w:rPr>
          <w:sz w:val="22"/>
          <w:szCs w:val="22"/>
        </w:rPr>
        <w:t>new entrant status</w:t>
      </w:r>
      <w:r w:rsidRPr="006511EE">
        <w:rPr>
          <w:sz w:val="22"/>
          <w:szCs w:val="22"/>
        </w:rPr>
        <w:t xml:space="preserve"> must </w:t>
      </w:r>
      <w:r w:rsidR="00B17C54">
        <w:rPr>
          <w:sz w:val="22"/>
          <w:szCs w:val="22"/>
        </w:rPr>
        <w:t xml:space="preserve">include </w:t>
      </w:r>
      <w:r w:rsidR="00AB3D07">
        <w:rPr>
          <w:sz w:val="22"/>
          <w:szCs w:val="22"/>
        </w:rPr>
        <w:t>with its FCC Form 2100</w:t>
      </w:r>
      <w:r w:rsidR="00E429B9">
        <w:rPr>
          <w:sz w:val="22"/>
          <w:szCs w:val="22"/>
        </w:rPr>
        <w:t xml:space="preserve">, Schedule A, </w:t>
      </w:r>
      <w:r w:rsidR="00B17C54">
        <w:rPr>
          <w:sz w:val="22"/>
          <w:szCs w:val="22"/>
        </w:rPr>
        <w:t xml:space="preserve">an exhibit </w:t>
      </w:r>
      <w:r w:rsidRPr="006511EE">
        <w:rPr>
          <w:sz w:val="22"/>
          <w:szCs w:val="22"/>
        </w:rPr>
        <w:t>demonstrat</w:t>
      </w:r>
      <w:r w:rsidR="00B17C54">
        <w:rPr>
          <w:sz w:val="22"/>
          <w:szCs w:val="22"/>
        </w:rPr>
        <w:t>ing</w:t>
      </w:r>
      <w:r w:rsidRPr="006511EE">
        <w:rPr>
          <w:sz w:val="22"/>
          <w:szCs w:val="22"/>
        </w:rPr>
        <w:t xml:space="preserve"> its eligibility for the bidding credit</w:t>
      </w:r>
      <w:r>
        <w:rPr>
          <w:sz w:val="22"/>
          <w:szCs w:val="22"/>
        </w:rPr>
        <w:t>.</w:t>
      </w:r>
      <w:r>
        <w:rPr>
          <w:sz w:val="22"/>
          <w:szCs w:val="22"/>
          <w:vertAlign w:val="superscript"/>
        </w:rPr>
        <w:footnoteReference w:id="13"/>
      </w:r>
    </w:p>
    <w:p w:rsidR="00160604" w:rsidRPr="006D1F3E" w:rsidP="00CC16B7" w14:paraId="6CC0B04B" w14:textId="77777777">
      <w:pPr>
        <w:pStyle w:val="Heading1"/>
        <w:spacing w:after="240"/>
        <w:rPr>
          <w:rFonts w:eastAsia="Calibri"/>
          <w:b w:val="0"/>
          <w:bCs/>
          <w:szCs w:val="22"/>
        </w:rPr>
      </w:pPr>
      <w:bookmarkStart w:id="8" w:name="_Toc4055166"/>
      <w:r w:rsidRPr="00BA3DAB">
        <w:rPr>
          <w:rFonts w:eastAsia="Calibri"/>
        </w:rPr>
        <w:t>III.</w:t>
      </w:r>
      <w:r w:rsidRPr="00BA3DAB">
        <w:rPr>
          <w:rFonts w:eastAsia="Calibri"/>
        </w:rPr>
        <w:tab/>
        <w:t xml:space="preserve">RECORDKEEPING AND </w:t>
      </w:r>
      <w:r w:rsidRPr="00BA3DAB">
        <w:t>REPORTING</w:t>
      </w:r>
      <w:r w:rsidRPr="00BA3DAB">
        <w:rPr>
          <w:rFonts w:eastAsia="Calibri"/>
        </w:rPr>
        <w:t xml:space="preserve"> REQUIREMENTS</w:t>
      </w:r>
      <w:bookmarkEnd w:id="8"/>
    </w:p>
    <w:p w:rsidR="00C22AFA" w:rsidRPr="0038509F" w:rsidP="00CC16B7" w14:paraId="6151E083" w14:textId="4D276BA5">
      <w:pPr>
        <w:pStyle w:val="ParaNum"/>
        <w:widowControl/>
        <w:numPr>
          <w:ilvl w:val="0"/>
          <w:numId w:val="0"/>
        </w:numPr>
        <w:ind w:firstLine="720"/>
        <w:rPr>
          <w:sz w:val="22"/>
          <w:szCs w:val="22"/>
        </w:rPr>
      </w:pPr>
      <w:r w:rsidRPr="00C766D2">
        <w:rPr>
          <w:sz w:val="22"/>
          <w:szCs w:val="22"/>
        </w:rPr>
        <w:t xml:space="preserve">Pursuant to Section 1.65 of the Commission’s rules, each applicant has a continuing obligation to maintain the accuracy and completeness of information furnished in a pending application, including a pending application to participate in Auction </w:t>
      </w:r>
      <w:r w:rsidR="00F10DE3">
        <w:rPr>
          <w:sz w:val="22"/>
          <w:szCs w:val="22"/>
        </w:rPr>
        <w:t>112</w:t>
      </w:r>
      <w:r w:rsidRPr="00C766D2">
        <w:rPr>
          <w:sz w:val="22"/>
          <w:szCs w:val="22"/>
        </w:rPr>
        <w:t xml:space="preserve">.  </w:t>
      </w:r>
      <w:r>
        <w:rPr>
          <w:sz w:val="22"/>
          <w:szCs w:val="22"/>
        </w:rPr>
        <w:t>A</w:t>
      </w:r>
      <w:r w:rsidRPr="00C766D2">
        <w:rPr>
          <w:sz w:val="22"/>
          <w:szCs w:val="22"/>
        </w:rPr>
        <w:t xml:space="preserve">n applicant for Auction </w:t>
      </w:r>
      <w:r w:rsidR="00F10DE3">
        <w:rPr>
          <w:sz w:val="22"/>
          <w:szCs w:val="22"/>
        </w:rPr>
        <w:t>112</w:t>
      </w:r>
      <w:r w:rsidRPr="00C766D2">
        <w:rPr>
          <w:sz w:val="22"/>
          <w:szCs w:val="22"/>
        </w:rPr>
        <w:t xml:space="preserve"> must furnish additional or corrected information to the Commission within five business days after a significant </w:t>
      </w:r>
      <w:r w:rsidRPr="00C766D2" w:rsidR="0071612E">
        <w:rPr>
          <w:sz w:val="22"/>
          <w:szCs w:val="22"/>
        </w:rPr>
        <w:t>occurrence or</w:t>
      </w:r>
      <w:r w:rsidRPr="00C766D2">
        <w:rPr>
          <w:sz w:val="22"/>
          <w:szCs w:val="22"/>
        </w:rPr>
        <w:t xml:space="preserve"> amend its FCC Form 175 no more than five business days after the applicant becomes aware of the need for the amendment.</w:t>
      </w:r>
      <w:r>
        <w:rPr>
          <w:sz w:val="22"/>
          <w:szCs w:val="22"/>
        </w:rPr>
        <w:t xml:space="preserve">  </w:t>
      </w:r>
      <w:r w:rsidRPr="00C766D2">
        <w:rPr>
          <w:sz w:val="22"/>
          <w:szCs w:val="22"/>
        </w:rPr>
        <w:t xml:space="preserve">The </w:t>
      </w:r>
      <w:r w:rsidRPr="00C766D2">
        <w:rPr>
          <w:i/>
          <w:sz w:val="22"/>
          <w:szCs w:val="22"/>
        </w:rPr>
        <w:t xml:space="preserve">Auction </w:t>
      </w:r>
      <w:r w:rsidR="00257192">
        <w:rPr>
          <w:i/>
          <w:sz w:val="22"/>
          <w:szCs w:val="22"/>
        </w:rPr>
        <w:t>112</w:t>
      </w:r>
      <w:r w:rsidRPr="00C766D2">
        <w:rPr>
          <w:i/>
          <w:sz w:val="22"/>
          <w:szCs w:val="22"/>
        </w:rPr>
        <w:t xml:space="preserve"> Procedures Public Notice</w:t>
      </w:r>
      <w:r w:rsidRPr="00C766D2">
        <w:rPr>
          <w:sz w:val="22"/>
          <w:szCs w:val="22"/>
        </w:rPr>
        <w:t xml:space="preserve"> provides instructions for each Auction</w:t>
      </w:r>
      <w:r>
        <w:rPr>
          <w:sz w:val="22"/>
          <w:szCs w:val="22"/>
        </w:rPr>
        <w:t xml:space="preserve"> </w:t>
      </w:r>
      <w:r w:rsidR="00257192">
        <w:rPr>
          <w:sz w:val="22"/>
          <w:szCs w:val="22"/>
        </w:rPr>
        <w:t>112</w:t>
      </w:r>
      <w:r w:rsidRPr="00C766D2">
        <w:rPr>
          <w:sz w:val="22"/>
          <w:szCs w:val="22"/>
        </w:rPr>
        <w:t xml:space="preserve"> applicant to maintain the accuracy of its respective short-form application electronically using the FCC Auction Application System and/or by direct communication with the Auctions Division.</w:t>
      </w:r>
      <w:r>
        <w:rPr>
          <w:rStyle w:val="FootnoteReference"/>
          <w:sz w:val="22"/>
          <w:szCs w:val="22"/>
        </w:rPr>
        <w:footnoteReference w:id="14"/>
      </w:r>
    </w:p>
    <w:p w:rsidR="00160604" w:rsidRPr="00160604" w:rsidP="00CA2077" w14:paraId="7C7B59D2" w14:textId="3447CD8E">
      <w:pPr>
        <w:pStyle w:val="Heading1"/>
        <w:spacing w:after="240"/>
        <w:rPr>
          <w:rFonts w:eastAsia="Calibri" w:cs="Times New Roman"/>
        </w:rPr>
      </w:pPr>
      <w:bookmarkStart w:id="9" w:name="_Toc4055167"/>
      <w:r w:rsidRPr="00BA3DAB">
        <w:rPr>
          <w:rFonts w:cs="Times New Roman"/>
        </w:rPr>
        <w:t xml:space="preserve">IV. </w:t>
      </w:r>
      <w:r w:rsidRPr="00B53497" w:rsidR="00336FCC">
        <w:rPr>
          <w:rFonts w:cs="Times New Roman"/>
          <w:b w:val="0"/>
        </w:rPr>
        <w:tab/>
      </w:r>
      <w:r w:rsidRPr="00CA2077">
        <w:rPr>
          <w:rFonts w:eastAsia="Calibri"/>
        </w:rPr>
        <w:t>IMPLEMENTATION</w:t>
      </w:r>
      <w:r w:rsidRPr="000C6587">
        <w:rPr>
          <w:rFonts w:cs="Times New Roman"/>
        </w:rPr>
        <w:t xml:space="preserve"> DATE</w:t>
      </w:r>
      <w:bookmarkEnd w:id="9"/>
    </w:p>
    <w:p w:rsidR="00A240B7" w:rsidRPr="00A240B7" w:rsidP="00A240B7" w14:paraId="481BB24C" w14:textId="4D758A6D">
      <w:pPr>
        <w:pStyle w:val="ParaNum"/>
        <w:keepNext/>
        <w:widowControl/>
        <w:numPr>
          <w:ilvl w:val="0"/>
          <w:numId w:val="0"/>
        </w:numPr>
        <w:ind w:firstLine="720"/>
        <w:rPr>
          <w:sz w:val="22"/>
          <w:szCs w:val="22"/>
        </w:rPr>
      </w:pPr>
      <w:r w:rsidRPr="00A240B7">
        <w:rPr>
          <w:sz w:val="22"/>
          <w:szCs w:val="22"/>
        </w:rPr>
        <w:t xml:space="preserve">The procedures set forth in the </w:t>
      </w:r>
      <w:r w:rsidRPr="006F460A" w:rsidR="009E0171">
        <w:rPr>
          <w:i/>
          <w:iCs/>
          <w:sz w:val="22"/>
          <w:szCs w:val="22"/>
        </w:rPr>
        <w:t xml:space="preserve">Auction </w:t>
      </w:r>
      <w:r w:rsidRPr="006F460A" w:rsidR="003930D4">
        <w:rPr>
          <w:i/>
          <w:iCs/>
          <w:sz w:val="22"/>
          <w:szCs w:val="22"/>
        </w:rPr>
        <w:t>112</w:t>
      </w:r>
      <w:r w:rsidRPr="006F460A" w:rsidR="009E0171">
        <w:rPr>
          <w:i/>
          <w:iCs/>
          <w:sz w:val="22"/>
          <w:szCs w:val="22"/>
        </w:rPr>
        <w:t xml:space="preserve"> Procedures Public Notice</w:t>
      </w:r>
      <w:r w:rsidRPr="00A240B7">
        <w:rPr>
          <w:sz w:val="22"/>
          <w:szCs w:val="22"/>
        </w:rPr>
        <w:t xml:space="preserve"> became effect</w:t>
      </w:r>
      <w:r w:rsidRPr="00A240B7" w:rsidR="004F05F0">
        <w:rPr>
          <w:sz w:val="22"/>
          <w:szCs w:val="22"/>
        </w:rPr>
        <w:t>ive</w:t>
      </w:r>
      <w:r w:rsidRPr="00A240B7" w:rsidR="004C4363">
        <w:rPr>
          <w:sz w:val="22"/>
          <w:szCs w:val="22"/>
        </w:rPr>
        <w:t xml:space="preserve"> upon publication of a summary</w:t>
      </w:r>
      <w:r w:rsidRPr="00A240B7" w:rsidR="00282AB7">
        <w:rPr>
          <w:sz w:val="22"/>
          <w:szCs w:val="22"/>
        </w:rPr>
        <w:t xml:space="preserve"> of</w:t>
      </w:r>
      <w:r w:rsidRPr="00A240B7" w:rsidR="004C4363">
        <w:rPr>
          <w:sz w:val="22"/>
          <w:szCs w:val="22"/>
        </w:rPr>
        <w:t xml:space="preserve"> th</w:t>
      </w:r>
      <w:r w:rsidRPr="00A240B7" w:rsidR="00282AB7">
        <w:rPr>
          <w:sz w:val="22"/>
          <w:szCs w:val="22"/>
        </w:rPr>
        <w:t>e</w:t>
      </w:r>
      <w:r w:rsidRPr="00A240B7" w:rsidR="004C4363">
        <w:rPr>
          <w:sz w:val="22"/>
          <w:szCs w:val="22"/>
        </w:rPr>
        <w:t xml:space="preserve"> public notice at </w:t>
      </w:r>
      <w:r w:rsidR="00370277">
        <w:rPr>
          <w:sz w:val="22"/>
          <w:szCs w:val="22"/>
        </w:rPr>
        <w:t xml:space="preserve">87 FR 9250 </w:t>
      </w:r>
      <w:r w:rsidRPr="00A240B7">
        <w:rPr>
          <w:sz w:val="22"/>
          <w:szCs w:val="22"/>
        </w:rPr>
        <w:t xml:space="preserve">on </w:t>
      </w:r>
      <w:r w:rsidRPr="00A240B7" w:rsidR="003930D4">
        <w:rPr>
          <w:sz w:val="22"/>
          <w:szCs w:val="22"/>
        </w:rPr>
        <w:t>February 18</w:t>
      </w:r>
      <w:r w:rsidRPr="00A240B7" w:rsidR="0019030F">
        <w:rPr>
          <w:sz w:val="22"/>
          <w:szCs w:val="22"/>
        </w:rPr>
        <w:t>, 20</w:t>
      </w:r>
      <w:r w:rsidRPr="00A240B7" w:rsidR="00EA605E">
        <w:rPr>
          <w:sz w:val="22"/>
          <w:szCs w:val="22"/>
        </w:rPr>
        <w:t>2</w:t>
      </w:r>
      <w:r w:rsidRPr="00A240B7" w:rsidR="003930D4">
        <w:rPr>
          <w:sz w:val="22"/>
          <w:szCs w:val="22"/>
        </w:rPr>
        <w:t>2</w:t>
      </w:r>
      <w:r w:rsidRPr="00A240B7" w:rsidR="000649C6">
        <w:rPr>
          <w:sz w:val="22"/>
          <w:szCs w:val="22"/>
        </w:rPr>
        <w:t>.</w:t>
      </w:r>
      <w:bookmarkStart w:id="10" w:name="_Hlk510693064"/>
    </w:p>
    <w:p w:rsidR="00FE08B6" w:rsidRPr="00CA2077" w:rsidP="00CA2077" w14:paraId="68E6B313" w14:textId="77E6D0C5">
      <w:pPr>
        <w:pStyle w:val="ParaNum"/>
        <w:keepNext/>
        <w:widowControl/>
        <w:numPr>
          <w:ilvl w:val="0"/>
          <w:numId w:val="0"/>
        </w:numPr>
        <w:ind w:firstLine="720"/>
        <w:rPr>
          <w:sz w:val="22"/>
          <w:szCs w:val="22"/>
        </w:rPr>
      </w:pPr>
      <w:r w:rsidRPr="00A240B7">
        <w:rPr>
          <w:sz w:val="22"/>
          <w:szCs w:val="22"/>
        </w:rPr>
        <w:t>I</w:t>
      </w:r>
      <w:r w:rsidRPr="00A240B7" w:rsidR="00C046D5">
        <w:rPr>
          <w:sz w:val="22"/>
          <w:szCs w:val="22"/>
        </w:rPr>
        <w:t xml:space="preserve">mplementation dates </w:t>
      </w:r>
      <w:r w:rsidRPr="00A240B7" w:rsidR="00CD07FC">
        <w:rPr>
          <w:sz w:val="22"/>
          <w:szCs w:val="22"/>
        </w:rPr>
        <w:t xml:space="preserve">and deadlines </w:t>
      </w:r>
      <w:r w:rsidRPr="00A240B7" w:rsidR="00C046D5">
        <w:rPr>
          <w:sz w:val="22"/>
          <w:szCs w:val="22"/>
        </w:rPr>
        <w:t xml:space="preserve">associated with the execution of Auction </w:t>
      </w:r>
      <w:r w:rsidR="00A240B7">
        <w:rPr>
          <w:sz w:val="22"/>
          <w:szCs w:val="22"/>
        </w:rPr>
        <w:t>112</w:t>
      </w:r>
      <w:r w:rsidRPr="00A240B7" w:rsidR="00C046D5">
        <w:rPr>
          <w:sz w:val="22"/>
          <w:szCs w:val="22"/>
        </w:rPr>
        <w:t xml:space="preserve"> can be found in the </w:t>
      </w:r>
      <w:r w:rsidRPr="00A240B7" w:rsidR="00EA605E">
        <w:rPr>
          <w:i/>
          <w:iCs/>
          <w:sz w:val="22"/>
          <w:szCs w:val="22"/>
        </w:rPr>
        <w:t xml:space="preserve">Auction </w:t>
      </w:r>
      <w:r w:rsidRPr="00A240B7" w:rsidR="00FE1382">
        <w:rPr>
          <w:i/>
          <w:iCs/>
          <w:sz w:val="22"/>
          <w:szCs w:val="22"/>
        </w:rPr>
        <w:t>112</w:t>
      </w:r>
      <w:r w:rsidRPr="00A240B7" w:rsidR="00EA605E">
        <w:rPr>
          <w:i/>
          <w:iCs/>
          <w:sz w:val="22"/>
          <w:szCs w:val="22"/>
        </w:rPr>
        <w:t xml:space="preserve"> Procedures Public</w:t>
      </w:r>
      <w:r w:rsidR="00A240B7">
        <w:rPr>
          <w:i/>
          <w:iCs/>
          <w:sz w:val="22"/>
          <w:szCs w:val="22"/>
        </w:rPr>
        <w:t xml:space="preserve"> Notice</w:t>
      </w:r>
      <w:r w:rsidRPr="00A240B7" w:rsidR="00FE1382">
        <w:rPr>
          <w:sz w:val="22"/>
          <w:szCs w:val="22"/>
        </w:rPr>
        <w:t>, and</w:t>
      </w:r>
      <w:r w:rsidRPr="00A240B7" w:rsidR="00EA605E">
        <w:rPr>
          <w:sz w:val="22"/>
          <w:szCs w:val="22"/>
        </w:rPr>
        <w:t xml:space="preserve"> </w:t>
      </w:r>
      <w:r w:rsidRPr="00A240B7" w:rsidR="004C4363">
        <w:rPr>
          <w:sz w:val="22"/>
          <w:szCs w:val="22"/>
        </w:rPr>
        <w:t>further information will be provided in the closing public notice for th</w:t>
      </w:r>
      <w:r w:rsidRPr="00A240B7" w:rsidR="00FE1382">
        <w:rPr>
          <w:sz w:val="22"/>
          <w:szCs w:val="22"/>
        </w:rPr>
        <w:t>e</w:t>
      </w:r>
      <w:r w:rsidRPr="00A240B7" w:rsidR="004C4363">
        <w:rPr>
          <w:sz w:val="22"/>
          <w:szCs w:val="22"/>
        </w:rPr>
        <w:t xml:space="preserve"> auction.</w:t>
      </w:r>
    </w:p>
    <w:p w:rsidR="00160604" w:rsidRPr="00160604" w:rsidP="00BA3DAB" w14:paraId="1AAA0C2B" w14:textId="701713E2">
      <w:pPr>
        <w:pStyle w:val="Heading1"/>
        <w:spacing w:before="0"/>
        <w:rPr>
          <w:rFonts w:eastAsia="Calibri" w:cs="Times New Roman"/>
        </w:rPr>
      </w:pPr>
      <w:bookmarkStart w:id="11" w:name="_Toc4055168"/>
      <w:bookmarkEnd w:id="10"/>
      <w:r w:rsidRPr="00BA3DAB">
        <w:rPr>
          <w:rFonts w:eastAsia="Calibri" w:cs="Times New Roman"/>
        </w:rPr>
        <w:t>V.</w:t>
      </w:r>
      <w:r w:rsidRPr="00BA3DAB">
        <w:rPr>
          <w:rFonts w:eastAsia="Calibri" w:cs="Times New Roman"/>
        </w:rPr>
        <w:tab/>
        <w:t>INTERNET LINKS</w:t>
      </w:r>
      <w:bookmarkEnd w:id="11"/>
    </w:p>
    <w:p w:rsidR="00F853F3" w:rsidP="00557D6A" w14:paraId="38F7E166" w14:textId="385D860C">
      <w:pPr>
        <w:spacing w:before="120" w:after="120"/>
        <w:ind w:firstLine="720"/>
        <w:mirrorIndents/>
      </w:pPr>
      <w:r>
        <w:rPr>
          <w:rFonts w:ascii="Times New Roman" w:eastAsia="Calibri" w:hAnsi="Times New Roman" w:cs="Times New Roman"/>
        </w:rPr>
        <w:t xml:space="preserve">A copy of the </w:t>
      </w:r>
      <w:r w:rsidR="009E0171">
        <w:rPr>
          <w:rFonts w:ascii="Times New Roman" w:eastAsia="Calibri" w:hAnsi="Times New Roman" w:cs="Times New Roman"/>
          <w:i/>
        </w:rPr>
        <w:t xml:space="preserve">Auction </w:t>
      </w:r>
      <w:r w:rsidR="00F74C92">
        <w:rPr>
          <w:rFonts w:ascii="Times New Roman" w:eastAsia="Calibri" w:hAnsi="Times New Roman" w:cs="Times New Roman"/>
          <w:i/>
        </w:rPr>
        <w:t>112</w:t>
      </w:r>
      <w:r w:rsidR="009E0171">
        <w:rPr>
          <w:rFonts w:ascii="Times New Roman" w:eastAsia="Calibri" w:hAnsi="Times New Roman" w:cs="Times New Roman"/>
          <w:i/>
        </w:rPr>
        <w:t xml:space="preserve"> Procedures Public Notice</w:t>
      </w:r>
      <w:r w:rsidR="009E0171">
        <w:rPr>
          <w:rFonts w:ascii="Times New Roman" w:eastAsia="Calibri" w:hAnsi="Times New Roman" w:cs="Times New Roman"/>
        </w:rPr>
        <w:t xml:space="preserve"> </w:t>
      </w:r>
      <w:r>
        <w:rPr>
          <w:rFonts w:ascii="Times New Roman" w:eastAsia="Calibri" w:hAnsi="Times New Roman" w:cs="Times New Roman"/>
        </w:rPr>
        <w:t>is available at:</w:t>
      </w:r>
      <w:r w:rsidR="00491F58">
        <w:rPr>
          <w:rFonts w:ascii="Times New Roman" w:eastAsia="Calibri" w:hAnsi="Times New Roman" w:cs="Times New Roman"/>
        </w:rPr>
        <w:t xml:space="preserve"> </w:t>
      </w:r>
      <w:hyperlink r:id="rId9" w:history="1">
        <w:r w:rsidRPr="008C357D" w:rsidR="00491F58">
          <w:rPr>
            <w:rStyle w:val="Hyperlink"/>
          </w:rPr>
          <w:t>https://www.fcc.gov/document/auction-112-tv-construction-permits-procedures-and-deadlines</w:t>
        </w:r>
      </w:hyperlink>
      <w:r w:rsidR="00491F58">
        <w:t>.</w:t>
      </w:r>
    </w:p>
    <w:p w:rsidR="006744E9" w:rsidP="00557D6A" w14:paraId="5779EB25" w14:textId="4D2E1815">
      <w:pPr>
        <w:spacing w:before="120" w:after="120"/>
        <w:ind w:firstLine="720"/>
        <w:mirrorIndents/>
        <w:rPr>
          <w:rFonts w:ascii="Times New Roman" w:eastAsia="Calibri" w:hAnsi="Times New Roman" w:cs="Times New Roman"/>
        </w:rPr>
      </w:pPr>
      <w:r>
        <w:rPr>
          <w:rFonts w:ascii="Times New Roman" w:eastAsia="Calibri" w:hAnsi="Times New Roman" w:cs="Times New Roman"/>
        </w:rPr>
        <w:t xml:space="preserve">A copy of the Federal Register Summary of the </w:t>
      </w:r>
      <w:r w:rsidR="009E0171">
        <w:rPr>
          <w:rFonts w:ascii="Times New Roman" w:eastAsia="Calibri" w:hAnsi="Times New Roman" w:cs="Times New Roman"/>
          <w:i/>
        </w:rPr>
        <w:t>Auction</w:t>
      </w:r>
      <w:r w:rsidR="00F853F3">
        <w:rPr>
          <w:rFonts w:ascii="Times New Roman" w:eastAsia="Calibri" w:hAnsi="Times New Roman" w:cs="Times New Roman"/>
          <w:i/>
        </w:rPr>
        <w:t xml:space="preserve"> </w:t>
      </w:r>
      <w:r w:rsidR="00491F58">
        <w:rPr>
          <w:rFonts w:ascii="Times New Roman" w:eastAsia="Calibri" w:hAnsi="Times New Roman" w:cs="Times New Roman"/>
          <w:i/>
        </w:rPr>
        <w:t>112</w:t>
      </w:r>
      <w:r w:rsidR="009E0171">
        <w:rPr>
          <w:rFonts w:ascii="Times New Roman" w:eastAsia="Calibri" w:hAnsi="Times New Roman" w:cs="Times New Roman"/>
          <w:i/>
        </w:rPr>
        <w:t xml:space="preserve"> Procedures Public Notice</w:t>
      </w:r>
      <w:r>
        <w:rPr>
          <w:rFonts w:ascii="Times New Roman" w:eastAsia="Calibri" w:hAnsi="Times New Roman" w:cs="Times New Roman"/>
        </w:rPr>
        <w:t xml:space="preserve"> is available at: </w:t>
      </w:r>
      <w:hyperlink r:id="rId10" w:history="1">
        <w:r w:rsidRPr="00921C7C" w:rsidR="00921C7C">
          <w:rPr>
            <w:rStyle w:val="Hyperlink"/>
            <w:rFonts w:ascii="Times New Roman" w:eastAsia="Calibri" w:hAnsi="Times New Roman" w:cs="Times New Roman"/>
          </w:rPr>
          <w:t>https://www.federalregister.gov/documents/2022/02/18/2022-03348/auction-of-construction-permits-for-full-power-television-stations-notice-and-filing-requirements</w:t>
        </w:r>
      </w:hyperlink>
      <w:r w:rsidR="00921C7C">
        <w:rPr>
          <w:rFonts w:ascii="Times New Roman" w:eastAsia="Calibri" w:hAnsi="Times New Roman" w:cs="Times New Roman"/>
        </w:rPr>
        <w:t>.</w:t>
      </w:r>
    </w:p>
    <w:sectPr w:rsidSect="002A78BF">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P="002A78BF" w14:paraId="038BB570" w14:textId="21DF8A55">
    <w:pPr>
      <w:pStyle w:val="Footer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69D6" w:rsidP="00160604" w14:paraId="4678CA9C" w14:textId="77777777">
      <w:pPr>
        <w:spacing w:after="0" w:line="240" w:lineRule="auto"/>
      </w:pPr>
      <w:r>
        <w:separator/>
      </w:r>
    </w:p>
  </w:footnote>
  <w:footnote w:type="continuationSeparator" w:id="1">
    <w:p w:rsidR="002B69D6" w:rsidP="00160604" w14:paraId="1139EF9E" w14:textId="77777777">
      <w:pPr>
        <w:spacing w:after="0" w:line="240" w:lineRule="auto"/>
      </w:pPr>
      <w:r>
        <w:continuationSeparator/>
      </w:r>
    </w:p>
  </w:footnote>
  <w:footnote w:type="continuationNotice" w:id="2">
    <w:p w:rsidR="00922000" w14:paraId="1088D6A5" w14:textId="77777777">
      <w:pPr>
        <w:spacing w:after="0" w:line="240" w:lineRule="auto"/>
      </w:pPr>
    </w:p>
  </w:footnote>
  <w:footnote w:id="3">
    <w:p w:rsidR="001F795E" w:rsidRPr="00705E46" w:rsidP="00261516" w14:paraId="70BFC612" w14:textId="1295D3D5">
      <w:pPr>
        <w:pStyle w:val="FootnoteTextCharChar1"/>
        <w:spacing w:after="120"/>
        <w:rPr>
          <w:rFonts w:ascii="Times New Roman" w:hAnsi="Times New Roman" w:cs="Times New Roman"/>
        </w:rPr>
      </w:pPr>
      <w:r w:rsidRPr="007E44EB">
        <w:rPr>
          <w:rStyle w:val="FootnoteReference"/>
          <w:rFonts w:ascii="Times New Roman" w:hAnsi="Times New Roman" w:cs="Times New Roman"/>
        </w:rPr>
        <w:footnoteRef/>
      </w:r>
      <w:r>
        <w:rPr>
          <w:rFonts w:ascii="Times New Roman" w:hAnsi="Times New Roman" w:cs="Times New Roman"/>
        </w:rPr>
        <w:t xml:space="preserve"> </w:t>
      </w:r>
      <w:r w:rsidR="00AE2943">
        <w:rPr>
          <w:i/>
        </w:rPr>
        <w:t xml:space="preserve">Auction of </w:t>
      </w:r>
      <w:r w:rsidR="008C3669">
        <w:rPr>
          <w:i/>
        </w:rPr>
        <w:t>Construction Permits for Full Power Television Stations</w:t>
      </w:r>
      <w:r w:rsidR="00AE2943">
        <w:rPr>
          <w:i/>
        </w:rPr>
        <w:t xml:space="preserve">; </w:t>
      </w:r>
      <w:r w:rsidRPr="003D549B" w:rsidR="00AE2943">
        <w:rPr>
          <w:i/>
        </w:rPr>
        <w:t xml:space="preserve">Notice and Filing Requirements, Minimum Opening Bids, Upfront Payments, and Other Procedures for </w:t>
      </w:r>
      <w:r w:rsidR="00AE2943">
        <w:rPr>
          <w:i/>
        </w:rPr>
        <w:t xml:space="preserve">Auction </w:t>
      </w:r>
      <w:r w:rsidR="0035033B">
        <w:rPr>
          <w:i/>
        </w:rPr>
        <w:t>112</w:t>
      </w:r>
      <w:r w:rsidR="00AE2943">
        <w:rPr>
          <w:i/>
        </w:rPr>
        <w:t xml:space="preserve">; Bidding Scheduled to Begin June </w:t>
      </w:r>
      <w:r w:rsidR="0035033B">
        <w:rPr>
          <w:i/>
        </w:rPr>
        <w:t>7</w:t>
      </w:r>
      <w:r w:rsidR="00AE2943">
        <w:rPr>
          <w:i/>
        </w:rPr>
        <w:t>, 202</w:t>
      </w:r>
      <w:r w:rsidR="0035033B">
        <w:rPr>
          <w:i/>
        </w:rPr>
        <w:t>2</w:t>
      </w:r>
      <w:r w:rsidR="00AE2943">
        <w:t xml:space="preserve">, AU Docket No. </w:t>
      </w:r>
      <w:r w:rsidR="0035033B">
        <w:t>21</w:t>
      </w:r>
      <w:r w:rsidR="00AE2943">
        <w:t>-</w:t>
      </w:r>
      <w:r w:rsidR="0035033B">
        <w:t>449</w:t>
      </w:r>
      <w:r w:rsidR="00AE2943">
        <w:t>,</w:t>
      </w:r>
      <w:r w:rsidRPr="003D549B" w:rsidR="00AE2943">
        <w:t xml:space="preserve"> </w:t>
      </w:r>
      <w:r w:rsidR="0035033B">
        <w:t>DA</w:t>
      </w:r>
      <w:r w:rsidRPr="00701BB5" w:rsidR="00AE2943">
        <w:t xml:space="preserve"> </w:t>
      </w:r>
      <w:r w:rsidR="0035033B">
        <w:t>22</w:t>
      </w:r>
      <w:r w:rsidR="00AE2943">
        <w:t>-</w:t>
      </w:r>
      <w:r w:rsidR="0035033B">
        <w:t>125</w:t>
      </w:r>
      <w:r w:rsidR="00AE2943">
        <w:rPr>
          <w:lang w:val="de-DE"/>
        </w:rPr>
        <w:t xml:space="preserve"> </w:t>
      </w:r>
      <w:r w:rsidRPr="00705E46" w:rsidR="00AE2943">
        <w:rPr>
          <w:rFonts w:ascii="Times New Roman" w:hAnsi="Times New Roman" w:cs="Times New Roman"/>
        </w:rPr>
        <w:t>(</w:t>
      </w:r>
      <w:r w:rsidR="00C54645">
        <w:rPr>
          <w:rFonts w:ascii="Times New Roman" w:hAnsi="Times New Roman" w:cs="Times New Roman"/>
        </w:rPr>
        <w:t>OEA/MB Feb. 10, 2022</w:t>
      </w:r>
      <w:r w:rsidRPr="00705E46" w:rsidR="00AE2943">
        <w:rPr>
          <w:rFonts w:ascii="Times New Roman" w:hAnsi="Times New Roman" w:cs="Times New Roman"/>
        </w:rPr>
        <w:t>)</w:t>
      </w:r>
      <w:r w:rsidRPr="00705E46" w:rsidR="00AE2943">
        <w:rPr>
          <w:rFonts w:ascii="Times New Roman" w:hAnsi="Times New Roman" w:cs="Times New Roman"/>
          <w:lang w:val="de-DE"/>
        </w:rPr>
        <w:t xml:space="preserve"> (</w:t>
      </w:r>
      <w:r w:rsidRPr="00705E46" w:rsidR="00AE2943">
        <w:rPr>
          <w:rFonts w:ascii="Times New Roman" w:hAnsi="Times New Roman" w:cs="Times New Roman"/>
          <w:i/>
          <w:lang w:val="de-DE"/>
        </w:rPr>
        <w:t>Auction</w:t>
      </w:r>
      <w:r w:rsidR="00AE2943">
        <w:rPr>
          <w:rFonts w:ascii="Times New Roman" w:hAnsi="Times New Roman" w:cs="Times New Roman"/>
          <w:i/>
          <w:lang w:val="de-DE"/>
        </w:rPr>
        <w:t xml:space="preserve"> </w:t>
      </w:r>
      <w:r w:rsidR="00C54645">
        <w:rPr>
          <w:rFonts w:ascii="Times New Roman" w:hAnsi="Times New Roman" w:cs="Times New Roman"/>
          <w:i/>
          <w:lang w:val="de-DE"/>
        </w:rPr>
        <w:t>112</w:t>
      </w:r>
      <w:r w:rsidR="00AE2943">
        <w:rPr>
          <w:rFonts w:ascii="Times New Roman" w:hAnsi="Times New Roman" w:cs="Times New Roman"/>
          <w:i/>
          <w:lang w:val="de-DE"/>
        </w:rPr>
        <w:t xml:space="preserve"> </w:t>
      </w:r>
      <w:r w:rsidRPr="00705E46" w:rsidR="00AE2943">
        <w:rPr>
          <w:rFonts w:ascii="Times New Roman" w:hAnsi="Times New Roman" w:cs="Times New Roman"/>
          <w:i/>
          <w:lang w:val="de-DE"/>
        </w:rPr>
        <w:t>Procedures Public Notice</w:t>
      </w:r>
      <w:r w:rsidRPr="00705E46" w:rsidR="00AE2943">
        <w:rPr>
          <w:rFonts w:ascii="Times New Roman" w:hAnsi="Times New Roman" w:cs="Times New Roman"/>
          <w:lang w:val="de-DE"/>
        </w:rPr>
        <w:t>).</w:t>
      </w:r>
    </w:p>
  </w:footnote>
  <w:footnote w:id="4">
    <w:p w:rsidR="00FF2019" w:rsidP="00FF2019" w14:paraId="3019E7DB" w14:textId="56FFB6BC">
      <w:pPr>
        <w:pStyle w:val="FootnoteText"/>
        <w:spacing w:after="120"/>
      </w:pPr>
      <w:r w:rsidRPr="00063F12">
        <w:rPr>
          <w:rStyle w:val="FootnoteReference"/>
        </w:rPr>
        <w:footnoteRef/>
      </w:r>
      <w:r w:rsidRPr="00063F12">
        <w:t xml:space="preserve"> This SECG references subsequent public notices establishing relevant dates for Auction </w:t>
      </w:r>
      <w:r w:rsidRPr="00063F12" w:rsidR="00A42383">
        <w:t>112</w:t>
      </w:r>
      <w:r w:rsidRPr="00063F12">
        <w:t>, where applicable.</w:t>
      </w:r>
    </w:p>
  </w:footnote>
  <w:footnote w:id="5">
    <w:p w:rsidR="009D3FDA" w:rsidP="007F110F" w14:paraId="69B6725D" w14:textId="46C29C60">
      <w:pPr>
        <w:pStyle w:val="FootnoteText"/>
        <w:spacing w:after="120"/>
      </w:pPr>
      <w:r>
        <w:rPr>
          <w:rStyle w:val="FootnoteReference"/>
        </w:rPr>
        <w:footnoteRef/>
      </w:r>
      <w:r>
        <w:t xml:space="preserve"> </w:t>
      </w:r>
      <w:r w:rsidRPr="007F110F">
        <w:rPr>
          <w:i/>
          <w:iCs/>
        </w:rPr>
        <w:t>See Auction 112 Procedures Public Notice</w:t>
      </w:r>
      <w:r>
        <w:t xml:space="preserve"> at 5-8, paras. 11-18.</w:t>
      </w:r>
    </w:p>
  </w:footnote>
  <w:footnote w:id="6">
    <w:p w:rsidR="00AE2943" w:rsidRPr="00D71A55" w:rsidP="00AE2943" w14:paraId="23809015" w14:textId="4DCB1665">
      <w:pPr>
        <w:pStyle w:val="FootnoteText"/>
        <w:spacing w:after="120"/>
      </w:pPr>
      <w:r>
        <w:rPr>
          <w:rStyle w:val="FootnoteReference"/>
        </w:rPr>
        <w:footnoteRef/>
      </w:r>
      <w:r>
        <w:t xml:space="preserve"> </w:t>
      </w:r>
      <w:r w:rsidRPr="00CC36EA" w:rsidR="00CC36EA">
        <w:rPr>
          <w:i/>
          <w:iCs/>
        </w:rPr>
        <w:t>I</w:t>
      </w:r>
      <w:r w:rsidRPr="00CC36EA" w:rsidR="009D3FDA">
        <w:rPr>
          <w:i/>
          <w:iCs/>
        </w:rPr>
        <w:t>d</w:t>
      </w:r>
      <w:r w:rsidR="009D3FDA">
        <w:rPr>
          <w:i/>
        </w:rPr>
        <w:t>.</w:t>
      </w:r>
      <w:r>
        <w:rPr>
          <w:i/>
        </w:rPr>
        <w:t xml:space="preserve"> </w:t>
      </w:r>
      <w:r w:rsidRPr="00FF2019">
        <w:t xml:space="preserve">at </w:t>
      </w:r>
      <w:r w:rsidR="00456CFB">
        <w:t>32, paras. 107-</w:t>
      </w:r>
      <w:r w:rsidR="00125B6D">
        <w:t>19.</w:t>
      </w:r>
    </w:p>
  </w:footnote>
  <w:footnote w:id="7">
    <w:p w:rsidR="00AE2943" w:rsidRPr="00D81BF1" w:rsidP="00AE2943" w14:paraId="1624347F" w14:textId="4557EE4D">
      <w:pPr>
        <w:pStyle w:val="FootnoteText"/>
        <w:spacing w:after="120"/>
      </w:pPr>
      <w:r>
        <w:rPr>
          <w:rStyle w:val="FootnoteReference"/>
        </w:rPr>
        <w:footnoteRef/>
      </w:r>
      <w:r>
        <w:t xml:space="preserve"> </w:t>
      </w:r>
      <w:r w:rsidRPr="00CC36EA" w:rsidR="00CC36EA">
        <w:rPr>
          <w:i/>
          <w:iCs/>
        </w:rPr>
        <w:t>I</w:t>
      </w:r>
      <w:r w:rsidRPr="00CC36EA">
        <w:rPr>
          <w:i/>
          <w:iCs/>
        </w:rPr>
        <w:t>d</w:t>
      </w:r>
      <w:r>
        <w:rPr>
          <w:i/>
          <w:iCs/>
        </w:rPr>
        <w:t xml:space="preserve">. </w:t>
      </w:r>
      <w:r>
        <w:t xml:space="preserve">at </w:t>
      </w:r>
      <w:r w:rsidR="00EC16D1">
        <w:t>30-31, para</w:t>
      </w:r>
      <w:r w:rsidR="009D3FDA">
        <w:t>s</w:t>
      </w:r>
      <w:r w:rsidR="00EC16D1">
        <w:t>. 103</w:t>
      </w:r>
      <w:r w:rsidR="009D3FDA">
        <w:t>-05</w:t>
      </w:r>
      <w:r w:rsidR="00A42383">
        <w:t>.</w:t>
      </w:r>
    </w:p>
  </w:footnote>
  <w:footnote w:id="8">
    <w:p w:rsidR="00D46CA1" w:rsidP="003B6BE9" w14:paraId="2DB4B97F" w14:textId="4DB986FF">
      <w:pPr>
        <w:pStyle w:val="FootnoteText"/>
        <w:spacing w:after="120"/>
      </w:pPr>
      <w:r>
        <w:rPr>
          <w:rStyle w:val="FootnoteReference"/>
        </w:rPr>
        <w:footnoteRef/>
      </w:r>
      <w:r>
        <w:t xml:space="preserve"> 47 CFR §§ 1.2101-1.2114. </w:t>
      </w:r>
    </w:p>
  </w:footnote>
  <w:footnote w:id="9">
    <w:p w:rsidR="003B6BE9" w:rsidP="003B6BE9" w14:paraId="4E4DBA84" w14:textId="7B15378C">
      <w:pPr>
        <w:pStyle w:val="FootnoteText"/>
        <w:spacing w:after="120"/>
      </w:pPr>
      <w:r>
        <w:rPr>
          <w:rStyle w:val="FootnoteReference"/>
        </w:rPr>
        <w:footnoteRef/>
      </w:r>
      <w:r>
        <w:t xml:space="preserve"> 47 CFR §§ 73.601-699, 73.1001-73.4280, and 73.5000-73.5009.  </w:t>
      </w:r>
    </w:p>
  </w:footnote>
  <w:footnote w:id="10">
    <w:p w:rsidR="00BE57E7" w:rsidP="00994508" w14:paraId="4D55C2C9" w14:textId="4D3D6117">
      <w:pPr>
        <w:pStyle w:val="FootnoteText"/>
        <w:spacing w:after="120"/>
      </w:pPr>
      <w:r>
        <w:rPr>
          <w:rStyle w:val="FootnoteReference"/>
        </w:rPr>
        <w:footnoteRef/>
      </w:r>
      <w:r>
        <w:t xml:space="preserve"> </w:t>
      </w:r>
      <w:r w:rsidRPr="00994508">
        <w:rPr>
          <w:i/>
          <w:iCs/>
        </w:rPr>
        <w:t>See Auction 112 Procedures Public Notice</w:t>
      </w:r>
      <w:r>
        <w:t xml:space="preserve"> at 20-23, paras. 66-76.</w:t>
      </w:r>
    </w:p>
  </w:footnote>
  <w:footnote w:id="11">
    <w:p w:rsidR="001F795E" w:rsidP="00BC6DA8" w14:paraId="5CBDB565" w14:textId="52699B97">
      <w:pPr>
        <w:pStyle w:val="FootnoteText"/>
        <w:spacing w:after="120"/>
      </w:pPr>
      <w:r>
        <w:rPr>
          <w:rStyle w:val="FootnoteReference"/>
        </w:rPr>
        <w:footnoteRef/>
      </w:r>
      <w:r>
        <w:t xml:space="preserve"> </w:t>
      </w:r>
      <w:r w:rsidR="00FB68EB">
        <w:rPr>
          <w:i/>
          <w:iCs/>
        </w:rPr>
        <w:t>Id.</w:t>
      </w:r>
      <w:r w:rsidRPr="00CF0E02">
        <w:t xml:space="preserve"> at </w:t>
      </w:r>
      <w:r w:rsidR="002614F5">
        <w:t>38, para. 132</w:t>
      </w:r>
      <w:r w:rsidRPr="00CF0E02">
        <w:t>.</w:t>
      </w:r>
    </w:p>
  </w:footnote>
  <w:footnote w:id="12">
    <w:p w:rsidR="001F795E" w:rsidP="005B509A" w14:paraId="472ABE13" w14:textId="3F6D76EB">
      <w:pPr>
        <w:pStyle w:val="FootnoteText"/>
        <w:spacing w:after="120"/>
      </w:pPr>
      <w:r>
        <w:rPr>
          <w:rStyle w:val="FootnoteReference"/>
        </w:rPr>
        <w:footnoteRef/>
      </w:r>
      <w:r>
        <w:t xml:space="preserve"> </w:t>
      </w:r>
      <w:r w:rsidR="00EB35D4">
        <w:rPr>
          <w:i/>
          <w:iCs/>
        </w:rPr>
        <w:t>See i</w:t>
      </w:r>
      <w:r w:rsidR="00BC6DA8">
        <w:rPr>
          <w:i/>
        </w:rPr>
        <w:t xml:space="preserve">d. </w:t>
      </w:r>
      <w:r w:rsidR="00BC6DA8">
        <w:t xml:space="preserve">at </w:t>
      </w:r>
      <w:r w:rsidR="00EF1A64">
        <w:t>40-41, paras. 147-49</w:t>
      </w:r>
      <w:r>
        <w:t>.</w:t>
      </w:r>
    </w:p>
  </w:footnote>
  <w:footnote w:id="13">
    <w:p w:rsidR="001F795E" w:rsidRPr="00D764A7" w:rsidP="00CC16B7" w14:paraId="06A72C1B" w14:textId="2A807C3B">
      <w:pPr>
        <w:pStyle w:val="FootnoteText"/>
        <w:widowControl w:val="0"/>
        <w:spacing w:after="120"/>
      </w:pPr>
      <w:r w:rsidRPr="00D764A7">
        <w:rPr>
          <w:rStyle w:val="FootnoteReference"/>
        </w:rPr>
        <w:footnoteRef/>
      </w:r>
      <w:r w:rsidRPr="00D764A7">
        <w:t xml:space="preserve"> </w:t>
      </w:r>
      <w:r w:rsidRPr="00A82458">
        <w:t>47 CFR</w:t>
      </w:r>
      <w:r>
        <w:t xml:space="preserve"> </w:t>
      </w:r>
      <w:r w:rsidRPr="00D764A7">
        <w:t xml:space="preserve">§ </w:t>
      </w:r>
      <w:r w:rsidR="00E429B9">
        <w:t>73.5005.</w:t>
      </w:r>
    </w:p>
  </w:footnote>
  <w:footnote w:id="14">
    <w:p w:rsidR="001F795E" w14:paraId="5AC6C5C7" w14:textId="6F9A0BBF">
      <w:pPr>
        <w:pStyle w:val="FootnoteText"/>
      </w:pPr>
      <w:r>
        <w:rPr>
          <w:rStyle w:val="FootnoteReference"/>
        </w:rPr>
        <w:footnoteRef/>
      </w:r>
      <w:r>
        <w:t xml:space="preserve"> </w:t>
      </w:r>
      <w:r w:rsidRPr="00C766D2">
        <w:rPr>
          <w:i/>
        </w:rPr>
        <w:t>See Auction 1</w:t>
      </w:r>
      <w:r w:rsidR="00257192">
        <w:rPr>
          <w:i/>
        </w:rPr>
        <w:t>12</w:t>
      </w:r>
      <w:r w:rsidRPr="00C766D2">
        <w:rPr>
          <w:i/>
        </w:rPr>
        <w:t xml:space="preserve"> Procedures Public Notice</w:t>
      </w:r>
      <w:r>
        <w:t xml:space="preserve"> </w:t>
      </w:r>
      <w:r w:rsidR="00BC6DA8">
        <w:t xml:space="preserve">at </w:t>
      </w:r>
      <w:r w:rsidR="00DD68F4">
        <w:t>27-</w:t>
      </w:r>
      <w:r w:rsidR="008F6BF6">
        <w:t>28, paras. 85-92.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P="00BA3DAB" w14:paraId="33702333" w14:textId="77777777">
    <w:pPr>
      <w:pStyle w:val="Header1"/>
      <w:tabs>
        <w:tab w:val="left" w:pos="2700"/>
        <w:tab w:val="left" w:pos="3060"/>
      </w:tabs>
      <w:spacing w:before="360" w:line="228" w:lineRule="auto"/>
      <w:ind w:left="180" w:firstLine="189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712573885" r:id="rId2"/>
      </w:pict>
    </w:r>
    <w:r>
      <w:rPr>
        <w:rFonts w:ascii="CG Times (W1)" w:hAnsi="CG Times (W1)"/>
        <w:sz w:val="28"/>
      </w:rPr>
      <w:t>Federal Communications Commission</w:t>
    </w:r>
  </w:p>
  <w:p w:rsidR="001F795E" w:rsidP="00BA3DAB" w14:paraId="70032661" w14:textId="13EC081B">
    <w:pPr>
      <w:tabs>
        <w:tab w:val="left" w:pos="3240"/>
        <w:tab w:val="left" w:pos="3510"/>
      </w:tabs>
      <w:rPr>
        <w:rFonts w:ascii="CG Times (W1)" w:hAnsi="CG Times (W1)"/>
        <w:sz w:val="28"/>
      </w:rPr>
    </w:pPr>
    <w:r>
      <w:rPr>
        <w:rFonts w:ascii="CG Times (W1)" w:hAnsi="CG Times (W1)"/>
        <w:sz w:val="28"/>
      </w:rPr>
      <w:tab/>
    </w:r>
    <w:r>
      <w:rPr>
        <w:rFonts w:ascii="CG Times (W1)" w:hAnsi="CG Times (W1)"/>
        <w:sz w:val="28"/>
      </w:rPr>
      <w:tab/>
      <w:t>Washington, D.C. 20554</w:t>
    </w:r>
  </w:p>
  <w:p w:rsidR="001F795E" w:rsidRPr="003172B5" w:rsidP="008F6E89" w14:paraId="43E442B0" w14:textId="47613381">
    <w:pPr>
      <w:jc w:val="center"/>
      <w:rPr>
        <w:sz w:val="24"/>
        <w:szCs w:val="24"/>
      </w:rPr>
    </w:pPr>
    <w:r>
      <w:rPr>
        <w:rFonts w:ascii="CG Times (W1)" w:hAnsi="CG Times (W1)"/>
        <w:sz w:val="24"/>
        <w:szCs w:val="24"/>
      </w:rPr>
      <w:t xml:space="preserve">April </w:t>
    </w:r>
    <w:r w:rsidR="00181E30">
      <w:rPr>
        <w:rFonts w:ascii="CG Times (W1)" w:hAnsi="CG Times (W1)"/>
        <w:sz w:val="24"/>
        <w:szCs w:val="24"/>
      </w:rPr>
      <w:t>27</w:t>
    </w:r>
    <w:r>
      <w:rPr>
        <w:rFonts w:ascii="CG Times (W1)" w:hAnsi="CG Times (W1)"/>
        <w:sz w:val="24"/>
        <w:szCs w:val="24"/>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P="00737389" w14:paraId="3E612E46" w14:textId="77777777">
    <w:pPr>
      <w:pStyle w:val="Header1"/>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RPr="006D1F3E" w:rsidP="006D1F3E" w14:paraId="725A9D48" w14:textId="6C82D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D24D6"/>
    <w:multiLevelType w:val="hybridMultilevel"/>
    <w:tmpl w:val="A7920F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380F6A"/>
    <w:multiLevelType w:val="hybridMultilevel"/>
    <w:tmpl w:val="F8F0B2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F40D5A"/>
    <w:multiLevelType w:val="hybridMultilevel"/>
    <w:tmpl w:val="A5FEB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5E043D"/>
    <w:multiLevelType w:val="hybridMultilevel"/>
    <w:tmpl w:val="ADE6F3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6614BF2"/>
    <w:multiLevelType w:val="hybridMultilevel"/>
    <w:tmpl w:val="93F8F6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A7E03B1"/>
    <w:multiLevelType w:val="hybridMultilevel"/>
    <w:tmpl w:val="7CF8C7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CD3744F"/>
    <w:multiLevelType w:val="hybridMultilevel"/>
    <w:tmpl w:val="855211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10F7B5A"/>
    <w:multiLevelType w:val="hybridMultilevel"/>
    <w:tmpl w:val="ED927E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399D6D62"/>
    <w:multiLevelType w:val="hybridMultilevel"/>
    <w:tmpl w:val="32929508"/>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1">
    <w:nsid w:val="3C695AD4"/>
    <w:multiLevelType w:val="hybridMultilevel"/>
    <w:tmpl w:val="73BC6D4A"/>
    <w:lvl w:ilvl="0">
      <w:start w:val="1"/>
      <w:numFmt w:val="upperLetter"/>
      <w:pStyle w:val="Heading2"/>
      <w:lvlText w:val="%1."/>
      <w:lvlJc w:val="left"/>
      <w:pPr>
        <w:ind w:left="1080" w:hanging="360"/>
      </w:pPr>
      <w:rPr>
        <w:rFonts w:hint="default"/>
        <w:b/>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4566153"/>
    <w:multiLevelType w:val="hybridMultilevel"/>
    <w:tmpl w:val="E092FF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46C24CB"/>
    <w:multiLevelType w:val="hybridMultilevel"/>
    <w:tmpl w:val="75CCB70A"/>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4">
    <w:nsid w:val="4B16466F"/>
    <w:multiLevelType w:val="hybridMultilevel"/>
    <w:tmpl w:val="546E4FE8"/>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88C32B3"/>
    <w:multiLevelType w:val="hybridMultilevel"/>
    <w:tmpl w:val="74925EF0"/>
    <w:lvl w:ilvl="0">
      <w:start w:val="1"/>
      <w:numFmt w:val="bullet"/>
      <w:lvlText w:val=""/>
      <w:lvlJc w:val="left"/>
      <w:pPr>
        <w:ind w:left="1440" w:hanging="10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B54F21"/>
    <w:multiLevelType w:val="hybridMultilevel"/>
    <w:tmpl w:val="4098635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1182925"/>
    <w:multiLevelType w:val="singleLevel"/>
    <w:tmpl w:val="D180CED0"/>
    <w:lvl w:ilvl="0">
      <w:start w:val="1"/>
      <w:numFmt w:val="bullet"/>
      <w:pStyle w:val="ParaNum"/>
      <w:lvlText w:val=""/>
      <w:lvlJc w:val="left"/>
      <w:pPr>
        <w:tabs>
          <w:tab w:val="num" w:pos="1080"/>
        </w:tabs>
        <w:ind w:left="0" w:firstLine="720"/>
      </w:pPr>
      <w:rPr>
        <w:rFonts w:ascii="Symbol" w:hAnsi="Symbol" w:hint="default"/>
      </w:rPr>
    </w:lvl>
  </w:abstractNum>
  <w:abstractNum w:abstractNumId="18">
    <w:nsid w:val="77570C44"/>
    <w:multiLevelType w:val="hybridMultilevel"/>
    <w:tmpl w:val="0D0E372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13"/>
  </w:num>
  <w:num w:numId="6">
    <w:abstractNumId w:val="12"/>
  </w:num>
  <w:num w:numId="7">
    <w:abstractNumId w:val="14"/>
  </w:num>
  <w:num w:numId="8">
    <w:abstractNumId w:val="9"/>
  </w:num>
  <w:num w:numId="9">
    <w:abstractNumId w:val="4"/>
  </w:num>
  <w:num w:numId="10">
    <w:abstractNumId w:val="3"/>
  </w:num>
  <w:num w:numId="11">
    <w:abstractNumId w:val="15"/>
  </w:num>
  <w:num w:numId="12">
    <w:abstractNumId w:val="8"/>
  </w:num>
  <w:num w:numId="13">
    <w:abstractNumId w:val="7"/>
  </w:num>
  <w:num w:numId="14">
    <w:abstractNumId w:val="10"/>
  </w:num>
  <w:num w:numId="15">
    <w:abstractNumId w:val="6"/>
  </w:num>
  <w:num w:numId="16">
    <w:abstractNumId w:val="1"/>
  </w:num>
  <w:num w:numId="17">
    <w:abstractNumId w:val="5"/>
  </w:num>
  <w:num w:numId="18">
    <w:abstractNumId w:val="2"/>
  </w:num>
  <w:num w:numId="19">
    <w:abstractNumId w:val="0"/>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04"/>
    <w:rsid w:val="00000CA1"/>
    <w:rsid w:val="00003429"/>
    <w:rsid w:val="00010054"/>
    <w:rsid w:val="00010224"/>
    <w:rsid w:val="000118D5"/>
    <w:rsid w:val="000146AD"/>
    <w:rsid w:val="00014FEE"/>
    <w:rsid w:val="0001604B"/>
    <w:rsid w:val="00021F7E"/>
    <w:rsid w:val="0002241E"/>
    <w:rsid w:val="0002288A"/>
    <w:rsid w:val="00023533"/>
    <w:rsid w:val="00027897"/>
    <w:rsid w:val="00027CB9"/>
    <w:rsid w:val="00030D4C"/>
    <w:rsid w:val="00033FF2"/>
    <w:rsid w:val="00035334"/>
    <w:rsid w:val="0003548B"/>
    <w:rsid w:val="000400E9"/>
    <w:rsid w:val="00040849"/>
    <w:rsid w:val="000470B2"/>
    <w:rsid w:val="00054BC3"/>
    <w:rsid w:val="0005638A"/>
    <w:rsid w:val="00056C1F"/>
    <w:rsid w:val="0006068E"/>
    <w:rsid w:val="00063F12"/>
    <w:rsid w:val="000649C6"/>
    <w:rsid w:val="0006515A"/>
    <w:rsid w:val="00070AF5"/>
    <w:rsid w:val="00072683"/>
    <w:rsid w:val="00073D52"/>
    <w:rsid w:val="000767BB"/>
    <w:rsid w:val="00077DB6"/>
    <w:rsid w:val="00080128"/>
    <w:rsid w:val="00083CBC"/>
    <w:rsid w:val="00085F61"/>
    <w:rsid w:val="000864A0"/>
    <w:rsid w:val="0008663D"/>
    <w:rsid w:val="0009034B"/>
    <w:rsid w:val="000A2799"/>
    <w:rsid w:val="000A2D2A"/>
    <w:rsid w:val="000A2F97"/>
    <w:rsid w:val="000A4A59"/>
    <w:rsid w:val="000A56C3"/>
    <w:rsid w:val="000B08CF"/>
    <w:rsid w:val="000B1769"/>
    <w:rsid w:val="000B33A5"/>
    <w:rsid w:val="000C5066"/>
    <w:rsid w:val="000C6587"/>
    <w:rsid w:val="000C739B"/>
    <w:rsid w:val="000D6938"/>
    <w:rsid w:val="000D7B1E"/>
    <w:rsid w:val="000F7805"/>
    <w:rsid w:val="00101D55"/>
    <w:rsid w:val="00110915"/>
    <w:rsid w:val="00111FDA"/>
    <w:rsid w:val="001150EC"/>
    <w:rsid w:val="0012222F"/>
    <w:rsid w:val="00124CC7"/>
    <w:rsid w:val="00125B6D"/>
    <w:rsid w:val="00134381"/>
    <w:rsid w:val="00134A6E"/>
    <w:rsid w:val="001403D3"/>
    <w:rsid w:val="001418C1"/>
    <w:rsid w:val="00141CED"/>
    <w:rsid w:val="00154D9C"/>
    <w:rsid w:val="00154F49"/>
    <w:rsid w:val="001550A5"/>
    <w:rsid w:val="0015553E"/>
    <w:rsid w:val="00157652"/>
    <w:rsid w:val="00160604"/>
    <w:rsid w:val="00162B34"/>
    <w:rsid w:val="00174E87"/>
    <w:rsid w:val="0017583D"/>
    <w:rsid w:val="001773EF"/>
    <w:rsid w:val="00181E30"/>
    <w:rsid w:val="0019030F"/>
    <w:rsid w:val="00194C36"/>
    <w:rsid w:val="001962FF"/>
    <w:rsid w:val="001978D5"/>
    <w:rsid w:val="001A07B6"/>
    <w:rsid w:val="001A1DC0"/>
    <w:rsid w:val="001A34F3"/>
    <w:rsid w:val="001A5661"/>
    <w:rsid w:val="001A5713"/>
    <w:rsid w:val="001A5EEF"/>
    <w:rsid w:val="001A6F60"/>
    <w:rsid w:val="001B2D3E"/>
    <w:rsid w:val="001B44A1"/>
    <w:rsid w:val="001B45D8"/>
    <w:rsid w:val="001B60A1"/>
    <w:rsid w:val="001C2D79"/>
    <w:rsid w:val="001C6CA3"/>
    <w:rsid w:val="001D5F31"/>
    <w:rsid w:val="001E0344"/>
    <w:rsid w:val="001E040A"/>
    <w:rsid w:val="001E5FC6"/>
    <w:rsid w:val="001E6D97"/>
    <w:rsid w:val="001E7B18"/>
    <w:rsid w:val="001F02FD"/>
    <w:rsid w:val="001F5C9A"/>
    <w:rsid w:val="001F5EE8"/>
    <w:rsid w:val="001F64F8"/>
    <w:rsid w:val="001F795E"/>
    <w:rsid w:val="00201CCE"/>
    <w:rsid w:val="00206A24"/>
    <w:rsid w:val="00217145"/>
    <w:rsid w:val="0021770A"/>
    <w:rsid w:val="002204B6"/>
    <w:rsid w:val="00221BC8"/>
    <w:rsid w:val="00223D53"/>
    <w:rsid w:val="00225C13"/>
    <w:rsid w:val="002277AC"/>
    <w:rsid w:val="00236F27"/>
    <w:rsid w:val="00237B60"/>
    <w:rsid w:val="00241618"/>
    <w:rsid w:val="00242B9C"/>
    <w:rsid w:val="00242B9D"/>
    <w:rsid w:val="002517D5"/>
    <w:rsid w:val="002520C9"/>
    <w:rsid w:val="0025550F"/>
    <w:rsid w:val="002565A8"/>
    <w:rsid w:val="00256E5A"/>
    <w:rsid w:val="00257192"/>
    <w:rsid w:val="002574EA"/>
    <w:rsid w:val="00257BCF"/>
    <w:rsid w:val="00257D82"/>
    <w:rsid w:val="002614F5"/>
    <w:rsid w:val="00261516"/>
    <w:rsid w:val="002626A4"/>
    <w:rsid w:val="00264F5F"/>
    <w:rsid w:val="00281438"/>
    <w:rsid w:val="0028195A"/>
    <w:rsid w:val="00282AB7"/>
    <w:rsid w:val="0028449A"/>
    <w:rsid w:val="00285F24"/>
    <w:rsid w:val="00286B37"/>
    <w:rsid w:val="0029455D"/>
    <w:rsid w:val="002951D3"/>
    <w:rsid w:val="002A0B25"/>
    <w:rsid w:val="002A2052"/>
    <w:rsid w:val="002A2278"/>
    <w:rsid w:val="002A40DE"/>
    <w:rsid w:val="002A78BF"/>
    <w:rsid w:val="002B32E2"/>
    <w:rsid w:val="002B5EC2"/>
    <w:rsid w:val="002B69D6"/>
    <w:rsid w:val="002C0562"/>
    <w:rsid w:val="002C05D2"/>
    <w:rsid w:val="002C0642"/>
    <w:rsid w:val="002C0A4E"/>
    <w:rsid w:val="002C3212"/>
    <w:rsid w:val="002D041C"/>
    <w:rsid w:val="002D07B9"/>
    <w:rsid w:val="002D146E"/>
    <w:rsid w:val="002D526E"/>
    <w:rsid w:val="002D5DE2"/>
    <w:rsid w:val="002D6906"/>
    <w:rsid w:val="002D7081"/>
    <w:rsid w:val="002D74D7"/>
    <w:rsid w:val="002E01F2"/>
    <w:rsid w:val="002E29A0"/>
    <w:rsid w:val="002E3718"/>
    <w:rsid w:val="002F2F40"/>
    <w:rsid w:val="002F466C"/>
    <w:rsid w:val="002F52C3"/>
    <w:rsid w:val="002F6031"/>
    <w:rsid w:val="002F7580"/>
    <w:rsid w:val="002F7C7D"/>
    <w:rsid w:val="003029FE"/>
    <w:rsid w:val="00306FF7"/>
    <w:rsid w:val="00311A42"/>
    <w:rsid w:val="003172B5"/>
    <w:rsid w:val="00322377"/>
    <w:rsid w:val="0032336D"/>
    <w:rsid w:val="00325400"/>
    <w:rsid w:val="003254CD"/>
    <w:rsid w:val="00331281"/>
    <w:rsid w:val="003316AE"/>
    <w:rsid w:val="003316B1"/>
    <w:rsid w:val="00336E12"/>
    <w:rsid w:val="00336FCC"/>
    <w:rsid w:val="0033780C"/>
    <w:rsid w:val="0034002F"/>
    <w:rsid w:val="0034543A"/>
    <w:rsid w:val="0035033B"/>
    <w:rsid w:val="0036164F"/>
    <w:rsid w:val="00362561"/>
    <w:rsid w:val="003638BC"/>
    <w:rsid w:val="0036511F"/>
    <w:rsid w:val="00367CE2"/>
    <w:rsid w:val="00370277"/>
    <w:rsid w:val="0038159A"/>
    <w:rsid w:val="0038509F"/>
    <w:rsid w:val="00385A61"/>
    <w:rsid w:val="003861D5"/>
    <w:rsid w:val="00386852"/>
    <w:rsid w:val="003930D4"/>
    <w:rsid w:val="00393FED"/>
    <w:rsid w:val="003964A7"/>
    <w:rsid w:val="003A1062"/>
    <w:rsid w:val="003A2690"/>
    <w:rsid w:val="003A3F47"/>
    <w:rsid w:val="003A5D94"/>
    <w:rsid w:val="003A6B94"/>
    <w:rsid w:val="003A773E"/>
    <w:rsid w:val="003A796D"/>
    <w:rsid w:val="003B5151"/>
    <w:rsid w:val="003B6BE9"/>
    <w:rsid w:val="003B7E60"/>
    <w:rsid w:val="003C14C4"/>
    <w:rsid w:val="003C243B"/>
    <w:rsid w:val="003C2552"/>
    <w:rsid w:val="003C2A86"/>
    <w:rsid w:val="003C35C7"/>
    <w:rsid w:val="003C555B"/>
    <w:rsid w:val="003C77A2"/>
    <w:rsid w:val="003D3E38"/>
    <w:rsid w:val="003D5331"/>
    <w:rsid w:val="003D549B"/>
    <w:rsid w:val="003D77FF"/>
    <w:rsid w:val="003D7985"/>
    <w:rsid w:val="003D7F64"/>
    <w:rsid w:val="003E3BA1"/>
    <w:rsid w:val="003F14DC"/>
    <w:rsid w:val="003F6A62"/>
    <w:rsid w:val="00403A2F"/>
    <w:rsid w:val="00403F2B"/>
    <w:rsid w:val="00411244"/>
    <w:rsid w:val="004147B8"/>
    <w:rsid w:val="004148BB"/>
    <w:rsid w:val="004168CF"/>
    <w:rsid w:val="004217B5"/>
    <w:rsid w:val="0042271C"/>
    <w:rsid w:val="00423C73"/>
    <w:rsid w:val="00423FE9"/>
    <w:rsid w:val="00424629"/>
    <w:rsid w:val="00426574"/>
    <w:rsid w:val="00433237"/>
    <w:rsid w:val="004334C5"/>
    <w:rsid w:val="00435180"/>
    <w:rsid w:val="00436896"/>
    <w:rsid w:val="00437F36"/>
    <w:rsid w:val="00441BC9"/>
    <w:rsid w:val="00446802"/>
    <w:rsid w:val="00447E0C"/>
    <w:rsid w:val="00456CFB"/>
    <w:rsid w:val="00460B38"/>
    <w:rsid w:val="00467848"/>
    <w:rsid w:val="004714C8"/>
    <w:rsid w:val="0047762C"/>
    <w:rsid w:val="004818E8"/>
    <w:rsid w:val="0048294E"/>
    <w:rsid w:val="00483503"/>
    <w:rsid w:val="00484ED1"/>
    <w:rsid w:val="00485870"/>
    <w:rsid w:val="00487C15"/>
    <w:rsid w:val="004916D2"/>
    <w:rsid w:val="00491F58"/>
    <w:rsid w:val="00493420"/>
    <w:rsid w:val="00493EA6"/>
    <w:rsid w:val="00494266"/>
    <w:rsid w:val="0049681A"/>
    <w:rsid w:val="00497A13"/>
    <w:rsid w:val="004A027C"/>
    <w:rsid w:val="004A77E8"/>
    <w:rsid w:val="004B0046"/>
    <w:rsid w:val="004B0977"/>
    <w:rsid w:val="004B098F"/>
    <w:rsid w:val="004B305F"/>
    <w:rsid w:val="004B3636"/>
    <w:rsid w:val="004B5F5A"/>
    <w:rsid w:val="004B75F1"/>
    <w:rsid w:val="004B7DF1"/>
    <w:rsid w:val="004C3BFD"/>
    <w:rsid w:val="004C4363"/>
    <w:rsid w:val="004D10EF"/>
    <w:rsid w:val="004D2F7C"/>
    <w:rsid w:val="004D32C9"/>
    <w:rsid w:val="004D3847"/>
    <w:rsid w:val="004D53D0"/>
    <w:rsid w:val="004D5423"/>
    <w:rsid w:val="004D6525"/>
    <w:rsid w:val="004E1578"/>
    <w:rsid w:val="004E5250"/>
    <w:rsid w:val="004E5CB1"/>
    <w:rsid w:val="004E7CAD"/>
    <w:rsid w:val="004F05F0"/>
    <w:rsid w:val="004F08CE"/>
    <w:rsid w:val="004F4771"/>
    <w:rsid w:val="004F48FD"/>
    <w:rsid w:val="004F63A9"/>
    <w:rsid w:val="005034DB"/>
    <w:rsid w:val="00510E3F"/>
    <w:rsid w:val="00511464"/>
    <w:rsid w:val="005133AA"/>
    <w:rsid w:val="00521A56"/>
    <w:rsid w:val="00523133"/>
    <w:rsid w:val="00523648"/>
    <w:rsid w:val="005240F9"/>
    <w:rsid w:val="005244CA"/>
    <w:rsid w:val="00530569"/>
    <w:rsid w:val="00531968"/>
    <w:rsid w:val="00535666"/>
    <w:rsid w:val="00541A1F"/>
    <w:rsid w:val="00545BC6"/>
    <w:rsid w:val="00546994"/>
    <w:rsid w:val="00557D6A"/>
    <w:rsid w:val="00560D3F"/>
    <w:rsid w:val="00561BF5"/>
    <w:rsid w:val="00562940"/>
    <w:rsid w:val="00562DC1"/>
    <w:rsid w:val="00563B7F"/>
    <w:rsid w:val="0056720E"/>
    <w:rsid w:val="005712E5"/>
    <w:rsid w:val="005727C2"/>
    <w:rsid w:val="00577FD7"/>
    <w:rsid w:val="0058068B"/>
    <w:rsid w:val="00583241"/>
    <w:rsid w:val="00583E4E"/>
    <w:rsid w:val="00585AB3"/>
    <w:rsid w:val="00587101"/>
    <w:rsid w:val="0059171D"/>
    <w:rsid w:val="005A1E6E"/>
    <w:rsid w:val="005A2D84"/>
    <w:rsid w:val="005A4C64"/>
    <w:rsid w:val="005B109B"/>
    <w:rsid w:val="005B3FDD"/>
    <w:rsid w:val="005B509A"/>
    <w:rsid w:val="005C10EE"/>
    <w:rsid w:val="005C231E"/>
    <w:rsid w:val="005D1B64"/>
    <w:rsid w:val="005D4C95"/>
    <w:rsid w:val="005D7394"/>
    <w:rsid w:val="005E06B2"/>
    <w:rsid w:val="005E3B34"/>
    <w:rsid w:val="005E4559"/>
    <w:rsid w:val="005F11DA"/>
    <w:rsid w:val="005F2F71"/>
    <w:rsid w:val="005F5EA7"/>
    <w:rsid w:val="00600F77"/>
    <w:rsid w:val="00606036"/>
    <w:rsid w:val="00607739"/>
    <w:rsid w:val="006100A2"/>
    <w:rsid w:val="00610D61"/>
    <w:rsid w:val="006167EE"/>
    <w:rsid w:val="00617F23"/>
    <w:rsid w:val="006258A2"/>
    <w:rsid w:val="0062603B"/>
    <w:rsid w:val="006275FF"/>
    <w:rsid w:val="00627F28"/>
    <w:rsid w:val="006306F5"/>
    <w:rsid w:val="00630C56"/>
    <w:rsid w:val="00633102"/>
    <w:rsid w:val="00636E8E"/>
    <w:rsid w:val="006371DF"/>
    <w:rsid w:val="00637717"/>
    <w:rsid w:val="00643BA2"/>
    <w:rsid w:val="0064530E"/>
    <w:rsid w:val="0064688F"/>
    <w:rsid w:val="00650F6F"/>
    <w:rsid w:val="006511EE"/>
    <w:rsid w:val="00652F60"/>
    <w:rsid w:val="00655F81"/>
    <w:rsid w:val="00666A49"/>
    <w:rsid w:val="00667F8F"/>
    <w:rsid w:val="006714A0"/>
    <w:rsid w:val="006744E9"/>
    <w:rsid w:val="00674D57"/>
    <w:rsid w:val="00680285"/>
    <w:rsid w:val="00685407"/>
    <w:rsid w:val="006916FE"/>
    <w:rsid w:val="00692484"/>
    <w:rsid w:val="0069319F"/>
    <w:rsid w:val="006955A3"/>
    <w:rsid w:val="00695ED5"/>
    <w:rsid w:val="006A72AA"/>
    <w:rsid w:val="006B1428"/>
    <w:rsid w:val="006B79D4"/>
    <w:rsid w:val="006C00FB"/>
    <w:rsid w:val="006C2476"/>
    <w:rsid w:val="006C2B4D"/>
    <w:rsid w:val="006C45F0"/>
    <w:rsid w:val="006C51F4"/>
    <w:rsid w:val="006C5D2A"/>
    <w:rsid w:val="006D025C"/>
    <w:rsid w:val="006D07EF"/>
    <w:rsid w:val="006D0EC3"/>
    <w:rsid w:val="006D0FC9"/>
    <w:rsid w:val="006D1F3E"/>
    <w:rsid w:val="006E01AD"/>
    <w:rsid w:val="006E4C51"/>
    <w:rsid w:val="006E6973"/>
    <w:rsid w:val="006E6EFE"/>
    <w:rsid w:val="006E6F8D"/>
    <w:rsid w:val="006E767F"/>
    <w:rsid w:val="006E7EB8"/>
    <w:rsid w:val="006F174E"/>
    <w:rsid w:val="006F460A"/>
    <w:rsid w:val="00701BB5"/>
    <w:rsid w:val="00705E46"/>
    <w:rsid w:val="007117BC"/>
    <w:rsid w:val="0071520F"/>
    <w:rsid w:val="007160A2"/>
    <w:rsid w:val="0071612E"/>
    <w:rsid w:val="00716593"/>
    <w:rsid w:val="007170F1"/>
    <w:rsid w:val="007171E7"/>
    <w:rsid w:val="00720D9E"/>
    <w:rsid w:val="007215BA"/>
    <w:rsid w:val="007238BA"/>
    <w:rsid w:val="0072731A"/>
    <w:rsid w:val="007343B7"/>
    <w:rsid w:val="00737389"/>
    <w:rsid w:val="007479F4"/>
    <w:rsid w:val="007543F3"/>
    <w:rsid w:val="00770965"/>
    <w:rsid w:val="00772222"/>
    <w:rsid w:val="00772F99"/>
    <w:rsid w:val="00773178"/>
    <w:rsid w:val="00777717"/>
    <w:rsid w:val="0078112A"/>
    <w:rsid w:val="00790265"/>
    <w:rsid w:val="007922C0"/>
    <w:rsid w:val="00793CA9"/>
    <w:rsid w:val="007977DB"/>
    <w:rsid w:val="007A1639"/>
    <w:rsid w:val="007A6C65"/>
    <w:rsid w:val="007B28C1"/>
    <w:rsid w:val="007B7E24"/>
    <w:rsid w:val="007C02BF"/>
    <w:rsid w:val="007C18E1"/>
    <w:rsid w:val="007C3B66"/>
    <w:rsid w:val="007C3D8E"/>
    <w:rsid w:val="007C4462"/>
    <w:rsid w:val="007C79BB"/>
    <w:rsid w:val="007D28F6"/>
    <w:rsid w:val="007D3982"/>
    <w:rsid w:val="007E1769"/>
    <w:rsid w:val="007E2D56"/>
    <w:rsid w:val="007E2EB3"/>
    <w:rsid w:val="007E524A"/>
    <w:rsid w:val="007E6F75"/>
    <w:rsid w:val="007F110F"/>
    <w:rsid w:val="007F53DA"/>
    <w:rsid w:val="00801512"/>
    <w:rsid w:val="00807EC0"/>
    <w:rsid w:val="008116CD"/>
    <w:rsid w:val="008117C7"/>
    <w:rsid w:val="008147AF"/>
    <w:rsid w:val="008148AD"/>
    <w:rsid w:val="008157FB"/>
    <w:rsid w:val="008268F6"/>
    <w:rsid w:val="00827998"/>
    <w:rsid w:val="00832A48"/>
    <w:rsid w:val="00832AEF"/>
    <w:rsid w:val="008424F3"/>
    <w:rsid w:val="0084517F"/>
    <w:rsid w:val="008469D2"/>
    <w:rsid w:val="00850C44"/>
    <w:rsid w:val="008510E3"/>
    <w:rsid w:val="008512F3"/>
    <w:rsid w:val="00856D74"/>
    <w:rsid w:val="00861508"/>
    <w:rsid w:val="00865396"/>
    <w:rsid w:val="00865A71"/>
    <w:rsid w:val="00866246"/>
    <w:rsid w:val="008666C3"/>
    <w:rsid w:val="00877328"/>
    <w:rsid w:val="008834AD"/>
    <w:rsid w:val="008843B5"/>
    <w:rsid w:val="0088540E"/>
    <w:rsid w:val="0088773B"/>
    <w:rsid w:val="00890EF7"/>
    <w:rsid w:val="008920B4"/>
    <w:rsid w:val="00894777"/>
    <w:rsid w:val="008A012D"/>
    <w:rsid w:val="008A159E"/>
    <w:rsid w:val="008A1B36"/>
    <w:rsid w:val="008A1B84"/>
    <w:rsid w:val="008A6518"/>
    <w:rsid w:val="008A676C"/>
    <w:rsid w:val="008B2B13"/>
    <w:rsid w:val="008B4F87"/>
    <w:rsid w:val="008B5F44"/>
    <w:rsid w:val="008B7C0B"/>
    <w:rsid w:val="008C14EE"/>
    <w:rsid w:val="008C357D"/>
    <w:rsid w:val="008C3669"/>
    <w:rsid w:val="008C6D5E"/>
    <w:rsid w:val="008C75E5"/>
    <w:rsid w:val="008D0EE1"/>
    <w:rsid w:val="008D1AB6"/>
    <w:rsid w:val="008D1D0D"/>
    <w:rsid w:val="008E0F42"/>
    <w:rsid w:val="008E19FE"/>
    <w:rsid w:val="008E7808"/>
    <w:rsid w:val="008F5BDA"/>
    <w:rsid w:val="008F6BF6"/>
    <w:rsid w:val="008F6E89"/>
    <w:rsid w:val="00904AC0"/>
    <w:rsid w:val="009060D6"/>
    <w:rsid w:val="0091406A"/>
    <w:rsid w:val="00916F07"/>
    <w:rsid w:val="009176AE"/>
    <w:rsid w:val="00921C7C"/>
    <w:rsid w:val="00922000"/>
    <w:rsid w:val="00922F10"/>
    <w:rsid w:val="00925EF2"/>
    <w:rsid w:val="009275D1"/>
    <w:rsid w:val="00931CA5"/>
    <w:rsid w:val="00932002"/>
    <w:rsid w:val="009404B2"/>
    <w:rsid w:val="00942F70"/>
    <w:rsid w:val="00945A5E"/>
    <w:rsid w:val="0094699C"/>
    <w:rsid w:val="009562C4"/>
    <w:rsid w:val="0097407E"/>
    <w:rsid w:val="0097686C"/>
    <w:rsid w:val="00977046"/>
    <w:rsid w:val="00983C6D"/>
    <w:rsid w:val="009918AE"/>
    <w:rsid w:val="00991AEA"/>
    <w:rsid w:val="00994508"/>
    <w:rsid w:val="00995A0E"/>
    <w:rsid w:val="00995E98"/>
    <w:rsid w:val="00996814"/>
    <w:rsid w:val="00996D2C"/>
    <w:rsid w:val="0099720F"/>
    <w:rsid w:val="009B2871"/>
    <w:rsid w:val="009B566E"/>
    <w:rsid w:val="009C2D4D"/>
    <w:rsid w:val="009D121A"/>
    <w:rsid w:val="009D1F94"/>
    <w:rsid w:val="009D25C3"/>
    <w:rsid w:val="009D3FDA"/>
    <w:rsid w:val="009D6496"/>
    <w:rsid w:val="009D664E"/>
    <w:rsid w:val="009D6B87"/>
    <w:rsid w:val="009E0171"/>
    <w:rsid w:val="009E0BE0"/>
    <w:rsid w:val="009E22E5"/>
    <w:rsid w:val="009E3EA3"/>
    <w:rsid w:val="009E6DEF"/>
    <w:rsid w:val="009F07BC"/>
    <w:rsid w:val="009F28C7"/>
    <w:rsid w:val="009F3645"/>
    <w:rsid w:val="009F4239"/>
    <w:rsid w:val="009F53F3"/>
    <w:rsid w:val="009F6306"/>
    <w:rsid w:val="00A037D5"/>
    <w:rsid w:val="00A0438B"/>
    <w:rsid w:val="00A06854"/>
    <w:rsid w:val="00A13D2D"/>
    <w:rsid w:val="00A212E0"/>
    <w:rsid w:val="00A240B7"/>
    <w:rsid w:val="00A266E3"/>
    <w:rsid w:val="00A272FE"/>
    <w:rsid w:val="00A32EC9"/>
    <w:rsid w:val="00A337AC"/>
    <w:rsid w:val="00A40E90"/>
    <w:rsid w:val="00A42196"/>
    <w:rsid w:val="00A42383"/>
    <w:rsid w:val="00A4487F"/>
    <w:rsid w:val="00A44FCD"/>
    <w:rsid w:val="00A45024"/>
    <w:rsid w:val="00A46704"/>
    <w:rsid w:val="00A47465"/>
    <w:rsid w:val="00A4797C"/>
    <w:rsid w:val="00A520C5"/>
    <w:rsid w:val="00A6144F"/>
    <w:rsid w:val="00A64AE2"/>
    <w:rsid w:val="00A65B88"/>
    <w:rsid w:val="00A82458"/>
    <w:rsid w:val="00A82E9C"/>
    <w:rsid w:val="00A832CE"/>
    <w:rsid w:val="00A83D88"/>
    <w:rsid w:val="00A84E41"/>
    <w:rsid w:val="00A85B43"/>
    <w:rsid w:val="00A860B8"/>
    <w:rsid w:val="00A8725D"/>
    <w:rsid w:val="00A87745"/>
    <w:rsid w:val="00A87CE7"/>
    <w:rsid w:val="00A90AA0"/>
    <w:rsid w:val="00A92CD4"/>
    <w:rsid w:val="00A93CCC"/>
    <w:rsid w:val="00A94281"/>
    <w:rsid w:val="00A94F80"/>
    <w:rsid w:val="00A950D8"/>
    <w:rsid w:val="00AA01FF"/>
    <w:rsid w:val="00AA7F1D"/>
    <w:rsid w:val="00AB0A3A"/>
    <w:rsid w:val="00AB22D3"/>
    <w:rsid w:val="00AB2931"/>
    <w:rsid w:val="00AB2F50"/>
    <w:rsid w:val="00AB3D07"/>
    <w:rsid w:val="00AB5F45"/>
    <w:rsid w:val="00AB63C7"/>
    <w:rsid w:val="00AB790B"/>
    <w:rsid w:val="00AC5425"/>
    <w:rsid w:val="00AD1681"/>
    <w:rsid w:val="00AD61ED"/>
    <w:rsid w:val="00AD62A7"/>
    <w:rsid w:val="00AD63C3"/>
    <w:rsid w:val="00AE2943"/>
    <w:rsid w:val="00AE5877"/>
    <w:rsid w:val="00B043AB"/>
    <w:rsid w:val="00B04D5D"/>
    <w:rsid w:val="00B051F4"/>
    <w:rsid w:val="00B0712B"/>
    <w:rsid w:val="00B071C7"/>
    <w:rsid w:val="00B114F7"/>
    <w:rsid w:val="00B17C54"/>
    <w:rsid w:val="00B21FB7"/>
    <w:rsid w:val="00B23E60"/>
    <w:rsid w:val="00B24773"/>
    <w:rsid w:val="00B25586"/>
    <w:rsid w:val="00B27A17"/>
    <w:rsid w:val="00B357E8"/>
    <w:rsid w:val="00B35854"/>
    <w:rsid w:val="00B409EA"/>
    <w:rsid w:val="00B4374E"/>
    <w:rsid w:val="00B4748B"/>
    <w:rsid w:val="00B504B7"/>
    <w:rsid w:val="00B52D57"/>
    <w:rsid w:val="00B53497"/>
    <w:rsid w:val="00B55317"/>
    <w:rsid w:val="00B55487"/>
    <w:rsid w:val="00B61746"/>
    <w:rsid w:val="00B624FB"/>
    <w:rsid w:val="00B6268F"/>
    <w:rsid w:val="00B629A2"/>
    <w:rsid w:val="00B631AB"/>
    <w:rsid w:val="00B672FF"/>
    <w:rsid w:val="00B72CF8"/>
    <w:rsid w:val="00B74094"/>
    <w:rsid w:val="00B80D68"/>
    <w:rsid w:val="00B8136D"/>
    <w:rsid w:val="00B9236E"/>
    <w:rsid w:val="00B926D8"/>
    <w:rsid w:val="00B93067"/>
    <w:rsid w:val="00B93860"/>
    <w:rsid w:val="00B93E18"/>
    <w:rsid w:val="00B96B53"/>
    <w:rsid w:val="00BA2542"/>
    <w:rsid w:val="00BA3DAB"/>
    <w:rsid w:val="00BA7AC4"/>
    <w:rsid w:val="00BB1C03"/>
    <w:rsid w:val="00BB25DF"/>
    <w:rsid w:val="00BB3946"/>
    <w:rsid w:val="00BC395C"/>
    <w:rsid w:val="00BC3EA7"/>
    <w:rsid w:val="00BC6DA8"/>
    <w:rsid w:val="00BC7262"/>
    <w:rsid w:val="00BC7EE0"/>
    <w:rsid w:val="00BD109E"/>
    <w:rsid w:val="00BD3AF7"/>
    <w:rsid w:val="00BD3D85"/>
    <w:rsid w:val="00BD6EB6"/>
    <w:rsid w:val="00BE02BC"/>
    <w:rsid w:val="00BE211C"/>
    <w:rsid w:val="00BE57E7"/>
    <w:rsid w:val="00BE7FF7"/>
    <w:rsid w:val="00C0065E"/>
    <w:rsid w:val="00C033E6"/>
    <w:rsid w:val="00C042DB"/>
    <w:rsid w:val="00C046D5"/>
    <w:rsid w:val="00C066EB"/>
    <w:rsid w:val="00C10797"/>
    <w:rsid w:val="00C12D2A"/>
    <w:rsid w:val="00C133EF"/>
    <w:rsid w:val="00C149EB"/>
    <w:rsid w:val="00C151F1"/>
    <w:rsid w:val="00C16CA7"/>
    <w:rsid w:val="00C2211D"/>
    <w:rsid w:val="00C22AFA"/>
    <w:rsid w:val="00C27C44"/>
    <w:rsid w:val="00C308FD"/>
    <w:rsid w:val="00C31F1C"/>
    <w:rsid w:val="00C424F9"/>
    <w:rsid w:val="00C463B7"/>
    <w:rsid w:val="00C47E89"/>
    <w:rsid w:val="00C54645"/>
    <w:rsid w:val="00C57E5A"/>
    <w:rsid w:val="00C601F9"/>
    <w:rsid w:val="00C635BE"/>
    <w:rsid w:val="00C63DC8"/>
    <w:rsid w:val="00C6531A"/>
    <w:rsid w:val="00C65451"/>
    <w:rsid w:val="00C65C01"/>
    <w:rsid w:val="00C66531"/>
    <w:rsid w:val="00C66EEF"/>
    <w:rsid w:val="00C67868"/>
    <w:rsid w:val="00C762C5"/>
    <w:rsid w:val="00C7669D"/>
    <w:rsid w:val="00C766D2"/>
    <w:rsid w:val="00C767A5"/>
    <w:rsid w:val="00C77EF2"/>
    <w:rsid w:val="00C801B2"/>
    <w:rsid w:val="00C85356"/>
    <w:rsid w:val="00C9129F"/>
    <w:rsid w:val="00C93675"/>
    <w:rsid w:val="00CA1380"/>
    <w:rsid w:val="00CA14B9"/>
    <w:rsid w:val="00CA2077"/>
    <w:rsid w:val="00CA76D7"/>
    <w:rsid w:val="00CA77FC"/>
    <w:rsid w:val="00CA7A15"/>
    <w:rsid w:val="00CB0890"/>
    <w:rsid w:val="00CB7E1F"/>
    <w:rsid w:val="00CC16B7"/>
    <w:rsid w:val="00CC36EA"/>
    <w:rsid w:val="00CC746C"/>
    <w:rsid w:val="00CD07FC"/>
    <w:rsid w:val="00CD1915"/>
    <w:rsid w:val="00CD769C"/>
    <w:rsid w:val="00CE15EF"/>
    <w:rsid w:val="00CE3D72"/>
    <w:rsid w:val="00CF0E02"/>
    <w:rsid w:val="00CF6ACA"/>
    <w:rsid w:val="00CF6FE4"/>
    <w:rsid w:val="00D03EB1"/>
    <w:rsid w:val="00D0535A"/>
    <w:rsid w:val="00D11CF0"/>
    <w:rsid w:val="00D126FA"/>
    <w:rsid w:val="00D128AD"/>
    <w:rsid w:val="00D12B27"/>
    <w:rsid w:val="00D12E91"/>
    <w:rsid w:val="00D134DA"/>
    <w:rsid w:val="00D152EB"/>
    <w:rsid w:val="00D15F2B"/>
    <w:rsid w:val="00D217E1"/>
    <w:rsid w:val="00D23F00"/>
    <w:rsid w:val="00D24400"/>
    <w:rsid w:val="00D32838"/>
    <w:rsid w:val="00D34B94"/>
    <w:rsid w:val="00D46CA1"/>
    <w:rsid w:val="00D61CCC"/>
    <w:rsid w:val="00D6269C"/>
    <w:rsid w:val="00D6307B"/>
    <w:rsid w:val="00D640D6"/>
    <w:rsid w:val="00D641D3"/>
    <w:rsid w:val="00D64D7D"/>
    <w:rsid w:val="00D66737"/>
    <w:rsid w:val="00D67636"/>
    <w:rsid w:val="00D70E2E"/>
    <w:rsid w:val="00D71A55"/>
    <w:rsid w:val="00D73824"/>
    <w:rsid w:val="00D74514"/>
    <w:rsid w:val="00D764A7"/>
    <w:rsid w:val="00D81BF1"/>
    <w:rsid w:val="00D95AF6"/>
    <w:rsid w:val="00D971E8"/>
    <w:rsid w:val="00D976FF"/>
    <w:rsid w:val="00DA08A6"/>
    <w:rsid w:val="00DA4D02"/>
    <w:rsid w:val="00DA7341"/>
    <w:rsid w:val="00DB0F1A"/>
    <w:rsid w:val="00DB69ED"/>
    <w:rsid w:val="00DC0FB9"/>
    <w:rsid w:val="00DC27CE"/>
    <w:rsid w:val="00DC35FA"/>
    <w:rsid w:val="00DC36DE"/>
    <w:rsid w:val="00DC3D30"/>
    <w:rsid w:val="00DC3E28"/>
    <w:rsid w:val="00DC6218"/>
    <w:rsid w:val="00DD31CE"/>
    <w:rsid w:val="00DD63DB"/>
    <w:rsid w:val="00DD68F4"/>
    <w:rsid w:val="00DE242F"/>
    <w:rsid w:val="00DE2A0F"/>
    <w:rsid w:val="00DE4FD0"/>
    <w:rsid w:val="00DF040A"/>
    <w:rsid w:val="00DF0714"/>
    <w:rsid w:val="00DF34DC"/>
    <w:rsid w:val="00DF3E56"/>
    <w:rsid w:val="00DF4E9E"/>
    <w:rsid w:val="00DF5824"/>
    <w:rsid w:val="00DF6CEA"/>
    <w:rsid w:val="00E00835"/>
    <w:rsid w:val="00E04D8C"/>
    <w:rsid w:val="00E07D58"/>
    <w:rsid w:val="00E1001B"/>
    <w:rsid w:val="00E12C26"/>
    <w:rsid w:val="00E12D34"/>
    <w:rsid w:val="00E12DDD"/>
    <w:rsid w:val="00E12FA2"/>
    <w:rsid w:val="00E144BF"/>
    <w:rsid w:val="00E145C9"/>
    <w:rsid w:val="00E16586"/>
    <w:rsid w:val="00E21D69"/>
    <w:rsid w:val="00E2453B"/>
    <w:rsid w:val="00E25F39"/>
    <w:rsid w:val="00E272C1"/>
    <w:rsid w:val="00E301CB"/>
    <w:rsid w:val="00E30D96"/>
    <w:rsid w:val="00E3148A"/>
    <w:rsid w:val="00E34762"/>
    <w:rsid w:val="00E379BA"/>
    <w:rsid w:val="00E37AE9"/>
    <w:rsid w:val="00E406C7"/>
    <w:rsid w:val="00E429B9"/>
    <w:rsid w:val="00E47912"/>
    <w:rsid w:val="00E47FB4"/>
    <w:rsid w:val="00E55B68"/>
    <w:rsid w:val="00E56FFB"/>
    <w:rsid w:val="00E60045"/>
    <w:rsid w:val="00E61438"/>
    <w:rsid w:val="00E631AB"/>
    <w:rsid w:val="00E63479"/>
    <w:rsid w:val="00E66265"/>
    <w:rsid w:val="00E66A9B"/>
    <w:rsid w:val="00E73561"/>
    <w:rsid w:val="00E74C8D"/>
    <w:rsid w:val="00E750D1"/>
    <w:rsid w:val="00E7563F"/>
    <w:rsid w:val="00E766FB"/>
    <w:rsid w:val="00E82564"/>
    <w:rsid w:val="00E8346D"/>
    <w:rsid w:val="00E8452B"/>
    <w:rsid w:val="00E90717"/>
    <w:rsid w:val="00E91FB6"/>
    <w:rsid w:val="00E9454B"/>
    <w:rsid w:val="00E96E07"/>
    <w:rsid w:val="00E96F0F"/>
    <w:rsid w:val="00EA161A"/>
    <w:rsid w:val="00EA39F6"/>
    <w:rsid w:val="00EA4705"/>
    <w:rsid w:val="00EA4CA2"/>
    <w:rsid w:val="00EA5BF9"/>
    <w:rsid w:val="00EA605E"/>
    <w:rsid w:val="00EB22B2"/>
    <w:rsid w:val="00EB3198"/>
    <w:rsid w:val="00EB35D4"/>
    <w:rsid w:val="00EB56BA"/>
    <w:rsid w:val="00EB5A08"/>
    <w:rsid w:val="00EC16D1"/>
    <w:rsid w:val="00EC4F36"/>
    <w:rsid w:val="00ED3A2E"/>
    <w:rsid w:val="00EE188E"/>
    <w:rsid w:val="00EE4BD3"/>
    <w:rsid w:val="00EF1A64"/>
    <w:rsid w:val="00EF2E7E"/>
    <w:rsid w:val="00EF411F"/>
    <w:rsid w:val="00EF5830"/>
    <w:rsid w:val="00EF64CA"/>
    <w:rsid w:val="00F02908"/>
    <w:rsid w:val="00F040B3"/>
    <w:rsid w:val="00F04E38"/>
    <w:rsid w:val="00F06766"/>
    <w:rsid w:val="00F10DE3"/>
    <w:rsid w:val="00F130D6"/>
    <w:rsid w:val="00F14FED"/>
    <w:rsid w:val="00F15428"/>
    <w:rsid w:val="00F2276C"/>
    <w:rsid w:val="00F23F6E"/>
    <w:rsid w:val="00F24A7E"/>
    <w:rsid w:val="00F25534"/>
    <w:rsid w:val="00F31F39"/>
    <w:rsid w:val="00F3211F"/>
    <w:rsid w:val="00F329A0"/>
    <w:rsid w:val="00F354F5"/>
    <w:rsid w:val="00F363B0"/>
    <w:rsid w:val="00F40A31"/>
    <w:rsid w:val="00F43E36"/>
    <w:rsid w:val="00F445C4"/>
    <w:rsid w:val="00F45D50"/>
    <w:rsid w:val="00F50628"/>
    <w:rsid w:val="00F50ACD"/>
    <w:rsid w:val="00F53C72"/>
    <w:rsid w:val="00F57A31"/>
    <w:rsid w:val="00F604D0"/>
    <w:rsid w:val="00F63C3D"/>
    <w:rsid w:val="00F650FA"/>
    <w:rsid w:val="00F664AB"/>
    <w:rsid w:val="00F7277F"/>
    <w:rsid w:val="00F74C92"/>
    <w:rsid w:val="00F74DF6"/>
    <w:rsid w:val="00F772E3"/>
    <w:rsid w:val="00F77751"/>
    <w:rsid w:val="00F81933"/>
    <w:rsid w:val="00F853F3"/>
    <w:rsid w:val="00F85F72"/>
    <w:rsid w:val="00F913B0"/>
    <w:rsid w:val="00F92A10"/>
    <w:rsid w:val="00F9569E"/>
    <w:rsid w:val="00F9647D"/>
    <w:rsid w:val="00F965ED"/>
    <w:rsid w:val="00FA5A38"/>
    <w:rsid w:val="00FB29B1"/>
    <w:rsid w:val="00FB64BC"/>
    <w:rsid w:val="00FB68EB"/>
    <w:rsid w:val="00FC056A"/>
    <w:rsid w:val="00FC28EC"/>
    <w:rsid w:val="00FC2B60"/>
    <w:rsid w:val="00FC3168"/>
    <w:rsid w:val="00FC43C8"/>
    <w:rsid w:val="00FC76DB"/>
    <w:rsid w:val="00FC7A36"/>
    <w:rsid w:val="00FC7FC5"/>
    <w:rsid w:val="00FD0613"/>
    <w:rsid w:val="00FD542C"/>
    <w:rsid w:val="00FD6093"/>
    <w:rsid w:val="00FD67E5"/>
    <w:rsid w:val="00FE08B6"/>
    <w:rsid w:val="00FE1382"/>
    <w:rsid w:val="00FE317F"/>
    <w:rsid w:val="00FF2019"/>
    <w:rsid w:val="00FF7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50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3497"/>
  </w:style>
  <w:style w:type="paragraph" w:styleId="Heading1">
    <w:name w:val="heading 1"/>
    <w:basedOn w:val="Normal"/>
    <w:next w:val="Normal"/>
    <w:link w:val="Heading1Char"/>
    <w:uiPriority w:val="9"/>
    <w:rsid w:val="00B53497"/>
    <w:pPr>
      <w:keepNext/>
      <w:keepLines/>
      <w:spacing w:before="240" w:after="0"/>
      <w:outlineLvl w:val="0"/>
    </w:pPr>
    <w:rPr>
      <w:rFonts w:ascii="Times New Roman" w:hAnsi="Times New Roman" w:eastAsiaTheme="majorEastAsia" w:cstheme="majorBidi"/>
      <w:b/>
      <w:szCs w:val="32"/>
    </w:rPr>
  </w:style>
  <w:style w:type="paragraph" w:styleId="Heading2">
    <w:name w:val="heading 2"/>
    <w:aliases w:val="Heading 2 Char Char1,Heading 2 Char Char1 Char Char,Heading 2 Char Char3 Char,Heading 2 Char1,Heading 2 Char1 Char,Heading 2 Char1 Char Char,Heading 2 Char1 Char Char Char,Heading 2 Char2,UNDERRUBRIK 1-2 Char,h2 Char"/>
    <w:basedOn w:val="Normal"/>
    <w:next w:val="Normal"/>
    <w:link w:val="Heading2Char"/>
    <w:autoRedefine/>
    <w:qFormat/>
    <w:rsid w:val="00AD63C3"/>
    <w:pPr>
      <w:keepNext/>
      <w:numPr>
        <w:numId w:val="1"/>
      </w:numPr>
      <w:spacing w:after="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Normal"/>
    <w:link w:val="Heading3Char"/>
    <w:uiPriority w:val="9"/>
    <w:unhideWhenUsed/>
    <w:qFormat/>
    <w:rsid w:val="002951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60604"/>
    <w:pPr>
      <w:spacing w:line="240" w:lineRule="auto"/>
    </w:pPr>
    <w:rPr>
      <w:sz w:val="20"/>
      <w:szCs w:val="20"/>
    </w:rPr>
  </w:style>
  <w:style w:type="character" w:customStyle="1" w:styleId="CommentTextChar">
    <w:name w:val="Comment Text Char"/>
    <w:basedOn w:val="DefaultParagraphFont"/>
    <w:link w:val="CommentText"/>
    <w:uiPriority w:val="99"/>
    <w:rsid w:val="00160604"/>
    <w:rPr>
      <w:sz w:val="20"/>
      <w:szCs w:val="20"/>
    </w:rPr>
  </w:style>
  <w:style w:type="paragraph" w:customStyle="1" w:styleId="FootnoteTextCharChar1">
    <w:name w:val="Footnote Text Char Char1"/>
    <w:basedOn w:val="Normal"/>
    <w:next w:val="FootnoteText"/>
    <w:link w:val="FootnoteTextChar"/>
    <w:unhideWhenUsed/>
    <w:rsid w:val="00160604"/>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f Char"/>
    <w:basedOn w:val="DefaultParagraphFont"/>
    <w:link w:val="FootnoteTextCharChar1"/>
    <w:rsid w:val="00160604"/>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160604"/>
    <w:rPr>
      <w:vertAlign w:val="superscript"/>
    </w:rPr>
  </w:style>
  <w:style w:type="character" w:customStyle="1" w:styleId="Hyperlink1">
    <w:name w:val="Hyperlink1"/>
    <w:basedOn w:val="DefaultParagraphFont"/>
    <w:uiPriority w:val="99"/>
    <w:unhideWhenUsed/>
    <w:rsid w:val="00160604"/>
    <w:rPr>
      <w:color w:val="0563C1"/>
      <w:u w:val="single"/>
    </w:rPr>
  </w:style>
  <w:style w:type="paragraph" w:customStyle="1" w:styleId="Header1">
    <w:name w:val="Header1"/>
    <w:basedOn w:val="Normal"/>
    <w:next w:val="Header"/>
    <w:link w:val="HeaderChar"/>
    <w:uiPriority w:val="99"/>
    <w:unhideWhenUsed/>
    <w:rsid w:val="00160604"/>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60604"/>
  </w:style>
  <w:style w:type="paragraph" w:customStyle="1" w:styleId="Footer1">
    <w:name w:val="Footer1"/>
    <w:basedOn w:val="Normal"/>
    <w:next w:val="Footer"/>
    <w:link w:val="FooterChar"/>
    <w:uiPriority w:val="99"/>
    <w:unhideWhenUsed/>
    <w:rsid w:val="0016060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60604"/>
  </w:style>
  <w:style w:type="character" w:styleId="CommentReference">
    <w:name w:val="annotation reference"/>
    <w:basedOn w:val="DefaultParagraphFont"/>
    <w:semiHidden/>
    <w:unhideWhenUsed/>
    <w:rsid w:val="00160604"/>
    <w:rPr>
      <w:sz w:val="16"/>
      <w:szCs w:val="16"/>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basedOn w:val="Normal"/>
    <w:link w:val="FootnoteTextChar1"/>
    <w:unhideWhenUsed/>
    <w:qFormat/>
    <w:rsid w:val="00160604"/>
    <w:pPr>
      <w:spacing w:after="0" w:line="240" w:lineRule="auto"/>
    </w:pPr>
    <w:rPr>
      <w:sz w:val="20"/>
      <w:szCs w:val="20"/>
    </w:rPr>
  </w:style>
  <w:style w:type="character" w:customStyle="1" w:styleId="FootnoteTextChar1">
    <w:name w:val="Footnote Text Char1"/>
    <w:aliases w:val="Footnote Text Char Char Char,Footnote Text Char Char3 Char Char Char Char Char,Footnote Text Char1 Char1 Char Char,Footnote Text Char2 Char,Footnote Text Char3 Char1 Char Char Char Char,Footnote Text Char4 Char Char Char Char,f Char1"/>
    <w:basedOn w:val="DefaultParagraphFont"/>
    <w:link w:val="FootnoteText"/>
    <w:uiPriority w:val="99"/>
    <w:semiHidden/>
    <w:rsid w:val="00160604"/>
    <w:rPr>
      <w:sz w:val="20"/>
      <w:szCs w:val="20"/>
    </w:rPr>
  </w:style>
  <w:style w:type="character" w:styleId="Hyperlink">
    <w:name w:val="Hyperlink"/>
    <w:basedOn w:val="DefaultParagraphFont"/>
    <w:uiPriority w:val="99"/>
    <w:unhideWhenUsed/>
    <w:rsid w:val="00160604"/>
    <w:rPr>
      <w:color w:val="0563C1" w:themeColor="hyperlink"/>
      <w:u w:val="single"/>
    </w:rPr>
  </w:style>
  <w:style w:type="paragraph" w:styleId="Header">
    <w:name w:val="header"/>
    <w:basedOn w:val="Normal"/>
    <w:link w:val="HeaderChar1"/>
    <w:uiPriority w:val="99"/>
    <w:unhideWhenUsed/>
    <w:rsid w:val="0016060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60604"/>
  </w:style>
  <w:style w:type="paragraph" w:styleId="Footer">
    <w:name w:val="footer"/>
    <w:basedOn w:val="Normal"/>
    <w:link w:val="FooterChar1"/>
    <w:uiPriority w:val="99"/>
    <w:unhideWhenUsed/>
    <w:rsid w:val="0016060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60604"/>
  </w:style>
  <w:style w:type="paragraph" w:styleId="BalloonText">
    <w:name w:val="Balloon Text"/>
    <w:basedOn w:val="Normal"/>
    <w:link w:val="BalloonTextChar"/>
    <w:uiPriority w:val="99"/>
    <w:semiHidden/>
    <w:unhideWhenUsed/>
    <w:rsid w:val="0016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04"/>
    <w:rPr>
      <w:rFonts w:ascii="Segoe UI" w:hAnsi="Segoe UI" w:cs="Segoe UI"/>
      <w:sz w:val="18"/>
      <w:szCs w:val="18"/>
    </w:rPr>
  </w:style>
  <w:style w:type="paragraph" w:styleId="ListParagraph">
    <w:name w:val="List Paragraph"/>
    <w:basedOn w:val="Normal"/>
    <w:uiPriority w:val="34"/>
    <w:qFormat/>
    <w:rsid w:val="00BB1C03"/>
    <w:pPr>
      <w:ind w:left="720"/>
      <w:contextualSpacing/>
    </w:pPr>
  </w:style>
  <w:style w:type="paragraph" w:styleId="CommentSubject">
    <w:name w:val="annotation subject"/>
    <w:basedOn w:val="CommentText"/>
    <w:next w:val="CommentText"/>
    <w:link w:val="CommentSubjectChar"/>
    <w:uiPriority w:val="99"/>
    <w:semiHidden/>
    <w:unhideWhenUsed/>
    <w:rsid w:val="00C66EEF"/>
    <w:rPr>
      <w:b/>
      <w:bCs/>
    </w:rPr>
  </w:style>
  <w:style w:type="character" w:customStyle="1" w:styleId="CommentSubjectChar">
    <w:name w:val="Comment Subject Char"/>
    <w:basedOn w:val="CommentTextChar"/>
    <w:link w:val="CommentSubject"/>
    <w:uiPriority w:val="99"/>
    <w:semiHidden/>
    <w:rsid w:val="00C66EEF"/>
    <w:rPr>
      <w:b/>
      <w:bCs/>
      <w:sz w:val="20"/>
      <w:szCs w:val="20"/>
    </w:rPr>
  </w:style>
  <w:style w:type="paragraph" w:styleId="Revision">
    <w:name w:val="Revision"/>
    <w:hidden/>
    <w:uiPriority w:val="99"/>
    <w:semiHidden/>
    <w:rsid w:val="00C66EEF"/>
    <w:pPr>
      <w:spacing w:after="0" w:line="240" w:lineRule="auto"/>
    </w:pPr>
  </w:style>
  <w:style w:type="character" w:customStyle="1" w:styleId="UnresolvedMention1">
    <w:name w:val="Unresolved Mention1"/>
    <w:basedOn w:val="DefaultParagraphFont"/>
    <w:uiPriority w:val="99"/>
    <w:semiHidden/>
    <w:unhideWhenUsed/>
    <w:rsid w:val="001550A5"/>
    <w:rPr>
      <w:color w:val="808080"/>
      <w:shd w:val="clear" w:color="auto" w:fill="E6E6E6"/>
    </w:rPr>
  </w:style>
  <w:style w:type="character" w:customStyle="1" w:styleId="Heading2Char">
    <w:name w:val="Heading 2 Char"/>
    <w:aliases w:val="Heading 2 Char Char1 Char,Heading 2 Char Char1 Char Char Char,Heading 2 Char Char3 Char Char,Heading 2 Char1 Char Char Char Char,Heading 2 Char1 Char Char Char1,Heading 2 Char1 Char Char1,UNDERRUBRIK 1-2 Char Char,h2 Char Char"/>
    <w:basedOn w:val="DefaultParagraphFont"/>
    <w:link w:val="Heading2"/>
    <w:rsid w:val="00AD63C3"/>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D217E1"/>
    <w:pPr>
      <w:widowControl w:val="0"/>
      <w:numPr>
        <w:numId w:val="2"/>
      </w:numPr>
      <w:spacing w:after="120" w:line="240" w:lineRule="auto"/>
    </w:pPr>
    <w:rPr>
      <w:rFonts w:ascii="Times New Roman" w:eastAsia="Times New Roman" w:hAnsi="Times New Roman" w:cs="Times New Roman"/>
      <w:snapToGrid w:val="0"/>
      <w:kern w:val="28"/>
      <w:sz w:val="20"/>
      <w:szCs w:val="20"/>
    </w:rPr>
  </w:style>
  <w:style w:type="character" w:customStyle="1" w:styleId="ParaNumChar">
    <w:name w:val="ParaNum Char"/>
    <w:link w:val="ParaNum"/>
    <w:rsid w:val="00D217E1"/>
    <w:rPr>
      <w:rFonts w:ascii="Times New Roman" w:eastAsia="Times New Roman" w:hAnsi="Times New Roman" w:cs="Times New Roman"/>
      <w:snapToGrid w:val="0"/>
      <w:kern w:val="28"/>
      <w:sz w:val="20"/>
      <w:szCs w:val="20"/>
    </w:rPr>
  </w:style>
  <w:style w:type="character" w:customStyle="1" w:styleId="ParaNumCharChar1">
    <w:name w:val="ParaNum Char Char1"/>
    <w:locked/>
    <w:rsid w:val="00E91FB6"/>
    <w:rPr>
      <w:snapToGrid w:val="0"/>
      <w:kern w:val="28"/>
      <w:sz w:val="22"/>
    </w:rPr>
  </w:style>
  <w:style w:type="character" w:styleId="FollowedHyperlink">
    <w:name w:val="FollowedHyperlink"/>
    <w:basedOn w:val="DefaultParagraphFont"/>
    <w:uiPriority w:val="99"/>
    <w:semiHidden/>
    <w:unhideWhenUsed/>
    <w:rsid w:val="00423FE9"/>
    <w:rPr>
      <w:color w:val="954F72" w:themeColor="followedHyperlink"/>
      <w:u w:val="single"/>
    </w:rPr>
  </w:style>
  <w:style w:type="character" w:customStyle="1" w:styleId="Heading1Char">
    <w:name w:val="Heading 1 Char"/>
    <w:basedOn w:val="DefaultParagraphFont"/>
    <w:link w:val="Heading1"/>
    <w:uiPriority w:val="9"/>
    <w:rsid w:val="00B53497"/>
    <w:rPr>
      <w:rFonts w:ascii="Times New Roman" w:hAnsi="Times New Roman" w:eastAsiaTheme="majorEastAsia" w:cstheme="majorBidi"/>
      <w:b/>
      <w:szCs w:val="32"/>
    </w:rPr>
  </w:style>
  <w:style w:type="paragraph" w:styleId="TOCHeading">
    <w:name w:val="TOC Heading"/>
    <w:basedOn w:val="Heading1"/>
    <w:next w:val="Normal"/>
    <w:uiPriority w:val="39"/>
    <w:unhideWhenUsed/>
    <w:qFormat/>
    <w:rsid w:val="003D5331"/>
    <w:pPr>
      <w:outlineLvl w:val="9"/>
    </w:pPr>
  </w:style>
  <w:style w:type="paragraph" w:styleId="TOC2">
    <w:name w:val="toc 2"/>
    <w:basedOn w:val="Normal"/>
    <w:next w:val="Normal"/>
    <w:autoRedefine/>
    <w:uiPriority w:val="39"/>
    <w:unhideWhenUsed/>
    <w:rsid w:val="00523133"/>
    <w:pPr>
      <w:tabs>
        <w:tab w:val="left" w:pos="720"/>
        <w:tab w:val="left" w:pos="1080"/>
        <w:tab w:val="right" w:leader="dot" w:pos="9350"/>
      </w:tabs>
      <w:spacing w:after="100"/>
      <w:ind w:left="720"/>
    </w:pPr>
  </w:style>
  <w:style w:type="paragraph" w:styleId="TOC1">
    <w:name w:val="toc 1"/>
    <w:basedOn w:val="Normal"/>
    <w:next w:val="Normal"/>
    <w:autoRedefine/>
    <w:uiPriority w:val="39"/>
    <w:unhideWhenUsed/>
    <w:rsid w:val="00B357E8"/>
    <w:pPr>
      <w:tabs>
        <w:tab w:val="left" w:pos="720"/>
        <w:tab w:val="right" w:leader="dot" w:pos="9350"/>
      </w:tabs>
      <w:spacing w:after="100"/>
    </w:pPr>
    <w:rPr>
      <w:rFonts w:ascii="Times New Roman" w:eastAsia="Calibri" w:hAnsi="Times New Roman" w:cs="Times New Roman"/>
      <w:b/>
      <w:noProof/>
    </w:rPr>
  </w:style>
  <w:style w:type="paragraph" w:styleId="TOC3">
    <w:name w:val="toc 3"/>
    <w:basedOn w:val="Normal"/>
    <w:next w:val="Normal"/>
    <w:autoRedefine/>
    <w:uiPriority w:val="39"/>
    <w:unhideWhenUsed/>
    <w:rsid w:val="003D5331"/>
    <w:pPr>
      <w:spacing w:after="100"/>
      <w:ind w:left="440"/>
    </w:pPr>
    <w:rPr>
      <w:rFonts w:eastAsiaTheme="minorEastAsia" w:cs="Times New Roman"/>
    </w:rPr>
  </w:style>
  <w:style w:type="paragraph" w:styleId="NoSpacing">
    <w:name w:val="No Spacing"/>
    <w:uiPriority w:val="1"/>
    <w:qFormat/>
    <w:rsid w:val="00F02908"/>
    <w:pPr>
      <w:spacing w:after="0" w:line="240" w:lineRule="auto"/>
    </w:pPr>
  </w:style>
  <w:style w:type="character" w:customStyle="1" w:styleId="Heading3Char">
    <w:name w:val="Heading 3 Char"/>
    <w:basedOn w:val="DefaultParagraphFont"/>
    <w:link w:val="Heading3"/>
    <w:uiPriority w:val="9"/>
    <w:rsid w:val="002951D3"/>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865A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deralregister.gov/documents/2022/02/18/2022-03348/auction-of-construction-permits-for-full-power-television-stations-notice-and-filing-requirements" TargetMode="Externa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https://www.fcc.gov/auction/112" TargetMode="External" /><Relationship Id="rId8" Type="http://schemas.openxmlformats.org/officeDocument/2006/relationships/hyperlink" Target="https://www.fcc.gov/document/auction-104-lptv-and-tv-translator-permits-procedures-and-deadlines" TargetMode="External" /><Relationship Id="rId9" Type="http://schemas.openxmlformats.org/officeDocument/2006/relationships/hyperlink" Target="https://www.fcc.gov/document/auction-112-tv-construction-permits-procedures-and-deadline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