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B5008" w14:paraId="5E49A231" w14:textId="77777777">
      <w:pPr>
        <w:jc w:val="right"/>
        <w:rPr>
          <w:sz w:val="24"/>
        </w:rPr>
      </w:pPr>
    </w:p>
    <w:p w:rsidR="009B5008" w14:paraId="32BB494B" w14:textId="54DFC547">
      <w:pPr>
        <w:jc w:val="right"/>
        <w:rPr>
          <w:b/>
          <w:sz w:val="24"/>
        </w:rPr>
      </w:pPr>
      <w:r>
        <w:rPr>
          <w:b/>
          <w:sz w:val="24"/>
        </w:rPr>
        <w:t>DA 22-</w:t>
      </w:r>
      <w:r w:rsidR="00463F1B">
        <w:rPr>
          <w:b/>
          <w:sz w:val="24"/>
        </w:rPr>
        <w:t>475</w:t>
      </w:r>
    </w:p>
    <w:p w:rsidR="009B5008" w14:paraId="55F7A2E7" w14:textId="5BCB3E06">
      <w:pPr>
        <w:spacing w:before="60"/>
        <w:jc w:val="right"/>
        <w:rPr>
          <w:b/>
          <w:sz w:val="24"/>
        </w:rPr>
      </w:pPr>
      <w:r>
        <w:rPr>
          <w:b/>
          <w:sz w:val="24"/>
        </w:rPr>
        <w:t xml:space="preserve">Released:  </w:t>
      </w:r>
      <w:r w:rsidR="00424650">
        <w:rPr>
          <w:b/>
          <w:sz w:val="24"/>
        </w:rPr>
        <w:t>May 3</w:t>
      </w:r>
      <w:r w:rsidR="000A5857">
        <w:rPr>
          <w:b/>
          <w:sz w:val="24"/>
        </w:rPr>
        <w:t>, 2022</w:t>
      </w:r>
    </w:p>
    <w:p w:rsidR="009B5008" w14:paraId="18315DE6" w14:textId="77777777">
      <w:pPr>
        <w:jc w:val="right"/>
        <w:rPr>
          <w:sz w:val="24"/>
        </w:rPr>
      </w:pPr>
    </w:p>
    <w:p w:rsidR="000A5857" w:rsidP="000A5857" w14:paraId="66EA38B4" w14:textId="398BB06B">
      <w:pPr>
        <w:spacing w:after="240"/>
        <w:jc w:val="center"/>
        <w:rPr>
          <w:rFonts w:ascii="Times New Roman Bold" w:hAnsi="Times New Roman Bold"/>
          <w:b/>
          <w:caps/>
          <w:sz w:val="24"/>
        </w:rPr>
      </w:pPr>
      <w:r w:rsidRPr="005B2CF2">
        <w:rPr>
          <w:rFonts w:ascii="Times New Roman Bold" w:hAnsi="Times New Roman Bold"/>
          <w:b/>
          <w:caps/>
          <w:sz w:val="24"/>
        </w:rPr>
        <w:t xml:space="preserve">Wireless Telecommunications bureau </w:t>
      </w:r>
      <w:r w:rsidRPr="005B2CF2" w:rsidR="009F77C0">
        <w:rPr>
          <w:rFonts w:ascii="Times New Roman Bold" w:hAnsi="Times New Roman Bold"/>
          <w:b/>
          <w:caps/>
          <w:sz w:val="24"/>
        </w:rPr>
        <w:t>Begin</w:t>
      </w:r>
      <w:r w:rsidR="00E06AE8">
        <w:rPr>
          <w:rFonts w:ascii="Times New Roman Bold" w:hAnsi="Times New Roman Bold"/>
          <w:b/>
          <w:caps/>
          <w:sz w:val="24"/>
        </w:rPr>
        <w:t>s</w:t>
      </w:r>
      <w:r w:rsidRPr="005B2CF2" w:rsidR="009F77C0">
        <w:rPr>
          <w:rFonts w:ascii="Times New Roman Bold" w:hAnsi="Times New Roman Bold"/>
          <w:b/>
          <w:caps/>
          <w:sz w:val="24"/>
        </w:rPr>
        <w:t xml:space="preserve"> accepting </w:t>
      </w:r>
      <w:r w:rsidRPr="005B2CF2">
        <w:rPr>
          <w:rFonts w:ascii="Times New Roman Bold" w:hAnsi="Times New Roman Bold"/>
          <w:b/>
          <w:caps/>
          <w:sz w:val="24"/>
        </w:rPr>
        <w:t xml:space="preserve"> contraband interdiction system </w:t>
      </w:r>
      <w:r w:rsidR="00E06AE8">
        <w:rPr>
          <w:rFonts w:ascii="Times New Roman Bold" w:hAnsi="Times New Roman Bold"/>
          <w:b/>
          <w:caps/>
          <w:sz w:val="24"/>
        </w:rPr>
        <w:t xml:space="preserve">CerTIFICATION </w:t>
      </w:r>
      <w:r w:rsidRPr="005B2CF2">
        <w:rPr>
          <w:rFonts w:ascii="Times New Roman Bold" w:hAnsi="Times New Roman Bold"/>
          <w:b/>
          <w:caps/>
          <w:sz w:val="24"/>
        </w:rPr>
        <w:t xml:space="preserve">aPPLICATIONS and </w:t>
      </w:r>
      <w:r w:rsidRPr="005B2CF2" w:rsidR="009F77C0">
        <w:rPr>
          <w:rFonts w:ascii="Times New Roman Bold" w:hAnsi="Times New Roman Bold"/>
          <w:b/>
          <w:caps/>
          <w:sz w:val="24"/>
        </w:rPr>
        <w:t xml:space="preserve">Designated </w:t>
      </w:r>
      <w:r w:rsidRPr="005B2CF2" w:rsidR="005B2CF2">
        <w:rPr>
          <w:rFonts w:ascii="Times New Roman Bold" w:hAnsi="Times New Roman Bold"/>
          <w:b/>
          <w:caps/>
          <w:sz w:val="24"/>
        </w:rPr>
        <w:t xml:space="preserve">Correctional facility official requests </w:t>
      </w:r>
    </w:p>
    <w:p w:rsidR="000A5857" w:rsidP="000A5857" w14:paraId="428E4B99" w14:textId="7ECD2E18">
      <w:pPr>
        <w:jc w:val="center"/>
        <w:rPr>
          <w:b/>
          <w:szCs w:val="22"/>
        </w:rPr>
      </w:pPr>
      <w:r>
        <w:rPr>
          <w:b/>
          <w:sz w:val="24"/>
        </w:rPr>
        <w:t>GN Docket No. 13-111</w:t>
      </w:r>
      <w:r>
        <w:rPr>
          <w:b/>
          <w:szCs w:val="22"/>
        </w:rPr>
        <w:t xml:space="preserve"> </w:t>
      </w:r>
    </w:p>
    <w:p w:rsidR="009B5008" w14:paraId="338565DC" w14:textId="60FA23DA">
      <w:pPr>
        <w:rPr>
          <w:b/>
          <w:sz w:val="24"/>
        </w:rPr>
      </w:pPr>
      <w:bookmarkStart w:id="0" w:name="TOChere"/>
    </w:p>
    <w:p w:rsidR="005E1D71" w:rsidP="00497213" w14:paraId="75BCAA1F" w14:textId="423318C2">
      <w:pPr>
        <w:pStyle w:val="ParaNum"/>
        <w:numPr>
          <w:ilvl w:val="0"/>
          <w:numId w:val="0"/>
        </w:numPr>
        <w:ind w:firstLine="720"/>
      </w:pPr>
      <w:r>
        <w:t>By</w:t>
      </w:r>
      <w:r w:rsidR="000C630E">
        <w:t xml:space="preserve"> this Public Notice, </w:t>
      </w:r>
      <w:r w:rsidRPr="00E102A1" w:rsidR="000C630E">
        <w:t>the Wireless Telecommunications Bureau (Bureau)</w:t>
      </w:r>
      <w:r w:rsidR="000C630E">
        <w:t xml:space="preserve"> announces that</w:t>
      </w:r>
      <w:r w:rsidR="0078548E">
        <w:t xml:space="preserve"> it will</w:t>
      </w:r>
      <w:r w:rsidR="000C630E">
        <w:t xml:space="preserve"> </w:t>
      </w:r>
      <w:r w:rsidR="0078548E">
        <w:t xml:space="preserve">immediately </w:t>
      </w:r>
      <w:r w:rsidR="00AA6A0F">
        <w:t xml:space="preserve">begin </w:t>
      </w:r>
      <w:r w:rsidR="000C630E">
        <w:t>accept</w:t>
      </w:r>
      <w:r w:rsidR="00AA6A0F">
        <w:t>ing</w:t>
      </w:r>
      <w:r w:rsidR="00AC77BC">
        <w:t>: (1)</w:t>
      </w:r>
      <w:r w:rsidR="000C630E">
        <w:t xml:space="preserve"> applications for certification of </w:t>
      </w:r>
      <w:r w:rsidR="0078548E">
        <w:t>Contraband Interdiction System</w:t>
      </w:r>
      <w:r w:rsidR="00DC4D49">
        <w:t>s</w:t>
      </w:r>
      <w:r w:rsidR="0078548E">
        <w:t xml:space="preserve"> (CIS) </w:t>
      </w:r>
      <w:r w:rsidR="00497213">
        <w:t xml:space="preserve">for use in the submission of </w:t>
      </w:r>
      <w:r w:rsidRPr="007F12D6" w:rsidR="00497213">
        <w:t xml:space="preserve">qualifying requests for </w:t>
      </w:r>
      <w:r w:rsidR="00497213">
        <w:t xml:space="preserve">the </w:t>
      </w:r>
      <w:r w:rsidRPr="007F12D6" w:rsidR="00497213">
        <w:t>disabling</w:t>
      </w:r>
      <w:r w:rsidR="00497213">
        <w:t xml:space="preserve"> of contraband wireless devices in correctional facilities</w:t>
      </w:r>
      <w:r w:rsidR="00AC77BC">
        <w:t>; and</w:t>
      </w:r>
      <w:r w:rsidR="00C50F9B">
        <w:t xml:space="preserve"> (</w:t>
      </w:r>
      <w:r w:rsidR="00AC77BC">
        <w:t xml:space="preserve">2) requests to become </w:t>
      </w:r>
      <w:r w:rsidR="00DC4D49">
        <w:t xml:space="preserve">a </w:t>
      </w:r>
      <w:r w:rsidR="00AC77BC">
        <w:t>Designated Correctional Facility Official (DC</w:t>
      </w:r>
      <w:r w:rsidR="00AA6A0F">
        <w:t>F</w:t>
      </w:r>
      <w:r w:rsidR="00AC77BC">
        <w:t>O)</w:t>
      </w:r>
      <w:r w:rsidR="00AA6A0F">
        <w:t>.</w:t>
      </w:r>
      <w:r>
        <w:rPr>
          <w:rStyle w:val="FootnoteReference"/>
        </w:rPr>
        <w:footnoteReference w:id="3"/>
      </w:r>
      <w:r w:rsidR="00A11DEB">
        <w:t xml:space="preserve"> </w:t>
      </w:r>
    </w:p>
    <w:p w:rsidR="006529AD" w:rsidRPr="006529AD" w:rsidP="006529AD" w14:paraId="2500BCDE" w14:textId="37FBECAC">
      <w:pPr>
        <w:pStyle w:val="ParaNum"/>
        <w:numPr>
          <w:ilvl w:val="0"/>
          <w:numId w:val="0"/>
        </w:numPr>
        <w:ind w:firstLine="720"/>
        <w:rPr>
          <w:szCs w:val="22"/>
        </w:rPr>
      </w:pPr>
      <w:r w:rsidRPr="00A122EF">
        <w:t xml:space="preserve">On July 13, 2021, the Commission released the </w:t>
      </w:r>
      <w:r w:rsidRPr="00A122EF">
        <w:rPr>
          <w:i/>
          <w:iCs/>
        </w:rPr>
        <w:t xml:space="preserve">Second Report and Order </w:t>
      </w:r>
      <w:r w:rsidRPr="00A122EF">
        <w:t>in this proceeding, which adopted a framework requiring the disabling of contraband wireless devices detected in correctional facilities upon satisfaction of certain criteria.</w:t>
      </w:r>
      <w:r>
        <w:rPr>
          <w:rStyle w:val="FootnoteReference"/>
        </w:rPr>
        <w:footnoteReference w:id="4"/>
      </w:r>
      <w:r w:rsidRPr="00A122EF">
        <w:t xml:space="preserve">  </w:t>
      </w:r>
      <w:r w:rsidR="00C50F9B">
        <w:t xml:space="preserve">As directed in the </w:t>
      </w:r>
      <w:r w:rsidRPr="00A122EF" w:rsidR="00C50F9B">
        <w:rPr>
          <w:i/>
          <w:iCs/>
        </w:rPr>
        <w:t>Second Report and Order</w:t>
      </w:r>
      <w:r w:rsidR="00C50F9B">
        <w:rPr>
          <w:i/>
          <w:iCs/>
        </w:rPr>
        <w:t>,</w:t>
      </w:r>
      <w:r w:rsidRPr="00A122EF" w:rsidR="00C50F9B">
        <w:rPr>
          <w:i/>
          <w:iCs/>
        </w:rPr>
        <w:t xml:space="preserve"> </w:t>
      </w:r>
      <w:r w:rsidR="00C50F9B">
        <w:t>o</w:t>
      </w:r>
      <w:r w:rsidR="00AA6A0F">
        <w:t>n December 17, 2021,</w:t>
      </w:r>
      <w:r w:rsidR="00C50F9B">
        <w:t xml:space="preserve"> </w:t>
      </w:r>
      <w:r w:rsidRPr="00497213" w:rsidR="00A11DEB">
        <w:t xml:space="preserve">the Bureau </w:t>
      </w:r>
      <w:r w:rsidR="00C50F9B">
        <w:t xml:space="preserve">released the </w:t>
      </w:r>
      <w:r w:rsidRPr="00497213" w:rsidR="00497213">
        <w:rPr>
          <w:i/>
          <w:iCs/>
          <w:szCs w:val="22"/>
        </w:rPr>
        <w:t>Guidance P</w:t>
      </w:r>
      <w:r w:rsidR="00497213">
        <w:rPr>
          <w:i/>
          <w:iCs/>
          <w:szCs w:val="22"/>
        </w:rPr>
        <w:t>ublic Notice</w:t>
      </w:r>
      <w:r w:rsidR="00C50F9B">
        <w:rPr>
          <w:i/>
          <w:iCs/>
          <w:szCs w:val="22"/>
        </w:rPr>
        <w:t>,</w:t>
      </w:r>
      <w:r>
        <w:rPr>
          <w:rStyle w:val="FootnoteReference"/>
        </w:rPr>
        <w:footnoteReference w:id="5"/>
      </w:r>
      <w:r w:rsidR="00AA6A0F">
        <w:t xml:space="preserve"> </w:t>
      </w:r>
      <w:r w:rsidR="00C50F9B">
        <w:t xml:space="preserve">providing guidance </w:t>
      </w:r>
      <w:r w:rsidRPr="00497213" w:rsidR="00A11DEB">
        <w:rPr>
          <w:szCs w:val="22"/>
        </w:rPr>
        <w:t xml:space="preserve">for applicants </w:t>
      </w:r>
      <w:r w:rsidR="00C50F9B">
        <w:rPr>
          <w:szCs w:val="22"/>
        </w:rPr>
        <w:t xml:space="preserve">regarding the submission of </w:t>
      </w:r>
      <w:r w:rsidR="00CE4B57">
        <w:rPr>
          <w:szCs w:val="22"/>
        </w:rPr>
        <w:t xml:space="preserve">CIS </w:t>
      </w:r>
      <w:r w:rsidRPr="00497213" w:rsidR="00A11DEB">
        <w:rPr>
          <w:szCs w:val="22"/>
        </w:rPr>
        <w:t>certification application</w:t>
      </w:r>
      <w:r w:rsidR="00C50F9B">
        <w:rPr>
          <w:szCs w:val="22"/>
        </w:rPr>
        <w:t>s</w:t>
      </w:r>
      <w:r w:rsidRPr="00497213" w:rsidR="00A11DEB">
        <w:rPr>
          <w:szCs w:val="22"/>
        </w:rPr>
        <w:t xml:space="preserve"> to the Bureau </w:t>
      </w:r>
      <w:r>
        <w:rPr>
          <w:szCs w:val="22"/>
        </w:rPr>
        <w:t xml:space="preserve">that </w:t>
      </w:r>
      <w:r w:rsidRPr="00497213" w:rsidR="00A11DEB">
        <w:rPr>
          <w:szCs w:val="22"/>
        </w:rPr>
        <w:t>describ</w:t>
      </w:r>
      <w:r>
        <w:rPr>
          <w:szCs w:val="22"/>
        </w:rPr>
        <w:t xml:space="preserve">e </w:t>
      </w:r>
      <w:r w:rsidRPr="00497213" w:rsidR="00A11DEB">
        <w:rPr>
          <w:szCs w:val="22"/>
        </w:rPr>
        <w:t>the legal and technical qualifications of the system that the applicant seeks to use as the basis for qualifying requests for contraband device disabling.</w:t>
      </w:r>
      <w:r>
        <w:rPr>
          <w:rStyle w:val="FootnoteReference"/>
          <w:szCs w:val="22"/>
        </w:rPr>
        <w:footnoteReference w:id="6"/>
      </w:r>
      <w:r w:rsidR="009F77C0">
        <w:rPr>
          <w:szCs w:val="22"/>
        </w:rPr>
        <w:t xml:space="preserve">  </w:t>
      </w:r>
      <w:r w:rsidR="00DC4D49">
        <w:t>T</w:t>
      </w:r>
      <w:r w:rsidR="009F77C0">
        <w:t>he</w:t>
      </w:r>
      <w:r w:rsidRPr="008D4199" w:rsidR="009F77C0">
        <w:t xml:space="preserve"> </w:t>
      </w:r>
      <w:r w:rsidRPr="008D4199" w:rsidR="009F77C0">
        <w:rPr>
          <w:i/>
          <w:iCs/>
        </w:rPr>
        <w:t>Second Report and Order</w:t>
      </w:r>
      <w:r w:rsidR="009F77C0">
        <w:t xml:space="preserve"> </w:t>
      </w:r>
      <w:r>
        <w:t xml:space="preserve">also </w:t>
      </w:r>
      <w:r w:rsidRPr="008D4199" w:rsidR="009F77C0">
        <w:t>adopted requirements for qualifying DCFOs to ensure that parties making disabling requests have the necessary authority and accountability to safeguard the integrity of the contraband device identification and disabling process.</w:t>
      </w:r>
      <w:r>
        <w:rPr>
          <w:rStyle w:val="FootnoteReference"/>
        </w:rPr>
        <w:footnoteReference w:id="7"/>
      </w:r>
      <w:r w:rsidRPr="008D4199" w:rsidR="009F77C0">
        <w:t xml:space="preserve">  </w:t>
      </w:r>
      <w:r w:rsidR="009F77C0">
        <w:t xml:space="preserve">In the </w:t>
      </w:r>
      <w:r w:rsidR="009F77C0">
        <w:rPr>
          <w:i/>
          <w:iCs/>
        </w:rPr>
        <w:t xml:space="preserve">Guidance Public </w:t>
      </w:r>
      <w:r w:rsidRPr="008D4199" w:rsidR="009F77C0">
        <w:rPr>
          <w:i/>
          <w:iCs/>
        </w:rPr>
        <w:t>Notice</w:t>
      </w:r>
      <w:r w:rsidR="009F77C0">
        <w:t>, t</w:t>
      </w:r>
      <w:r w:rsidRPr="008D4199" w:rsidR="009F77C0">
        <w:t>he</w:t>
      </w:r>
      <w:r w:rsidRPr="008C7D23" w:rsidR="009F77C0">
        <w:t xml:space="preserve"> </w:t>
      </w:r>
      <w:r w:rsidR="009F77C0">
        <w:t>Bureau outlined the procedures for individuals requesting to be DCFO</w:t>
      </w:r>
      <w:r w:rsidR="00473918">
        <w:t>s</w:t>
      </w:r>
      <w:r w:rsidRPr="008C7D23" w:rsidR="009F77C0">
        <w:t>.</w:t>
      </w:r>
      <w:r>
        <w:rPr>
          <w:rStyle w:val="FootnoteReference"/>
        </w:rPr>
        <w:footnoteReference w:id="8"/>
      </w:r>
      <w:r w:rsidRPr="008C7D23" w:rsidR="009F77C0">
        <w:t xml:space="preserve">  </w:t>
      </w:r>
      <w:r>
        <w:t xml:space="preserve"> </w:t>
      </w:r>
    </w:p>
    <w:p w:rsidR="00780A5D" w:rsidP="00780A5D" w14:paraId="546B0059" w14:textId="2A5BD738">
      <w:pPr>
        <w:pStyle w:val="ParaNum"/>
        <w:numPr>
          <w:ilvl w:val="0"/>
          <w:numId w:val="0"/>
        </w:numPr>
        <w:ind w:firstLine="720"/>
      </w:pPr>
      <w:r>
        <w:t xml:space="preserve">For further information </w:t>
      </w:r>
      <w:r w:rsidRPr="00060A4A">
        <w:t>re</w:t>
      </w:r>
      <w:r w:rsidRPr="00226403">
        <w:t xml:space="preserve">garding this </w:t>
      </w:r>
      <w:r w:rsidRPr="004F3323">
        <w:rPr>
          <w:iCs/>
        </w:rPr>
        <w:t>Public Notice</w:t>
      </w:r>
      <w:r w:rsidRPr="00DC4D49" w:rsidR="00DC4D49">
        <w:rPr>
          <w:iCs/>
        </w:rPr>
        <w:t>, please contac</w:t>
      </w:r>
      <w:r w:rsidR="00DC4D49">
        <w:t>t</w:t>
      </w:r>
      <w:r w:rsidRPr="00226403">
        <w:t xml:space="preserve"> </w:t>
      </w:r>
      <w:r w:rsidR="009F77C0">
        <w:t>Halie Peacher</w:t>
      </w:r>
      <w:r w:rsidRPr="00226403">
        <w:t>, Attorney Advisor, WT</w:t>
      </w:r>
      <w:r w:rsidRPr="00885F34">
        <w:t>B, Mobility Division at (202) 418-</w:t>
      </w:r>
      <w:r w:rsidR="009F77C0">
        <w:t>0514</w:t>
      </w:r>
      <w:r w:rsidRPr="00885F34">
        <w:t xml:space="preserve"> or </w:t>
      </w:r>
      <w:hyperlink r:id="rId5" w:history="1">
        <w:r w:rsidRPr="00993A47" w:rsidR="009F77C0">
          <w:rPr>
            <w:rStyle w:val="Hyperlink"/>
          </w:rPr>
          <w:t>Halie.Peacher@fcc.gov</w:t>
        </w:r>
      </w:hyperlink>
      <w:r>
        <w:t xml:space="preserve">. </w:t>
      </w:r>
    </w:p>
    <w:p w:rsidR="000A5857" w:rsidP="0042175B" w14:paraId="01222DDE" w14:textId="7F679509">
      <w:pPr>
        <w:pStyle w:val="ParaNum"/>
        <w:numPr>
          <w:ilvl w:val="0"/>
          <w:numId w:val="0"/>
        </w:numPr>
        <w:jc w:val="center"/>
      </w:pPr>
      <w:r w:rsidRPr="00780A5D">
        <w:rPr>
          <w:b/>
          <w:bCs/>
        </w:rPr>
        <w:t>-FCC-</w:t>
      </w:r>
      <w:bookmarkEnd w:id="0"/>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008" w14:paraId="5AA49FE1" w14:textId="77777777">
    <w:pPr>
      <w:pStyle w:val="Footer"/>
      <w:framePr w:wrap="around" w:vAnchor="text" w:hAnchor="margin" w:xAlign="center" w:y="1"/>
    </w:pPr>
    <w:r>
      <w:fldChar w:fldCharType="begin"/>
    </w:r>
    <w:r>
      <w:instrText xml:space="preserve">PAGE  </w:instrText>
    </w:r>
    <w:r>
      <w:fldChar w:fldCharType="separate"/>
    </w:r>
    <w:r>
      <w:fldChar w:fldCharType="end"/>
    </w:r>
  </w:p>
  <w:p w:rsidR="009B5008" w14:paraId="78966C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008" w14:paraId="7A31C24E"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008" w14:paraId="38710F9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445CE" w14:paraId="44BA007A" w14:textId="77777777">
      <w:r>
        <w:separator/>
      </w:r>
    </w:p>
  </w:footnote>
  <w:footnote w:type="continuationSeparator" w:id="1">
    <w:p w:rsidR="004445CE" w14:paraId="5DF3BF7E" w14:textId="77777777">
      <w:pPr>
        <w:rPr>
          <w:sz w:val="20"/>
        </w:rPr>
      </w:pPr>
      <w:r>
        <w:rPr>
          <w:sz w:val="20"/>
        </w:rPr>
        <w:t xml:space="preserve">(Continued from previous page)  </w:t>
      </w:r>
      <w:r>
        <w:rPr>
          <w:sz w:val="20"/>
        </w:rPr>
        <w:separator/>
      </w:r>
    </w:p>
  </w:footnote>
  <w:footnote w:type="continuationNotice" w:id="2">
    <w:p w:rsidR="004445CE" w14:paraId="6977492A" w14:textId="77777777">
      <w:pPr>
        <w:jc w:val="right"/>
        <w:rPr>
          <w:sz w:val="20"/>
        </w:rPr>
      </w:pPr>
      <w:r>
        <w:rPr>
          <w:sz w:val="20"/>
        </w:rPr>
        <w:t>(continued….)</w:t>
      </w:r>
    </w:p>
  </w:footnote>
  <w:footnote w:id="3">
    <w:p w:rsidR="006529AD" w14:paraId="6C48FFDB" w14:textId="40481C8E">
      <w:pPr>
        <w:pStyle w:val="FootnoteText"/>
      </w:pPr>
      <w:r>
        <w:rPr>
          <w:rStyle w:val="FootnoteReference"/>
        </w:rPr>
        <w:footnoteRef/>
      </w:r>
      <w:r>
        <w:t xml:space="preserve"> </w:t>
      </w:r>
      <w:r>
        <w:rPr>
          <w:szCs w:val="22"/>
        </w:rPr>
        <w:t>On</w:t>
      </w:r>
      <w:r w:rsidR="00424650">
        <w:rPr>
          <w:szCs w:val="22"/>
        </w:rPr>
        <w:t xml:space="preserve"> May 3,</w:t>
      </w:r>
      <w:r>
        <w:rPr>
          <w:szCs w:val="22"/>
        </w:rPr>
        <w:t xml:space="preserve"> 2022, the Bureau announced that the rules adopted in the </w:t>
      </w:r>
      <w:r w:rsidRPr="00A122EF">
        <w:rPr>
          <w:i/>
          <w:iCs/>
        </w:rPr>
        <w:t>Second Report and Order</w:t>
      </w:r>
      <w:r>
        <w:t xml:space="preserve"> requiring OMB approval were immediately effective.</w:t>
      </w:r>
      <w:r w:rsidR="00B745C8">
        <w:t xml:space="preserve">  </w:t>
      </w:r>
      <w:r w:rsidRPr="004F3323" w:rsidR="00B745C8">
        <w:rPr>
          <w:i/>
          <w:iCs/>
        </w:rPr>
        <w:t>See</w:t>
      </w:r>
      <w:r w:rsidR="00B745C8">
        <w:t xml:space="preserve"> </w:t>
      </w:r>
      <w:r w:rsidR="00B614E3">
        <w:t xml:space="preserve">Wireless Telecommunications Bureau Announces Effective Date for Certain Contraband Interdiction System Rules, GN Docket No. 13-111, Public Notice, </w:t>
      </w:r>
      <w:r w:rsidR="00B745C8">
        <w:t>DA 22-</w:t>
      </w:r>
      <w:r w:rsidR="0039131A">
        <w:t>47</w:t>
      </w:r>
      <w:r w:rsidR="00FA0278">
        <w:t>4</w:t>
      </w:r>
      <w:r w:rsidR="00B614E3">
        <w:t xml:space="preserve"> (</w:t>
      </w:r>
      <w:r w:rsidR="00424650">
        <w:t>May 3,</w:t>
      </w:r>
      <w:r w:rsidR="00B614E3">
        <w:t xml:space="preserve"> 2022).</w:t>
      </w:r>
    </w:p>
  </w:footnote>
  <w:footnote w:id="4">
    <w:p w:rsidR="006351DB" w:rsidRPr="00B71BF2" w:rsidP="006351DB" w14:paraId="3CD5E8D5" w14:textId="7C71EA85">
      <w:pPr>
        <w:pStyle w:val="FootnoteText"/>
      </w:pPr>
      <w:r w:rsidRPr="00B71BF2">
        <w:rPr>
          <w:rStyle w:val="FootnoteReference"/>
        </w:rPr>
        <w:footnoteRef/>
      </w:r>
      <w:r w:rsidRPr="00B71BF2">
        <w:t xml:space="preserve"> </w:t>
      </w:r>
      <w:r w:rsidRPr="009920F3">
        <w:rPr>
          <w:i/>
        </w:rPr>
        <w:t>See</w:t>
      </w:r>
      <w:r w:rsidRPr="009920F3">
        <w:t xml:space="preserve"> </w:t>
      </w:r>
      <w:r w:rsidRPr="009920F3">
        <w:rPr>
          <w:i/>
        </w:rPr>
        <w:t>In the Matter of Promoting Technological Solutions to Combat Contraband Wireless Device Use in Correctional</w:t>
      </w:r>
      <w:r w:rsidRPr="009920F3">
        <w:rPr>
          <w:i/>
          <w:iCs/>
        </w:rPr>
        <w:t xml:space="preserve"> </w:t>
      </w:r>
      <w:r w:rsidRPr="009920F3">
        <w:rPr>
          <w:i/>
        </w:rPr>
        <w:t>Facilities</w:t>
      </w:r>
      <w:r w:rsidRPr="009920F3">
        <w:t xml:space="preserve">, GN Docket No. 13-111, Second Report and Order and Second Further Notice of Proposed Rulemaking, </w:t>
      </w:r>
      <w:r w:rsidRPr="004502D3" w:rsidR="002002AB">
        <w:t xml:space="preserve">36 FCC </w:t>
      </w:r>
      <w:r w:rsidRPr="004502D3" w:rsidR="002002AB">
        <w:t>Rcd</w:t>
      </w:r>
      <w:r w:rsidRPr="004502D3" w:rsidR="002002AB">
        <w:t xml:space="preserve"> 11813</w:t>
      </w:r>
      <w:r>
        <w:t xml:space="preserve">, </w:t>
      </w:r>
      <w:r w:rsidR="002002AB">
        <w:t>11814</w:t>
      </w:r>
      <w:r>
        <w:t xml:space="preserve">, para. 2 </w:t>
      </w:r>
      <w:r w:rsidRPr="009920F3">
        <w:t>(2021) (</w:t>
      </w:r>
      <w:r w:rsidRPr="009920F3">
        <w:rPr>
          <w:i/>
        </w:rPr>
        <w:t>Second Report and Order</w:t>
      </w:r>
      <w:r w:rsidRPr="009920F3">
        <w:t xml:space="preserve">); </w:t>
      </w:r>
      <w:r w:rsidRPr="009920F3">
        <w:rPr>
          <w:i/>
        </w:rPr>
        <w:t>see also</w:t>
      </w:r>
      <w:r w:rsidRPr="009920F3">
        <w:t xml:space="preserve"> </w:t>
      </w:r>
      <w:r w:rsidRPr="009920F3">
        <w:rPr>
          <w:i/>
        </w:rPr>
        <w:t>In the Matter of Promoting Technological Solutions to Combat Contraband Wireless Device Use in Correctional Facilities</w:t>
      </w:r>
      <w:r w:rsidRPr="009920F3">
        <w:t>, GN Docket No. 13-111, Erratum (rel. Aug. 3, 2021).</w:t>
      </w:r>
    </w:p>
  </w:footnote>
  <w:footnote w:id="5">
    <w:p w:rsidR="00AA6A0F" w:rsidRPr="005B2CF2" w:rsidP="00AA6A0F" w14:paraId="79A38612" w14:textId="3D49ABBC">
      <w:pPr>
        <w:pStyle w:val="FootnoteText"/>
      </w:pPr>
      <w:r w:rsidRPr="005B2CF2">
        <w:rPr>
          <w:rStyle w:val="FootnoteReference"/>
          <w:sz w:val="20"/>
        </w:rPr>
        <w:footnoteRef/>
      </w:r>
      <w:r w:rsidRPr="005B2CF2">
        <w:t xml:space="preserve"> </w:t>
      </w:r>
      <w:r w:rsidRPr="005B2CF2">
        <w:rPr>
          <w:i/>
          <w:iCs/>
        </w:rPr>
        <w:t>Wireless Telecommunications Bureau Provides Guidance for Filing Contraband Interdiction System Certification Applications and Self-Certifications</w:t>
      </w:r>
      <w:r>
        <w:t>, GN Docket No. 13-111, DA 21-1572 (WTB 2021) (</w:t>
      </w:r>
      <w:r>
        <w:rPr>
          <w:i/>
          <w:iCs/>
        </w:rPr>
        <w:t>Guidance Public Notice</w:t>
      </w:r>
      <w:r>
        <w:t xml:space="preserve">). </w:t>
      </w:r>
    </w:p>
  </w:footnote>
  <w:footnote w:id="6">
    <w:p w:rsidR="00A11DEB" w:rsidRPr="005B2CF2" w14:paraId="1A39C7E7" w14:textId="4E034BAB">
      <w:pPr>
        <w:pStyle w:val="FootnoteText"/>
      </w:pPr>
      <w:r>
        <w:rPr>
          <w:rStyle w:val="FootnoteReference"/>
        </w:rPr>
        <w:footnoteRef/>
      </w:r>
      <w:r>
        <w:t xml:space="preserve"> </w:t>
      </w:r>
      <w:r w:rsidR="005B2CF2">
        <w:rPr>
          <w:i/>
          <w:iCs/>
        </w:rPr>
        <w:t>Guidance Public Notice</w:t>
      </w:r>
      <w:r w:rsidR="005B2CF2">
        <w:t>, at 2-4, paras. 5-6, 9-10.</w:t>
      </w:r>
    </w:p>
  </w:footnote>
  <w:footnote w:id="7">
    <w:p w:rsidR="009F77C0" w:rsidP="009F77C0" w14:paraId="61610664" w14:textId="3B07505A">
      <w:pPr>
        <w:pStyle w:val="FootnoteText"/>
      </w:pPr>
      <w:r>
        <w:rPr>
          <w:rStyle w:val="FootnoteReference"/>
        </w:rPr>
        <w:footnoteRef/>
      </w:r>
      <w:r>
        <w:t xml:space="preserve"> </w:t>
      </w:r>
      <w:r w:rsidRPr="00F221BC">
        <w:rPr>
          <w:i/>
          <w:iCs/>
        </w:rPr>
        <w:t>See Second Report and Order</w:t>
      </w:r>
      <w:r w:rsidRPr="005B2CF2">
        <w:t>,</w:t>
      </w:r>
      <w:r>
        <w:t xml:space="preserve"> </w:t>
      </w:r>
      <w:r w:rsidR="002002AB">
        <w:t xml:space="preserve">36 FCC </w:t>
      </w:r>
      <w:r w:rsidR="002002AB">
        <w:t>Rcd</w:t>
      </w:r>
      <w:r w:rsidR="002002AB">
        <w:t xml:space="preserve"> at 11817,</w:t>
      </w:r>
      <w:r>
        <w:t xml:space="preserve"> para. 17.</w:t>
      </w:r>
    </w:p>
  </w:footnote>
  <w:footnote w:id="8">
    <w:p w:rsidR="009F77C0" w:rsidP="009F77C0" w14:paraId="623F0D28" w14:textId="23FB5802">
      <w:pPr>
        <w:pStyle w:val="FootnoteText"/>
      </w:pPr>
      <w:r>
        <w:rPr>
          <w:rStyle w:val="FootnoteReference"/>
        </w:rPr>
        <w:footnoteRef/>
      </w:r>
      <w:r>
        <w:t xml:space="preserve"> </w:t>
      </w:r>
      <w:r w:rsidR="005B2CF2">
        <w:rPr>
          <w:i/>
          <w:iCs/>
        </w:rPr>
        <w:t>Guidance Public Notice</w:t>
      </w:r>
      <w:r w:rsidR="005B2CF2">
        <w:t>, at 6-7, paras.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008" w14:paraId="598B123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008" w14:paraId="6517DA11"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9B5008" w14:paraId="5F15A859" w14:textId="4F4B6FD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B5008" w14:paraId="5CE846EE" w14:textId="77777777">
    <w:pPr>
      <w:spacing w:before="40"/>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5008" w14:paraId="07626F05" w14:textId="3FF27A56">
    <w:pPr>
      <w:pStyle w:val="Header"/>
    </w:pPr>
    <w:r>
      <w:rPr>
        <w:noProof/>
        <w:snapToGrid/>
      </w:rPr>
      <w:drawing>
        <wp:inline distT="0" distB="0" distL="0" distR="0">
          <wp:extent cx="5951220" cy="1424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51220" cy="1424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2665430"/>
    <w:multiLevelType w:val="hybridMultilevel"/>
    <w:tmpl w:val="DF428E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857"/>
    <w:rsid w:val="00060A4A"/>
    <w:rsid w:val="00073F6C"/>
    <w:rsid w:val="000A5857"/>
    <w:rsid w:val="000C630E"/>
    <w:rsid w:val="001F66ED"/>
    <w:rsid w:val="002002AB"/>
    <w:rsid w:val="00226403"/>
    <w:rsid w:val="00340154"/>
    <w:rsid w:val="0039131A"/>
    <w:rsid w:val="0042175B"/>
    <w:rsid w:val="00424650"/>
    <w:rsid w:val="00425693"/>
    <w:rsid w:val="004445CE"/>
    <w:rsid w:val="004502D3"/>
    <w:rsid w:val="00463F1B"/>
    <w:rsid w:val="00473918"/>
    <w:rsid w:val="00497213"/>
    <w:rsid w:val="004F3323"/>
    <w:rsid w:val="005B2CF2"/>
    <w:rsid w:val="005E1D71"/>
    <w:rsid w:val="006351DB"/>
    <w:rsid w:val="006529AD"/>
    <w:rsid w:val="006D148B"/>
    <w:rsid w:val="006D3EBF"/>
    <w:rsid w:val="00780A5D"/>
    <w:rsid w:val="0078548E"/>
    <w:rsid w:val="007B5627"/>
    <w:rsid w:val="007F12D6"/>
    <w:rsid w:val="008528DA"/>
    <w:rsid w:val="00885F34"/>
    <w:rsid w:val="008C6C5C"/>
    <w:rsid w:val="008C7D23"/>
    <w:rsid w:val="008D4199"/>
    <w:rsid w:val="00942828"/>
    <w:rsid w:val="009920F3"/>
    <w:rsid w:val="00993A47"/>
    <w:rsid w:val="009B5008"/>
    <w:rsid w:val="009F77C0"/>
    <w:rsid w:val="00A11DEB"/>
    <w:rsid w:val="00A122EF"/>
    <w:rsid w:val="00AA6A0F"/>
    <w:rsid w:val="00AC77BC"/>
    <w:rsid w:val="00B06F78"/>
    <w:rsid w:val="00B614E3"/>
    <w:rsid w:val="00B71BF2"/>
    <w:rsid w:val="00B745C8"/>
    <w:rsid w:val="00C50F9B"/>
    <w:rsid w:val="00CC45C6"/>
    <w:rsid w:val="00CE4B57"/>
    <w:rsid w:val="00D55254"/>
    <w:rsid w:val="00DC4D49"/>
    <w:rsid w:val="00E05651"/>
    <w:rsid w:val="00E06AE8"/>
    <w:rsid w:val="00E102A1"/>
    <w:rsid w:val="00E90ABA"/>
    <w:rsid w:val="00F221BC"/>
    <w:rsid w:val="00FA027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E000982"/>
  <w15:chartTrackingRefBased/>
  <w15:docId w15:val="{4F051FB7-F950-477B-B1A1-BB3E453A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rsid w:val="00780A5D"/>
  </w:style>
  <w:style w:type="character" w:customStyle="1" w:styleId="ParaNumChar1">
    <w:name w:val="ParaNum Char1"/>
    <w:link w:val="ParaNum"/>
    <w:rsid w:val="00780A5D"/>
    <w:rPr>
      <w:snapToGrid w:val="0"/>
      <w:kern w:val="28"/>
      <w:sz w:val="22"/>
    </w:rPr>
  </w:style>
  <w:style w:type="paragraph" w:styleId="ListParagraph">
    <w:name w:val="List Paragraph"/>
    <w:basedOn w:val="Normal"/>
    <w:uiPriority w:val="34"/>
    <w:qFormat/>
    <w:rsid w:val="00780A5D"/>
    <w:pPr>
      <w:widowControl/>
      <w:spacing w:after="160" w:line="259" w:lineRule="auto"/>
      <w:ind w:left="720"/>
      <w:contextualSpacing/>
    </w:pPr>
    <w:rPr>
      <w:rFonts w:ascii="Calibri" w:eastAsia="Calibri" w:hAnsi="Calibri"/>
      <w:snapToGrid/>
      <w:kern w:val="0"/>
      <w:szCs w:val="22"/>
    </w:rPr>
  </w:style>
  <w:style w:type="paragraph" w:styleId="Revision">
    <w:name w:val="Revision"/>
    <w:hidden/>
    <w:uiPriority w:val="99"/>
    <w:semiHidden/>
    <w:rsid w:val="00B614E3"/>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Halie.Peacher@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