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F33AA" w14:paraId="63762928" w14:textId="77777777">
      <w:pPr>
        <w:jc w:val="right"/>
        <w:rPr>
          <w:sz w:val="24"/>
        </w:rPr>
      </w:pPr>
    </w:p>
    <w:p w:rsidR="004F33AA" w14:paraId="2CC320FF" w14:textId="71BFF709">
      <w:pPr>
        <w:jc w:val="right"/>
        <w:rPr>
          <w:b/>
          <w:sz w:val="24"/>
        </w:rPr>
      </w:pPr>
      <w:r>
        <w:rPr>
          <w:b/>
          <w:sz w:val="24"/>
        </w:rPr>
        <w:t>DA 22-493</w:t>
      </w:r>
    </w:p>
    <w:p w:rsidR="004F33AA" w14:paraId="54D5AFA7" w14:textId="0E19744C">
      <w:pPr>
        <w:spacing w:before="60"/>
        <w:jc w:val="right"/>
        <w:rPr>
          <w:b/>
          <w:sz w:val="24"/>
        </w:rPr>
      </w:pPr>
      <w:r>
        <w:rPr>
          <w:b/>
          <w:sz w:val="24"/>
        </w:rPr>
        <w:t xml:space="preserve">Released:  </w:t>
      </w:r>
      <w:r w:rsidR="002628D3">
        <w:rPr>
          <w:b/>
          <w:sz w:val="24"/>
        </w:rPr>
        <w:t xml:space="preserve">May </w:t>
      </w:r>
      <w:r w:rsidR="00BE48C2">
        <w:rPr>
          <w:b/>
          <w:sz w:val="24"/>
        </w:rPr>
        <w:t>9</w:t>
      </w:r>
      <w:r w:rsidR="003E6331">
        <w:rPr>
          <w:b/>
          <w:sz w:val="24"/>
        </w:rPr>
        <w:t>, 2022</w:t>
      </w:r>
    </w:p>
    <w:p w:rsidR="004F33AA" w14:paraId="24C06B6B" w14:textId="77777777">
      <w:pPr>
        <w:jc w:val="right"/>
        <w:rPr>
          <w:sz w:val="24"/>
        </w:rPr>
      </w:pPr>
    </w:p>
    <w:p w:rsidR="004F33AA" w14:paraId="04E5A1DF" w14:textId="43E74405">
      <w:pPr>
        <w:spacing w:after="240"/>
        <w:jc w:val="center"/>
        <w:rPr>
          <w:rFonts w:ascii="Times New Roman Bold" w:hAnsi="Times New Roman Bold"/>
          <w:b/>
          <w:caps/>
          <w:sz w:val="24"/>
        </w:rPr>
      </w:pPr>
      <w:r>
        <w:rPr>
          <w:rFonts w:ascii="Times New Roman Bold" w:hAnsi="Times New Roman Bold"/>
          <w:b/>
          <w:caps/>
          <w:sz w:val="24"/>
        </w:rPr>
        <w:t>Wireline COmpetition bureau reminds incumbent local exchange carriers of new tariff filing fees and new payment system</w:t>
      </w:r>
      <w:r w:rsidR="000F0B14">
        <w:rPr>
          <w:rFonts w:ascii="Times New Roman Bold" w:hAnsi="Times New Roman Bold"/>
          <w:b/>
          <w:caps/>
          <w:sz w:val="24"/>
        </w:rPr>
        <w:t xml:space="preserve"> for july 1, 2022 annual access charge tariff filings</w:t>
      </w:r>
    </w:p>
    <w:p w:rsidR="004F33AA" w14:paraId="5021373D" w14:textId="7B6ECBE0">
      <w:pPr>
        <w:jc w:val="center"/>
        <w:rPr>
          <w:b/>
          <w:sz w:val="24"/>
        </w:rPr>
      </w:pPr>
      <w:r>
        <w:rPr>
          <w:b/>
          <w:sz w:val="24"/>
        </w:rPr>
        <w:t>WC Docket No. 22-108</w:t>
      </w:r>
    </w:p>
    <w:p w:rsidR="004F33AA" w14:paraId="25510DFB" w14:textId="77777777">
      <w:bookmarkStart w:id="0" w:name="TOChere"/>
    </w:p>
    <w:p w:rsidR="006F3540" w14:paraId="0296FF51" w14:textId="66B20F6D">
      <w:r>
        <w:tab/>
        <w:t>By this Public Notice, the Wireline Competition Bureau (Bureau) reminds incumbent local exchange carriers</w:t>
      </w:r>
      <w:r w:rsidR="002628D3">
        <w:t xml:space="preserve"> (</w:t>
      </w:r>
      <w:r>
        <w:t xml:space="preserve">LECs or </w:t>
      </w:r>
      <w:r w:rsidR="002628D3">
        <w:t>carriers)</w:t>
      </w:r>
      <w:r>
        <w:t xml:space="preserve"> that </w:t>
      </w:r>
      <w:r w:rsidR="002628D3">
        <w:t xml:space="preserve">are required to file July 1, </w:t>
      </w:r>
      <w:r>
        <w:t xml:space="preserve">2022 annual access charge tariff filings </w:t>
      </w:r>
      <w:r>
        <w:t xml:space="preserve">to pay the </w:t>
      </w:r>
      <w:r w:rsidR="00FA5AB0">
        <w:t xml:space="preserve">recently </w:t>
      </w:r>
      <w:r>
        <w:t xml:space="preserve">revised </w:t>
      </w:r>
      <w:r w:rsidR="002C47E7">
        <w:t xml:space="preserve">complex </w:t>
      </w:r>
      <w:r>
        <w:t>tariff filing fees through the new payment system contained in the Commission’s Registration System (CORES).</w:t>
      </w:r>
    </w:p>
    <w:p w:rsidR="00D41E84" w:rsidP="005E78A1" w14:paraId="271CD7EE" w14:textId="59A6EDB8">
      <w:pPr>
        <w:pStyle w:val="ParaNum"/>
        <w:widowControl/>
        <w:numPr>
          <w:ilvl w:val="0"/>
          <w:numId w:val="0"/>
        </w:numPr>
        <w:spacing w:before="120" w:after="240"/>
        <w:ind w:firstLine="720"/>
      </w:pPr>
      <w:r>
        <w:t xml:space="preserve">When </w:t>
      </w:r>
      <w:r w:rsidR="008760FD">
        <w:t xml:space="preserve">incumbent LECs </w:t>
      </w:r>
      <w:r>
        <w:t>file their July 1, 2022 annual access charge tariff filing</w:t>
      </w:r>
      <w:r w:rsidR="008760FD">
        <w:t>s with the Commission</w:t>
      </w:r>
      <w:r>
        <w:t xml:space="preserve">, they must </w:t>
      </w:r>
      <w:r w:rsidR="009D2164">
        <w:t xml:space="preserve">also </w:t>
      </w:r>
      <w:r>
        <w:t>pay the associated tariff filing fee</w:t>
      </w:r>
      <w:r w:rsidR="000210DB">
        <w:t xml:space="preserve"> pursuant to section 1.1105 of the Commission’s rules</w:t>
      </w:r>
      <w:r>
        <w:t>.</w:t>
      </w:r>
      <w:r>
        <w:rPr>
          <w:rStyle w:val="FootnoteReference"/>
        </w:rPr>
        <w:footnoteReference w:id="3"/>
      </w:r>
      <w:r>
        <w:t xml:space="preserve">  W</w:t>
      </w:r>
      <w:r>
        <w:t xml:space="preserve">e remind </w:t>
      </w:r>
      <w:r w:rsidR="008760FD">
        <w:t xml:space="preserve">these </w:t>
      </w:r>
      <w:r>
        <w:t xml:space="preserve">carriers that the Commission </w:t>
      </w:r>
      <w:r w:rsidR="000210DB">
        <w:t xml:space="preserve">recently </w:t>
      </w:r>
      <w:r>
        <w:t>revised the Bureau’s tariff filing fee</w:t>
      </w:r>
      <w:r w:rsidR="00AD7FD7">
        <w:t xml:space="preserve"> structure</w:t>
      </w:r>
      <w:r>
        <w:t xml:space="preserve"> contained in section 1.1105 of the Commission’s rules effective December 15, 2021.</w:t>
      </w:r>
      <w:r>
        <w:rPr>
          <w:rStyle w:val="FootnoteReference"/>
        </w:rPr>
        <w:footnoteReference w:id="4"/>
      </w:r>
      <w:r>
        <w:t xml:space="preserve">  </w:t>
      </w:r>
      <w:r w:rsidR="00AD7FD7">
        <w:t>T</w:t>
      </w:r>
      <w:r>
        <w:t>he</w:t>
      </w:r>
      <w:r w:rsidR="005F6ACE">
        <w:t xml:space="preserve"> Commission </w:t>
      </w:r>
      <w:r>
        <w:t>increase</w:t>
      </w:r>
      <w:r w:rsidR="00E920E4">
        <w:t>d</w:t>
      </w:r>
      <w:r>
        <w:t xml:space="preserve"> the tariff filing fee associated with the July 1 annual access charge tariff</w:t>
      </w:r>
      <w:r w:rsidR="001A0661">
        <w:t xml:space="preserve"> filings</w:t>
      </w:r>
      <w:r>
        <w:t xml:space="preserve">, </w:t>
      </w:r>
      <w:r w:rsidR="005F6ACE">
        <w:t>from $960</w:t>
      </w:r>
      <w:r>
        <w:t xml:space="preserve"> </w:t>
      </w:r>
      <w:r w:rsidR="009D2164">
        <w:t xml:space="preserve">per tariff filing </w:t>
      </w:r>
      <w:r>
        <w:t>to the new cost-based fee structure contained in the table below:</w:t>
      </w:r>
      <w:r>
        <w:rPr>
          <w:rStyle w:val="FootnoteReference"/>
        </w:rPr>
        <w:footnoteReference w:id="5"/>
      </w:r>
    </w:p>
    <w:tbl>
      <w:tblPr>
        <w:tblStyle w:val="TableGrid"/>
        <w:tblW w:w="0" w:type="auto"/>
        <w:tblLook w:val="04A0"/>
      </w:tblPr>
      <w:tblGrid>
        <w:gridCol w:w="4675"/>
        <w:gridCol w:w="1530"/>
        <w:gridCol w:w="1530"/>
        <w:gridCol w:w="1615"/>
      </w:tblGrid>
      <w:tr w14:paraId="382FDD6C" w14:textId="77777777" w:rsidTr="00963FA5">
        <w:tblPrEx>
          <w:tblW w:w="0" w:type="auto"/>
          <w:tblLook w:val="04A0"/>
        </w:tblPrEx>
        <w:tc>
          <w:tcPr>
            <w:tcW w:w="4675" w:type="dxa"/>
            <w:shd w:val="clear" w:color="auto" w:fill="D9D9D9" w:themeFill="background1" w:themeFillShade="D9"/>
          </w:tcPr>
          <w:p w:rsidR="00D41E84" w:rsidRPr="00A476E1" w:rsidP="00963FA5" w14:paraId="18949ACF" w14:textId="5AB6F56C">
            <w:pPr>
              <w:pStyle w:val="ParaNum"/>
              <w:numPr>
                <w:ilvl w:val="0"/>
                <w:numId w:val="0"/>
              </w:numPr>
              <w:rPr>
                <w:b/>
                <w:bCs/>
              </w:rPr>
            </w:pPr>
            <w:r w:rsidRPr="00A476E1">
              <w:rPr>
                <w:b/>
                <w:bCs/>
              </w:rPr>
              <w:t>Tariff Filing</w:t>
            </w:r>
            <w:r w:rsidR="00133A3D">
              <w:rPr>
                <w:b/>
                <w:bCs/>
              </w:rPr>
              <w:t xml:space="preserve"> Fee</w:t>
            </w:r>
          </w:p>
        </w:tc>
        <w:tc>
          <w:tcPr>
            <w:tcW w:w="1530" w:type="dxa"/>
            <w:shd w:val="clear" w:color="auto" w:fill="D9D9D9" w:themeFill="background1" w:themeFillShade="D9"/>
          </w:tcPr>
          <w:p w:rsidR="00D41E84" w:rsidRPr="00A476E1" w:rsidP="00963FA5" w14:paraId="1803A668" w14:textId="77777777">
            <w:pPr>
              <w:pStyle w:val="ParaNum"/>
              <w:numPr>
                <w:ilvl w:val="0"/>
                <w:numId w:val="0"/>
              </w:numPr>
              <w:rPr>
                <w:b/>
                <w:bCs/>
              </w:rPr>
            </w:pPr>
            <w:r w:rsidRPr="00A476E1">
              <w:rPr>
                <w:b/>
                <w:bCs/>
              </w:rPr>
              <w:t>Forms</w:t>
            </w:r>
          </w:p>
        </w:tc>
        <w:tc>
          <w:tcPr>
            <w:tcW w:w="1530" w:type="dxa"/>
            <w:shd w:val="clear" w:color="auto" w:fill="D9D9D9" w:themeFill="background1" w:themeFillShade="D9"/>
          </w:tcPr>
          <w:p w:rsidR="00D41E84" w:rsidRPr="00A476E1" w:rsidP="00963FA5" w14:paraId="5F13A7E4" w14:textId="77777777">
            <w:pPr>
              <w:pStyle w:val="ParaNum"/>
              <w:numPr>
                <w:ilvl w:val="0"/>
                <w:numId w:val="0"/>
              </w:numPr>
              <w:rPr>
                <w:b/>
                <w:bCs/>
              </w:rPr>
            </w:pPr>
            <w:r w:rsidRPr="00A476E1">
              <w:rPr>
                <w:b/>
                <w:bCs/>
              </w:rPr>
              <w:t>Fee Amount</w:t>
            </w:r>
          </w:p>
        </w:tc>
        <w:tc>
          <w:tcPr>
            <w:tcW w:w="1615" w:type="dxa"/>
            <w:shd w:val="clear" w:color="auto" w:fill="D9D9D9" w:themeFill="background1" w:themeFillShade="D9"/>
          </w:tcPr>
          <w:p w:rsidR="00D41E84" w:rsidRPr="00A476E1" w:rsidP="00963FA5" w14:paraId="101CB3F1" w14:textId="77777777">
            <w:pPr>
              <w:pStyle w:val="ParaNum"/>
              <w:numPr>
                <w:ilvl w:val="0"/>
                <w:numId w:val="0"/>
              </w:numPr>
              <w:rPr>
                <w:b/>
                <w:bCs/>
              </w:rPr>
            </w:pPr>
            <w:r w:rsidRPr="00A476E1">
              <w:rPr>
                <w:b/>
                <w:bCs/>
              </w:rPr>
              <w:t>Payment Code</w:t>
            </w:r>
          </w:p>
        </w:tc>
      </w:tr>
      <w:tr w14:paraId="7CD0E8BF" w14:textId="77777777" w:rsidTr="00963FA5">
        <w:tblPrEx>
          <w:tblW w:w="0" w:type="auto"/>
          <w:tblLook w:val="04A0"/>
        </w:tblPrEx>
        <w:tc>
          <w:tcPr>
            <w:tcW w:w="4675" w:type="dxa"/>
          </w:tcPr>
          <w:p w:rsidR="00D41E84" w:rsidP="00963FA5" w14:paraId="1F4E4CE8" w14:textId="77777777">
            <w:pPr>
              <w:pStyle w:val="ParaNum"/>
              <w:numPr>
                <w:ilvl w:val="0"/>
                <w:numId w:val="0"/>
              </w:numPr>
            </w:pPr>
            <w:r>
              <w:t>Complex Tariff Filing</w:t>
            </w:r>
            <w:r w:rsidRPr="00162293">
              <w:t xml:space="preserve"> </w:t>
            </w:r>
            <w:r>
              <w:t>(Large – all price cap LECs and entities involving more than 100 LECs)</w:t>
            </w:r>
          </w:p>
        </w:tc>
        <w:tc>
          <w:tcPr>
            <w:tcW w:w="1530" w:type="dxa"/>
          </w:tcPr>
          <w:p w:rsidR="00D41E84" w:rsidP="00963FA5" w14:paraId="19E91D80" w14:textId="77777777">
            <w:pPr>
              <w:pStyle w:val="ParaNum"/>
              <w:numPr>
                <w:ilvl w:val="0"/>
                <w:numId w:val="0"/>
              </w:numPr>
            </w:pPr>
            <w:r>
              <w:t>Corres</w:t>
            </w:r>
            <w:r>
              <w:t>. &amp; 159</w:t>
            </w:r>
          </w:p>
        </w:tc>
        <w:tc>
          <w:tcPr>
            <w:tcW w:w="1530" w:type="dxa"/>
          </w:tcPr>
          <w:p w:rsidR="00D41E84" w:rsidP="00963FA5" w14:paraId="1F1D7A57" w14:textId="77777777">
            <w:pPr>
              <w:pStyle w:val="ParaNum"/>
              <w:numPr>
                <w:ilvl w:val="0"/>
                <w:numId w:val="0"/>
              </w:numPr>
            </w:pPr>
            <w:r>
              <w:t>$6,540</w:t>
            </w:r>
          </w:p>
        </w:tc>
        <w:tc>
          <w:tcPr>
            <w:tcW w:w="1615" w:type="dxa"/>
          </w:tcPr>
          <w:p w:rsidR="00D41E84" w:rsidP="00963FA5" w14:paraId="48EB0FFB" w14:textId="77777777">
            <w:pPr>
              <w:pStyle w:val="ParaNum"/>
              <w:numPr>
                <w:ilvl w:val="0"/>
                <w:numId w:val="0"/>
              </w:numPr>
            </w:pPr>
            <w:r>
              <w:t>CQL</w:t>
            </w:r>
          </w:p>
        </w:tc>
      </w:tr>
      <w:tr w14:paraId="0F802D31" w14:textId="77777777" w:rsidTr="00963FA5">
        <w:tblPrEx>
          <w:tblW w:w="0" w:type="auto"/>
          <w:tblLook w:val="04A0"/>
        </w:tblPrEx>
        <w:tc>
          <w:tcPr>
            <w:tcW w:w="4675" w:type="dxa"/>
          </w:tcPr>
          <w:p w:rsidR="00D41E84" w:rsidP="00963FA5" w14:paraId="757DDC0C" w14:textId="77777777">
            <w:pPr>
              <w:pStyle w:val="ParaNum"/>
              <w:numPr>
                <w:ilvl w:val="0"/>
                <w:numId w:val="0"/>
              </w:numPr>
            </w:pPr>
            <w:r>
              <w:t>Complex Tariff Filing (Small – other entities)</w:t>
            </w:r>
          </w:p>
        </w:tc>
        <w:tc>
          <w:tcPr>
            <w:tcW w:w="1530" w:type="dxa"/>
          </w:tcPr>
          <w:p w:rsidR="00D41E84" w:rsidP="00963FA5" w14:paraId="786FB184" w14:textId="77777777">
            <w:pPr>
              <w:pStyle w:val="ParaNum"/>
              <w:numPr>
                <w:ilvl w:val="0"/>
                <w:numId w:val="0"/>
              </w:numPr>
            </w:pPr>
            <w:r>
              <w:t>Corres</w:t>
            </w:r>
            <w:r>
              <w:t>. &amp; 159</w:t>
            </w:r>
          </w:p>
        </w:tc>
        <w:tc>
          <w:tcPr>
            <w:tcW w:w="1530" w:type="dxa"/>
          </w:tcPr>
          <w:p w:rsidR="00D41E84" w:rsidP="00963FA5" w14:paraId="6FFA0A37" w14:textId="77777777">
            <w:pPr>
              <w:pStyle w:val="ParaNum"/>
              <w:numPr>
                <w:ilvl w:val="0"/>
                <w:numId w:val="0"/>
              </w:numPr>
            </w:pPr>
            <w:r>
              <w:t>$3,270</w:t>
            </w:r>
          </w:p>
        </w:tc>
        <w:tc>
          <w:tcPr>
            <w:tcW w:w="1615" w:type="dxa"/>
          </w:tcPr>
          <w:p w:rsidR="00D41E84" w:rsidP="00963FA5" w14:paraId="6666C428" w14:textId="77777777">
            <w:pPr>
              <w:pStyle w:val="ParaNum"/>
              <w:numPr>
                <w:ilvl w:val="0"/>
                <w:numId w:val="0"/>
              </w:numPr>
            </w:pPr>
            <w:r>
              <w:t>CQM</w:t>
            </w:r>
          </w:p>
        </w:tc>
      </w:tr>
    </w:tbl>
    <w:p w:rsidR="00AD7FD7" w:rsidP="005E78A1" w14:paraId="60FB518B" w14:textId="77777777">
      <w:pPr>
        <w:pStyle w:val="ParaNum"/>
        <w:numPr>
          <w:ilvl w:val="0"/>
          <w:numId w:val="0"/>
        </w:numPr>
        <w:spacing w:after="0"/>
      </w:pPr>
    </w:p>
    <w:p w:rsidR="00AD7FD7" w:rsidP="00AD7FD7" w14:paraId="1D31A4C8" w14:textId="4708FB45">
      <w:pPr>
        <w:pStyle w:val="ParaNum"/>
        <w:numPr>
          <w:ilvl w:val="0"/>
          <w:numId w:val="0"/>
        </w:numPr>
        <w:ind w:firstLine="720"/>
      </w:pPr>
      <w:r>
        <w:t>P</w:t>
      </w:r>
      <w:r>
        <w:t xml:space="preserve">rice cap incumbent LECs and </w:t>
      </w:r>
      <w:r w:rsidR="0030025B">
        <w:t xml:space="preserve">other large </w:t>
      </w:r>
      <w:r w:rsidR="008760FD">
        <w:t>entities</w:t>
      </w:r>
      <w:r w:rsidR="0030025B">
        <w:t>,</w:t>
      </w:r>
      <w:r w:rsidR="008760FD">
        <w:t xml:space="preserve"> such as </w:t>
      </w:r>
      <w:r w:rsidR="00466AAD">
        <w:t xml:space="preserve">the National Exchange Carrier Association, Inc. (NECA) </w:t>
      </w:r>
      <w:r w:rsidR="00791F1D">
        <w:t>or</w:t>
      </w:r>
      <w:r w:rsidR="00466AAD">
        <w:t xml:space="preserve"> </w:t>
      </w:r>
      <w:r w:rsidR="00CE42F2">
        <w:t xml:space="preserve">a </w:t>
      </w:r>
      <w:r w:rsidR="008760FD">
        <w:t xml:space="preserve">consultant </w:t>
      </w:r>
      <w:r w:rsidR="00466AAD">
        <w:t>that file</w:t>
      </w:r>
      <w:r w:rsidR="00CE42F2">
        <w:t>s</w:t>
      </w:r>
      <w:r w:rsidR="00466AAD">
        <w:t xml:space="preserve"> </w:t>
      </w:r>
      <w:r w:rsidR="00357C40">
        <w:t xml:space="preserve">an </w:t>
      </w:r>
      <w:r w:rsidR="00791F1D">
        <w:t xml:space="preserve">annual access charge </w:t>
      </w:r>
      <w:r w:rsidR="00466AAD">
        <w:t xml:space="preserve">tariff </w:t>
      </w:r>
      <w:r>
        <w:t>on behalf of more than 100 incumbent LECs</w:t>
      </w:r>
      <w:r w:rsidR="00791F1D">
        <w:t>,</w:t>
      </w:r>
      <w:r>
        <w:t xml:space="preserve"> </w:t>
      </w:r>
      <w:r>
        <w:t xml:space="preserve">should pay the </w:t>
      </w:r>
      <w:r>
        <w:t xml:space="preserve">$6,540 </w:t>
      </w:r>
      <w:r>
        <w:t xml:space="preserve">fee for </w:t>
      </w:r>
      <w:r w:rsidR="004279DA">
        <w:t xml:space="preserve">the </w:t>
      </w:r>
      <w:r>
        <w:t>Complex Tariff Filing (Large</w:t>
      </w:r>
      <w:r>
        <w:t>).</w:t>
      </w:r>
      <w:r>
        <w:rPr>
          <w:rStyle w:val="FootnoteReference"/>
        </w:rPr>
        <w:footnoteReference w:id="6"/>
      </w:r>
      <w:r>
        <w:t xml:space="preserve">  All other</w:t>
      </w:r>
      <w:r w:rsidR="00791F1D">
        <w:t xml:space="preserve"> </w:t>
      </w:r>
      <w:r w:rsidR="00DA7545">
        <w:t>incumbent LECs,</w:t>
      </w:r>
      <w:r w:rsidR="00791F1D">
        <w:t xml:space="preserve"> including </w:t>
      </w:r>
      <w:r>
        <w:t>rate-of-return incumbent LECs</w:t>
      </w:r>
      <w:r w:rsidR="00DA7545">
        <w:t>,</w:t>
      </w:r>
      <w:r>
        <w:t xml:space="preserve"> </w:t>
      </w:r>
      <w:r w:rsidR="00DA7545">
        <w:t xml:space="preserve">submitting an July 1, 2022 annual access </w:t>
      </w:r>
      <w:r w:rsidR="00DA7545">
        <w:t xml:space="preserve">charge tariff filing </w:t>
      </w:r>
      <w:r>
        <w:t xml:space="preserve">should pay the $3,270 fee for </w:t>
      </w:r>
      <w:r w:rsidR="004279DA">
        <w:t xml:space="preserve">the </w:t>
      </w:r>
      <w:r>
        <w:t>Complex Tariff</w:t>
      </w:r>
      <w:r>
        <w:t xml:space="preserve"> </w:t>
      </w:r>
      <w:r>
        <w:t>Filing (Small).</w:t>
      </w:r>
      <w:r>
        <w:rPr>
          <w:rStyle w:val="FootnoteReference"/>
        </w:rPr>
        <w:footnoteReference w:id="7"/>
      </w:r>
      <w:r>
        <w:t xml:space="preserve">  </w:t>
      </w:r>
      <w:r w:rsidR="00DF79DD">
        <w:t xml:space="preserve">For more information about the new tariff filing fees, please consult the Bureau’s Fee Filing Guide: </w:t>
      </w:r>
      <w:hyperlink r:id="rId5" w:history="1">
        <w:r w:rsidRPr="000F489C" w:rsidR="00DF79DD">
          <w:rPr>
            <w:rStyle w:val="Hyperlink"/>
          </w:rPr>
          <w:t>https://www.fcc.gov/document/wcb-application-fee-filing-guide</w:t>
        </w:r>
      </w:hyperlink>
      <w:r w:rsidR="00DF79DD">
        <w:t>.</w:t>
      </w:r>
    </w:p>
    <w:p w:rsidR="00AD7FD7" w:rsidRPr="007512C6" w:rsidP="003909D6" w14:paraId="1D784A16" w14:textId="441C4AC4">
      <w:pPr>
        <w:pStyle w:val="ParaNum"/>
        <w:widowControl/>
        <w:numPr>
          <w:ilvl w:val="0"/>
          <w:numId w:val="0"/>
        </w:numPr>
        <w:ind w:firstLine="720"/>
      </w:pPr>
      <w:r>
        <w:t xml:space="preserve">We also remind carriers that they must submit the </w:t>
      </w:r>
      <w:r w:rsidR="004279DA">
        <w:t>Complex T</w:t>
      </w:r>
      <w:r>
        <w:t xml:space="preserve">ariff </w:t>
      </w:r>
      <w:r w:rsidR="004279DA">
        <w:t>F</w:t>
      </w:r>
      <w:r>
        <w:t xml:space="preserve">iling fee through the </w:t>
      </w:r>
      <w:r w:rsidR="004279DA">
        <w:t xml:space="preserve">Commission’s </w:t>
      </w:r>
      <w:r>
        <w:t>new payment system contained in CORES.</w:t>
      </w:r>
      <w:r>
        <w:rPr>
          <w:rStyle w:val="FootnoteReference"/>
        </w:rPr>
        <w:footnoteReference w:id="8"/>
      </w:r>
      <w:r>
        <w:t xml:space="preserve">  Effective December 15, 2021, the Commission decommissioned and permanently discontinued its old online electronic payment system for regulatory and other fees, Fee Filer, and replaced it with </w:t>
      </w:r>
      <w:r w:rsidR="004279DA">
        <w:t>the</w:t>
      </w:r>
      <w:r>
        <w:t xml:space="preserve"> new payment system contained in CORES.</w:t>
      </w:r>
      <w:r>
        <w:rPr>
          <w:rStyle w:val="FootnoteReference"/>
        </w:rPr>
        <w:footnoteReference w:id="9"/>
      </w:r>
      <w:r>
        <w:t xml:space="preserve">  The Commission will only accept funds required for the July 1, 2022 annual access charge tariff filings through the CORES payment system.</w:t>
      </w:r>
    </w:p>
    <w:p w:rsidR="00E920E4" w:rsidP="00B60807" w14:paraId="447FAD90" w14:textId="7CC3EECA">
      <w:pPr>
        <w:ind w:firstLine="720"/>
      </w:pPr>
      <w:r>
        <w:t xml:space="preserve">For more information about the CORES Payment System, please visit: </w:t>
      </w:r>
      <w:hyperlink r:id="rId6" w:history="1">
        <w:r w:rsidRPr="000F489C">
          <w:rPr>
            <w:rStyle w:val="Hyperlink"/>
          </w:rPr>
          <w:t>https://www.fcc.gov/</w:t>
        </w:r>
        <w:r w:rsidRPr="000F489C">
          <w:rPr>
            <w:rStyle w:val="Hyperlink"/>
          </w:rPr>
          <w:br/>
          <w:t>licensing-databases/fees/cores-payment-system</w:t>
        </w:r>
      </w:hyperlink>
      <w:r>
        <w:t xml:space="preserve">.  Carriers can access CORES either at </w:t>
      </w:r>
      <w:hyperlink r:id="rId7" w:history="1">
        <w:r w:rsidRPr="000F489C">
          <w:rPr>
            <w:rStyle w:val="Hyperlink"/>
          </w:rPr>
          <w:t>https://apps.fcc.gov/cores/userLogin.do</w:t>
        </w:r>
      </w:hyperlink>
      <w:r>
        <w:t xml:space="preserve">, using an existing FCC Username account, or through the CORES’ FCC Registration Number (FRN) access page, </w:t>
      </w:r>
      <w:hyperlink r:id="rId8" w:history="1">
        <w:r w:rsidRPr="00A714A2">
          <w:rPr>
            <w:rStyle w:val="Hyperlink"/>
          </w:rPr>
          <w:t>https://apps.fcc.gov/cores/</w:t>
        </w:r>
        <w:r w:rsidRPr="00BA0D4C">
          <w:rPr>
            <w:rStyle w:val="Hyperlink"/>
          </w:rPr>
          <w:t>paymentFrnLogin.do</w:t>
        </w:r>
      </w:hyperlink>
      <w:r>
        <w:t xml:space="preserve">.  </w:t>
      </w:r>
      <w:r w:rsidRPr="00942387">
        <w:t xml:space="preserve">For technical assistance with CORES, please submit a help request through </w:t>
      </w:r>
      <w:hyperlink r:id="rId9" w:history="1">
        <w:r w:rsidRPr="000F489C">
          <w:rPr>
            <w:rStyle w:val="Hyperlink"/>
          </w:rPr>
          <w:t>https://www.fcc.gov/</w:t>
        </w:r>
        <w:r w:rsidRPr="000F489C">
          <w:rPr>
            <w:rStyle w:val="Hyperlink"/>
          </w:rPr>
          <w:br/>
          <w:t>available-support-services</w:t>
        </w:r>
      </w:hyperlink>
      <w:r w:rsidRPr="00942387">
        <w:t xml:space="preserve">, or call 877-480-3201, or send an email to </w:t>
      </w:r>
      <w:hyperlink r:id="rId10" w:history="1">
        <w:r w:rsidRPr="00B20D6A">
          <w:rPr>
            <w:rStyle w:val="Hyperlink"/>
          </w:rPr>
          <w:t>ARINQUIRIES@fcc.gov</w:t>
        </w:r>
      </w:hyperlink>
      <w:r w:rsidRPr="00942387">
        <w:t>.</w:t>
      </w:r>
    </w:p>
    <w:p w:rsidR="004F33AA" w14:paraId="4E40DF42" w14:textId="5B454353"/>
    <w:p w:rsidR="00B60807" w14:paraId="7528BD7F" w14:textId="77777777">
      <w:r>
        <w:tab/>
        <w:t xml:space="preserve">For more information about this Public Notice, please contact Christopher S. </w:t>
      </w:r>
      <w:r>
        <w:t>Koves</w:t>
      </w:r>
      <w:r>
        <w:t xml:space="preserve">, Pricing Policy Division, Wireline Competition Bureau, </w:t>
      </w:r>
      <w:hyperlink r:id="rId11" w:history="1">
        <w:r w:rsidRPr="000F489C">
          <w:rPr>
            <w:rStyle w:val="Hyperlink"/>
          </w:rPr>
          <w:t>Christopher.Koves@fcc.gov</w:t>
        </w:r>
      </w:hyperlink>
      <w:r>
        <w:t xml:space="preserve">. </w:t>
      </w:r>
    </w:p>
    <w:p w:rsidR="00B60807" w14:paraId="4941760F" w14:textId="77777777"/>
    <w:p w:rsidR="00A73170" w:rsidRPr="009C5AB0" w:rsidP="00A73170" w14:paraId="4BDDDEA9" w14:textId="12E53C8E">
      <w:pPr>
        <w:tabs>
          <w:tab w:val="center" w:pos="4680"/>
          <w:tab w:val="left" w:pos="5685"/>
        </w:tabs>
        <w:jc w:val="center"/>
      </w:pPr>
      <w:r w:rsidRPr="00DC68BC">
        <w:rPr>
          <w:b/>
          <w:szCs w:val="22"/>
        </w:rPr>
        <w:t>- FCC -</w:t>
      </w:r>
    </w:p>
    <w:p w:rsidR="00B60807" w14:paraId="0B34B779" w14:textId="19B3D855"/>
    <w:bookmarkEnd w:id="0"/>
    <w:p w:rsidR="00F30DAF" w14:paraId="29C1D160" w14:textId="77777777"/>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4962F9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F33AA" w14:paraId="751451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0959E5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4DF1B8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0DAF" w14:paraId="0B8A2705" w14:textId="77777777">
      <w:r>
        <w:separator/>
      </w:r>
    </w:p>
  </w:footnote>
  <w:footnote w:type="continuationSeparator" w:id="1">
    <w:p w:rsidR="00F30DAF" w14:paraId="16BD847F" w14:textId="77777777">
      <w:pPr>
        <w:rPr>
          <w:sz w:val="20"/>
        </w:rPr>
      </w:pPr>
      <w:r>
        <w:rPr>
          <w:sz w:val="20"/>
        </w:rPr>
        <w:t xml:space="preserve">(Continued from previous page)  </w:t>
      </w:r>
      <w:r>
        <w:rPr>
          <w:sz w:val="20"/>
        </w:rPr>
        <w:separator/>
      </w:r>
    </w:p>
  </w:footnote>
  <w:footnote w:type="continuationNotice" w:id="2">
    <w:p w:rsidR="00F30DAF" w14:paraId="6EAAB4D0" w14:textId="77777777">
      <w:pPr>
        <w:jc w:val="right"/>
        <w:rPr>
          <w:sz w:val="20"/>
        </w:rPr>
      </w:pPr>
      <w:r>
        <w:rPr>
          <w:sz w:val="20"/>
        </w:rPr>
        <w:t>(continued….)</w:t>
      </w:r>
    </w:p>
  </w:footnote>
  <w:footnote w:id="3">
    <w:p w:rsidR="00741691" w:rsidP="00741691" w14:paraId="1A5D1964" w14:textId="7D878861">
      <w:pPr>
        <w:pStyle w:val="FootnoteText"/>
      </w:pPr>
      <w:r>
        <w:rPr>
          <w:rStyle w:val="FootnoteReference"/>
        </w:rPr>
        <w:footnoteRef/>
      </w:r>
      <w:r>
        <w:t xml:space="preserve"> </w:t>
      </w:r>
      <w:r w:rsidR="000210DB">
        <w:t xml:space="preserve">47 CFR § 1.1105; </w:t>
      </w:r>
      <w:r w:rsidRPr="00C5240D">
        <w:rPr>
          <w:i/>
          <w:iCs/>
        </w:rPr>
        <w:t>July 1, 2022 Annual Access Charge Tariff Filings,</w:t>
      </w:r>
      <w:r>
        <w:t xml:space="preserve"> WC Docket No. 22-108, Order, DA 22-407, at *3, para. 8 (PPD Apr. 15, 2022)</w:t>
      </w:r>
      <w:r w:rsidR="000210DB">
        <w:t xml:space="preserve">. </w:t>
      </w:r>
    </w:p>
  </w:footnote>
  <w:footnote w:id="4">
    <w:p w:rsidR="00D41E84" w:rsidP="00D41E84" w14:paraId="4CDA9293" w14:textId="4248B142">
      <w:pPr>
        <w:pStyle w:val="FootnoteText"/>
      </w:pPr>
      <w:r>
        <w:rPr>
          <w:rStyle w:val="FootnoteReference"/>
        </w:rPr>
        <w:footnoteRef/>
      </w:r>
      <w:r>
        <w:t xml:space="preserve"> </w:t>
      </w:r>
      <w:r w:rsidR="00287FB3">
        <w:t xml:space="preserve">47 CFR § 1.1105; </w:t>
      </w:r>
      <w:r>
        <w:t xml:space="preserve">FCC, Schedule of Application Fees of the Commission’s Rules, 86 Fed. Reg. 70125-01 (Dec. 9, 2021); </w:t>
      </w:r>
      <w:r w:rsidRPr="00532623">
        <w:rPr>
          <w:i/>
          <w:iCs/>
        </w:rPr>
        <w:t>Amendment of the Schedule of Application Fees Set Forth in Sections 1.1102 through 1.1109 of the Commission</w:t>
      </w:r>
      <w:r>
        <w:rPr>
          <w:i/>
          <w:iCs/>
        </w:rPr>
        <w:t>’</w:t>
      </w:r>
      <w:r w:rsidRPr="00532623">
        <w:rPr>
          <w:i/>
          <w:iCs/>
        </w:rPr>
        <w:t>s Rules</w:t>
      </w:r>
      <w:r>
        <w:t xml:space="preserve">, MD Docket No, 20-270, Report and Order, 35 FCC </w:t>
      </w:r>
      <w:r>
        <w:t>Rcd</w:t>
      </w:r>
      <w:r>
        <w:t xml:space="preserve"> 15089 (2020).</w:t>
      </w:r>
    </w:p>
  </w:footnote>
  <w:footnote w:id="5">
    <w:p w:rsidR="00E920E4" w14:paraId="633E18D4" w14:textId="42793445">
      <w:pPr>
        <w:pStyle w:val="FootnoteText"/>
      </w:pPr>
      <w:r>
        <w:rPr>
          <w:rStyle w:val="FootnoteReference"/>
        </w:rPr>
        <w:footnoteRef/>
      </w:r>
      <w:r>
        <w:t xml:space="preserve"> 47 CFR § 1.1105; FCC, Wireline Competition Bureau, Common Carrier Services, Fee Filing Guide at 7 (</w:t>
      </w:r>
      <w:r w:rsidR="009D2164">
        <w:t>WCB Jan. 6, 2022</w:t>
      </w:r>
      <w:r>
        <w:t>)</w:t>
      </w:r>
      <w:r w:rsidR="003909D6">
        <w:t xml:space="preserve"> (WCB Fee Filing Guide)</w:t>
      </w:r>
      <w:r>
        <w:t xml:space="preserve">, </w:t>
      </w:r>
      <w:hyperlink r:id="rId1" w:history="1">
        <w:r w:rsidRPr="000F489C">
          <w:rPr>
            <w:rStyle w:val="Hyperlink"/>
          </w:rPr>
          <w:t>https://www.fcc.gov/document/wcb-application-fee-filing-guide</w:t>
        </w:r>
      </w:hyperlink>
      <w:r>
        <w:t xml:space="preserve">; </w:t>
      </w:r>
      <w:r w:rsidRPr="007F79D2" w:rsidR="007F79D2">
        <w:rPr>
          <w:i/>
          <w:iCs/>
        </w:rPr>
        <w:t>see</w:t>
      </w:r>
      <w:r w:rsidR="007F79D2">
        <w:t xml:space="preserve"> </w:t>
      </w:r>
      <w:r w:rsidRPr="00532623">
        <w:rPr>
          <w:i/>
          <w:iCs/>
        </w:rPr>
        <w:t>Amendment of the Schedule of Application Fees Set Forth in Sections 1.1102 through 1.1109 of the Commission</w:t>
      </w:r>
      <w:r>
        <w:rPr>
          <w:i/>
          <w:iCs/>
        </w:rPr>
        <w:t>’</w:t>
      </w:r>
      <w:r w:rsidRPr="00532623">
        <w:rPr>
          <w:i/>
          <w:iCs/>
        </w:rPr>
        <w:t>s Rules</w:t>
      </w:r>
      <w:r>
        <w:t xml:space="preserve">, MD Docket No, 20-270, </w:t>
      </w:r>
      <w:r w:rsidR="009D2164">
        <w:t>Notice of Proposed Rulemaking</w:t>
      </w:r>
      <w:r>
        <w:t xml:space="preserve">, </w:t>
      </w:r>
      <w:r w:rsidRPr="00E24E8F" w:rsidR="00E24E8F">
        <w:t xml:space="preserve">35 FCC </w:t>
      </w:r>
      <w:r w:rsidRPr="00E24E8F" w:rsidR="00E24E8F">
        <w:t>Rcd</w:t>
      </w:r>
      <w:r w:rsidRPr="00E24E8F" w:rsidR="00E24E8F">
        <w:t xml:space="preserve"> 2080</w:t>
      </w:r>
      <w:r w:rsidR="00E24E8F">
        <w:t xml:space="preserve">, </w:t>
      </w:r>
      <w:r w:rsidR="009D2164">
        <w:t>FCC 20-116, at *31, para. 113</w:t>
      </w:r>
      <w:r>
        <w:t xml:space="preserve"> (2020).</w:t>
      </w:r>
    </w:p>
  </w:footnote>
  <w:footnote w:id="6">
    <w:p w:rsidR="003909D6" w14:paraId="2C51D20F" w14:textId="571CD78B">
      <w:pPr>
        <w:pStyle w:val="FootnoteText"/>
      </w:pPr>
      <w:r>
        <w:rPr>
          <w:rStyle w:val="FootnoteReference"/>
        </w:rPr>
        <w:footnoteRef/>
      </w:r>
      <w:r>
        <w:t xml:space="preserve"> </w:t>
      </w:r>
      <w:r w:rsidRPr="00466AAD" w:rsidR="00466AAD">
        <w:rPr>
          <w:i/>
          <w:iCs/>
        </w:rPr>
        <w:t xml:space="preserve">See </w:t>
      </w:r>
      <w:r>
        <w:t xml:space="preserve">WCB Fee Filing Guide at 7. </w:t>
      </w:r>
    </w:p>
  </w:footnote>
  <w:footnote w:id="7">
    <w:p w:rsidR="003909D6" w14:paraId="4E4A872C" w14:textId="70066F28">
      <w:pPr>
        <w:pStyle w:val="FootnoteText"/>
      </w:pPr>
      <w:r>
        <w:rPr>
          <w:rStyle w:val="FootnoteReference"/>
        </w:rPr>
        <w:footnoteRef/>
      </w:r>
      <w:r>
        <w:t xml:space="preserve"> </w:t>
      </w:r>
      <w:r w:rsidR="00466AAD">
        <w:rPr>
          <w:i/>
          <w:iCs/>
        </w:rPr>
        <w:t>See i</w:t>
      </w:r>
      <w:r w:rsidRPr="003909D6">
        <w:rPr>
          <w:i/>
          <w:iCs/>
        </w:rPr>
        <w:t>d</w:t>
      </w:r>
      <w:r>
        <w:t>.</w:t>
      </w:r>
    </w:p>
  </w:footnote>
  <w:footnote w:id="8">
    <w:p w:rsidR="00AD7FD7" w:rsidP="00AD7FD7" w14:paraId="2ABEF327" w14:textId="77777777">
      <w:pPr>
        <w:pStyle w:val="FootnoteText"/>
      </w:pPr>
      <w:r>
        <w:rPr>
          <w:rStyle w:val="FootnoteReference"/>
        </w:rPr>
        <w:footnoteRef/>
      </w:r>
      <w:r>
        <w:t xml:space="preserve"> </w:t>
      </w:r>
      <w:r w:rsidRPr="00837375">
        <w:rPr>
          <w:i/>
          <w:iCs/>
        </w:rPr>
        <w:t xml:space="preserve">See </w:t>
      </w:r>
      <w:r w:rsidRPr="00145EBA">
        <w:rPr>
          <w:i/>
          <w:iCs/>
        </w:rPr>
        <w:t>FCC Announces Decommissioning of Fee Filer as Method of Payment and Replacement with New Payment Module Within CORES et al.</w:t>
      </w:r>
      <w:r>
        <w:t xml:space="preserve">, Public Notice (Dec. 1, 2021), </w:t>
      </w:r>
      <w:hyperlink r:id="rId2" w:history="1">
        <w:r w:rsidRPr="00B20D6A">
          <w:rPr>
            <w:rStyle w:val="Hyperlink"/>
          </w:rPr>
          <w:t>https://www.fcc.gov/document/replacement-fee-filer-new-commission-payment-module</w:t>
        </w:r>
      </w:hyperlink>
      <w:r>
        <w:t xml:space="preserve">.  </w:t>
      </w:r>
    </w:p>
  </w:footnote>
  <w:footnote w:id="9">
    <w:p w:rsidR="00AD7FD7" w:rsidP="00AD7FD7" w14:paraId="7A82EBBE" w14:textId="77777777">
      <w:pPr>
        <w:pStyle w:val="FootnoteText"/>
      </w:pPr>
      <w:r>
        <w:rPr>
          <w:rStyle w:val="FootnoteReference"/>
        </w:rPr>
        <w:footnoteRef/>
      </w:r>
      <w:r>
        <w:t xml:space="preserve"> </w:t>
      </w:r>
      <w:r w:rsidRPr="00837375">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0B0E51C0" w14:textId="0CED6665">
    <w:pPr>
      <w:tabs>
        <w:tab w:val="center" w:pos="4680"/>
        <w:tab w:val="right" w:pos="9360"/>
      </w:tabs>
    </w:pPr>
    <w:r>
      <w:rPr>
        <w:b/>
      </w:rPr>
      <w:tab/>
      <w:t>Federal Communications Commission</w:t>
    </w:r>
    <w:r>
      <w:rPr>
        <w:b/>
      </w:rPr>
      <w:tab/>
    </w:r>
    <w:r w:rsidR="00106CDA">
      <w:rPr>
        <w:b/>
      </w:rPr>
      <w:t xml:space="preserve">DA </w:t>
    </w:r>
    <w:r w:rsidRPr="00106CDA" w:rsidR="00106CDA">
      <w:rPr>
        <w:b/>
      </w:rPr>
      <w:t>22-493</w:t>
    </w:r>
  </w:p>
  <w:p w:rsidR="004F33AA" w14:paraId="3F62F1B1" w14:textId="127673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33AA" w14:paraId="51DEDCF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63CEAD56" w14:textId="53FFC276">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AF"/>
    <w:rsid w:val="000210DB"/>
    <w:rsid w:val="00081914"/>
    <w:rsid w:val="000B05D4"/>
    <w:rsid w:val="000F0B14"/>
    <w:rsid w:val="000F489C"/>
    <w:rsid w:val="00106CDA"/>
    <w:rsid w:val="00133A3D"/>
    <w:rsid w:val="00145EBA"/>
    <w:rsid w:val="00162293"/>
    <w:rsid w:val="001A0661"/>
    <w:rsid w:val="002628D3"/>
    <w:rsid w:val="00287FB3"/>
    <w:rsid w:val="002C47E7"/>
    <w:rsid w:val="0030025B"/>
    <w:rsid w:val="00357C40"/>
    <w:rsid w:val="003909D6"/>
    <w:rsid w:val="00392C51"/>
    <w:rsid w:val="003E6331"/>
    <w:rsid w:val="004279DA"/>
    <w:rsid w:val="00466AAD"/>
    <w:rsid w:val="0048255A"/>
    <w:rsid w:val="004F33AA"/>
    <w:rsid w:val="00532623"/>
    <w:rsid w:val="00543044"/>
    <w:rsid w:val="005A4FF6"/>
    <w:rsid w:val="005E78A1"/>
    <w:rsid w:val="005F6ACE"/>
    <w:rsid w:val="006F3540"/>
    <w:rsid w:val="00741691"/>
    <w:rsid w:val="007512C6"/>
    <w:rsid w:val="00791F1D"/>
    <w:rsid w:val="007F79D2"/>
    <w:rsid w:val="00837375"/>
    <w:rsid w:val="008760FD"/>
    <w:rsid w:val="00942387"/>
    <w:rsid w:val="00963FA5"/>
    <w:rsid w:val="009C5AB0"/>
    <w:rsid w:val="009D2164"/>
    <w:rsid w:val="00A476E1"/>
    <w:rsid w:val="00A714A2"/>
    <w:rsid w:val="00A73170"/>
    <w:rsid w:val="00AD7FD7"/>
    <w:rsid w:val="00B20D6A"/>
    <w:rsid w:val="00B60807"/>
    <w:rsid w:val="00BA0D4C"/>
    <w:rsid w:val="00BE48C2"/>
    <w:rsid w:val="00C5240D"/>
    <w:rsid w:val="00C7188F"/>
    <w:rsid w:val="00CE42F2"/>
    <w:rsid w:val="00D41E84"/>
    <w:rsid w:val="00DA7545"/>
    <w:rsid w:val="00DC68BC"/>
    <w:rsid w:val="00DF79DD"/>
    <w:rsid w:val="00E24E8F"/>
    <w:rsid w:val="00E920E4"/>
    <w:rsid w:val="00F1115F"/>
    <w:rsid w:val="00F30DAF"/>
    <w:rsid w:val="00FA5A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614023"/>
  <w15:chartTrackingRefBased/>
  <w15:docId w15:val="{E2DB55FD-743A-447C-8642-BD8BF203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D41E84"/>
  </w:style>
  <w:style w:type="character" w:customStyle="1" w:styleId="ParaNumCharChar">
    <w:name w:val="ParaNum Char Char"/>
    <w:link w:val="ParaNum"/>
    <w:locked/>
    <w:rsid w:val="00D41E84"/>
    <w:rPr>
      <w:snapToGrid w:val="0"/>
      <w:kern w:val="28"/>
      <w:sz w:val="22"/>
    </w:rPr>
  </w:style>
  <w:style w:type="table" w:styleId="TableGrid">
    <w:name w:val="Table Grid"/>
    <w:basedOn w:val="TableNormal"/>
    <w:rsid w:val="00D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3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Christopher.Kove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wcb-application-fee-filing-guide" TargetMode="External" /><Relationship Id="rId6" Type="http://schemas.openxmlformats.org/officeDocument/2006/relationships/hyperlink" Target="https://www.fcc.gov/licensing-databases/fees/cores-payment-system"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https://www.fcc.gov/available-support-servic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wcb-application-fee-filing-guide" TargetMode="External" /><Relationship Id="rId2" Type="http://schemas.openxmlformats.org/officeDocument/2006/relationships/hyperlink" Target="https://www.fcc.gov/document/replacement-fee-filer-new-commission-payment-modul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