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27EE" w14:paraId="32C44A24" w14:textId="77777777">
      <w:pPr>
        <w:jc w:val="right"/>
        <w:rPr>
          <w:sz w:val="24"/>
        </w:rPr>
      </w:pPr>
    </w:p>
    <w:p w:rsidR="003427EE" w:rsidRPr="00C14E50" w14:paraId="1F1B9335" w14:textId="5EC14AFA">
      <w:pPr>
        <w:jc w:val="right"/>
        <w:rPr>
          <w:b/>
          <w:sz w:val="24"/>
        </w:rPr>
      </w:pPr>
      <w:r w:rsidRPr="00C14E50">
        <w:rPr>
          <w:b/>
          <w:sz w:val="24"/>
        </w:rPr>
        <w:t>DA</w:t>
      </w:r>
      <w:r w:rsidR="00021844">
        <w:rPr>
          <w:b/>
          <w:sz w:val="24"/>
        </w:rPr>
        <w:t xml:space="preserve"> 2</w:t>
      </w:r>
      <w:r w:rsidR="00327AFC">
        <w:rPr>
          <w:b/>
          <w:sz w:val="24"/>
        </w:rPr>
        <w:t>2</w:t>
      </w:r>
      <w:r w:rsidRPr="00C14E50">
        <w:rPr>
          <w:b/>
          <w:sz w:val="24"/>
        </w:rPr>
        <w:t>-</w:t>
      </w:r>
      <w:r w:rsidR="00872A65">
        <w:rPr>
          <w:b/>
          <w:sz w:val="24"/>
        </w:rPr>
        <w:t>517</w:t>
      </w:r>
    </w:p>
    <w:p w:rsidR="003427EE" w:rsidRPr="00C14E50" w14:paraId="7FEB0C07" w14:textId="5756FD20">
      <w:pPr>
        <w:spacing w:before="60"/>
        <w:jc w:val="right"/>
        <w:rPr>
          <w:b/>
          <w:sz w:val="24"/>
        </w:rPr>
      </w:pPr>
      <w:r>
        <w:rPr>
          <w:b/>
          <w:sz w:val="24"/>
        </w:rPr>
        <w:t xml:space="preserve">May </w:t>
      </w:r>
      <w:r w:rsidR="007F1272">
        <w:rPr>
          <w:b/>
          <w:sz w:val="24"/>
        </w:rPr>
        <w:t>1</w:t>
      </w:r>
      <w:r w:rsidR="00737988">
        <w:rPr>
          <w:b/>
          <w:sz w:val="24"/>
        </w:rPr>
        <w:t>1</w:t>
      </w:r>
      <w:r w:rsidRPr="00C14E50" w:rsidR="00131791">
        <w:rPr>
          <w:b/>
          <w:sz w:val="24"/>
        </w:rPr>
        <w:t>, 202</w:t>
      </w:r>
      <w:r w:rsidR="00327AFC">
        <w:rPr>
          <w:b/>
          <w:sz w:val="24"/>
        </w:rPr>
        <w:t>2</w:t>
      </w:r>
    </w:p>
    <w:p w:rsidR="003427EE" w:rsidRPr="00C14E50" w14:paraId="77395616" w14:textId="77777777">
      <w:pPr>
        <w:jc w:val="right"/>
        <w:rPr>
          <w:sz w:val="24"/>
        </w:rPr>
      </w:pPr>
    </w:p>
    <w:p w:rsidR="000261C0" w:rsidP="000261C0" w14:paraId="4033ECE7" w14:textId="77777777">
      <w:pPr>
        <w:jc w:val="center"/>
        <w:rPr>
          <w:rFonts w:ascii="Times New Roman Bold" w:hAnsi="Times New Roman Bold"/>
          <w:b/>
          <w:caps/>
          <w:sz w:val="24"/>
        </w:rPr>
      </w:pPr>
      <w:r w:rsidRPr="00C14E50">
        <w:rPr>
          <w:rFonts w:ascii="Times New Roman Bold" w:hAnsi="Times New Roman Bold"/>
          <w:b/>
          <w:caps/>
          <w:sz w:val="24"/>
        </w:rPr>
        <w:t xml:space="preserve">APPLICATIONS FILED FOR TRANSFER OF CONTROL </w:t>
      </w:r>
      <w:r w:rsidR="004D5A1B">
        <w:rPr>
          <w:rFonts w:ascii="Times New Roman Bold" w:hAnsi="Times New Roman Bold"/>
          <w:b/>
          <w:caps/>
          <w:sz w:val="24"/>
        </w:rPr>
        <w:t xml:space="preserve">OF </w:t>
      </w:r>
    </w:p>
    <w:p w:rsidR="003427EE" w:rsidRPr="00C14E50" w14:paraId="6DA87968" w14:textId="18B35B7A">
      <w:pPr>
        <w:spacing w:after="240"/>
        <w:jc w:val="center"/>
        <w:rPr>
          <w:rFonts w:ascii="Times New Roman Bold" w:hAnsi="Times New Roman Bold"/>
          <w:b/>
          <w:caps/>
          <w:sz w:val="24"/>
        </w:rPr>
      </w:pPr>
      <w:r w:rsidRPr="007A1236">
        <w:rPr>
          <w:rFonts w:ascii="Times New Roman Bold" w:hAnsi="Times New Roman Bold"/>
          <w:b/>
          <w:caps/>
          <w:sz w:val="24"/>
        </w:rPr>
        <w:t xml:space="preserve">INMARSAT </w:t>
      </w:r>
      <w:r w:rsidR="004D5A1B">
        <w:rPr>
          <w:rFonts w:ascii="Times New Roman Bold" w:hAnsi="Times New Roman Bold"/>
          <w:b/>
          <w:caps/>
          <w:sz w:val="24"/>
        </w:rPr>
        <w:t xml:space="preserve">TO </w:t>
      </w:r>
      <w:r w:rsidRPr="004D5A1B" w:rsidR="004D5A1B">
        <w:rPr>
          <w:rFonts w:ascii="Times New Roman Bold" w:hAnsi="Times New Roman Bold"/>
          <w:b/>
          <w:caps/>
          <w:sz w:val="24"/>
        </w:rPr>
        <w:t>Viasat, Inc.</w:t>
      </w:r>
    </w:p>
    <w:p w:rsidR="003427EE" w:rsidRPr="00C14E50" w14:paraId="73468EE1" w14:textId="3381BC06">
      <w:pPr>
        <w:spacing w:after="240"/>
        <w:jc w:val="center"/>
        <w:rPr>
          <w:b/>
          <w:sz w:val="24"/>
        </w:rPr>
      </w:pPr>
      <w:r w:rsidRPr="00C14E50">
        <w:rPr>
          <w:b/>
          <w:sz w:val="24"/>
        </w:rPr>
        <w:t>Pleading Cycle Established</w:t>
      </w:r>
    </w:p>
    <w:p w:rsidR="003427EE" w:rsidRPr="00C14E50" w14:paraId="74E43091" w14:textId="51696399">
      <w:pPr>
        <w:jc w:val="center"/>
        <w:rPr>
          <w:b/>
          <w:sz w:val="24"/>
        </w:rPr>
      </w:pPr>
      <w:r w:rsidRPr="00C14E50">
        <w:rPr>
          <w:b/>
          <w:sz w:val="24"/>
        </w:rPr>
        <w:t xml:space="preserve">IB Docket No. </w:t>
      </w:r>
      <w:r w:rsidRPr="00F3231F" w:rsidR="00F3231F">
        <w:rPr>
          <w:b/>
          <w:sz w:val="24"/>
        </w:rPr>
        <w:t>22-153</w:t>
      </w:r>
    </w:p>
    <w:p w:rsidR="00787327" w:rsidRPr="00C14E50" w:rsidP="00787327" w14:paraId="46E0FD62" w14:textId="26F6B5BF">
      <w:pPr>
        <w:rPr>
          <w:b/>
          <w:sz w:val="24"/>
        </w:rPr>
      </w:pPr>
    </w:p>
    <w:p w:rsidR="00787327" w:rsidP="00787327" w14:paraId="7F66905C" w14:textId="3F39967B">
      <w:pPr>
        <w:rPr>
          <w:b/>
          <w:sz w:val="24"/>
        </w:rPr>
      </w:pPr>
      <w:r w:rsidRPr="00C14E50">
        <w:rPr>
          <w:b/>
          <w:sz w:val="24"/>
        </w:rPr>
        <w:t>Comments</w:t>
      </w:r>
      <w:r w:rsidR="001B026E">
        <w:rPr>
          <w:b/>
          <w:sz w:val="24"/>
        </w:rPr>
        <w:t>/Petitions</w:t>
      </w:r>
      <w:r w:rsidRPr="00C14E50">
        <w:rPr>
          <w:b/>
          <w:sz w:val="24"/>
        </w:rPr>
        <w:t xml:space="preserve"> Due:  </w:t>
      </w:r>
      <w:r w:rsidR="00AC6E3E">
        <w:rPr>
          <w:b/>
          <w:sz w:val="24"/>
        </w:rPr>
        <w:t xml:space="preserve">June </w:t>
      </w:r>
      <w:r w:rsidR="00737988">
        <w:rPr>
          <w:b/>
          <w:sz w:val="24"/>
        </w:rPr>
        <w:t>10</w:t>
      </w:r>
      <w:r w:rsidRPr="00C14E50">
        <w:rPr>
          <w:b/>
          <w:sz w:val="24"/>
        </w:rPr>
        <w:t>, 202</w:t>
      </w:r>
      <w:r w:rsidR="00485752">
        <w:rPr>
          <w:b/>
          <w:sz w:val="24"/>
        </w:rPr>
        <w:t>2</w:t>
      </w:r>
    </w:p>
    <w:p w:rsidR="00AC6E3E" w:rsidRPr="00C14E50" w:rsidP="00787327" w14:paraId="4D19717E" w14:textId="1F4ECF11">
      <w:pPr>
        <w:rPr>
          <w:b/>
          <w:sz w:val="24"/>
        </w:rPr>
      </w:pPr>
      <w:r w:rsidRPr="00AC6E3E">
        <w:rPr>
          <w:b/>
          <w:sz w:val="24"/>
        </w:rPr>
        <w:t>Responses to Comments/Oppositions to Petitions Due:</w:t>
      </w:r>
      <w:r>
        <w:rPr>
          <w:b/>
          <w:sz w:val="24"/>
        </w:rPr>
        <w:t xml:space="preserve"> June 2</w:t>
      </w:r>
      <w:r w:rsidR="00737988">
        <w:rPr>
          <w:b/>
          <w:sz w:val="24"/>
        </w:rPr>
        <w:t>7</w:t>
      </w:r>
      <w:r>
        <w:rPr>
          <w:b/>
          <w:sz w:val="24"/>
        </w:rPr>
        <w:t>, 2022</w:t>
      </w:r>
    </w:p>
    <w:p w:rsidR="00787327" w:rsidRPr="00C14E50" w:rsidP="00787327" w14:paraId="61A73654" w14:textId="2D6A859C">
      <w:pPr>
        <w:rPr>
          <w:b/>
          <w:sz w:val="24"/>
        </w:rPr>
      </w:pPr>
      <w:r w:rsidRPr="00AC6E3E">
        <w:rPr>
          <w:b/>
          <w:sz w:val="24"/>
        </w:rPr>
        <w:t xml:space="preserve">Replies to Responses/Oppositions </w:t>
      </w:r>
      <w:r w:rsidRPr="00C14E50">
        <w:rPr>
          <w:b/>
          <w:sz w:val="24"/>
        </w:rPr>
        <w:t xml:space="preserve">Due:  </w:t>
      </w:r>
      <w:r>
        <w:rPr>
          <w:b/>
          <w:sz w:val="24"/>
        </w:rPr>
        <w:t xml:space="preserve">July </w:t>
      </w:r>
      <w:r w:rsidR="00737988">
        <w:rPr>
          <w:b/>
          <w:sz w:val="24"/>
        </w:rPr>
        <w:t>7</w:t>
      </w:r>
      <w:r w:rsidRPr="00C14E50">
        <w:rPr>
          <w:b/>
          <w:sz w:val="24"/>
        </w:rPr>
        <w:t>, 202</w:t>
      </w:r>
      <w:r w:rsidR="00485752">
        <w:rPr>
          <w:b/>
          <w:sz w:val="24"/>
        </w:rPr>
        <w:t>2</w:t>
      </w:r>
    </w:p>
    <w:p w:rsidR="003427EE" w:rsidRPr="00C14E50" w14:paraId="71281AFE" w14:textId="77777777">
      <w:bookmarkStart w:id="0" w:name="TOChere"/>
    </w:p>
    <w:p w:rsidR="0055013C" w:rsidP="00731852" w14:paraId="5D35E3D5" w14:textId="671D48E1">
      <w:pPr>
        <w:ind w:firstLine="720"/>
        <w:rPr>
          <w:szCs w:val="22"/>
        </w:rPr>
      </w:pPr>
      <w:r w:rsidRPr="00C14E50">
        <w:rPr>
          <w:szCs w:val="22"/>
        </w:rPr>
        <w:t>By this Public Notice, the International Bureau</w:t>
      </w:r>
      <w:r w:rsidRPr="00787327">
        <w:rPr>
          <w:szCs w:val="22"/>
        </w:rPr>
        <w:t xml:space="preserve"> </w:t>
      </w:r>
      <w:r w:rsidRPr="00AB369C">
        <w:rPr>
          <w:szCs w:val="22"/>
        </w:rPr>
        <w:t>seek</w:t>
      </w:r>
      <w:r w:rsidR="00A73C07">
        <w:rPr>
          <w:szCs w:val="22"/>
        </w:rPr>
        <w:t>s</w:t>
      </w:r>
      <w:r w:rsidRPr="00AB369C">
        <w:rPr>
          <w:szCs w:val="22"/>
        </w:rPr>
        <w:t xml:space="preserve"> comment from interested parties on application</w:t>
      </w:r>
      <w:r>
        <w:rPr>
          <w:szCs w:val="22"/>
        </w:rPr>
        <w:t>s</w:t>
      </w:r>
      <w:r>
        <w:rPr>
          <w:szCs w:val="22"/>
        </w:rPr>
        <w:t xml:space="preserve"> filed </w:t>
      </w:r>
      <w:r w:rsidR="006925B6">
        <w:rPr>
          <w:szCs w:val="22"/>
        </w:rPr>
        <w:t xml:space="preserve">pursuant to sections 214 and </w:t>
      </w:r>
      <w:r w:rsidRPr="00DF26AA" w:rsidR="006925B6">
        <w:rPr>
          <w:szCs w:val="22"/>
        </w:rPr>
        <w:t xml:space="preserve">310(d) </w:t>
      </w:r>
      <w:r w:rsidR="006925B6">
        <w:rPr>
          <w:szCs w:val="22"/>
        </w:rPr>
        <w:t>of the Communications Act of 1934, as amended</w:t>
      </w:r>
      <w:r w:rsidR="0033604C">
        <w:rPr>
          <w:szCs w:val="22"/>
        </w:rPr>
        <w:t xml:space="preserve"> (</w:t>
      </w:r>
      <w:r w:rsidR="009F5FC8">
        <w:rPr>
          <w:szCs w:val="22"/>
        </w:rPr>
        <w:t xml:space="preserve">the </w:t>
      </w:r>
      <w:r w:rsidR="0033604C">
        <w:rPr>
          <w:szCs w:val="22"/>
        </w:rPr>
        <w:t>Act)</w:t>
      </w:r>
      <w:r w:rsidR="006925B6">
        <w:rPr>
          <w:szCs w:val="22"/>
        </w:rPr>
        <w:t>,</w:t>
      </w:r>
      <w:r>
        <w:rPr>
          <w:rStyle w:val="FootnoteReference"/>
          <w:szCs w:val="22"/>
        </w:rPr>
        <w:footnoteReference w:id="3"/>
      </w:r>
      <w:r w:rsidR="006925B6">
        <w:rPr>
          <w:szCs w:val="22"/>
        </w:rPr>
        <w:t xml:space="preserve"> </w:t>
      </w:r>
      <w:bookmarkStart w:id="1" w:name="_Hlk102052313"/>
      <w:r w:rsidRPr="0055013C">
        <w:rPr>
          <w:szCs w:val="22"/>
        </w:rPr>
        <w:t xml:space="preserve">for consent to the transfer of control of </w:t>
      </w:r>
      <w:r w:rsidR="004E27F3">
        <w:rPr>
          <w:szCs w:val="22"/>
        </w:rPr>
        <w:t>authorizations</w:t>
      </w:r>
      <w:r w:rsidRPr="0055013C">
        <w:rPr>
          <w:szCs w:val="22"/>
        </w:rPr>
        <w:t xml:space="preserve"> </w:t>
      </w:r>
      <w:r w:rsidRPr="00E22B07" w:rsidR="00E22B07">
        <w:rPr>
          <w:szCs w:val="22"/>
        </w:rPr>
        <w:t>held by Inmarsat Group Holdings Inc.</w:t>
      </w:r>
      <w:r w:rsidR="00CD0C97">
        <w:rPr>
          <w:szCs w:val="22"/>
        </w:rPr>
        <w:t xml:space="preserve"> </w:t>
      </w:r>
      <w:r w:rsidR="00CD0C97">
        <w:t>(IGHI)</w:t>
      </w:r>
      <w:r w:rsidRPr="00E22B07" w:rsidR="00E22B07">
        <w:rPr>
          <w:szCs w:val="22"/>
        </w:rPr>
        <w:t>, Inmarsat Inc., Inmarsat Solutions (US) Inc., and ISAT US Inc</w:t>
      </w:r>
      <w:r w:rsidR="00D865CF">
        <w:rPr>
          <w:szCs w:val="22"/>
        </w:rPr>
        <w:t xml:space="preserve">. </w:t>
      </w:r>
      <w:r w:rsidR="005739C5">
        <w:rPr>
          <w:szCs w:val="22"/>
        </w:rPr>
        <w:t xml:space="preserve">from </w:t>
      </w:r>
      <w:r w:rsidR="004809B4">
        <w:rPr>
          <w:szCs w:val="22"/>
        </w:rPr>
        <w:t>their parent,</w:t>
      </w:r>
      <w:r w:rsidR="005739C5">
        <w:rPr>
          <w:szCs w:val="22"/>
        </w:rPr>
        <w:t xml:space="preserve"> </w:t>
      </w:r>
      <w:r w:rsidRPr="007F4B1E" w:rsidR="006925B6">
        <w:rPr>
          <w:szCs w:val="22"/>
        </w:rPr>
        <w:t xml:space="preserve">Connect Topco Limited </w:t>
      </w:r>
      <w:r w:rsidR="006925B6">
        <w:rPr>
          <w:szCs w:val="22"/>
        </w:rPr>
        <w:t>(</w:t>
      </w:r>
      <w:r w:rsidRPr="007F4B1E" w:rsidR="006925B6">
        <w:rPr>
          <w:szCs w:val="22"/>
        </w:rPr>
        <w:t>Connect Topco</w:t>
      </w:r>
      <w:r w:rsidR="006925B6">
        <w:rPr>
          <w:szCs w:val="22"/>
        </w:rPr>
        <w:t>)</w:t>
      </w:r>
      <w:r w:rsidR="003A55B2">
        <w:rPr>
          <w:szCs w:val="22"/>
        </w:rPr>
        <w:t>,</w:t>
      </w:r>
      <w:r w:rsidRPr="007F4B1E" w:rsidR="006925B6">
        <w:rPr>
          <w:szCs w:val="22"/>
        </w:rPr>
        <w:t xml:space="preserve"> </w:t>
      </w:r>
      <w:r w:rsidR="006925B6">
        <w:rPr>
          <w:szCs w:val="22"/>
        </w:rPr>
        <w:t xml:space="preserve">to </w:t>
      </w:r>
      <w:r w:rsidRPr="007F4B1E" w:rsidR="006925B6">
        <w:rPr>
          <w:szCs w:val="22"/>
        </w:rPr>
        <w:t>Viasat</w:t>
      </w:r>
      <w:r w:rsidRPr="007F4B1E" w:rsidR="006925B6">
        <w:rPr>
          <w:szCs w:val="22"/>
        </w:rPr>
        <w:t>, Inc. (</w:t>
      </w:r>
      <w:r w:rsidRPr="007F4B1E" w:rsidR="006925B6">
        <w:rPr>
          <w:szCs w:val="22"/>
        </w:rPr>
        <w:t>Viasat</w:t>
      </w:r>
      <w:r w:rsidRPr="007F4B1E" w:rsidR="006925B6">
        <w:rPr>
          <w:szCs w:val="22"/>
        </w:rPr>
        <w:t>)</w:t>
      </w:r>
      <w:bookmarkEnd w:id="1"/>
      <w:r w:rsidRPr="007F4B1E" w:rsidR="006925B6">
        <w:rPr>
          <w:szCs w:val="22"/>
        </w:rPr>
        <w:t xml:space="preserve"> </w:t>
      </w:r>
      <w:r w:rsidR="006925B6">
        <w:rPr>
          <w:szCs w:val="22"/>
        </w:rPr>
        <w:t>(together with Connect Topco, the Applicants).</w:t>
      </w:r>
      <w:r>
        <w:rPr>
          <w:rStyle w:val="FootnoteReference"/>
          <w:szCs w:val="22"/>
        </w:rPr>
        <w:footnoteReference w:id="4"/>
      </w:r>
      <w:r w:rsidR="006925B6">
        <w:rPr>
          <w:szCs w:val="22"/>
        </w:rPr>
        <w:t xml:space="preserve">  </w:t>
      </w:r>
      <w:r w:rsidR="00731852">
        <w:rPr>
          <w:szCs w:val="22"/>
        </w:rPr>
        <w:t xml:space="preserve">The Bureau also seeks comment on a related </w:t>
      </w:r>
      <w:r w:rsidRPr="00945EC8" w:rsidR="00945EC8">
        <w:rPr>
          <w:szCs w:val="22"/>
        </w:rPr>
        <w:t xml:space="preserve">petition </w:t>
      </w:r>
      <w:r w:rsidR="00731852">
        <w:rPr>
          <w:szCs w:val="22"/>
        </w:rPr>
        <w:t xml:space="preserve">filed </w:t>
      </w:r>
      <w:r w:rsidRPr="00945EC8" w:rsidR="00945EC8">
        <w:rPr>
          <w:szCs w:val="22"/>
        </w:rPr>
        <w:t xml:space="preserve">pursuant to section 1.5000(a)(1) of the Commission’s rules requesting a declaratory ruling to permit foreign </w:t>
      </w:r>
      <w:r w:rsidR="00FD4510">
        <w:rPr>
          <w:szCs w:val="22"/>
        </w:rPr>
        <w:t>ownership</w:t>
      </w:r>
      <w:r w:rsidRPr="00945EC8" w:rsidR="00FD4510">
        <w:rPr>
          <w:szCs w:val="22"/>
        </w:rPr>
        <w:t xml:space="preserve"> </w:t>
      </w:r>
      <w:r w:rsidR="00731852">
        <w:rPr>
          <w:szCs w:val="22"/>
        </w:rPr>
        <w:t xml:space="preserve">in </w:t>
      </w:r>
      <w:r w:rsidR="00731852">
        <w:rPr>
          <w:szCs w:val="22"/>
        </w:rPr>
        <w:t>Viasat</w:t>
      </w:r>
      <w:r w:rsidR="00731852">
        <w:rPr>
          <w:szCs w:val="22"/>
        </w:rPr>
        <w:t xml:space="preserve"> </w:t>
      </w:r>
      <w:r w:rsidRPr="00945EC8" w:rsidR="00945EC8">
        <w:rPr>
          <w:szCs w:val="22"/>
        </w:rPr>
        <w:t>above the 25% benchmark</w:t>
      </w:r>
      <w:r w:rsidR="006A5230">
        <w:rPr>
          <w:szCs w:val="22"/>
        </w:rPr>
        <w:t>s</w:t>
      </w:r>
      <w:r w:rsidRPr="00945EC8" w:rsidR="00945EC8">
        <w:rPr>
          <w:szCs w:val="22"/>
        </w:rPr>
        <w:t xml:space="preserve"> in section 310(b)(4) of the Act.</w:t>
      </w:r>
      <w:r>
        <w:rPr>
          <w:rStyle w:val="FootnoteReference"/>
          <w:szCs w:val="22"/>
        </w:rPr>
        <w:footnoteReference w:id="5"/>
      </w:r>
      <w:r w:rsidR="00AB7327">
        <w:rPr>
          <w:szCs w:val="22"/>
        </w:rPr>
        <w:t xml:space="preserve"> </w:t>
      </w:r>
    </w:p>
    <w:p w:rsidR="0055013C" w:rsidP="00DF26AA" w14:paraId="76A20950" w14:textId="77777777">
      <w:pPr>
        <w:ind w:firstLine="720"/>
        <w:rPr>
          <w:szCs w:val="22"/>
        </w:rPr>
      </w:pPr>
    </w:p>
    <w:bookmarkEnd w:id="0"/>
    <w:p w:rsidR="00383E4A" w:rsidP="00383E4A" w14:paraId="2379641B" w14:textId="479ACF0A">
      <w:pPr>
        <w:ind w:firstLine="720"/>
      </w:pPr>
      <w:r w:rsidRPr="00E70C3A">
        <w:t>Viasat</w:t>
      </w:r>
      <w:r w:rsidR="00FF62EF">
        <w:t>,</w:t>
      </w:r>
      <w:r w:rsidRPr="00E70C3A">
        <w:t xml:space="preserve">  a </w:t>
      </w:r>
      <w:r>
        <w:t xml:space="preserve">widely held, </w:t>
      </w:r>
      <w:r w:rsidRPr="00E70C3A">
        <w:t>publicly traded Delaware corporation</w:t>
      </w:r>
      <w:r w:rsidR="00FF62EF">
        <w:t xml:space="preserve">, </w:t>
      </w:r>
      <w:r w:rsidR="00A54EC1">
        <w:t xml:space="preserve"> </w:t>
      </w:r>
      <w:r w:rsidRPr="00A54EC1" w:rsidR="00A54EC1">
        <w:t>is a provider of communications services and technologies including satellite communications technologies for both military and commercial uses</w:t>
      </w:r>
      <w:r>
        <w:t>.</w:t>
      </w:r>
      <w:r>
        <w:rPr>
          <w:rStyle w:val="FootnoteReference"/>
        </w:rPr>
        <w:footnoteReference w:id="6"/>
      </w:r>
      <w:r>
        <w:t xml:space="preserve">  </w:t>
      </w:r>
      <w:r>
        <w:t>Viasat</w:t>
      </w:r>
      <w:r>
        <w:t xml:space="preserve"> operates </w:t>
      </w:r>
      <w:r w:rsidRPr="00E70C3A">
        <w:t>Ka-band</w:t>
      </w:r>
      <w:r>
        <w:t xml:space="preserve"> (20/30 GHz)</w:t>
      </w:r>
      <w:r w:rsidRPr="00E70C3A">
        <w:t xml:space="preserve"> satellites, user terminals</w:t>
      </w:r>
      <w:r>
        <w:t xml:space="preserve">, </w:t>
      </w:r>
      <w:r w:rsidRPr="00E70C3A">
        <w:t xml:space="preserve">and ground </w:t>
      </w:r>
      <w:r w:rsidRPr="00E70C3A">
        <w:t xml:space="preserve">infrastructure </w:t>
      </w:r>
      <w:r>
        <w:t xml:space="preserve">to </w:t>
      </w:r>
      <w:r w:rsidRPr="00E70C3A">
        <w:t xml:space="preserve">provide broadband </w:t>
      </w:r>
      <w:r>
        <w:t>services</w:t>
      </w:r>
      <w:r w:rsidRPr="00E70C3A">
        <w:t xml:space="preserve"> to consumers, government users, and enterprises, including residential broadband service and in-flight broadband connectivity to passengers on aircraft.</w:t>
      </w:r>
      <w:r>
        <w:rPr>
          <w:rStyle w:val="FootnoteReference"/>
        </w:rPr>
        <w:footnoteReference w:id="7"/>
      </w:r>
      <w:r w:rsidR="00ED27DF">
        <w:t xml:space="preserve">  According to the Petition, </w:t>
      </w:r>
      <w:r w:rsidRPr="00ED27DF" w:rsidR="00ED27DF">
        <w:t>Viasat’s</w:t>
      </w:r>
      <w:r w:rsidRPr="00ED27DF" w:rsidR="00ED27DF">
        <w:t xml:space="preserve"> broadband satellite network provides service throughout the United States</w:t>
      </w:r>
      <w:r w:rsidR="00895CE7">
        <w:t xml:space="preserve">, including through the </w:t>
      </w:r>
      <w:r w:rsidRPr="00ED27DF" w:rsidR="00895CE7">
        <w:t>ViaSat-1 and ViaSat-2 satellites</w:t>
      </w:r>
      <w:r w:rsidR="00895CE7">
        <w:t>.</w:t>
      </w:r>
      <w:r>
        <w:rPr>
          <w:rStyle w:val="FootnoteReference"/>
        </w:rPr>
        <w:footnoteReference w:id="8"/>
      </w:r>
      <w:r w:rsidR="00895CE7">
        <w:t xml:space="preserve"> </w:t>
      </w:r>
    </w:p>
    <w:p w:rsidR="00383E4A" w:rsidP="00C65770" w14:paraId="6731BBDA" w14:textId="77777777">
      <w:pPr>
        <w:ind w:firstLine="720"/>
      </w:pPr>
    </w:p>
    <w:p w:rsidR="00383E4A" w:rsidP="00383E4A" w14:paraId="5708A5C4" w14:textId="6A3AE95A">
      <w:pPr>
        <w:ind w:firstLine="720"/>
      </w:pPr>
      <w:r w:rsidRPr="00C17B93">
        <w:t xml:space="preserve">Connect Topco, a Guernsey limited company, is </w:t>
      </w:r>
      <w:r w:rsidR="002A6F94">
        <w:t>a corporate</w:t>
      </w:r>
      <w:r w:rsidRPr="00C17B93">
        <w:t xml:space="preserve"> parent of Inmarsat Group Holdings Limited</w:t>
      </w:r>
      <w:r>
        <w:t xml:space="preserve">, a U.K. limited company </w:t>
      </w:r>
      <w:r w:rsidR="00C649F5">
        <w:t xml:space="preserve">that </w:t>
      </w:r>
      <w:r>
        <w:t xml:space="preserve">holds Commission grants of market access, earth station licenses, and international section 214 authorizations through four wholly owned Delaware corporations – </w:t>
      </w:r>
      <w:r w:rsidR="00A93BD5">
        <w:t>IGHI</w:t>
      </w:r>
      <w:r w:rsidRPr="00754F99">
        <w:t>, Inmarsat Inc., Inmarsat Solutions (US) Inc., and ISAT US Inc</w:t>
      </w:r>
      <w:r>
        <w:t xml:space="preserve"> (together with </w:t>
      </w:r>
      <w:r w:rsidRPr="00057B0B">
        <w:t>Inmarsat Group Holdings Limited, Inmarsat</w:t>
      </w:r>
      <w:r>
        <w:t>)</w:t>
      </w:r>
      <w:r w:rsidRPr="00754F99">
        <w:t>.</w:t>
      </w:r>
      <w:r>
        <w:rPr>
          <w:rStyle w:val="FootnoteReference"/>
        </w:rPr>
        <w:footnoteReference w:id="9"/>
      </w:r>
      <w:r w:rsidRPr="00754F99">
        <w:t xml:space="preserve"> </w:t>
      </w:r>
    </w:p>
    <w:p w:rsidR="00383E4A" w:rsidP="00383E4A" w14:paraId="37EE11FE" w14:textId="77777777">
      <w:pPr>
        <w:ind w:firstLine="720"/>
      </w:pPr>
    </w:p>
    <w:p w:rsidR="008B4E23" w:rsidP="008B4E23" w14:paraId="02D05480" w14:textId="6EFB6476">
      <w:pPr>
        <w:ind w:firstLine="720"/>
      </w:pPr>
      <w:r w:rsidRPr="00754F99">
        <w:t xml:space="preserve">Inmarsat </w:t>
      </w:r>
      <w:r>
        <w:t xml:space="preserve">provides satellite services in </w:t>
      </w:r>
      <w:r w:rsidRPr="00754F99">
        <w:t>the United States using spectrum in the L-</w:t>
      </w:r>
      <w:r>
        <w:t>band (1 GHz)</w:t>
      </w:r>
      <w:r w:rsidRPr="00754F99">
        <w:t xml:space="preserve"> and Ka-band to support connectivity to maritime vessels and safety of life services to maritime users, cockpit communications and safety of flight for commercial aircraft, and connectivity to</w:t>
      </w:r>
      <w:r>
        <w:t xml:space="preserve"> </w:t>
      </w:r>
      <w:r w:rsidRPr="00754F99">
        <w:t>business aircraft and government users.</w:t>
      </w:r>
      <w:r>
        <w:rPr>
          <w:rStyle w:val="FootnoteReference"/>
        </w:rPr>
        <w:footnoteReference w:id="10"/>
      </w:r>
      <w:r w:rsidRPr="00754F99">
        <w:t xml:space="preserve"> </w:t>
      </w:r>
    </w:p>
    <w:p w:rsidR="008B4E23" w:rsidP="008B4E23" w14:paraId="6FF0D3F4" w14:textId="77777777">
      <w:pPr>
        <w:ind w:firstLine="720"/>
      </w:pPr>
    </w:p>
    <w:p w:rsidR="00383E4A" w:rsidP="00383E4A" w14:paraId="5583582C" w14:textId="6814E614">
      <w:pPr>
        <w:ind w:firstLine="720"/>
      </w:pPr>
      <w:r>
        <w:t xml:space="preserve">According to the Applicants, </w:t>
      </w:r>
      <w:r w:rsidRPr="00C17B93">
        <w:t>Connect Topco is directly owned by (</w:t>
      </w:r>
      <w:r w:rsidRPr="00C17B93">
        <w:t>i</w:t>
      </w:r>
      <w:r w:rsidRPr="00C17B93">
        <w:t xml:space="preserve">) </w:t>
      </w:r>
      <w:bookmarkStart w:id="2" w:name="_Hlk101971767"/>
      <w:r w:rsidRPr="00C17B93">
        <w:t xml:space="preserve">Triton </w:t>
      </w:r>
      <w:r w:rsidRPr="00C17B93">
        <w:t>LuxTopHolding</w:t>
      </w:r>
      <w:r w:rsidRPr="00C17B93">
        <w:t xml:space="preserve"> SARL</w:t>
      </w:r>
      <w:bookmarkEnd w:id="2"/>
      <w:r w:rsidRPr="00C17B93">
        <w:t xml:space="preserve">, a Luxembourg limited liability company, which is owned by certain limited partnerships comprising the </w:t>
      </w:r>
      <w:r w:rsidRPr="00C17B93">
        <w:t>Apax</w:t>
      </w:r>
      <w:r w:rsidRPr="00C17B93">
        <w:t xml:space="preserve"> IX investment fund controlled by </w:t>
      </w:r>
      <w:r w:rsidRPr="00C17B93">
        <w:t>Apax</w:t>
      </w:r>
      <w:r w:rsidRPr="00C17B93">
        <w:t xml:space="preserve"> IX GP Co. Limited, a Guernsey limited company; (ii) WP Triton Co-Invest, L.P., a Cayman Islands exempted limited partnership, which is owned by certain investment funds controlled by Warburg Pincus LLC, a New York limited liability company; (iii) CPP Investment Board Private Holdings (4) Inc., a Canadian corporation which is a wholly owned subsidiary of Canada Pension Plan Investment Board; and (iv) 2684343 Ontario Limited, an Ontario, Canada corporation which is a wholly owned subsidiary of Ontario Teachers’ Pension Plan Board.</w:t>
      </w:r>
      <w:r>
        <w:rPr>
          <w:rStyle w:val="FootnoteReference"/>
        </w:rPr>
        <w:footnoteReference w:id="11"/>
      </w:r>
      <w:r>
        <w:t xml:space="preserve">  </w:t>
      </w:r>
      <w:bookmarkStart w:id="3" w:name="_Hlk102374767"/>
      <w:r w:rsidRPr="00152590">
        <w:t xml:space="preserve">Each of </w:t>
      </w:r>
      <w:r w:rsidRPr="00BF4EFB" w:rsidR="00BF4EFB">
        <w:t xml:space="preserve">Triton </w:t>
      </w:r>
      <w:r w:rsidRPr="00BF4EFB" w:rsidR="00BF4EFB">
        <w:t>LuxTopHolding</w:t>
      </w:r>
      <w:r w:rsidRPr="00BF4EFB" w:rsidR="00BF4EFB">
        <w:t xml:space="preserve"> SARL</w:t>
      </w:r>
      <w:r w:rsidRPr="00152590">
        <w:t xml:space="preserve">, </w:t>
      </w:r>
      <w:r w:rsidRPr="00BF4EFB" w:rsidR="00BF4EFB">
        <w:t>WP Triton Co-Invest, L.P.</w:t>
      </w:r>
      <w:r w:rsidRPr="00152590">
        <w:t>, CPP Investment Board Private Holdings (4) Inc., and 2684343 Ontario Limited (together, the Inmarsat Investors) directly holds 25</w:t>
      </w:r>
      <w:r w:rsidR="00BC5976">
        <w:t>%</w:t>
      </w:r>
      <w:r w:rsidRPr="00152590">
        <w:t xml:space="preserve"> of Connect Topco’s voting interests.</w:t>
      </w:r>
      <w:bookmarkEnd w:id="3"/>
      <w:r>
        <w:rPr>
          <w:rStyle w:val="FootnoteReference"/>
        </w:rPr>
        <w:footnoteReference w:id="12"/>
      </w:r>
    </w:p>
    <w:p w:rsidR="00C65770" w:rsidP="0055270A" w14:paraId="71C4126A" w14:textId="4EC629FD">
      <w:pPr>
        <w:ind w:firstLine="720"/>
      </w:pPr>
    </w:p>
    <w:p w:rsidR="00C65770" w:rsidP="00C65770" w14:paraId="51ABC031" w14:textId="769EF9D0">
      <w:pPr>
        <w:ind w:firstLine="720"/>
      </w:pPr>
      <w:r>
        <w:t xml:space="preserve">On </w:t>
      </w:r>
      <w:r w:rsidRPr="00C94EF8">
        <w:t>November 8, 2021</w:t>
      </w:r>
      <w:r>
        <w:t xml:space="preserve">, </w:t>
      </w:r>
      <w:r>
        <w:t xml:space="preserve"> </w:t>
      </w:r>
      <w:r w:rsidRPr="002F7259">
        <w:t>Viasat</w:t>
      </w:r>
      <w:r w:rsidRPr="002F7259">
        <w:t xml:space="preserve"> entered into a Share Purchase Agreement with the Inmarsat Investors and </w:t>
      </w:r>
      <w:r>
        <w:t xml:space="preserve">certain Inmarsat senior management shareholders </w:t>
      </w:r>
      <w:r w:rsidRPr="002F7259">
        <w:t xml:space="preserve">(collectively, Inmarsat </w:t>
      </w:r>
      <w:r>
        <w:t>S</w:t>
      </w:r>
      <w:r w:rsidRPr="002F7259">
        <w:t xml:space="preserve">hareholders), under which </w:t>
      </w:r>
      <w:r w:rsidRPr="002F7259">
        <w:t>Viasat</w:t>
      </w:r>
      <w:r w:rsidRPr="002F7259">
        <w:t xml:space="preserve"> has agreed to acquire ownership of Connect Topco.</w:t>
      </w:r>
      <w:r>
        <w:rPr>
          <w:rStyle w:val="FootnoteReference"/>
        </w:rPr>
        <w:footnoteReference w:id="13"/>
      </w:r>
      <w:r w:rsidRPr="002F7259">
        <w:t xml:space="preserve"> </w:t>
      </w:r>
      <w:r>
        <w:t xml:space="preserve"> </w:t>
      </w:r>
      <w:r w:rsidRPr="002F7259">
        <w:t xml:space="preserve">Inmarsat </w:t>
      </w:r>
      <w:r>
        <w:t>S</w:t>
      </w:r>
      <w:r w:rsidRPr="002F7259">
        <w:t xml:space="preserve">hareholders are expected to receive $850 million in cash, subject to adjustments, and newly issued shares of the common stock of </w:t>
      </w:r>
      <w:r w:rsidRPr="002F7259">
        <w:t>Viasat</w:t>
      </w:r>
      <w:r w:rsidRPr="002F7259">
        <w:t xml:space="preserve"> valued at approximately $3.1 billion and representing, in the aggregate, approximately 37.5</w:t>
      </w:r>
      <w:r w:rsidR="00A9763A">
        <w:t>%</w:t>
      </w:r>
      <w:r w:rsidRPr="002F7259">
        <w:t xml:space="preserve"> of the outstanding common stock of </w:t>
      </w:r>
      <w:r w:rsidRPr="002F7259">
        <w:t>Viasat</w:t>
      </w:r>
      <w:r w:rsidRPr="002F7259">
        <w:t>.</w:t>
      </w:r>
      <w:r>
        <w:rPr>
          <w:rStyle w:val="FootnoteReference"/>
        </w:rPr>
        <w:footnoteReference w:id="14"/>
      </w:r>
      <w:r w:rsidRPr="002F7259">
        <w:t xml:space="preserve"> </w:t>
      </w:r>
      <w:r>
        <w:t xml:space="preserve"> </w:t>
      </w:r>
      <w:r w:rsidRPr="002F7259">
        <w:t>Viasat</w:t>
      </w:r>
      <w:r w:rsidRPr="002F7259">
        <w:t xml:space="preserve"> also is expected to assume approximately $3.4 billion of net debt as part of the </w:t>
      </w:r>
      <w:r>
        <w:t>p</w:t>
      </w:r>
      <w:r w:rsidRPr="002F7259">
        <w:t xml:space="preserve">roposed </w:t>
      </w:r>
      <w:r>
        <w:t>t</w:t>
      </w:r>
      <w:r w:rsidRPr="002F7259">
        <w:t>ransaction.</w:t>
      </w:r>
      <w:r>
        <w:rPr>
          <w:rStyle w:val="FootnoteReference"/>
        </w:rPr>
        <w:footnoteReference w:id="15"/>
      </w:r>
      <w:r w:rsidRPr="002F7259">
        <w:t xml:space="preserve"> </w:t>
      </w:r>
    </w:p>
    <w:p w:rsidR="00C65770" w:rsidP="0055270A" w14:paraId="2345A933" w14:textId="4278DEA5">
      <w:pPr>
        <w:ind w:firstLine="720"/>
      </w:pPr>
    </w:p>
    <w:p w:rsidR="004C0589" w:rsidP="004C0589" w14:paraId="4BAC3B2A" w14:textId="4BE285DD">
      <w:r>
        <w:tab/>
      </w:r>
      <w:r w:rsidR="00423DFB">
        <w:t xml:space="preserve">The </w:t>
      </w:r>
      <w:r w:rsidRPr="00D17873" w:rsidR="00BF5263">
        <w:rPr>
          <w:bCs/>
          <w:szCs w:val="22"/>
        </w:rPr>
        <w:t xml:space="preserve">Applicants </w:t>
      </w:r>
      <w:r w:rsidR="001007EC">
        <w:rPr>
          <w:bCs/>
          <w:szCs w:val="22"/>
        </w:rPr>
        <w:t>assert</w:t>
      </w:r>
      <w:r w:rsidRPr="00D17873" w:rsidR="00BF5263">
        <w:rPr>
          <w:bCs/>
          <w:szCs w:val="22"/>
        </w:rPr>
        <w:t xml:space="preserve"> that grant of the </w:t>
      </w:r>
      <w:r w:rsidR="00BF5263">
        <w:rPr>
          <w:bCs/>
          <w:szCs w:val="22"/>
        </w:rPr>
        <w:t>A</w:t>
      </w:r>
      <w:r w:rsidRPr="00D17873" w:rsidR="00BF5263">
        <w:rPr>
          <w:bCs/>
          <w:szCs w:val="22"/>
        </w:rPr>
        <w:t>pplication</w:t>
      </w:r>
      <w:r w:rsidR="00000DD5">
        <w:rPr>
          <w:bCs/>
          <w:szCs w:val="22"/>
        </w:rPr>
        <w:t>s</w:t>
      </w:r>
      <w:r w:rsidRPr="00D17873" w:rsidR="00BF5263">
        <w:rPr>
          <w:bCs/>
          <w:szCs w:val="22"/>
        </w:rPr>
        <w:t xml:space="preserve"> would serve the public interest, convenience, and necessity</w:t>
      </w:r>
      <w:r w:rsidR="009447DA">
        <w:rPr>
          <w:bCs/>
          <w:szCs w:val="22"/>
        </w:rPr>
        <w:t xml:space="preserve">, and </w:t>
      </w:r>
      <w:r w:rsidRPr="00F77FBE" w:rsidR="00BA47A3">
        <w:t xml:space="preserve">would not </w:t>
      </w:r>
      <w:r w:rsidR="00BA47A3">
        <w:t xml:space="preserve">violate any </w:t>
      </w:r>
      <w:r w:rsidR="00740DC6">
        <w:t xml:space="preserve">statute or </w:t>
      </w:r>
      <w:r w:rsidR="00BA47A3">
        <w:t>Commission rule</w:t>
      </w:r>
      <w:r w:rsidR="00A77CAD">
        <w:t xml:space="preserve"> </w:t>
      </w:r>
      <w:r w:rsidR="009447DA">
        <w:t>or</w:t>
      </w:r>
      <w:r w:rsidRPr="00F77FBE" w:rsidR="00BA47A3">
        <w:t xml:space="preserve"> raise issues in the areas of national security, law enforcement, foreign policy, or trade policy.</w:t>
      </w:r>
      <w:r>
        <w:rPr>
          <w:rStyle w:val="FootnoteReference"/>
        </w:rPr>
        <w:footnoteReference w:id="16"/>
      </w:r>
      <w:r w:rsidR="00BA47A3">
        <w:t xml:space="preserve">  </w:t>
      </w:r>
      <w:r w:rsidR="00A77CAD">
        <w:t xml:space="preserve">The Applicants also </w:t>
      </w:r>
      <w:r w:rsidR="009447DA">
        <w:t xml:space="preserve">claim competitive benefits from the proposed transaction.  </w:t>
      </w:r>
      <w:r w:rsidR="00DE4DAC">
        <w:t xml:space="preserve">They </w:t>
      </w:r>
      <w:r w:rsidR="006973CB">
        <w:t>contend</w:t>
      </w:r>
      <w:r w:rsidR="00A77CAD">
        <w:t xml:space="preserve"> that </w:t>
      </w:r>
      <w:r w:rsidR="009D72F3">
        <w:t>Viasat</w:t>
      </w:r>
      <w:r w:rsidR="009D72F3">
        <w:t xml:space="preserve"> and Inmarsat have developed </w:t>
      </w:r>
      <w:r w:rsidRPr="003705FD" w:rsidR="009D72F3">
        <w:t xml:space="preserve">complementary businesses in </w:t>
      </w:r>
      <w:r w:rsidR="009D72F3">
        <w:t>a</w:t>
      </w:r>
      <w:r w:rsidRPr="003705FD" w:rsidR="009D72F3">
        <w:t xml:space="preserve"> dynamic marketplace</w:t>
      </w:r>
      <w:r w:rsidR="009D72F3">
        <w:t xml:space="preserve"> </w:t>
      </w:r>
      <w:r w:rsidR="00FC5B2E">
        <w:t>and that</w:t>
      </w:r>
      <w:r w:rsidRPr="00034A9D" w:rsidR="009D72F3">
        <w:t xml:space="preserve"> the combined company will be </w:t>
      </w:r>
      <w:r w:rsidR="003638C0">
        <w:t>able</w:t>
      </w:r>
      <w:r w:rsidRPr="00034A9D" w:rsidR="009D72F3">
        <w:t xml:space="preserve"> to deliver more robust and innovative services</w:t>
      </w:r>
      <w:r w:rsidR="009D72F3">
        <w:t>.</w:t>
      </w:r>
      <w:r>
        <w:rPr>
          <w:rStyle w:val="FootnoteReference"/>
        </w:rPr>
        <w:footnoteReference w:id="17"/>
      </w:r>
      <w:r w:rsidR="009D72F3">
        <w:t xml:space="preserve">  </w:t>
      </w:r>
      <w:r w:rsidR="008521CE">
        <w:t xml:space="preserve">The Applicants </w:t>
      </w:r>
      <w:r w:rsidR="006973CB">
        <w:t>argue</w:t>
      </w:r>
      <w:r w:rsidR="008521CE">
        <w:t xml:space="preserve"> that c</w:t>
      </w:r>
      <w:r w:rsidRPr="00EC60D6" w:rsidR="008521CE">
        <w:t>ombining the compan</w:t>
      </w:r>
      <w:r w:rsidR="008521CE">
        <w:t>ies’</w:t>
      </w:r>
      <w:r w:rsidRPr="00EC60D6" w:rsidR="008521CE">
        <w:t xml:space="preserve"> existing fleets </w:t>
      </w:r>
      <w:r w:rsidR="008A534B">
        <w:t>of sate</w:t>
      </w:r>
      <w:r w:rsidR="00BF6965">
        <w:t>l</w:t>
      </w:r>
      <w:r w:rsidR="008A534B">
        <w:t>lite</w:t>
      </w:r>
      <w:r w:rsidR="00103871">
        <w:t xml:space="preserve">s </w:t>
      </w:r>
      <w:r w:rsidR="008521CE">
        <w:t>would</w:t>
      </w:r>
      <w:r w:rsidRPr="00EC60D6" w:rsidR="008521CE">
        <w:t xml:space="preserve"> result in enhanced bandwidth, reliability, and redundancy for customers</w:t>
      </w:r>
      <w:r w:rsidR="008521CE">
        <w:t xml:space="preserve"> while </w:t>
      </w:r>
      <w:r w:rsidRPr="00EC60D6" w:rsidR="008521CE">
        <w:t>enabl</w:t>
      </w:r>
      <w:r w:rsidR="008521CE">
        <w:t>ing</w:t>
      </w:r>
      <w:r w:rsidRPr="00EC60D6" w:rsidR="008521CE">
        <w:t xml:space="preserve"> the companies to reduce the satellite capacity fees they currently pay to third parties, thereby increasing efficiency</w:t>
      </w:r>
      <w:r w:rsidR="008521CE">
        <w:t>.</w:t>
      </w:r>
      <w:r>
        <w:rPr>
          <w:rStyle w:val="FootnoteReference"/>
        </w:rPr>
        <w:footnoteReference w:id="18"/>
      </w:r>
      <w:r w:rsidRPr="00EC60D6" w:rsidR="008521CE">
        <w:t xml:space="preserve"> </w:t>
      </w:r>
      <w:r w:rsidR="008521CE">
        <w:t xml:space="preserve"> The Applicants also argue that the proposed transaction would </w:t>
      </w:r>
      <w:r w:rsidRPr="00EC60D6" w:rsidR="008521CE">
        <w:t xml:space="preserve">enable the companies to integrate </w:t>
      </w:r>
      <w:r w:rsidRPr="00EC60D6" w:rsidR="008521CE">
        <w:t>Viasat’s</w:t>
      </w:r>
      <w:r w:rsidRPr="00EC60D6" w:rsidR="008521CE">
        <w:t xml:space="preserve"> terminals and equipment technology business with Inmarsat’s narrowband satellite services and to combine distribution channels to offer innovative pairings of services</w:t>
      </w:r>
      <w:r w:rsidR="008521CE">
        <w:t>.</w:t>
      </w:r>
      <w:r>
        <w:rPr>
          <w:rStyle w:val="FootnoteReference"/>
        </w:rPr>
        <w:footnoteReference w:id="19"/>
      </w:r>
      <w:r w:rsidRPr="004C0589">
        <w:t xml:space="preserve"> </w:t>
      </w:r>
      <w:r>
        <w:t xml:space="preserve"> Regarding the </w:t>
      </w:r>
      <w:r w:rsidR="00AB0747">
        <w:t>claimed</w:t>
      </w:r>
      <w:r>
        <w:t xml:space="preserve"> compl</w:t>
      </w:r>
      <w:r w:rsidR="00BD0B80">
        <w:t>e</w:t>
      </w:r>
      <w:r>
        <w:t xml:space="preserve">mentary nature of </w:t>
      </w:r>
      <w:r>
        <w:t>Via</w:t>
      </w:r>
      <w:r w:rsidR="008346D8">
        <w:t>s</w:t>
      </w:r>
      <w:r>
        <w:t>at’s</w:t>
      </w:r>
      <w:r>
        <w:t xml:space="preserve"> and Inmarsat’s services, the Applicants argue specifically that the proposed transaction will not result in competitive harm in market segments related to c</w:t>
      </w:r>
      <w:r w:rsidRPr="00034A9D">
        <w:t>onsumer broadband internet access</w:t>
      </w:r>
      <w:r>
        <w:t xml:space="preserve">, </w:t>
      </w:r>
      <w:r w:rsidRPr="00034A9D">
        <w:t>commercial aviation</w:t>
      </w:r>
      <w:r>
        <w:t xml:space="preserve">, </w:t>
      </w:r>
      <w:r w:rsidRPr="00034A9D">
        <w:t>business aviation</w:t>
      </w:r>
      <w:r>
        <w:t xml:space="preserve">, </w:t>
      </w:r>
      <w:r w:rsidRPr="00034A9D">
        <w:t>maritime</w:t>
      </w:r>
      <w:r>
        <w:t xml:space="preserve">, </w:t>
      </w:r>
      <w:r w:rsidRPr="00034A9D">
        <w:t>energy</w:t>
      </w:r>
      <w:r>
        <w:t xml:space="preserve">, </w:t>
      </w:r>
      <w:r w:rsidRPr="00034A9D">
        <w:t>government</w:t>
      </w:r>
      <w:r>
        <w:t>, s</w:t>
      </w:r>
      <w:r w:rsidRPr="00034A9D">
        <w:t>atellite capacity supply</w:t>
      </w:r>
      <w:r>
        <w:t xml:space="preserve">, or in </w:t>
      </w:r>
      <w:r w:rsidRPr="00034A9D">
        <w:t>other segments</w:t>
      </w:r>
      <w:r>
        <w:t>.</w:t>
      </w:r>
      <w:r>
        <w:rPr>
          <w:rStyle w:val="FootnoteReference"/>
        </w:rPr>
        <w:footnoteReference w:id="20"/>
      </w:r>
      <w:r>
        <w:t xml:space="preserve">  </w:t>
      </w:r>
    </w:p>
    <w:p w:rsidR="00611479" w:rsidP="008521CE" w14:paraId="45F9CFB0" w14:textId="77777777"/>
    <w:p w:rsidR="00E331A2" w:rsidRPr="002336DD" w:rsidP="00E331A2" w14:paraId="6F55A222" w14:textId="77777777">
      <w:pPr>
        <w:keepNext/>
        <w:autoSpaceDE w:val="0"/>
        <w:autoSpaceDN w:val="0"/>
        <w:adjustRightInd w:val="0"/>
        <w:rPr>
          <w:b/>
          <w:bCs/>
          <w:szCs w:val="22"/>
          <w:u w:val="single"/>
        </w:rPr>
      </w:pPr>
      <w:r w:rsidRPr="002336DD">
        <w:rPr>
          <w:b/>
          <w:bCs/>
          <w:szCs w:val="22"/>
          <w:u w:val="single"/>
        </w:rPr>
        <w:t>Petition for Declaratory Ruling Under Section 310(b)(4)</w:t>
      </w:r>
    </w:p>
    <w:p w:rsidR="00E331A2" w:rsidP="00133048" w14:paraId="45808AB2" w14:textId="5F0FE361"/>
    <w:p w:rsidR="00DC37D8" w:rsidP="00133048" w14:paraId="6203B0A3" w14:textId="07F41F17">
      <w:r>
        <w:tab/>
      </w:r>
      <w:r w:rsidR="00821FAE">
        <w:t>Viasat</w:t>
      </w:r>
      <w:r w:rsidR="00821FAE">
        <w:t xml:space="preserve"> </w:t>
      </w:r>
      <w:r w:rsidR="00093E27">
        <w:t>has</w:t>
      </w:r>
      <w:r>
        <w:t xml:space="preserve"> filed a Petition pursuant to section 310(b)(4) of the Act</w:t>
      </w:r>
      <w:r w:rsidR="003776E8">
        <w:t xml:space="preserve"> </w:t>
      </w:r>
      <w:r>
        <w:t>and section 1.5000(a)(1) of the Commission’s rules, to permit</w:t>
      </w:r>
      <w:r w:rsidR="003776E8">
        <w:t xml:space="preserve"> post transaction foreign ownership of </w:t>
      </w:r>
      <w:r>
        <w:t xml:space="preserve">the proposed controlling U.S. parent, </w:t>
      </w:r>
      <w:r w:rsidR="008E3179">
        <w:t>IGHI</w:t>
      </w:r>
      <w:r>
        <w:t>,</w:t>
      </w:r>
      <w:r w:rsidR="003776E8">
        <w:t xml:space="preserve"> </w:t>
      </w:r>
      <w:r>
        <w:t>to exceed the 25% benchmarks specified in the Act.</w:t>
      </w:r>
      <w:r>
        <w:rPr>
          <w:vertAlign w:val="superscript"/>
        </w:rPr>
        <w:footnoteReference w:id="21"/>
      </w:r>
      <w:r>
        <w:t xml:space="preserve">  </w:t>
      </w:r>
    </w:p>
    <w:p w:rsidR="00DC37D8" w:rsidP="00133048" w14:paraId="7E9CBE62" w14:textId="77777777"/>
    <w:p w:rsidR="00A278F2" w:rsidP="00B22C5C" w14:paraId="0F64DD0D" w14:textId="51FA653E">
      <w:pPr>
        <w:spacing w:after="240"/>
        <w:ind w:firstLine="720"/>
      </w:pPr>
      <w:r>
        <w:t xml:space="preserve">Consistent with the foreign ownership information in the Narrative and as described above, the </w:t>
      </w:r>
      <w:r w:rsidR="004B0D40">
        <w:t xml:space="preserve">Petition explains that, </w:t>
      </w:r>
      <w:r w:rsidRPr="004B0D40" w:rsidR="004B0D40">
        <w:t xml:space="preserve">upon consummation of the proposed transaction, foreign entities will </w:t>
      </w:r>
      <w:r w:rsidR="009722C7">
        <w:t>hold</w:t>
      </w:r>
      <w:r w:rsidRPr="004B0D40" w:rsidR="004B0D40">
        <w:t xml:space="preserve"> approximately 45% of the voting and equity interests in </w:t>
      </w:r>
      <w:r w:rsidRPr="004B0D40" w:rsidR="004B0D40">
        <w:t>Viasat</w:t>
      </w:r>
      <w:r w:rsidR="009B7D3A">
        <w:t>.</w:t>
      </w:r>
      <w:r w:rsidRPr="004B0D40" w:rsidR="004B0D40">
        <w:t xml:space="preserve"> </w:t>
      </w:r>
      <w:r w:rsidR="00EA375C">
        <w:t xml:space="preserve"> </w:t>
      </w:r>
      <w:r w:rsidR="00A27ABF">
        <w:t>A</w:t>
      </w:r>
      <w:r w:rsidR="009E6A3F">
        <w:t>ccording to the Petition</w:t>
      </w:r>
      <w:r w:rsidR="00A27ABF">
        <w:t xml:space="preserve">, </w:t>
      </w:r>
      <w:r w:rsidR="00DA10A9">
        <w:t>each of</w:t>
      </w:r>
      <w:r w:rsidR="00A27ABF">
        <w:t xml:space="preserve"> </w:t>
      </w:r>
      <w:r w:rsidRPr="00A27ABF" w:rsidR="00A27ABF">
        <w:t>the Inmarsat Investors</w:t>
      </w:r>
      <w:r w:rsidR="00A27ABF">
        <w:t xml:space="preserve"> </w:t>
      </w:r>
      <w:r w:rsidRPr="00A27ABF" w:rsidR="00A27ABF">
        <w:t>directly hold</w:t>
      </w:r>
      <w:r w:rsidR="00247C71">
        <w:t>s</w:t>
      </w:r>
      <w:r w:rsidRPr="00A27ABF" w:rsidR="00A27ABF">
        <w:t xml:space="preserve"> 25% of Connect Topco’s voting interests</w:t>
      </w:r>
      <w:r w:rsidR="009E6A3F">
        <w:t xml:space="preserve">, and in turn, </w:t>
      </w:r>
      <w:r w:rsidRPr="00A27ABF" w:rsidR="00A27ABF">
        <w:t xml:space="preserve">Connect Topco owns 99.19% of Connect Sub-Topco Limited (Connect Sub-Topco), with the remaining 0.81% owned by a small number of Inmarsat senior management </w:t>
      </w:r>
      <w:r w:rsidR="00485D42">
        <w:t>s</w:t>
      </w:r>
      <w:r w:rsidRPr="00A27ABF" w:rsidR="00A27ABF">
        <w:t>hareholders.</w:t>
      </w:r>
      <w:r>
        <w:rPr>
          <w:rStyle w:val="FootnoteReference"/>
        </w:rPr>
        <w:footnoteReference w:id="22"/>
      </w:r>
      <w:r w:rsidRPr="00A27ABF" w:rsidR="00A27ABF">
        <w:t xml:space="preserve">  </w:t>
      </w:r>
      <w:r w:rsidR="00A63539">
        <w:t xml:space="preserve">As a result of the proposed transaction, Connect Topco will become a direct, wholly owned subsidiary of </w:t>
      </w:r>
      <w:r w:rsidR="00A63539">
        <w:t>Viasat</w:t>
      </w:r>
      <w:r w:rsidR="00A63539">
        <w:t xml:space="preserve">, and Connect Sub-Topco, IGHI, and the Inmarsat Licensees will become indirect, wholly owned subsidiaries of </w:t>
      </w:r>
      <w:r w:rsidR="00A63539">
        <w:t>Viasat</w:t>
      </w:r>
      <w:r w:rsidR="00A63539">
        <w:t>.</w:t>
      </w:r>
      <w:r>
        <w:rPr>
          <w:rStyle w:val="FootnoteReference"/>
        </w:rPr>
        <w:footnoteReference w:id="23"/>
      </w:r>
      <w:r w:rsidR="00A63539">
        <w:t xml:space="preserve">  </w:t>
      </w:r>
      <w:r w:rsidR="002157C1">
        <w:t>The Petition</w:t>
      </w:r>
      <w:r w:rsidR="00A63539">
        <w:t xml:space="preserve"> state</w:t>
      </w:r>
      <w:r w:rsidR="002157C1">
        <w:t>s</w:t>
      </w:r>
      <w:r w:rsidR="00A63539">
        <w:t xml:space="preserve"> that after the proposed transaction, each of the Inmarsat Investors would continue to hold indirect </w:t>
      </w:r>
      <w:r w:rsidR="00A63539">
        <w:t xml:space="preserve">interest in IGHI through </w:t>
      </w:r>
      <w:r w:rsidR="00A63539">
        <w:t>Viasat</w:t>
      </w:r>
      <w:r w:rsidR="00A63539">
        <w:t xml:space="preserve">, and the aggregate interest would be diluted </w:t>
      </w:r>
      <w:r w:rsidR="00A5491A">
        <w:t>from 100</w:t>
      </w:r>
      <w:r w:rsidR="004F59B4">
        <w:t xml:space="preserve">% to </w:t>
      </w:r>
      <w:r w:rsidR="00A63539">
        <w:t>37.50%.</w:t>
      </w:r>
      <w:r>
        <w:rPr>
          <w:rStyle w:val="FootnoteReference"/>
        </w:rPr>
        <w:footnoteReference w:id="24"/>
      </w:r>
      <w:r w:rsidRPr="004B0D40">
        <w:t xml:space="preserve">  </w:t>
      </w:r>
      <w:r w:rsidRPr="00DA3915">
        <w:t xml:space="preserve">According to the Petition, the remaining portion of the estimated </w:t>
      </w:r>
      <w:r w:rsidR="00EF3986">
        <w:t xml:space="preserve">45% </w:t>
      </w:r>
      <w:r w:rsidRPr="00DA3915">
        <w:t xml:space="preserve">aggregate </w:t>
      </w:r>
      <w:r w:rsidR="00327CAB">
        <w:t xml:space="preserve">post-transaction </w:t>
      </w:r>
      <w:r w:rsidRPr="00DA3915" w:rsidR="00DF00BF">
        <w:t xml:space="preserve">foreign </w:t>
      </w:r>
      <w:r w:rsidRPr="00DA3915">
        <w:t>ownership is held by entities that are beneficial owners of common stock.</w:t>
      </w:r>
      <w:r>
        <w:rPr>
          <w:rStyle w:val="FootnoteReference"/>
        </w:rPr>
        <w:footnoteReference w:id="25"/>
      </w:r>
      <w:r w:rsidRPr="004B0D40">
        <w:t xml:space="preserve">  </w:t>
      </w:r>
    </w:p>
    <w:p w:rsidR="00C945DF" w:rsidP="00DA3915" w14:paraId="2E51833B" w14:textId="0E0AE70D">
      <w:pPr>
        <w:spacing w:after="240"/>
        <w:ind w:firstLine="720"/>
      </w:pPr>
      <w:r>
        <w:t>Viasat</w:t>
      </w:r>
      <w:r>
        <w:t xml:space="preserve"> seeks </w:t>
      </w:r>
      <w:r w:rsidRPr="00137188">
        <w:t xml:space="preserve">approval for </w:t>
      </w:r>
      <w:r w:rsidRPr="00DA3915">
        <w:t>non-controlling</w:t>
      </w:r>
      <w:r w:rsidRPr="00137188">
        <w:t xml:space="preserve"> foreign entities and individuals in the aggregate to </w:t>
      </w:r>
      <w:r w:rsidRPr="00DA3915">
        <w:t>hold up to 100%</w:t>
      </w:r>
      <w:r w:rsidRPr="00137188">
        <w:t xml:space="preserve"> of the equity and voting interests in </w:t>
      </w:r>
      <w:r w:rsidRPr="00137188">
        <w:t>Viasat</w:t>
      </w:r>
      <w:r>
        <w:t>.</w:t>
      </w:r>
      <w:r>
        <w:rPr>
          <w:rStyle w:val="FootnoteReference"/>
        </w:rPr>
        <w:footnoteReference w:id="26"/>
      </w:r>
      <w:r>
        <w:t xml:space="preserve">  </w:t>
      </w:r>
      <w:r>
        <w:t>Pursuant to section 1.5001(</w:t>
      </w:r>
      <w:r>
        <w:t>i</w:t>
      </w:r>
      <w:r>
        <w:t xml:space="preserve">) of the rules, </w:t>
      </w:r>
      <w:r w:rsidR="004D4521">
        <w:t>Viasat</w:t>
      </w:r>
      <w:r w:rsidR="002F2806">
        <w:t xml:space="preserve"> </w:t>
      </w:r>
      <w:r w:rsidR="00DB6929">
        <w:t xml:space="preserve">also </w:t>
      </w:r>
      <w:r>
        <w:t>request</w:t>
      </w:r>
      <w:r w:rsidR="004D4521">
        <w:t>s</w:t>
      </w:r>
      <w:r>
        <w:t xml:space="preserve"> specific approv</w:t>
      </w:r>
      <w:r w:rsidR="009D1E59">
        <w:t>al for</w:t>
      </w:r>
      <w:r>
        <w:t xml:space="preserve"> the </w:t>
      </w:r>
      <w:r w:rsidR="00876D40">
        <w:t>direct</w:t>
      </w:r>
      <w:r w:rsidR="00F02BBA">
        <w:t xml:space="preserve"> and/or</w:t>
      </w:r>
      <w:r w:rsidR="00A06E6F">
        <w:t xml:space="preserve"> indirect foreign </w:t>
      </w:r>
      <w:r>
        <w:t xml:space="preserve">equity and/or voting interests that would be held in </w:t>
      </w:r>
      <w:r w:rsidR="00C36DF8">
        <w:t>IGHI</w:t>
      </w:r>
      <w:r>
        <w:t xml:space="preserve"> upon completion of the proposed transaction by foreign-organized entities and foreign individuals</w:t>
      </w:r>
      <w:r w:rsidR="00787E60">
        <w:t xml:space="preserve"> as follows</w:t>
      </w:r>
      <w:r w:rsidR="00B2510D">
        <w:t>:</w:t>
      </w:r>
      <w:r>
        <w:t xml:space="preserve">  </w:t>
      </w:r>
    </w:p>
    <w:p w:rsidR="00CB5E5D" w:rsidP="0003580D" w14:paraId="4F78057E" w14:textId="5C182A3D">
      <w:pPr>
        <w:ind w:firstLine="720"/>
      </w:pPr>
      <w:r w:rsidRPr="00CB5E5D">
        <w:t>Inmarsat Solutions Limited (100% equity and voting</w:t>
      </w:r>
      <w:r>
        <w:t>) (United Kingdom)</w:t>
      </w:r>
      <w:r w:rsidR="000B15DC">
        <w:t>;</w:t>
      </w:r>
    </w:p>
    <w:p w:rsidR="007E2D56" w:rsidP="0003580D" w14:paraId="1A53DEAE" w14:textId="6E767149">
      <w:pPr>
        <w:ind w:firstLine="720"/>
      </w:pPr>
      <w:r>
        <w:t>Inmarsat Finance III Limited</w:t>
      </w:r>
      <w:r w:rsidR="000B15DC">
        <w:t xml:space="preserve"> </w:t>
      </w:r>
      <w:r w:rsidRPr="00CB5E5D" w:rsidR="000B15DC">
        <w:t>(100% equity and voting</w:t>
      </w:r>
      <w:r w:rsidR="000B15DC">
        <w:t>) (United Kingdom);</w:t>
      </w:r>
    </w:p>
    <w:p w:rsidR="007E2D56" w:rsidP="0003580D" w14:paraId="208FB6F4" w14:textId="74458E62">
      <w:pPr>
        <w:ind w:firstLine="720"/>
      </w:pPr>
      <w:r w:rsidRPr="00532C9E">
        <w:t>Inmarsat New Ventures Limited</w:t>
      </w:r>
      <w:r w:rsidR="000B15DC">
        <w:t xml:space="preserve"> </w:t>
      </w:r>
      <w:r w:rsidRPr="00CB5E5D" w:rsidR="000B15DC">
        <w:t>(100% equity and voting</w:t>
      </w:r>
      <w:r w:rsidR="000B15DC">
        <w:t>) (United Kingdom);</w:t>
      </w:r>
    </w:p>
    <w:p w:rsidR="0003580D" w:rsidP="0003580D" w14:paraId="18A541CF" w14:textId="7A453B08">
      <w:pPr>
        <w:ind w:firstLine="720"/>
      </w:pPr>
      <w:r>
        <w:t>Inmarsat Investments Limited</w:t>
      </w:r>
      <w:r w:rsidR="000B15DC">
        <w:t xml:space="preserve"> </w:t>
      </w:r>
      <w:r w:rsidRPr="00CB5E5D" w:rsidR="000B15DC">
        <w:t>(100% equity and voting</w:t>
      </w:r>
      <w:r w:rsidR="000B15DC">
        <w:t>) (United Kingdom);</w:t>
      </w:r>
    </w:p>
    <w:p w:rsidR="0003580D" w:rsidP="00DA3915" w14:paraId="167B1563" w14:textId="212961A0">
      <w:pPr>
        <w:ind w:firstLine="720"/>
      </w:pPr>
      <w:r>
        <w:t>Inmarsat Group Limited</w:t>
      </w:r>
      <w:r w:rsidR="000B15DC">
        <w:t xml:space="preserve"> </w:t>
      </w:r>
      <w:r w:rsidRPr="00CB5E5D" w:rsidR="000B15DC">
        <w:t>(100% equity and voting</w:t>
      </w:r>
      <w:r w:rsidR="000B15DC">
        <w:t>) (United Kingdom);</w:t>
      </w:r>
    </w:p>
    <w:p w:rsidR="0098712B" w:rsidP="00DA3915" w14:paraId="5EA86DEA" w14:textId="33D513DF">
      <w:pPr>
        <w:ind w:firstLine="720"/>
      </w:pPr>
      <w:r>
        <w:t>Inmarsat Holdings Limited</w:t>
      </w:r>
      <w:r w:rsidR="000B15DC">
        <w:t xml:space="preserve"> </w:t>
      </w:r>
      <w:r w:rsidRPr="00CB5E5D" w:rsidR="000B15DC">
        <w:t>(100% equity and voting</w:t>
      </w:r>
      <w:r w:rsidR="000B15DC">
        <w:t>) (United Kingdom);</w:t>
      </w:r>
    </w:p>
    <w:p w:rsidR="00175F47" w:rsidP="00DA3915" w14:paraId="36B4FB56" w14:textId="11355282">
      <w:pPr>
        <w:ind w:firstLine="720"/>
      </w:pPr>
      <w:r>
        <w:t xml:space="preserve">Inmarsat Group Holdings Limited </w:t>
      </w:r>
      <w:r w:rsidRPr="00CB5E5D" w:rsidR="000D1F22">
        <w:t>(100% equity and voting</w:t>
      </w:r>
      <w:r w:rsidR="000D1F22">
        <w:t>) (United Kingdom);</w:t>
      </w:r>
    </w:p>
    <w:p w:rsidR="0084377A" w:rsidP="00DA3915" w14:paraId="57C1020A" w14:textId="78C95A5B">
      <w:pPr>
        <w:ind w:firstLine="720"/>
      </w:pPr>
      <w:r>
        <w:t xml:space="preserve">Connect </w:t>
      </w:r>
      <w:r>
        <w:t>Bidco</w:t>
      </w:r>
      <w:r>
        <w:t xml:space="preserve"> Limited</w:t>
      </w:r>
      <w:r w:rsidR="000D1F22">
        <w:t xml:space="preserve"> </w:t>
      </w:r>
      <w:r w:rsidRPr="00CB5E5D" w:rsidR="00BE0DF8">
        <w:t>(100% equity and voting</w:t>
      </w:r>
      <w:r w:rsidR="00BE0DF8">
        <w:t>) (Guernsey);</w:t>
      </w:r>
    </w:p>
    <w:p w:rsidR="001B294C" w:rsidP="00DA3915" w14:paraId="7DD07F02" w14:textId="4BE33716">
      <w:pPr>
        <w:ind w:firstLine="720"/>
      </w:pPr>
      <w:r>
        <w:t>Connect Midco Limited</w:t>
      </w:r>
      <w:r w:rsidR="00BE0DF8">
        <w:t xml:space="preserve"> </w:t>
      </w:r>
      <w:r w:rsidRPr="00CB5E5D" w:rsidR="00BE0DF8">
        <w:t>(100% equity and voting</w:t>
      </w:r>
      <w:r w:rsidR="00BE0DF8">
        <w:t>) (Guernsey);</w:t>
      </w:r>
    </w:p>
    <w:p w:rsidR="00F31C3C" w:rsidP="00DA3915" w14:paraId="37E5BD2F" w14:textId="72E8BDE9">
      <w:pPr>
        <w:ind w:firstLine="720"/>
      </w:pPr>
      <w:r>
        <w:t>Connect Sub-Topco Limited</w:t>
      </w:r>
      <w:r w:rsidR="00BE0DF8">
        <w:t xml:space="preserve"> </w:t>
      </w:r>
      <w:r w:rsidRPr="00CB5E5D" w:rsidR="00BE0DF8">
        <w:t>(100% equity and voting</w:t>
      </w:r>
      <w:r w:rsidR="00BE0DF8">
        <w:t>) (Guernsey); and</w:t>
      </w:r>
    </w:p>
    <w:p w:rsidR="00CB5E5D" w:rsidP="00443BFA" w14:paraId="49533190" w14:textId="0EAEE1B8">
      <w:pPr>
        <w:ind w:firstLine="720"/>
      </w:pPr>
      <w:r>
        <w:t>Connect Topco Limited</w:t>
      </w:r>
      <w:r w:rsidR="00BE0DF8">
        <w:t xml:space="preserve"> </w:t>
      </w:r>
      <w:r w:rsidRPr="00CB5E5D" w:rsidR="00BE0DF8">
        <w:t>(100% equity and voting</w:t>
      </w:r>
      <w:r w:rsidR="00BE0DF8">
        <w:t>) (Guernsey).</w:t>
      </w:r>
    </w:p>
    <w:p w:rsidR="00443BFA" w:rsidP="00443BFA" w14:paraId="249BF075" w14:textId="77777777">
      <w:pPr>
        <w:ind w:firstLine="720"/>
      </w:pPr>
    </w:p>
    <w:p w:rsidR="00C945DF" w:rsidP="00912F72" w14:paraId="082428F5" w14:textId="70CE1EAE">
      <w:r>
        <w:t xml:space="preserve">Triton </w:t>
      </w:r>
      <w:r>
        <w:t>LuxTop</w:t>
      </w:r>
      <w:r>
        <w:t xml:space="preserve"> Holding SARL (&lt;9.375% equity and &lt;9.375% voting) (Luxembourg), and the following affiliated entities and individuals: </w:t>
      </w:r>
    </w:p>
    <w:p w:rsidR="00912F72" w:rsidP="00DA3915" w14:paraId="2E7BE748" w14:textId="77777777"/>
    <w:p w:rsidR="00C945DF" w:rsidP="00C945DF" w14:paraId="6E43ED28" w14:textId="6264888D">
      <w:pPr>
        <w:ind w:firstLine="720"/>
      </w:pPr>
      <w:r>
        <w:t>Apax</w:t>
      </w:r>
      <w:r>
        <w:t xml:space="preserve"> IX USD L.P. (&lt;6.197% equity and &lt;8.418% voting) (Guernsey);</w:t>
      </w:r>
    </w:p>
    <w:p w:rsidR="00C945DF" w:rsidP="00C945DF" w14:paraId="3EEE138A" w14:textId="77777777">
      <w:pPr>
        <w:ind w:firstLine="720"/>
      </w:pPr>
      <w:r>
        <w:t>Apax</w:t>
      </w:r>
      <w:r>
        <w:t xml:space="preserve"> IX USD Co-Investment L.P. (&lt;0.055% equity and &lt;8.418% voting) (Guernsey);</w:t>
      </w:r>
    </w:p>
    <w:p w:rsidR="00C945DF" w:rsidP="00C945DF" w14:paraId="4E706049" w14:textId="77777777">
      <w:pPr>
        <w:ind w:firstLine="720"/>
      </w:pPr>
      <w:r>
        <w:t>Apax</w:t>
      </w:r>
      <w:r>
        <w:t xml:space="preserve"> IX EUR L.P. (&lt;2.127% equity and &lt;8.418% voting) (Guernsey);</w:t>
      </w:r>
    </w:p>
    <w:p w:rsidR="00C945DF" w:rsidP="00C945DF" w14:paraId="482AB17A" w14:textId="77777777">
      <w:pPr>
        <w:ind w:firstLine="720"/>
      </w:pPr>
      <w:r>
        <w:t>Apax</w:t>
      </w:r>
      <w:r>
        <w:t xml:space="preserve"> IX EUR Co-Investment L.P. (&lt;0.039% equity and &lt;8.418% voting)(Guernsey);</w:t>
      </w:r>
    </w:p>
    <w:p w:rsidR="00C945DF" w:rsidP="00C945DF" w14:paraId="28E770CF" w14:textId="77777777">
      <w:pPr>
        <w:ind w:firstLine="720"/>
      </w:pPr>
      <w:r>
        <w:t>A9 USD (Feeder) L.P. (&lt;2.784% equity and &lt;2.784% voting) (Guernsey);</w:t>
      </w:r>
    </w:p>
    <w:p w:rsidR="00857463" w:rsidP="00857463" w14:paraId="0D67BA9A" w14:textId="15A151FA">
      <w:pPr>
        <w:ind w:firstLine="720"/>
      </w:pPr>
      <w:r w:rsidRPr="00DA3915">
        <w:t>A9 USD Founder L.P(&lt;0.01% equity and 0% voting) (Guernsey);</w:t>
      </w:r>
    </w:p>
    <w:p w:rsidR="00C945DF" w:rsidP="00C945DF" w14:paraId="51DF86B8" w14:textId="77777777">
      <w:pPr>
        <w:ind w:firstLine="720"/>
      </w:pPr>
      <w:r>
        <w:t>A9 EUR (Feeder) L.P. (&lt;1.509% equity and &lt;1.509% voting) (Guernsey);</w:t>
      </w:r>
    </w:p>
    <w:p w:rsidR="00174B43" w:rsidP="00C945DF" w14:paraId="4A56FC38" w14:textId="1409E6A8">
      <w:pPr>
        <w:ind w:firstLine="720"/>
      </w:pPr>
      <w:r w:rsidRPr="00E2639F">
        <w:t>A9 EUR Founder L.P. (</w:t>
      </w:r>
      <w:r w:rsidRPr="00E2639F" w:rsidR="00260191">
        <w:t>&lt;0.01% equity and 0% voting</w:t>
      </w:r>
      <w:r w:rsidRPr="00E2639F" w:rsidR="003447AC">
        <w:t>) (Guernsey);</w:t>
      </w:r>
    </w:p>
    <w:p w:rsidR="00C945DF" w:rsidP="00C945DF" w14:paraId="074032AA" w14:textId="77777777">
      <w:pPr>
        <w:ind w:firstLine="720"/>
      </w:pPr>
      <w:r>
        <w:t>Apax</w:t>
      </w:r>
      <w:r>
        <w:t xml:space="preserve"> IX USD GP L.P., Inc. (&lt;0.044% equity and &lt;8.418% voting) (Guernsey);</w:t>
      </w:r>
    </w:p>
    <w:p w:rsidR="00C945DF" w:rsidP="00C945DF" w14:paraId="44E453DD" w14:textId="77777777">
      <w:pPr>
        <w:ind w:firstLine="720"/>
      </w:pPr>
      <w:r>
        <w:t>Apax</w:t>
      </w:r>
      <w:r>
        <w:t xml:space="preserve"> IX EUR GP L.P. Inc. (0% equity and &lt;8.418% voting) (Guernsey);</w:t>
      </w:r>
    </w:p>
    <w:p w:rsidR="00C945DF" w:rsidP="00C945DF" w14:paraId="0672104B" w14:textId="77777777">
      <w:pPr>
        <w:ind w:firstLine="720"/>
      </w:pPr>
      <w:r>
        <w:t>Apax</w:t>
      </w:r>
      <w:r>
        <w:t xml:space="preserve"> IX GP Co. Limited (&lt;8.418% equity and &lt;9.375% voting) (Guernsey);</w:t>
      </w:r>
    </w:p>
    <w:p w:rsidR="009B643D" w:rsidP="00C945DF" w14:paraId="4C5EE7F0" w14:textId="0401AF0D">
      <w:pPr>
        <w:ind w:firstLine="720"/>
      </w:pPr>
      <w:r w:rsidRPr="00E2639F">
        <w:t>Apax</w:t>
      </w:r>
      <w:r w:rsidRPr="00E2639F">
        <w:t xml:space="preserve"> IX Founder GP Co. Limited </w:t>
      </w:r>
      <w:r w:rsidRPr="00E2639F" w:rsidR="00BF1513">
        <w:t>(</w:t>
      </w:r>
      <w:r w:rsidRPr="00E2639F" w:rsidR="001B2ED1">
        <w:t>&lt;0.01% equity and 0% voting) (Guernsey);</w:t>
      </w:r>
    </w:p>
    <w:p w:rsidR="00C945DF" w:rsidP="00DA3915" w14:paraId="60E7B9E7" w14:textId="77777777">
      <w:pPr>
        <w:ind w:left="720"/>
      </w:pPr>
      <w:r>
        <w:t>Apax</w:t>
      </w:r>
      <w:r>
        <w:t xml:space="preserve"> Guernsey (Holdco) PCC Limited </w:t>
      </w:r>
      <w:r>
        <w:t>Apax</w:t>
      </w:r>
      <w:r>
        <w:t xml:space="preserve"> IX Cell (0% equity and &lt;9.375% voting) (Guernsey);</w:t>
      </w:r>
    </w:p>
    <w:p w:rsidR="00A424DD" w:rsidP="00DA3915" w14:paraId="17D1DA5C" w14:textId="262E5D01">
      <w:pPr>
        <w:ind w:left="720"/>
      </w:pPr>
      <w:r w:rsidRPr="00E2639F">
        <w:t>Connect Syndication L.P.</w:t>
      </w:r>
      <w:r w:rsidRPr="00E2639F" w:rsidR="008D4142">
        <w:t xml:space="preserve"> (&lt;0.957% equity</w:t>
      </w:r>
      <w:r w:rsidRPr="00E2639F" w:rsidR="00C27DB4">
        <w:t xml:space="preserve"> and</w:t>
      </w:r>
      <w:r w:rsidRPr="00E2639F" w:rsidR="008D4142">
        <w:t xml:space="preserve"> &lt;0.957% voting</w:t>
      </w:r>
      <w:r w:rsidRPr="00E2639F" w:rsidR="00C27DB4">
        <w:t>)</w:t>
      </w:r>
      <w:r w:rsidRPr="00E2639F" w:rsidR="0064565B">
        <w:t xml:space="preserve"> (Guernsey);</w:t>
      </w:r>
      <w:r w:rsidRPr="00E2639F">
        <w:cr/>
      </w:r>
      <w:r w:rsidRPr="00E2639F" w:rsidR="003F6951">
        <w:t xml:space="preserve">Connect Syndication GP Co. Limited </w:t>
      </w:r>
      <w:r w:rsidRPr="00E2639F" w:rsidR="00C27DB4">
        <w:t>(</w:t>
      </w:r>
      <w:r w:rsidRPr="00E2639F" w:rsidR="0079785D">
        <w:t>0% equity</w:t>
      </w:r>
      <w:r w:rsidRPr="00E2639F" w:rsidR="00F543DF">
        <w:t xml:space="preserve"> and &lt;0.957% voting)</w:t>
      </w:r>
      <w:r w:rsidRPr="00E2639F" w:rsidR="0079785D">
        <w:t xml:space="preserve"> </w:t>
      </w:r>
      <w:r w:rsidRPr="00E2639F" w:rsidR="00C27DB4">
        <w:t>(Guernsey);</w:t>
      </w:r>
    </w:p>
    <w:p w:rsidR="00C945DF" w:rsidP="00C945DF" w14:paraId="34D3B6A6" w14:textId="77777777">
      <w:pPr>
        <w:ind w:firstLine="720"/>
      </w:pPr>
      <w:r>
        <w:t xml:space="preserve">The </w:t>
      </w:r>
      <w:r>
        <w:t>Hirzel</w:t>
      </w:r>
      <w:r>
        <w:t xml:space="preserve"> IV Purpose Trust (0% equity and &lt;9.375% voting) (Guernsey);</w:t>
      </w:r>
    </w:p>
    <w:p w:rsidR="00C945DF" w:rsidP="00DA3915" w14:paraId="3912CF14" w14:textId="5AB9F25C">
      <w:pPr>
        <w:ind w:left="720"/>
      </w:pPr>
      <w:r>
        <w:t xml:space="preserve">Andrew </w:t>
      </w:r>
      <w:r>
        <w:t>Guille</w:t>
      </w:r>
      <w:r>
        <w:t xml:space="preserve"> (Trustee, 0% equity and &lt;9.375% voting) (</w:t>
      </w:r>
      <w:r w:rsidR="00247DD3">
        <w:t>United Kingdom</w:t>
      </w:r>
      <w:r>
        <w:t>);</w:t>
      </w:r>
    </w:p>
    <w:p w:rsidR="00C945DF" w:rsidP="00DA3915" w14:paraId="219F04C4" w14:textId="2A939F2C">
      <w:pPr>
        <w:ind w:left="720"/>
      </w:pPr>
      <w:r>
        <w:t>Jacqueline Ward (Trustee, 0% equity and &lt;9.375% voting) (</w:t>
      </w:r>
      <w:r w:rsidR="00247DD3">
        <w:t>United Kingdom</w:t>
      </w:r>
      <w:r>
        <w:t xml:space="preserve">); and </w:t>
      </w:r>
    </w:p>
    <w:p w:rsidR="00C945DF" w:rsidP="00C945DF" w14:paraId="6C868627" w14:textId="77777777">
      <w:pPr>
        <w:ind w:firstLine="720"/>
      </w:pPr>
      <w:r>
        <w:t xml:space="preserve">Simon </w:t>
      </w:r>
      <w:r>
        <w:t>Cresswell</w:t>
      </w:r>
      <w:r>
        <w:t xml:space="preserve"> (Trust Enforcer, 0% equity and 0% voting) (Australia).</w:t>
      </w:r>
    </w:p>
    <w:p w:rsidR="00C945DF" w:rsidP="00C945DF" w14:paraId="7FD573C9" w14:textId="77777777">
      <w:pPr>
        <w:ind w:firstLine="720"/>
      </w:pPr>
    </w:p>
    <w:p w:rsidR="00C945DF" w:rsidP="00DA3915" w14:paraId="3AC7DC55" w14:textId="77777777">
      <w:r>
        <w:t>CPP Investment Board Private Holdings (4) Inc. (&lt;9.375% equity and &lt;9.375% voting)</w:t>
      </w:r>
    </w:p>
    <w:p w:rsidR="00C945DF" w:rsidP="00912F72" w14:paraId="205C7B87" w14:textId="471CA47E">
      <w:r>
        <w:t>(Canada), and the following affiliated entit</w:t>
      </w:r>
      <w:r w:rsidR="00C76486">
        <w:t>i</w:t>
      </w:r>
      <w:r w:rsidR="006E1C71">
        <w:t>es</w:t>
      </w:r>
      <w:r>
        <w:t xml:space="preserve">: </w:t>
      </w:r>
    </w:p>
    <w:p w:rsidR="00912F72" w:rsidP="00DA3915" w14:paraId="73F4837D" w14:textId="77777777"/>
    <w:p w:rsidR="00C945DF" w:rsidP="00912F72" w14:paraId="4FD951D7" w14:textId="6901652B">
      <w:pPr>
        <w:ind w:firstLine="720"/>
      </w:pPr>
      <w:r>
        <w:t>Canada Pension Plan Investment Board (&lt;9.375% equity and &lt;9.375% voting) (Canada)</w:t>
      </w:r>
      <w:r w:rsidR="00244BCB">
        <w:t>; and</w:t>
      </w:r>
    </w:p>
    <w:p w:rsidR="00C945DF" w:rsidP="00C945DF" w14:paraId="5F2575BA" w14:textId="17683780">
      <w:pPr>
        <w:ind w:firstLine="720"/>
      </w:pPr>
      <w:r>
        <w:t>Ontario Teachers’ Pension Plan Board (&lt;9.375% equity and &lt;9.375% voting) (Canada)</w:t>
      </w:r>
      <w:r w:rsidR="00244BCB">
        <w:t>.</w:t>
      </w:r>
    </w:p>
    <w:p w:rsidR="00912F72" w:rsidP="00912F72" w14:paraId="1A2AE229" w14:textId="77777777"/>
    <w:p w:rsidR="00C945DF" w:rsidP="00DA3915" w14:paraId="3B224B7E" w14:textId="7DE375CB">
      <w:r>
        <w:t>WP Triton Co-Invest, L.P. (&lt;9.27% equity and &lt;9.27% voting) (Cayman Islands), and</w:t>
      </w:r>
    </w:p>
    <w:p w:rsidR="00C945DF" w:rsidP="00DA3915" w14:paraId="2DB70255" w14:textId="77777777">
      <w:r>
        <w:t>the following affiliated entities:</w:t>
      </w:r>
    </w:p>
    <w:p w:rsidR="00C945DF" w:rsidP="00C945DF" w14:paraId="60E13D62" w14:textId="77777777">
      <w:pPr>
        <w:ind w:firstLine="720"/>
      </w:pPr>
    </w:p>
    <w:p w:rsidR="00C945DF" w:rsidP="00C945DF" w14:paraId="3BFCD5E2" w14:textId="77777777">
      <w:pPr>
        <w:ind w:firstLine="720"/>
      </w:pPr>
      <w:r>
        <w:t>Warburg Pincus (</w:t>
      </w:r>
      <w:r>
        <w:t>Callisto</w:t>
      </w:r>
      <w:r>
        <w:t>-A) Global Growth (Cayman), L.P. (&lt;1.89% equity and</w:t>
      </w:r>
    </w:p>
    <w:p w:rsidR="00C945DF" w:rsidP="00C945DF" w14:paraId="1662BAE2" w14:textId="6EB0E0E0">
      <w:pPr>
        <w:ind w:firstLine="720"/>
      </w:pPr>
      <w:r>
        <w:t>&lt;1.89% voting) (Cayman Islands);</w:t>
      </w:r>
    </w:p>
    <w:p w:rsidR="00C945DF" w:rsidP="00C945DF" w14:paraId="64A82FDD" w14:textId="77777777">
      <w:pPr>
        <w:ind w:firstLine="720"/>
      </w:pPr>
      <w:r>
        <w:t>Warburg Pincus (Europa) Global Growth (Cayman), L.P. (&lt;1.92% equity and</w:t>
      </w:r>
    </w:p>
    <w:p w:rsidR="00C945DF" w:rsidP="00C945DF" w14:paraId="14A49626" w14:textId="2E8E2567">
      <w:pPr>
        <w:ind w:firstLine="720"/>
      </w:pPr>
      <w:r>
        <w:t>&lt;1.92% voting) (Cayman Islands);</w:t>
      </w:r>
    </w:p>
    <w:p w:rsidR="00C945DF" w:rsidP="00C945DF" w14:paraId="0920EEC0" w14:textId="77777777">
      <w:pPr>
        <w:ind w:firstLine="720"/>
      </w:pPr>
      <w:r>
        <w:t>Warburg Pincus Global Growth-B (Cayman), L.P. (&lt;1.39% equity and &lt;1.39%</w:t>
      </w:r>
    </w:p>
    <w:p w:rsidR="00C945DF" w:rsidP="00C945DF" w14:paraId="2B4071AE" w14:textId="0182096A">
      <w:pPr>
        <w:ind w:firstLine="720"/>
      </w:pPr>
      <w:r>
        <w:t>voting) (Cayman Islands);</w:t>
      </w:r>
    </w:p>
    <w:p w:rsidR="00C945DF" w:rsidP="00C945DF" w14:paraId="6255DB07" w14:textId="77777777">
      <w:pPr>
        <w:ind w:firstLine="720"/>
      </w:pPr>
      <w:r>
        <w:t>Warburg Pincus Global Growth-E (Cayman), L.P. (&lt;1.19% equity and &lt;1.19%</w:t>
      </w:r>
    </w:p>
    <w:p w:rsidR="00C945DF" w:rsidP="00C945DF" w14:paraId="7FC53B58" w14:textId="30BE3F7A">
      <w:pPr>
        <w:ind w:firstLine="720"/>
      </w:pPr>
      <w:r>
        <w:t>voting) (Cayman Islands);</w:t>
      </w:r>
    </w:p>
    <w:p w:rsidR="00C945DF" w:rsidP="00C945DF" w14:paraId="4C8291E9" w14:textId="77777777">
      <w:pPr>
        <w:ind w:firstLine="720"/>
      </w:pPr>
      <w:r>
        <w:t>WP Global Growth Partners (Cayman), L.P. (&lt;0.17% equity and &lt;0.17% voting)</w:t>
      </w:r>
    </w:p>
    <w:p w:rsidR="00C945DF" w:rsidP="00C945DF" w14:paraId="37118B84" w14:textId="0DCC8378">
      <w:pPr>
        <w:ind w:firstLine="720"/>
      </w:pPr>
      <w:r>
        <w:t>(Cayman Islands);</w:t>
      </w:r>
    </w:p>
    <w:p w:rsidR="00C945DF" w:rsidP="00C945DF" w14:paraId="3722175A" w14:textId="74776851">
      <w:pPr>
        <w:ind w:firstLine="720"/>
      </w:pPr>
      <w:r>
        <w:t>Warburg Pincus Global Growth Partners (Cayman), L.P. (&lt;0.7% equity and</w:t>
      </w:r>
    </w:p>
    <w:p w:rsidR="00C945DF" w:rsidP="00C945DF" w14:paraId="79A30D09" w14:textId="1F942067">
      <w:pPr>
        <w:ind w:firstLine="720"/>
      </w:pPr>
      <w:r>
        <w:t>&lt;0.47% voting) (Cayman Islands);</w:t>
      </w:r>
    </w:p>
    <w:p w:rsidR="00C945DF" w:rsidP="00C945DF" w14:paraId="7F37FE03" w14:textId="77777777">
      <w:pPr>
        <w:ind w:firstLine="720"/>
      </w:pPr>
      <w:r>
        <w:t>WP Triton Investment, L.P. (&lt;2.24% equity and &lt;2.24% voting) (Cayman</w:t>
      </w:r>
    </w:p>
    <w:p w:rsidR="00C945DF" w:rsidP="00C945DF" w14:paraId="2AB4368B" w14:textId="7E6FCDAB">
      <w:pPr>
        <w:ind w:firstLine="720"/>
      </w:pPr>
      <w:r>
        <w:t>Islands);</w:t>
      </w:r>
    </w:p>
    <w:p w:rsidR="00C945DF" w:rsidP="00DA3915" w14:paraId="5383710B" w14:textId="39BB569A">
      <w:pPr>
        <w:ind w:left="720"/>
      </w:pPr>
      <w:r>
        <w:t>Warburg Pincus (Cayman) Global Growth GP, L.P. (0% equity and &lt;9.27%</w:t>
      </w:r>
      <w:r w:rsidR="003855B3">
        <w:t xml:space="preserve"> </w:t>
      </w:r>
      <w:r>
        <w:t>voting) (Cayman Islands);</w:t>
      </w:r>
    </w:p>
    <w:p w:rsidR="00C945DF" w:rsidP="00DA3915" w14:paraId="02789915" w14:textId="19B3BE91">
      <w:pPr>
        <w:ind w:left="720"/>
      </w:pPr>
      <w:r>
        <w:t>Warburg Pincus Partners II (Cayman), L.P. (0% equity and &lt;9.27% voting) (Cayman Islands);</w:t>
      </w:r>
      <w:r w:rsidR="00912F72">
        <w:t xml:space="preserve"> </w:t>
      </w:r>
      <w:r w:rsidR="00B25721">
        <w:t xml:space="preserve">and </w:t>
      </w:r>
    </w:p>
    <w:p w:rsidR="007E6999" w:rsidP="00912F72" w14:paraId="0CA17EB6" w14:textId="0D5DBFA1">
      <w:pPr>
        <w:ind w:firstLine="720"/>
      </w:pPr>
      <w:r>
        <w:t>Warburg Pincus (Bermuda) Private Equity GP, Ltd. (0% equity and &lt;9.27% voting) (Bermuda)</w:t>
      </w:r>
      <w:r w:rsidR="00B25721">
        <w:t>.</w:t>
      </w:r>
    </w:p>
    <w:p w:rsidR="00C945DF" w:rsidP="00C945DF" w14:paraId="0E70E98B" w14:textId="77777777">
      <w:pPr>
        <w:ind w:firstLine="720"/>
      </w:pPr>
    </w:p>
    <w:p w:rsidR="00277557" w:rsidRPr="00781B71" w:rsidP="00AC09C9" w14:paraId="5BFB1A7B" w14:textId="6A4C6732">
      <w:pPr>
        <w:ind w:firstLine="720"/>
      </w:pPr>
      <w:r>
        <w:t xml:space="preserve">Pursuant to section 1.5001(k) of the rules, </w:t>
      </w:r>
      <w:r w:rsidR="00687A4C">
        <w:t>Via</w:t>
      </w:r>
      <w:r w:rsidR="00751F49">
        <w:t>s</w:t>
      </w:r>
      <w:r w:rsidR="00687A4C">
        <w:t>at</w:t>
      </w:r>
      <w:r w:rsidR="00C945DF">
        <w:t xml:space="preserve"> request</w:t>
      </w:r>
      <w:r w:rsidR="00F10197">
        <w:t>s</w:t>
      </w:r>
      <w:r w:rsidR="00C945DF">
        <w:t xml:space="preserve"> advance approval</w:t>
      </w:r>
      <w:r w:rsidR="00D66C9A">
        <w:t xml:space="preserve"> to permit </w:t>
      </w:r>
      <w:r w:rsidR="00C945DF">
        <w:t>Connect Topco and the non-U.S. entities that directly and indirectly own IGHI, and the Inmarsat Investors and their owners and controlling parties</w:t>
      </w:r>
      <w:r w:rsidR="00781B71">
        <w:t xml:space="preserve"> to increase their interests in IGHI up to and including a non-controlling 49.99% equity and voting interest.</w:t>
      </w:r>
      <w:r>
        <w:rPr>
          <w:rStyle w:val="FootnoteReference"/>
        </w:rPr>
        <w:footnoteReference w:id="27"/>
      </w:r>
    </w:p>
    <w:p w:rsidR="00E331A2" w:rsidP="00133048" w14:paraId="4CACE891" w14:textId="77777777"/>
    <w:p w:rsidR="000A7E6D" w:rsidP="000A7E6D" w14:paraId="6EDB779E" w14:textId="534E83EF">
      <w:pPr>
        <w:autoSpaceDE w:val="0"/>
        <w:autoSpaceDN w:val="0"/>
        <w:adjustRightInd w:val="0"/>
        <w:rPr>
          <w:color w:val="000000"/>
        </w:rPr>
      </w:pPr>
      <w:r w:rsidRPr="007F1272">
        <w:rPr>
          <w:b/>
          <w:bCs/>
          <w:color w:val="000000"/>
          <w:u w:val="single"/>
        </w:rPr>
        <w:t>Referral to Executive Branch Agencies</w:t>
      </w:r>
      <w:r w:rsidRPr="5A0375B5">
        <w:rPr>
          <w:color w:val="000000"/>
        </w:rPr>
        <w:t xml:space="preserve">  </w:t>
      </w:r>
    </w:p>
    <w:p w:rsidR="000A7E6D" w:rsidP="000A7E6D" w14:paraId="1D716709" w14:textId="77777777">
      <w:pPr>
        <w:autoSpaceDE w:val="0"/>
        <w:autoSpaceDN w:val="0"/>
        <w:adjustRightInd w:val="0"/>
        <w:rPr>
          <w:color w:val="000000"/>
        </w:rPr>
      </w:pPr>
    </w:p>
    <w:p w:rsidR="00435384" w:rsidRPr="00B35925" w:rsidP="000A7E6D" w14:paraId="01B2F1C7" w14:textId="06285A18">
      <w:pPr>
        <w:autoSpaceDE w:val="0"/>
        <w:autoSpaceDN w:val="0"/>
        <w:adjustRightInd w:val="0"/>
        <w:ind w:firstLine="720"/>
        <w:rPr>
          <w:bCs/>
          <w:color w:val="000000"/>
          <w:szCs w:val="22"/>
          <w:u w:val="single"/>
        </w:rPr>
      </w:pPr>
      <w:r w:rsidRPr="5A0375B5">
        <w:rPr>
          <w:color w:val="000000"/>
        </w:rPr>
        <w:t xml:space="preserve">Through this Public Notice, pursuant to Commission practice, the applications and </w:t>
      </w:r>
      <w:r w:rsidRPr="5A0375B5" w:rsidR="006C3819">
        <w:rPr>
          <w:color w:val="000000"/>
        </w:rPr>
        <w:t>p</w:t>
      </w:r>
      <w:r w:rsidRPr="5A0375B5">
        <w:rPr>
          <w:color w:val="000000"/>
        </w:rPr>
        <w:t xml:space="preserve">etition for </w:t>
      </w:r>
      <w:r w:rsidRPr="5A0375B5" w:rsidR="006C3819">
        <w:rPr>
          <w:color w:val="000000"/>
        </w:rPr>
        <w:t>d</w:t>
      </w:r>
      <w:r w:rsidRPr="5A0375B5">
        <w:rPr>
          <w:color w:val="000000"/>
        </w:rPr>
        <w:t xml:space="preserve">eclaratory </w:t>
      </w:r>
      <w:r w:rsidRPr="5A0375B5" w:rsidR="006C3819">
        <w:rPr>
          <w:color w:val="000000"/>
        </w:rPr>
        <w:t>r</w:t>
      </w:r>
      <w:r w:rsidRPr="5A0375B5">
        <w:rPr>
          <w:color w:val="000000"/>
        </w:rPr>
        <w:t xml:space="preserve">uling set </w:t>
      </w:r>
      <w:r w:rsidRPr="5A0375B5" w:rsidR="003C30AA">
        <w:rPr>
          <w:color w:val="000000"/>
        </w:rPr>
        <w:t>forth</w:t>
      </w:r>
      <w:r w:rsidRPr="5A0375B5">
        <w:rPr>
          <w:color w:val="000000"/>
        </w:rPr>
        <w:t xml:space="preserve"> in the Attachment are being referred to the relevant Executive Branch agencies for their views on any national security, law enforcement, foreign policy, or trade policy concerns related to the foreign ownership of the </w:t>
      </w:r>
      <w:r w:rsidR="000A7E6D">
        <w:rPr>
          <w:color w:val="000000"/>
        </w:rPr>
        <w:t xml:space="preserve">Applicants and </w:t>
      </w:r>
      <w:r w:rsidRPr="5A0375B5">
        <w:rPr>
          <w:color w:val="000000"/>
        </w:rPr>
        <w:t>Petitioner.</w:t>
      </w:r>
      <w:r>
        <w:rPr>
          <w:rStyle w:val="FootnoteReference"/>
          <w:color w:val="000000"/>
        </w:rPr>
        <w:footnoteReference w:id="28"/>
      </w:r>
      <w:r w:rsidRPr="5A0375B5">
        <w:rPr>
          <w:color w:val="000000"/>
        </w:rPr>
        <w:t xml:space="preserve">  </w:t>
      </w:r>
    </w:p>
    <w:p w:rsidR="00574F59" w:rsidP="00133048" w14:paraId="7BF132FF" w14:textId="77777777"/>
    <w:p w:rsidR="00765087" w:rsidP="00765087" w14:paraId="4686AE8D" w14:textId="77777777">
      <w:pPr>
        <w:autoSpaceDE w:val="0"/>
        <w:autoSpaceDN w:val="0"/>
        <w:adjustRightInd w:val="0"/>
        <w:rPr>
          <w:szCs w:val="22"/>
        </w:rPr>
      </w:pPr>
      <w:r w:rsidRPr="00B713DE">
        <w:rPr>
          <w:b/>
          <w:szCs w:val="22"/>
          <w:u w:val="single"/>
        </w:rPr>
        <w:t>GENERAL INFORMATION</w:t>
      </w:r>
    </w:p>
    <w:p w:rsidR="00765087" w:rsidP="00765087" w14:paraId="37E334F5" w14:textId="77777777">
      <w:pPr>
        <w:autoSpaceDE w:val="0"/>
        <w:autoSpaceDN w:val="0"/>
        <w:adjustRightInd w:val="0"/>
        <w:rPr>
          <w:szCs w:val="22"/>
        </w:rPr>
      </w:pPr>
    </w:p>
    <w:p w:rsidR="00765087" w:rsidRPr="00EC66CA" w:rsidP="00765087" w14:paraId="22737DC3" w14:textId="523234CB">
      <w:pPr>
        <w:autoSpaceDE w:val="0"/>
        <w:autoSpaceDN w:val="0"/>
        <w:adjustRightInd w:val="0"/>
        <w:spacing w:after="120"/>
        <w:ind w:firstLine="720"/>
        <w:rPr>
          <w:szCs w:val="22"/>
        </w:rPr>
      </w:pPr>
      <w:r w:rsidRPr="00EC66CA">
        <w:rPr>
          <w:szCs w:val="22"/>
        </w:rPr>
        <w:t>The application</w:t>
      </w:r>
      <w:r>
        <w:rPr>
          <w:szCs w:val="22"/>
        </w:rPr>
        <w:t>s</w:t>
      </w:r>
      <w:r w:rsidRPr="00EC66CA">
        <w:rPr>
          <w:szCs w:val="22"/>
        </w:rPr>
        <w:t xml:space="preserve"> identified herein ha</w:t>
      </w:r>
      <w:r>
        <w:rPr>
          <w:szCs w:val="22"/>
        </w:rPr>
        <w:t>ve</w:t>
      </w:r>
      <w:r w:rsidRPr="00EC66CA">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765087" w:rsidRPr="00EC66CA" w:rsidP="00586AF4" w14:paraId="43AC64C0" w14:textId="5A835C03">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51189F">
        <w:rPr>
          <w:b/>
          <w:szCs w:val="22"/>
        </w:rPr>
        <w:t xml:space="preserve">on or </w:t>
      </w:r>
      <w:r w:rsidRPr="003F5645">
        <w:rPr>
          <w:b/>
          <w:szCs w:val="22"/>
        </w:rPr>
        <w:t>before</w:t>
      </w:r>
      <w:r w:rsidRPr="003F5645" w:rsidR="00586AF4">
        <w:rPr>
          <w:b/>
          <w:szCs w:val="22"/>
        </w:rPr>
        <w:t xml:space="preserve"> June </w:t>
      </w:r>
      <w:r w:rsidR="00737988">
        <w:rPr>
          <w:b/>
          <w:szCs w:val="22"/>
        </w:rPr>
        <w:t>10</w:t>
      </w:r>
      <w:r w:rsidRPr="003F5645" w:rsidR="00586AF4">
        <w:rPr>
          <w:b/>
          <w:szCs w:val="22"/>
        </w:rPr>
        <w:t>, 2022</w:t>
      </w:r>
      <w:r w:rsidR="00586AF4">
        <w:rPr>
          <w:szCs w:val="22"/>
        </w:rPr>
        <w:t>,</w:t>
      </w:r>
      <w:r w:rsidRPr="00DA3915" w:rsidR="00586AF4">
        <w:rPr>
          <w:b/>
          <w:szCs w:val="22"/>
        </w:rPr>
        <w:t xml:space="preserve"> </w:t>
      </w:r>
      <w:r w:rsidR="00586AF4">
        <w:rPr>
          <w:szCs w:val="22"/>
        </w:rPr>
        <w:t xml:space="preserve">responses to </w:t>
      </w:r>
      <w:r w:rsidRPr="006F586C">
        <w:rPr>
          <w:szCs w:val="22"/>
        </w:rPr>
        <w:t xml:space="preserve">comments </w:t>
      </w:r>
      <w:r w:rsidRPr="006F586C">
        <w:rPr>
          <w:b/>
          <w:szCs w:val="22"/>
        </w:rPr>
        <w:t xml:space="preserve">on or </w:t>
      </w:r>
      <w:r w:rsidRPr="003F5645">
        <w:rPr>
          <w:b/>
          <w:szCs w:val="22"/>
        </w:rPr>
        <w:t>before</w:t>
      </w:r>
      <w:r w:rsidRPr="003F5645" w:rsidR="00586AF4">
        <w:rPr>
          <w:b/>
          <w:szCs w:val="22"/>
        </w:rPr>
        <w:t xml:space="preserve"> June 2</w:t>
      </w:r>
      <w:r w:rsidR="00737988">
        <w:rPr>
          <w:b/>
          <w:szCs w:val="22"/>
        </w:rPr>
        <w:t>7</w:t>
      </w:r>
      <w:r w:rsidRPr="003F5645" w:rsidR="00586AF4">
        <w:rPr>
          <w:b/>
          <w:szCs w:val="22"/>
        </w:rPr>
        <w:t>, 2022</w:t>
      </w:r>
      <w:r w:rsidR="00586AF4">
        <w:rPr>
          <w:szCs w:val="22"/>
        </w:rPr>
        <w:t xml:space="preserve">, and replies to responses </w:t>
      </w:r>
      <w:r w:rsidRPr="003F5645" w:rsidR="00586AF4">
        <w:rPr>
          <w:b/>
          <w:bCs/>
          <w:szCs w:val="22"/>
        </w:rPr>
        <w:t xml:space="preserve">on or before July </w:t>
      </w:r>
      <w:r w:rsidR="00737988">
        <w:rPr>
          <w:b/>
          <w:bCs/>
          <w:szCs w:val="22"/>
        </w:rPr>
        <w:t>7</w:t>
      </w:r>
      <w:r w:rsidRPr="003F5645" w:rsidR="00586AF4">
        <w:rPr>
          <w:b/>
          <w:bCs/>
          <w:szCs w:val="22"/>
        </w:rPr>
        <w:t>, 2022</w:t>
      </w:r>
      <w:r w:rsidRPr="006F586C">
        <w:rPr>
          <w:szCs w:val="22"/>
        </w:rPr>
        <w:t>.</w:t>
      </w:r>
      <w:r w:rsidRPr="00CB2908">
        <w:rPr>
          <w:szCs w:val="22"/>
        </w:rPr>
        <w:t xml:space="preserve"> </w:t>
      </w:r>
      <w:r w:rsidR="00586AF4">
        <w:rPr>
          <w:szCs w:val="22"/>
        </w:rPr>
        <w:t xml:space="preserve"> </w:t>
      </w:r>
      <w:r w:rsidRPr="00EC66CA">
        <w:rPr>
          <w:szCs w:val="22"/>
        </w:rPr>
        <w:t xml:space="preserve">Comments may be filed </w:t>
      </w:r>
      <w:r>
        <w:rPr>
          <w:szCs w:val="22"/>
        </w:rPr>
        <w:t xml:space="preserve">in the docket </w:t>
      </w:r>
      <w:r w:rsidRPr="00EC66CA">
        <w:rPr>
          <w:szCs w:val="22"/>
        </w:rPr>
        <w:t>using the Commission’s Electronic Comment Filing System (ECFS)</w:t>
      </w:r>
      <w:r w:rsidR="00CF191B">
        <w:rPr>
          <w:szCs w:val="22"/>
        </w:rPr>
        <w:t xml:space="preserve"> </w:t>
      </w:r>
      <w:r w:rsidRPr="00EC66CA">
        <w:rPr>
          <w:szCs w:val="22"/>
        </w:rPr>
        <w:t>or by paper.</w:t>
      </w:r>
    </w:p>
    <w:p w:rsidR="00765087" w:rsidP="00765087" w14:paraId="47A1FB75" w14:textId="1374BC82">
      <w:pPr>
        <w:widowControl/>
        <w:numPr>
          <w:ilvl w:val="0"/>
          <w:numId w:val="8"/>
        </w:numPr>
        <w:autoSpaceDE w:val="0"/>
        <w:autoSpaceDN w:val="0"/>
        <w:adjustRightInd w:val="0"/>
        <w:rPr>
          <w:szCs w:val="22"/>
        </w:rPr>
      </w:pPr>
      <w:r w:rsidRPr="00EC66CA">
        <w:rPr>
          <w:szCs w:val="22"/>
        </w:rPr>
        <w:t>Electronic Filers:  Comments may be filed electronically by accessing ECFS at</w:t>
      </w:r>
      <w:r w:rsidR="00CA4FC5">
        <w:rPr>
          <w:szCs w:val="22"/>
        </w:rPr>
        <w:t xml:space="preserve"> </w:t>
      </w:r>
      <w:hyperlink r:id="rId5" w:history="1">
        <w:r w:rsidRPr="00EC66CA" w:rsidR="00CA4FC5">
          <w:rPr>
            <w:rStyle w:val="Hyperlink"/>
            <w:szCs w:val="22"/>
          </w:rPr>
          <w:t>http://apps.fcc.gov/ecfs/</w:t>
        </w:r>
      </w:hyperlink>
      <w:r w:rsidR="00CA4FC5">
        <w:rPr>
          <w:szCs w:val="22"/>
        </w:rPr>
        <w:t>.</w:t>
      </w:r>
    </w:p>
    <w:p w:rsidR="00765087" w:rsidRPr="00EC66CA" w:rsidP="00765087" w14:paraId="2C388BF3" w14:textId="77777777">
      <w:pPr>
        <w:autoSpaceDE w:val="0"/>
        <w:autoSpaceDN w:val="0"/>
        <w:adjustRightInd w:val="0"/>
        <w:ind w:left="720"/>
        <w:rPr>
          <w:szCs w:val="22"/>
        </w:rPr>
      </w:pPr>
    </w:p>
    <w:p w:rsidR="00765087" w:rsidP="00765087" w14:paraId="105DB7F5" w14:textId="77777777">
      <w:pPr>
        <w:widowControl/>
        <w:numPr>
          <w:ilvl w:val="0"/>
          <w:numId w:val="9"/>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65087" w:rsidRPr="004D7912" w:rsidP="00765087" w14:paraId="7666DAD6" w14:textId="77777777">
      <w:pPr>
        <w:autoSpaceDE w:val="0"/>
        <w:autoSpaceDN w:val="0"/>
        <w:adjustRightInd w:val="0"/>
        <w:ind w:left="720"/>
        <w:rPr>
          <w:szCs w:val="22"/>
        </w:rPr>
      </w:pPr>
    </w:p>
    <w:p w:rsidR="00765087" w:rsidRPr="004D7912" w:rsidP="5A0375B5" w14:paraId="62E643B8" w14:textId="77777777">
      <w:pPr>
        <w:widowControl/>
        <w:numPr>
          <w:ilvl w:val="1"/>
          <w:numId w:val="9"/>
        </w:numPr>
        <w:autoSpaceDE w:val="0"/>
        <w:autoSpaceDN w:val="0"/>
        <w:adjustRightInd w:val="0"/>
      </w:pPr>
      <w:r w:rsidRPr="5A0375B5">
        <w:t>Filings can be sent by commercial overnight courier or by first-class or overnight U.S. Postal Service mail.</w:t>
      </w:r>
      <w:r>
        <w:rPr>
          <w:vertAlign w:val="superscript"/>
        </w:rPr>
        <w:footnoteReference w:id="29"/>
      </w:r>
      <w:r w:rsidRPr="5A0375B5">
        <w:t xml:space="preserve">  All filings must be addressed to the Commission’s Secretary, Office of the Secretary, Federal Communications Commission.</w:t>
      </w:r>
    </w:p>
    <w:p w:rsidR="00765087" w:rsidRPr="0011311D" w:rsidP="00765087" w14:paraId="36C0CCFA" w14:textId="77777777">
      <w:pPr>
        <w:widowControl/>
        <w:numPr>
          <w:ilvl w:val="1"/>
          <w:numId w:val="9"/>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765087" w:rsidRPr="0075291B" w:rsidP="00765087" w14:paraId="1D845236" w14:textId="77777777">
      <w:pPr>
        <w:autoSpaceDE w:val="0"/>
        <w:autoSpaceDN w:val="0"/>
        <w:adjustRightInd w:val="0"/>
        <w:rPr>
          <w:szCs w:val="22"/>
        </w:rPr>
      </w:pPr>
    </w:p>
    <w:p w:rsidR="00765087" w:rsidP="000F25C2" w14:paraId="7852AEB7" w14:textId="77777777">
      <w:pPr>
        <w:autoSpaceDE w:val="0"/>
        <w:autoSpaceDN w:val="0"/>
        <w:adjustRightInd w:val="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6" w:tgtFrame="_blank" w:history="1">
        <w:r w:rsidRPr="009B1CCF">
          <w:rPr>
            <w:rStyle w:val="Hyperlink"/>
            <w:szCs w:val="22"/>
          </w:rPr>
          <w:t>fcc504@fcc.gov</w:t>
        </w:r>
      </w:hyperlink>
      <w:r w:rsidRPr="009B1CCF">
        <w:rPr>
          <w:szCs w:val="22"/>
        </w:rPr>
        <w:t> or call the Consumer and Governmental Affairs Bureau at (202) 418-0530.</w:t>
      </w:r>
    </w:p>
    <w:p w:rsidR="00765087" w:rsidRPr="00EC66CA" w:rsidP="000F25C2" w14:paraId="17059F2A" w14:textId="77777777">
      <w:pPr>
        <w:autoSpaceDE w:val="0"/>
        <w:autoSpaceDN w:val="0"/>
        <w:adjustRightInd w:val="0"/>
        <w:ind w:firstLine="720"/>
        <w:rPr>
          <w:b/>
          <w:szCs w:val="22"/>
        </w:rPr>
      </w:pPr>
    </w:p>
    <w:p w:rsidR="00765087" w:rsidRPr="00EC66CA" w:rsidP="000F25C2" w14:paraId="1139C761" w14:textId="77777777">
      <w:pPr>
        <w:autoSpaceDE w:val="0"/>
        <w:autoSpaceDN w:val="0"/>
        <w:adjustRightInd w:val="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C9311E" w:rsidP="00C9311E" w14:paraId="0AEB64C0" w14:textId="77777777">
      <w:pPr>
        <w:autoSpaceDE w:val="0"/>
        <w:autoSpaceDN w:val="0"/>
        <w:adjustRightInd w:val="0"/>
        <w:ind w:firstLine="720"/>
        <w:rPr>
          <w:szCs w:val="22"/>
        </w:rPr>
      </w:pPr>
    </w:p>
    <w:p w:rsidR="00872A65" w:rsidP="00C9311E" w14:paraId="609D5994" w14:textId="77777777">
      <w:pPr>
        <w:autoSpaceDE w:val="0"/>
        <w:autoSpaceDN w:val="0"/>
        <w:adjustRightInd w:val="0"/>
        <w:ind w:firstLine="720"/>
      </w:pPr>
      <w:r w:rsidRPr="5A0375B5">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vertAlign w:val="superscript"/>
        </w:rPr>
        <w:footnoteReference w:id="30"/>
      </w:r>
      <w:r w:rsidRPr="5A0375B5">
        <w:t xml:space="preserve">  A party or interested person seeking to raise a new issue after the pleading cycle has closed must show good cause why it was not possible for it to have raised the issue previously.  Submissions after the pleading cycle has closed that </w:t>
      </w:r>
    </w:p>
    <w:p w:rsidR="00872A65" w14:paraId="1BF000E4" w14:textId="77777777">
      <w:pPr>
        <w:widowControl/>
      </w:pPr>
      <w:r>
        <w:br w:type="page"/>
      </w:r>
    </w:p>
    <w:p w:rsidR="00765087" w:rsidRPr="00EB5F81" w:rsidP="00872A65" w14:paraId="70A28BFB" w14:textId="0F827C87">
      <w:pPr>
        <w:autoSpaceDE w:val="0"/>
        <w:autoSpaceDN w:val="0"/>
        <w:adjustRightInd w:val="0"/>
        <w:rPr>
          <w:szCs w:val="22"/>
        </w:rPr>
      </w:pPr>
      <w:r w:rsidRPr="5A0375B5">
        <w:t>seek to raise new issues based on new facts or newly discovered facts should be filed within 15 days after such facts are discovered.  Absent such a showing of good cause, any issues not timely raised may be disregarded by the Commission.</w:t>
      </w:r>
    </w:p>
    <w:p w:rsidR="00C9311E" w:rsidP="00C9311E" w14:paraId="1AD8AF31" w14:textId="77777777">
      <w:pPr>
        <w:autoSpaceDE w:val="0"/>
        <w:autoSpaceDN w:val="0"/>
        <w:adjustRightInd w:val="0"/>
        <w:ind w:firstLine="720"/>
        <w:rPr>
          <w:szCs w:val="22"/>
        </w:rPr>
      </w:pPr>
    </w:p>
    <w:p w:rsidR="00DD046A" w:rsidP="00C9311E" w14:paraId="71C0185D" w14:textId="29DFFB6D">
      <w:pPr>
        <w:autoSpaceDE w:val="0"/>
        <w:autoSpaceDN w:val="0"/>
        <w:adjustRightInd w:val="0"/>
        <w:ind w:firstLine="720"/>
        <w:rPr>
          <w:szCs w:val="22"/>
        </w:rPr>
      </w:pPr>
      <w:r w:rsidRPr="009753C0">
        <w:rPr>
          <w:szCs w:val="22"/>
        </w:rPr>
        <w:t xml:space="preserve">For further information, contact </w:t>
      </w:r>
      <w:r>
        <w:rPr>
          <w:szCs w:val="22"/>
        </w:rPr>
        <w:t>Clay DeCell, International Bureau, (202) 418-0803</w:t>
      </w:r>
      <w:r w:rsidRPr="006B7F06">
        <w:rPr>
          <w:szCs w:val="22"/>
        </w:rPr>
        <w:t>.</w:t>
      </w:r>
      <w:r>
        <w:rPr>
          <w:szCs w:val="22"/>
        </w:rPr>
        <w:br w:type="page"/>
      </w:r>
    </w:p>
    <w:p w:rsidR="007776FA" w:rsidRPr="00B0712D" w:rsidP="002431C2" w14:paraId="5DB32380" w14:textId="0AE7A6D2">
      <w:pPr>
        <w:autoSpaceDE w:val="0"/>
        <w:autoSpaceDN w:val="0"/>
        <w:adjustRightInd w:val="0"/>
        <w:contextualSpacing/>
        <w:jc w:val="center"/>
        <w:rPr>
          <w:szCs w:val="22"/>
          <w:u w:val="single"/>
        </w:rPr>
      </w:pPr>
      <w:r w:rsidRPr="00B0712D">
        <w:rPr>
          <w:b/>
          <w:bCs/>
          <w:szCs w:val="22"/>
          <w:u w:val="single"/>
        </w:rPr>
        <w:t>ATTACHMENT</w:t>
      </w:r>
    </w:p>
    <w:p w:rsidR="002B0946" w:rsidP="002431C2" w14:paraId="56536D18" w14:textId="07A224D6">
      <w:pPr>
        <w:autoSpaceDE w:val="0"/>
        <w:autoSpaceDN w:val="0"/>
        <w:adjustRightInd w:val="0"/>
        <w:contextualSpacing/>
      </w:pPr>
    </w:p>
    <w:p w:rsidR="00C74AA3" w:rsidP="002431C2" w14:paraId="27FA7C48" w14:textId="4F7EA56E">
      <w:pPr>
        <w:contextualSpacing/>
      </w:pPr>
    </w:p>
    <w:p w:rsidR="00DD046A" w:rsidRPr="00450D07" w:rsidP="002431C2" w14:paraId="761283B5" w14:textId="172A02DA">
      <w:pPr>
        <w:contextualSpacing/>
        <w:rPr>
          <w:b/>
          <w:bCs/>
        </w:rPr>
      </w:pPr>
      <w:r w:rsidRPr="00450D07">
        <w:rPr>
          <w:b/>
          <w:bCs/>
        </w:rPr>
        <w:t>Part 25 – Earth Station Licenses</w:t>
      </w:r>
    </w:p>
    <w:p w:rsidR="00DD046A" w:rsidP="002431C2" w14:paraId="21B747C9" w14:textId="77777777">
      <w:pPr>
        <w:contextualSpacing/>
      </w:pPr>
    </w:p>
    <w:p w:rsidR="00DD046A" w:rsidP="002431C2" w14:paraId="047455BC" w14:textId="78E43985">
      <w:pPr>
        <w:contextualSpacing/>
      </w:pPr>
      <w:r w:rsidRPr="001F57A7">
        <w:rPr>
          <w:u w:val="single"/>
        </w:rPr>
        <w:t>File Number</w:t>
      </w:r>
      <w:r>
        <w:tab/>
      </w:r>
      <w:r>
        <w:tab/>
      </w:r>
      <w:r>
        <w:tab/>
      </w:r>
      <w:r>
        <w:tab/>
      </w:r>
      <w:r w:rsidRPr="001F57A7">
        <w:rPr>
          <w:u w:val="single"/>
        </w:rPr>
        <w:t>Licensee</w:t>
      </w:r>
      <w:r>
        <w:tab/>
      </w:r>
      <w:r>
        <w:tab/>
      </w:r>
      <w:r>
        <w:tab/>
      </w:r>
      <w:r w:rsidRPr="001F57A7">
        <w:rPr>
          <w:u w:val="single"/>
        </w:rPr>
        <w:t>Lead Call Sign</w:t>
      </w:r>
    </w:p>
    <w:p w:rsidR="00450D07" w:rsidP="002431C2" w14:paraId="0C1800DB" w14:textId="37081013">
      <w:pPr>
        <w:contextualSpacing/>
      </w:pPr>
    </w:p>
    <w:p w:rsidR="001719AE" w:rsidP="002431C2" w14:paraId="55698831" w14:textId="667FAAC9">
      <w:pPr>
        <w:contextualSpacing/>
      </w:pPr>
      <w:r w:rsidRPr="00701EFD">
        <w:t>SES-T/C-20220201-00145</w:t>
      </w:r>
      <w:r w:rsidRPr="00356646" w:rsidR="00356646">
        <w:t xml:space="preserve"> </w:t>
      </w:r>
      <w:r w:rsidR="00356646">
        <w:tab/>
      </w:r>
      <w:r w:rsidR="00356646">
        <w:tab/>
      </w:r>
      <w:r w:rsidRPr="00356646" w:rsidR="00356646">
        <w:t xml:space="preserve">ISAT US Inc. </w:t>
      </w:r>
      <w:r w:rsidR="00356646">
        <w:tab/>
      </w:r>
      <w:r w:rsidR="00356646">
        <w:tab/>
      </w:r>
      <w:r w:rsidR="00356646">
        <w:tab/>
      </w:r>
      <w:r w:rsidRPr="00356646" w:rsidR="00356646">
        <w:t>E090032</w:t>
      </w:r>
    </w:p>
    <w:p w:rsidR="00701EFD" w:rsidP="002431C2" w14:paraId="72B14EDD" w14:textId="172B6EF2">
      <w:pPr>
        <w:contextualSpacing/>
      </w:pPr>
    </w:p>
    <w:p w:rsidR="00701EFD" w:rsidP="002431C2" w14:paraId="784BFAB9" w14:textId="4AC7CA71">
      <w:pPr>
        <w:contextualSpacing/>
      </w:pPr>
      <w:r w:rsidRPr="00701EFD">
        <w:t>SES-T/C-20220201-00146</w:t>
      </w:r>
      <w:r w:rsidR="000719FB">
        <w:tab/>
      </w:r>
      <w:r w:rsidR="000719FB">
        <w:tab/>
      </w:r>
      <w:r w:rsidRPr="000719FB" w:rsidR="000719FB">
        <w:t>Inmarsat Inc.</w:t>
      </w:r>
      <w:r w:rsidR="000719FB">
        <w:tab/>
      </w:r>
      <w:r w:rsidR="000719FB">
        <w:tab/>
      </w:r>
      <w:r w:rsidR="000719FB">
        <w:tab/>
      </w:r>
      <w:r w:rsidRPr="000719FB" w:rsidR="000719FB">
        <w:t>E150028</w:t>
      </w:r>
    </w:p>
    <w:p w:rsidR="00701EFD" w:rsidP="002431C2" w14:paraId="327D9C7E" w14:textId="17E96D03">
      <w:pPr>
        <w:contextualSpacing/>
      </w:pPr>
    </w:p>
    <w:p w:rsidR="00701EFD" w:rsidP="002431C2" w14:paraId="7107BA65" w14:textId="6DAE40B1">
      <w:pPr>
        <w:contextualSpacing/>
      </w:pPr>
      <w:r w:rsidRPr="00701EFD">
        <w:t>SES-T/C-20220201-00147</w:t>
      </w:r>
      <w:r w:rsidR="000719FB">
        <w:tab/>
      </w:r>
      <w:r w:rsidR="000719FB">
        <w:tab/>
      </w:r>
      <w:r w:rsidRPr="000719FB" w:rsidR="000719FB">
        <w:t>Inmarsat Inc.</w:t>
      </w:r>
      <w:r w:rsidR="000719FB">
        <w:tab/>
      </w:r>
      <w:r w:rsidR="000719FB">
        <w:tab/>
      </w:r>
      <w:r w:rsidR="000719FB">
        <w:tab/>
      </w:r>
      <w:r w:rsidRPr="000719FB" w:rsidR="000719FB">
        <w:t>E080059</w:t>
      </w:r>
    </w:p>
    <w:p w:rsidR="00356646" w:rsidP="002431C2" w14:paraId="6825261D" w14:textId="743406D1">
      <w:pPr>
        <w:contextualSpacing/>
      </w:pPr>
    </w:p>
    <w:p w:rsidR="00356646" w:rsidP="002431C2" w14:paraId="0AF6696E" w14:textId="50F4B8DE">
      <w:pPr>
        <w:contextualSpacing/>
      </w:pPr>
      <w:r w:rsidRPr="00356646">
        <w:t>SES-T/C-20220201-00148</w:t>
      </w:r>
      <w:r w:rsidR="000719FB">
        <w:tab/>
      </w:r>
      <w:r w:rsidR="000719FB">
        <w:tab/>
      </w:r>
      <w:r w:rsidRPr="000719FB" w:rsidR="000719FB">
        <w:t>ISAT US Inc.</w:t>
      </w:r>
      <w:r w:rsidR="000719FB">
        <w:tab/>
      </w:r>
      <w:r w:rsidR="000719FB">
        <w:tab/>
      </w:r>
      <w:r w:rsidR="000719FB">
        <w:tab/>
      </w:r>
      <w:r w:rsidRPr="000719FB" w:rsidR="000719FB">
        <w:t>E140029</w:t>
      </w:r>
    </w:p>
    <w:p w:rsidR="00356646" w:rsidP="002431C2" w14:paraId="4B4EBBFD" w14:textId="268EAEEE">
      <w:pPr>
        <w:contextualSpacing/>
      </w:pPr>
    </w:p>
    <w:p w:rsidR="00356646" w:rsidP="002431C2" w14:paraId="4AD9A804" w14:textId="51F3984E">
      <w:pPr>
        <w:contextualSpacing/>
      </w:pPr>
      <w:r w:rsidRPr="00356646">
        <w:t>SES-T/C-20220201-00149</w:t>
      </w:r>
      <w:r w:rsidR="006F1526">
        <w:tab/>
      </w:r>
      <w:r w:rsidR="006F1526">
        <w:tab/>
      </w:r>
      <w:r w:rsidRPr="006F1526" w:rsidR="006F1526">
        <w:t xml:space="preserve">Inmarsat Solutions </w:t>
      </w:r>
      <w:r w:rsidR="0032562C">
        <w:t>(</w:t>
      </w:r>
      <w:r w:rsidRPr="006F1526" w:rsidR="006F1526">
        <w:t>US</w:t>
      </w:r>
      <w:r w:rsidR="0032562C">
        <w:t>)</w:t>
      </w:r>
      <w:r w:rsidRPr="006F1526" w:rsidR="006F1526">
        <w:t xml:space="preserve"> Inc.</w:t>
      </w:r>
      <w:r w:rsidR="006F1526">
        <w:tab/>
      </w:r>
      <w:r w:rsidRPr="006F1526" w:rsidR="006F1526">
        <w:t>E000180</w:t>
      </w:r>
    </w:p>
    <w:p w:rsidR="00E256C3" w:rsidP="002431C2" w14:paraId="66FC6A33" w14:textId="77777777">
      <w:pPr>
        <w:contextualSpacing/>
      </w:pPr>
    </w:p>
    <w:p w:rsidR="00082B7E" w:rsidP="002431C2" w14:paraId="04A3FDF6" w14:textId="391DC369">
      <w:pPr>
        <w:contextualSpacing/>
      </w:pPr>
    </w:p>
    <w:p w:rsidR="00A01C23" w:rsidRPr="008054EB" w:rsidP="00A01C23" w14:paraId="148A2C62" w14:textId="79A8FF6C">
      <w:pPr>
        <w:autoSpaceDE w:val="0"/>
        <w:autoSpaceDN w:val="0"/>
        <w:adjustRightInd w:val="0"/>
        <w:contextualSpacing/>
        <w:rPr>
          <w:b/>
          <w:bCs/>
        </w:rPr>
      </w:pPr>
      <w:r w:rsidRPr="008054EB">
        <w:rPr>
          <w:b/>
          <w:bCs/>
        </w:rPr>
        <w:t>Part 63 – International Section 214 Authorization</w:t>
      </w:r>
      <w:r w:rsidR="009C7B93">
        <w:rPr>
          <w:b/>
          <w:bCs/>
        </w:rPr>
        <w:t>s</w:t>
      </w:r>
    </w:p>
    <w:p w:rsidR="00A01C23" w:rsidP="00A01C23" w14:paraId="13D5648D" w14:textId="77777777">
      <w:pPr>
        <w:contextualSpacing/>
      </w:pPr>
    </w:p>
    <w:p w:rsidR="00A01C23" w:rsidP="00A01C23" w14:paraId="7C7F2A7E" w14:textId="46A8DE10">
      <w:pPr>
        <w:contextualSpacing/>
      </w:pPr>
      <w:r>
        <w:t>The application for consent to the transfer of control of international section 214 authorization</w:t>
      </w:r>
      <w:r w:rsidR="00DB23F5">
        <w:t>s</w:t>
      </w:r>
      <w:r>
        <w:t xml:space="preserve"> has been assigned the file number listed below.</w:t>
      </w:r>
    </w:p>
    <w:p w:rsidR="00A01C23" w:rsidP="00A01C23" w14:paraId="358E2999" w14:textId="77777777">
      <w:pPr>
        <w:contextualSpacing/>
      </w:pPr>
    </w:p>
    <w:p w:rsidR="00A01C23" w:rsidP="00A01C23" w14:paraId="29DE95F2" w14:textId="57F00E0A">
      <w:pPr>
        <w:contextualSpacing/>
      </w:pPr>
      <w:r w:rsidRPr="002B0946">
        <w:rPr>
          <w:u w:val="single"/>
        </w:rPr>
        <w:t>File N</w:t>
      </w:r>
      <w:r>
        <w:rPr>
          <w:u w:val="single"/>
        </w:rPr>
        <w:t>umber</w:t>
      </w:r>
      <w:r>
        <w:tab/>
      </w:r>
      <w:r>
        <w:tab/>
      </w:r>
      <w:r>
        <w:tab/>
      </w:r>
      <w:r w:rsidR="006730BB">
        <w:tab/>
      </w:r>
      <w:r w:rsidRPr="002B0946">
        <w:rPr>
          <w:u w:val="single"/>
        </w:rPr>
        <w:t>Authorization Holder</w:t>
      </w:r>
      <w:r>
        <w:tab/>
      </w:r>
      <w:r>
        <w:tab/>
      </w:r>
      <w:r w:rsidRPr="002B0946">
        <w:rPr>
          <w:u w:val="single"/>
        </w:rPr>
        <w:t>Authorization Number</w:t>
      </w:r>
      <w:r w:rsidR="00273992">
        <w:rPr>
          <w:u w:val="single"/>
        </w:rPr>
        <w:t>s</w:t>
      </w:r>
    </w:p>
    <w:p w:rsidR="00A01C23" w:rsidP="00A01C23" w14:paraId="5B2B23B4" w14:textId="77777777">
      <w:pPr>
        <w:contextualSpacing/>
      </w:pPr>
    </w:p>
    <w:p w:rsidR="00273992" w:rsidP="00A01C23" w14:paraId="46E460F0" w14:textId="4CEF90DF">
      <w:pPr>
        <w:contextualSpacing/>
      </w:pPr>
      <w:r w:rsidRPr="006F1526">
        <w:t>ITC-T/C-20220201-00026</w:t>
      </w:r>
      <w:r w:rsidR="00A01C23">
        <w:tab/>
      </w:r>
      <w:r w:rsidR="006730BB">
        <w:tab/>
      </w:r>
      <w:r w:rsidRPr="00273992">
        <w:t>Inmarsat Group</w:t>
      </w:r>
      <w:r w:rsidRPr="00273992">
        <w:tab/>
      </w:r>
      <w:r w:rsidR="00A01C23">
        <w:tab/>
      </w:r>
      <w:r w:rsidR="00A01C23">
        <w:tab/>
      </w:r>
      <w:r w:rsidRPr="00273992">
        <w:t xml:space="preserve">ITC-214-19980121-00028 </w:t>
      </w:r>
    </w:p>
    <w:p w:rsidR="00A01C23" w:rsidP="00273992" w14:paraId="21059279" w14:textId="3C57116A">
      <w:pPr>
        <w:ind w:left="3600"/>
        <w:contextualSpacing/>
      </w:pPr>
      <w:r w:rsidRPr="00273992">
        <w:t>Holdings Inc.</w:t>
      </w:r>
      <w:r>
        <w:tab/>
      </w:r>
      <w:r>
        <w:tab/>
      </w:r>
      <w:r>
        <w:tab/>
      </w:r>
      <w:r w:rsidRPr="00273992">
        <w:t>ITC-214-20090501-00194</w:t>
      </w:r>
    </w:p>
    <w:p w:rsidR="00A01C23" w:rsidP="00DD2862" w14:paraId="45DE69D6" w14:textId="64234F63">
      <w:pPr>
        <w:contextualSpacing/>
      </w:pPr>
    </w:p>
    <w:p w:rsidR="00A01C23" w:rsidP="002431C2" w14:paraId="4FE1626F" w14:textId="3BBF1CF6">
      <w:pPr>
        <w:contextualSpacing/>
      </w:pPr>
    </w:p>
    <w:p w:rsidR="00435384" w:rsidP="00435384" w14:paraId="7213A620" w14:textId="2C77B7BE">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 xml:space="preserve">Petition for Declaratory Ruling under Section </w:t>
      </w:r>
      <w:r>
        <w:rPr>
          <w:rFonts w:ascii="TimesNewRomanPS-BoldMT" w:hAnsi="TimesNewRomanPS-BoldMT" w:cs="TimesNewRomanPS-BoldMT"/>
          <w:b/>
          <w:bCs/>
          <w:szCs w:val="22"/>
        </w:rPr>
        <w:t>310(b)(4)</w:t>
      </w:r>
    </w:p>
    <w:p w:rsidR="00435384" w:rsidP="00435384" w14:paraId="76D90BF6" w14:textId="77777777">
      <w:pPr>
        <w:autoSpaceDE w:val="0"/>
        <w:autoSpaceDN w:val="0"/>
        <w:adjustRightInd w:val="0"/>
        <w:rPr>
          <w:rFonts w:ascii="TimesNewRomanPS-BoldMT" w:hAnsi="TimesNewRomanPS-BoldMT" w:cs="TimesNewRomanPS-BoldMT"/>
          <w:b/>
          <w:bCs/>
          <w:szCs w:val="22"/>
        </w:rPr>
      </w:pPr>
    </w:p>
    <w:p w:rsidR="00435384" w:rsidRPr="005B34E0" w:rsidP="00435384" w14:paraId="7FACE3C2" w14:textId="03A99F0D">
      <w:pPr>
        <w:autoSpaceDE w:val="0"/>
        <w:autoSpaceDN w:val="0"/>
        <w:adjustRightInd w:val="0"/>
        <w:rPr>
          <w:szCs w:val="22"/>
        </w:rPr>
      </w:pPr>
      <w:r w:rsidRPr="00E651E5">
        <w:rPr>
          <w:szCs w:val="22"/>
        </w:rPr>
        <w:t xml:space="preserve">The Petition has been assigned File No. </w:t>
      </w:r>
      <w:r w:rsidRPr="004004CD" w:rsidR="004004CD">
        <w:rPr>
          <w:szCs w:val="22"/>
        </w:rPr>
        <w:t>ISP-PDR-20220131-00001</w:t>
      </w:r>
      <w:r w:rsidRPr="00E651E5">
        <w:rPr>
          <w:szCs w:val="22"/>
        </w:rPr>
        <w:t xml:space="preserve">. </w:t>
      </w:r>
    </w:p>
    <w:p w:rsidR="00B96773" w:rsidP="002431C2" w14:paraId="2DC6CF6D" w14:textId="77777777">
      <w:pPr>
        <w:contextualSpacing/>
      </w:pPr>
    </w:p>
    <w:p w:rsidR="00A01C23" w:rsidP="002431C2" w14:paraId="6432E5D9" w14:textId="77777777">
      <w:pPr>
        <w:contextualSpacing/>
      </w:pPr>
    </w:p>
    <w:p w:rsidR="00A01C23" w:rsidRPr="00A01C23" w:rsidP="00A01C23" w14:paraId="6EA94358" w14:textId="041B53A5">
      <w:pPr>
        <w:contextualSpacing/>
        <w:jc w:val="center"/>
        <w:rPr>
          <w:b/>
          <w:bCs/>
        </w:rPr>
      </w:pPr>
      <w:r w:rsidRPr="00A01C23">
        <w:rPr>
          <w:b/>
          <w:bCs/>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1A5DD0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27EE" w14:paraId="1C136E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424D8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BEEF3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1894" w14:paraId="01416E5B" w14:textId="77777777">
      <w:r>
        <w:separator/>
      </w:r>
    </w:p>
  </w:footnote>
  <w:footnote w:type="continuationSeparator" w:id="1">
    <w:p w:rsidR="002E1894" w14:paraId="37C7240F" w14:textId="77777777">
      <w:pPr>
        <w:rPr>
          <w:sz w:val="20"/>
        </w:rPr>
      </w:pPr>
      <w:r>
        <w:rPr>
          <w:sz w:val="20"/>
        </w:rPr>
        <w:t xml:space="preserve">(Continued from previous page)  </w:t>
      </w:r>
      <w:r>
        <w:rPr>
          <w:sz w:val="20"/>
        </w:rPr>
        <w:separator/>
      </w:r>
    </w:p>
  </w:footnote>
  <w:footnote w:type="continuationNotice" w:id="2">
    <w:p w:rsidR="002E1894" w14:paraId="56EC2793" w14:textId="77777777">
      <w:pPr>
        <w:jc w:val="right"/>
        <w:rPr>
          <w:sz w:val="20"/>
        </w:rPr>
      </w:pPr>
      <w:r>
        <w:rPr>
          <w:sz w:val="20"/>
        </w:rPr>
        <w:t>(continued….)</w:t>
      </w:r>
    </w:p>
  </w:footnote>
  <w:footnote w:id="3">
    <w:p w:rsidR="006925B6" w:rsidP="006925B6" w14:paraId="71C08BDE" w14:textId="46B5A07E">
      <w:pPr>
        <w:pStyle w:val="FootnoteText"/>
      </w:pPr>
      <w:r>
        <w:rPr>
          <w:rStyle w:val="FootnoteReference"/>
        </w:rPr>
        <w:footnoteRef/>
      </w:r>
      <w:r>
        <w:t xml:space="preserve"> </w:t>
      </w:r>
      <w:r w:rsidRPr="00C25666">
        <w:t>47 U.S.C. §</w:t>
      </w:r>
      <w:r w:rsidRPr="004F6886">
        <w:rPr>
          <w:rFonts w:eastAsia="Calibri"/>
        </w:rPr>
        <w:t>§</w:t>
      </w:r>
      <w:r w:rsidRPr="00C25666">
        <w:t xml:space="preserve"> 214</w:t>
      </w:r>
      <w:r>
        <w:t xml:space="preserve">, </w:t>
      </w:r>
      <w:r w:rsidRPr="004F6886">
        <w:rPr>
          <w:rFonts w:eastAsia="Calibri"/>
        </w:rPr>
        <w:t>310</w:t>
      </w:r>
      <w:r>
        <w:rPr>
          <w:rFonts w:eastAsia="Calibri"/>
        </w:rPr>
        <w:t>(d)</w:t>
      </w:r>
      <w:r w:rsidRPr="00C25666">
        <w:t xml:space="preserve">; </w:t>
      </w:r>
      <w:r w:rsidRPr="00395733">
        <w:rPr>
          <w:i/>
          <w:iCs/>
        </w:rPr>
        <w:t>see also</w:t>
      </w:r>
      <w:r>
        <w:t xml:space="preserve"> </w:t>
      </w:r>
      <w:r w:rsidRPr="00021F2D">
        <w:t>47 CFR §§</w:t>
      </w:r>
      <w:r>
        <w:t> 25.119, 25.137(g), 63.24.</w:t>
      </w:r>
    </w:p>
  </w:footnote>
  <w:footnote w:id="4">
    <w:p w:rsidR="006925B6" w:rsidRPr="00C25666" w:rsidP="006925B6" w14:paraId="5FE89890" w14:textId="07D0CF71">
      <w:pPr>
        <w:pStyle w:val="FootnoteText"/>
      </w:pPr>
      <w:r w:rsidRPr="00C25666">
        <w:rPr>
          <w:rStyle w:val="FootnoteReference"/>
        </w:rPr>
        <w:footnoteRef/>
      </w:r>
      <w:r w:rsidRPr="00C25666">
        <w:t xml:space="preserve"> </w:t>
      </w:r>
      <w:r>
        <w:t>Consolidated Application for Consent to Transfer Control of Connect Topco Limited and Its Subsidiaries That Hold Commission Authorizations,</w:t>
      </w:r>
      <w:r w:rsidRPr="00412BB9">
        <w:t xml:space="preserve"> </w:t>
      </w:r>
      <w:r>
        <w:t xml:space="preserve">Narrative, IBFS File No. </w:t>
      </w:r>
      <w:r w:rsidRPr="006925B6">
        <w:t xml:space="preserve">SES-T/C-20220201-00145 </w:t>
      </w:r>
      <w:r w:rsidRPr="00C25666">
        <w:t xml:space="preserve">(filed </w:t>
      </w:r>
      <w:r w:rsidR="00CD6B6C">
        <w:t>Jan</w:t>
      </w:r>
      <w:r>
        <w:t xml:space="preserve">. </w:t>
      </w:r>
      <w:r w:rsidR="00CD6B6C">
        <w:t>3</w:t>
      </w:r>
      <w:r>
        <w:t>1, 2022</w:t>
      </w:r>
      <w:r w:rsidRPr="00C25666">
        <w:t>) (</w:t>
      </w:r>
      <w:r>
        <w:t>Narrative</w:t>
      </w:r>
      <w:r w:rsidRPr="00C25666">
        <w:t xml:space="preserve">). </w:t>
      </w:r>
      <w:r>
        <w:t xml:space="preserve"> </w:t>
      </w:r>
      <w:r w:rsidRPr="00807FD9">
        <w:t xml:space="preserve">The applications subject to this Public Notice </w:t>
      </w:r>
      <w:r w:rsidRPr="00807FD9" w:rsidR="00000DD5">
        <w:t>(Applications) are</w:t>
      </w:r>
      <w:r w:rsidRPr="00807FD9">
        <w:t xml:space="preserve"> </w:t>
      </w:r>
      <w:r w:rsidR="0073646F">
        <w:t>listed</w:t>
      </w:r>
      <w:r w:rsidRPr="00807FD9">
        <w:t xml:space="preserve"> in the Attachment</w:t>
      </w:r>
      <w:r w:rsidR="0073646F">
        <w:t xml:space="preserve"> to this Public Notice</w:t>
      </w:r>
      <w:r w:rsidRPr="00807FD9">
        <w:t>.</w:t>
      </w:r>
      <w:r w:rsidR="007D1639">
        <w:t xml:space="preserve">  The </w:t>
      </w:r>
      <w:r w:rsidRPr="007D1639" w:rsidR="007D1639">
        <w:t xml:space="preserve">Applicants filed </w:t>
      </w:r>
      <w:r w:rsidR="009B3452">
        <w:t xml:space="preserve">a </w:t>
      </w:r>
      <w:r w:rsidRPr="007D1639" w:rsidR="007D1639">
        <w:t xml:space="preserve">supplement to the </w:t>
      </w:r>
      <w:r w:rsidR="00C80F05">
        <w:t xml:space="preserve">public interest statement in the Narrative </w:t>
      </w:r>
      <w:r w:rsidRPr="007D1639" w:rsidR="007D1639">
        <w:t xml:space="preserve">on </w:t>
      </w:r>
      <w:r w:rsidR="00AD162A">
        <w:t xml:space="preserve">April </w:t>
      </w:r>
      <w:r w:rsidR="00B758F6">
        <w:t>25</w:t>
      </w:r>
      <w:r w:rsidR="00AD162A">
        <w:t>, 2022</w:t>
      </w:r>
      <w:r w:rsidRPr="007D1639" w:rsidR="007D1639">
        <w:t xml:space="preserve">.  </w:t>
      </w:r>
      <w:r w:rsidR="00B758F6">
        <w:t>Letter</w:t>
      </w:r>
      <w:r w:rsidR="002C5C9A">
        <w:t xml:space="preserve"> </w:t>
      </w:r>
      <w:r w:rsidR="00B758F6">
        <w:t xml:space="preserve">from Matthew Murchison, Counsel to </w:t>
      </w:r>
      <w:r w:rsidR="00B758F6">
        <w:t>Viasat</w:t>
      </w:r>
      <w:r w:rsidR="00B758F6">
        <w:t>, Inc., to Marlene H. Dortch, Secretary, FCC (Apr. 25, 2022)</w:t>
      </w:r>
      <w:r w:rsidR="009B3452">
        <w:t xml:space="preserve"> (Public Interest Supplement)</w:t>
      </w:r>
      <w:r w:rsidR="00B758F6">
        <w:t>.</w:t>
      </w:r>
      <w:r w:rsidR="009B3452">
        <w:t xml:space="preserve">  The Applicants also filed a supplement to the ownership diagrams.  Letter from Matthew Murchison, Counsel to </w:t>
      </w:r>
      <w:r w:rsidR="009B3452">
        <w:t>Viasat</w:t>
      </w:r>
      <w:r w:rsidR="009B3452">
        <w:t>, Inc., to Marlene H. Dortch, Secretary, FCC (Apr. 25, 2022).</w:t>
      </w:r>
    </w:p>
  </w:footnote>
  <w:footnote w:id="5">
    <w:p w:rsidR="00731852" w:rsidP="00B758F6" w14:paraId="356BE71D" w14:textId="71F7B59C">
      <w:pPr>
        <w:pStyle w:val="FootnoteText"/>
      </w:pPr>
      <w:r>
        <w:rPr>
          <w:rStyle w:val="FootnoteReference"/>
        </w:rPr>
        <w:footnoteRef/>
      </w:r>
      <w:r>
        <w:t xml:space="preserve"> </w:t>
      </w:r>
      <w:r>
        <w:t>Viasat</w:t>
      </w:r>
      <w:r w:rsidR="00EB4527">
        <w:t xml:space="preserve"> </w:t>
      </w:r>
      <w:r>
        <w:t xml:space="preserve">Petition for Declaratory Ruling under Section 310(b)(4) of the Communications Act, of 1934, as Amended, IBFS File No. </w:t>
      </w:r>
      <w:r w:rsidRPr="00731852">
        <w:t>ISP-PDR-20220131-00001</w:t>
      </w:r>
      <w:r>
        <w:t xml:space="preserve"> (filed Jan. 31, 2022)</w:t>
      </w:r>
      <w:r w:rsidR="005E5645">
        <w:t xml:space="preserve"> (Petition)</w:t>
      </w:r>
      <w:r>
        <w:t>.</w:t>
      </w:r>
      <w:r w:rsidR="00835079">
        <w:t xml:space="preserve">  </w:t>
      </w:r>
      <w:r w:rsidRPr="0006144C" w:rsidR="00026479">
        <w:t>Viasat</w:t>
      </w:r>
      <w:r w:rsidRPr="0006144C" w:rsidR="00835079">
        <w:t xml:space="preserve"> </w:t>
      </w:r>
      <w:r w:rsidR="00224904">
        <w:t xml:space="preserve">(Petitioner) </w:t>
      </w:r>
      <w:r w:rsidRPr="0006144C" w:rsidR="00835079">
        <w:t xml:space="preserve">filed </w:t>
      </w:r>
      <w:r w:rsidRPr="00DA3915" w:rsidR="001A6A04">
        <w:t>two</w:t>
      </w:r>
      <w:r w:rsidRPr="0006144C" w:rsidR="00835079">
        <w:t xml:space="preserve"> supplement</w:t>
      </w:r>
      <w:r w:rsidRPr="00DA3915" w:rsidR="001A6A04">
        <w:t>s</w:t>
      </w:r>
      <w:r w:rsidRPr="0006144C" w:rsidR="00835079">
        <w:t xml:space="preserve"> to the Petition on </w:t>
      </w:r>
      <w:r w:rsidRPr="0006144C" w:rsidR="00301D6B">
        <w:t xml:space="preserve">April </w:t>
      </w:r>
      <w:r w:rsidRPr="0006144C" w:rsidR="00B758F6">
        <w:t>25</w:t>
      </w:r>
      <w:r w:rsidRPr="0006144C" w:rsidR="00301D6B">
        <w:t>, 2022</w:t>
      </w:r>
      <w:r w:rsidRPr="0006144C" w:rsidR="00835079">
        <w:t xml:space="preserve">.  Letter from </w:t>
      </w:r>
      <w:r w:rsidRPr="0006144C" w:rsidR="00B758F6">
        <w:t xml:space="preserve">Matthew Murchison, Counsel to </w:t>
      </w:r>
      <w:r w:rsidRPr="0006144C" w:rsidR="00B758F6">
        <w:t>Viasat</w:t>
      </w:r>
      <w:r w:rsidRPr="0006144C" w:rsidR="00B758F6">
        <w:t>, Inc., to Marlene H. Dortch, Secretary, FCC (Apr. 25, 2022)</w:t>
      </w:r>
      <w:r w:rsidRPr="0006144C" w:rsidR="009B3452">
        <w:t xml:space="preserve"> (</w:t>
      </w:r>
      <w:r w:rsidRPr="00DA3915" w:rsidR="00497647">
        <w:t>Updated Ownership Diagrams</w:t>
      </w:r>
      <w:r w:rsidRPr="0006144C" w:rsidR="00497647">
        <w:t xml:space="preserve"> </w:t>
      </w:r>
      <w:r w:rsidRPr="0006144C" w:rsidR="009B3452">
        <w:t>Supplement)</w:t>
      </w:r>
      <w:r w:rsidRPr="00DA3915" w:rsidR="000350DB">
        <w:t xml:space="preserve"> (adding </w:t>
      </w:r>
      <w:r w:rsidRPr="00DA3915" w:rsidR="000D5301">
        <w:t xml:space="preserve">additional </w:t>
      </w:r>
      <w:r w:rsidR="00841444">
        <w:t xml:space="preserve">pre- and post-transaction ownership </w:t>
      </w:r>
      <w:r w:rsidR="004173DC">
        <w:t>information</w:t>
      </w:r>
      <w:r w:rsidR="00A93386">
        <w:t>)</w:t>
      </w:r>
      <w:r w:rsidR="00ED2C7E">
        <w:t>;</w:t>
      </w:r>
      <w:r w:rsidR="000D5301">
        <w:t xml:space="preserve"> </w:t>
      </w:r>
      <w:r w:rsidRPr="00BD6091" w:rsidR="00BD6091">
        <w:t xml:space="preserve">Letter from Matthew Murchison, Counsel to </w:t>
      </w:r>
      <w:r w:rsidRPr="00BD6091" w:rsidR="00BD6091">
        <w:t>Viasat</w:t>
      </w:r>
      <w:r w:rsidRPr="00BD6091" w:rsidR="00BD6091">
        <w:t xml:space="preserve">, Inc., to Marlene H. Dortch, Secretary, FCC (Apr. 25, 2022) </w:t>
      </w:r>
      <w:r w:rsidR="00610470">
        <w:t>(</w:t>
      </w:r>
      <w:r w:rsidR="002605AE">
        <w:t xml:space="preserve">Updated </w:t>
      </w:r>
      <w:r w:rsidR="00DC6684">
        <w:t>Specific Approval and Advance Approval Supplement)</w:t>
      </w:r>
      <w:r w:rsidR="0008602B">
        <w:t xml:space="preserve"> </w:t>
      </w:r>
      <w:r w:rsidR="003657BE">
        <w:t>(</w:t>
      </w:r>
      <w:r w:rsidR="00147A3F">
        <w:t>pr</w:t>
      </w:r>
      <w:r w:rsidR="007D2DE0">
        <w:t xml:space="preserve">oviding clarifications regarding specific approval and advance approval of foreign entities in </w:t>
      </w:r>
      <w:r w:rsidR="0084104F">
        <w:t>Sections J and K o</w:t>
      </w:r>
      <w:r w:rsidR="008521D7">
        <w:t>f the</w:t>
      </w:r>
      <w:r w:rsidR="00D817EA">
        <w:t xml:space="preserve"> </w:t>
      </w:r>
      <w:r w:rsidR="007D2DE0">
        <w:t>Petition</w:t>
      </w:r>
      <w:r w:rsidR="008521D7">
        <w:t>)</w:t>
      </w:r>
      <w:r w:rsidRPr="00D36C7C" w:rsidR="00835079">
        <w:t>.</w:t>
      </w:r>
    </w:p>
  </w:footnote>
  <w:footnote w:id="6">
    <w:p w:rsidR="00383E4A" w:rsidP="00383E4A" w14:paraId="03021982" w14:textId="270C8577">
      <w:pPr>
        <w:pStyle w:val="FootnoteText"/>
      </w:pPr>
      <w:r>
        <w:rPr>
          <w:rStyle w:val="FootnoteReference"/>
        </w:rPr>
        <w:footnoteRef/>
      </w:r>
      <w:r>
        <w:t xml:space="preserve"> </w:t>
      </w:r>
      <w:r w:rsidR="00141DCF">
        <w:t xml:space="preserve">Narrative </w:t>
      </w:r>
      <w:r>
        <w:t>at 2.</w:t>
      </w:r>
      <w:r w:rsidR="00A54EC1">
        <w:t xml:space="preserve"> </w:t>
      </w:r>
      <w:r w:rsidR="00493381">
        <w:t xml:space="preserve"> </w:t>
      </w:r>
      <w:r w:rsidR="00A54EC1">
        <w:t>Petition at 2.</w:t>
      </w:r>
    </w:p>
  </w:footnote>
  <w:footnote w:id="7">
    <w:p w:rsidR="00383E4A" w:rsidP="00383E4A" w14:paraId="02993E76" w14:textId="459DD64B">
      <w:pPr>
        <w:pStyle w:val="FootnoteText"/>
      </w:pPr>
      <w:r>
        <w:rPr>
          <w:rStyle w:val="FootnoteReference"/>
        </w:rPr>
        <w:footnoteRef/>
      </w:r>
      <w:r>
        <w:t xml:space="preserve"> </w:t>
      </w:r>
      <w:r w:rsidRPr="00A54EC1" w:rsidR="00A54EC1">
        <w:t>Narrative at 2</w:t>
      </w:r>
      <w:r w:rsidR="00A54EC1">
        <w:t xml:space="preserve">. </w:t>
      </w:r>
    </w:p>
  </w:footnote>
  <w:footnote w:id="8">
    <w:p w:rsidR="00895CE7" w14:paraId="301A7093" w14:textId="46E2257E">
      <w:pPr>
        <w:pStyle w:val="FootnoteText"/>
      </w:pPr>
      <w:r>
        <w:rPr>
          <w:rStyle w:val="FootnoteReference"/>
        </w:rPr>
        <w:footnoteRef/>
      </w:r>
      <w:r>
        <w:t xml:space="preserve"> Petition at 2-3.</w:t>
      </w:r>
    </w:p>
  </w:footnote>
  <w:footnote w:id="9">
    <w:p w:rsidR="00383E4A" w:rsidP="00383E4A" w14:paraId="01CC3223" w14:textId="5332D54F">
      <w:pPr>
        <w:pStyle w:val="FootnoteText"/>
      </w:pPr>
      <w:r>
        <w:rPr>
          <w:rStyle w:val="FootnoteReference"/>
        </w:rPr>
        <w:footnoteRef/>
      </w:r>
      <w:r>
        <w:t xml:space="preserve"> </w:t>
      </w:r>
      <w:r w:rsidR="00895CE7">
        <w:t xml:space="preserve">Narrative at </w:t>
      </w:r>
      <w:r>
        <w:t>3, Attach. B</w:t>
      </w:r>
      <w:r w:rsidR="00E0610D">
        <w:t>; Petition at 3.</w:t>
      </w:r>
    </w:p>
  </w:footnote>
  <w:footnote w:id="10">
    <w:p w:rsidR="008B4E23" w:rsidP="008B4E23" w14:paraId="0D4666CE" w14:textId="602E1E46">
      <w:pPr>
        <w:pStyle w:val="FootnoteText"/>
      </w:pPr>
      <w:r>
        <w:rPr>
          <w:rStyle w:val="FootnoteReference"/>
        </w:rPr>
        <w:footnoteRef/>
      </w:r>
      <w:r>
        <w:t xml:space="preserve"> </w:t>
      </w:r>
      <w:r w:rsidR="007D5A5F">
        <w:t>Narrative</w:t>
      </w:r>
      <w:r w:rsidRPr="001B22E5" w:rsidR="007D5A5F">
        <w:rPr>
          <w:i/>
        </w:rPr>
        <w:t xml:space="preserve"> </w:t>
      </w:r>
      <w:r>
        <w:t>at 2-3.</w:t>
      </w:r>
    </w:p>
  </w:footnote>
  <w:footnote w:id="11">
    <w:p w:rsidR="00383E4A" w:rsidP="00383E4A" w14:paraId="0189B747" w14:textId="784949B5">
      <w:pPr>
        <w:pStyle w:val="FootnoteText"/>
      </w:pPr>
      <w:r>
        <w:rPr>
          <w:rStyle w:val="FootnoteReference"/>
        </w:rPr>
        <w:footnoteRef/>
      </w:r>
      <w:r>
        <w:t xml:space="preserve"> </w:t>
      </w:r>
      <w:r w:rsidRPr="00040613" w:rsidR="00040613">
        <w:rPr>
          <w:i/>
          <w:iCs/>
        </w:rPr>
        <w:t>Id.</w:t>
      </w:r>
      <w:r>
        <w:t xml:space="preserve"> at 3.</w:t>
      </w:r>
    </w:p>
  </w:footnote>
  <w:footnote w:id="12">
    <w:p w:rsidR="00383E4A" w:rsidRPr="00CA369C" w:rsidP="00383E4A" w14:paraId="1B48BEB7" w14:textId="30C063A4">
      <w:pPr>
        <w:pStyle w:val="FootnoteText"/>
      </w:pPr>
      <w:r>
        <w:rPr>
          <w:rStyle w:val="FootnoteReference"/>
        </w:rPr>
        <w:footnoteRef/>
      </w:r>
      <w:r>
        <w:t xml:space="preserve"> </w:t>
      </w:r>
      <w:r w:rsidRPr="002F7259">
        <w:rPr>
          <w:i/>
          <w:iCs/>
        </w:rPr>
        <w:t>Id.</w:t>
      </w:r>
      <w:r w:rsidR="00CA369C">
        <w:rPr>
          <w:i/>
          <w:iCs/>
        </w:rPr>
        <w:t xml:space="preserve"> </w:t>
      </w:r>
      <w:r w:rsidR="00351AD1">
        <w:rPr>
          <w:i/>
          <w:iCs/>
        </w:rPr>
        <w:t xml:space="preserve"> </w:t>
      </w:r>
      <w:r w:rsidR="00CA369C">
        <w:t xml:space="preserve">Petition at 4. </w:t>
      </w:r>
      <w:r w:rsidR="00351AD1">
        <w:t xml:space="preserve"> Connect Topco owns 99.19% of Connect Sub-Topco Limited with the remaining 0.81% owned by a small number of Inmarsat senior management.  Narrative at 3.  Connect Sub-Topco Limited has 100% indirect equity and voting interests in Inmarsat.  </w:t>
      </w:r>
      <w:r w:rsidRPr="00557120" w:rsidR="00351AD1">
        <w:rPr>
          <w:i/>
          <w:iCs/>
        </w:rPr>
        <w:t>Id</w:t>
      </w:r>
      <w:r w:rsidR="00351AD1">
        <w:t xml:space="preserve">., Attach. B. </w:t>
      </w:r>
    </w:p>
  </w:footnote>
  <w:footnote w:id="13">
    <w:p w:rsidR="00C65770" w:rsidP="00C65770" w14:paraId="44F903EC" w14:textId="644C56D1">
      <w:pPr>
        <w:pStyle w:val="FootnoteText"/>
      </w:pPr>
      <w:r>
        <w:rPr>
          <w:rStyle w:val="FootnoteReference"/>
        </w:rPr>
        <w:footnoteRef/>
      </w:r>
      <w:r>
        <w:t xml:space="preserve"> </w:t>
      </w:r>
      <w:r w:rsidR="00B85506">
        <w:t xml:space="preserve"> Narrative </w:t>
      </w:r>
      <w:r>
        <w:t>at 4.</w:t>
      </w:r>
      <w:r w:rsidR="00B85506">
        <w:t xml:space="preserve">  Petition at 11. </w:t>
      </w:r>
    </w:p>
  </w:footnote>
  <w:footnote w:id="14">
    <w:p w:rsidR="00C65770" w:rsidP="00C65770" w14:paraId="201852B2" w14:textId="5232A5C4">
      <w:pPr>
        <w:pStyle w:val="FootnoteText"/>
      </w:pPr>
      <w:r>
        <w:rPr>
          <w:rStyle w:val="FootnoteReference"/>
        </w:rPr>
        <w:footnoteRef/>
      </w:r>
      <w:r>
        <w:t xml:space="preserve"> </w:t>
      </w:r>
      <w:r w:rsidR="00947134">
        <w:t xml:space="preserve"> Narrative at 4. </w:t>
      </w:r>
    </w:p>
  </w:footnote>
  <w:footnote w:id="15">
    <w:p w:rsidR="00C65770" w:rsidP="00C65770" w14:paraId="602947F6" w14:textId="77777777">
      <w:pPr>
        <w:pStyle w:val="FootnoteText"/>
      </w:pPr>
      <w:r>
        <w:rPr>
          <w:rStyle w:val="FootnoteReference"/>
        </w:rPr>
        <w:footnoteRef/>
      </w:r>
      <w:r>
        <w:t xml:space="preserve"> </w:t>
      </w:r>
      <w:r w:rsidRPr="00633ED5">
        <w:rPr>
          <w:i/>
          <w:iCs/>
        </w:rPr>
        <w:t>Id.</w:t>
      </w:r>
    </w:p>
  </w:footnote>
  <w:footnote w:id="16">
    <w:p w:rsidR="00BA47A3" w:rsidP="00BA47A3" w14:paraId="453A92D4" w14:textId="61DAF167">
      <w:pPr>
        <w:pStyle w:val="FootnoteText"/>
      </w:pPr>
      <w:r>
        <w:rPr>
          <w:rStyle w:val="FootnoteReference"/>
        </w:rPr>
        <w:footnoteRef/>
      </w:r>
      <w:r>
        <w:t xml:space="preserve"> </w:t>
      </w:r>
      <w:r w:rsidRPr="00157F7E">
        <w:rPr>
          <w:i/>
          <w:iCs/>
        </w:rPr>
        <w:t>Id.</w:t>
      </w:r>
      <w:r w:rsidRPr="00DE5F88" w:rsidR="00DE5F88">
        <w:t xml:space="preserve"> </w:t>
      </w:r>
      <w:r w:rsidR="00DE5F88">
        <w:t xml:space="preserve">at </w:t>
      </w:r>
      <w:r w:rsidR="00A77CAD">
        <w:t>5, 9</w:t>
      </w:r>
      <w:r w:rsidR="00DE5F88">
        <w:t>.</w:t>
      </w:r>
    </w:p>
  </w:footnote>
  <w:footnote w:id="17">
    <w:p w:rsidR="009D72F3" w:rsidP="009D72F3" w14:paraId="7EC05B1E" w14:textId="2CAE406A">
      <w:pPr>
        <w:pStyle w:val="FootnoteText"/>
      </w:pPr>
      <w:r>
        <w:rPr>
          <w:rStyle w:val="FootnoteReference"/>
        </w:rPr>
        <w:footnoteRef/>
      </w:r>
      <w:r>
        <w:t xml:space="preserve"> </w:t>
      </w:r>
      <w:r w:rsidRPr="00975B5C" w:rsidR="00975B5C">
        <w:rPr>
          <w:i/>
          <w:iCs/>
        </w:rPr>
        <w:t>Id.</w:t>
      </w:r>
      <w:r>
        <w:t xml:space="preserve"> at </w:t>
      </w:r>
      <w:r w:rsidR="003638C0">
        <w:t>7-</w:t>
      </w:r>
      <w:r>
        <w:t>8.</w:t>
      </w:r>
    </w:p>
  </w:footnote>
  <w:footnote w:id="18">
    <w:p w:rsidR="008521CE" w:rsidP="008521CE" w14:paraId="61001A38" w14:textId="77777777">
      <w:pPr>
        <w:pStyle w:val="FootnoteText"/>
      </w:pPr>
      <w:r>
        <w:rPr>
          <w:rStyle w:val="FootnoteReference"/>
        </w:rPr>
        <w:footnoteRef/>
      </w:r>
      <w:r>
        <w:t xml:space="preserve"> Public Interest Supplement at 6.</w:t>
      </w:r>
    </w:p>
  </w:footnote>
  <w:footnote w:id="19">
    <w:p w:rsidR="008521CE" w:rsidP="008521CE" w14:paraId="5BFAB979" w14:textId="77777777">
      <w:pPr>
        <w:pStyle w:val="FootnoteText"/>
      </w:pPr>
      <w:r>
        <w:rPr>
          <w:rStyle w:val="FootnoteReference"/>
        </w:rPr>
        <w:footnoteRef/>
      </w:r>
      <w:r>
        <w:t xml:space="preserve"> </w:t>
      </w:r>
      <w:r w:rsidRPr="00DC7C93">
        <w:rPr>
          <w:i/>
          <w:iCs/>
        </w:rPr>
        <w:t>Id.</w:t>
      </w:r>
    </w:p>
  </w:footnote>
  <w:footnote w:id="20">
    <w:p w:rsidR="004C0589" w:rsidP="004C0589" w14:paraId="6237B321" w14:textId="4F0C78FB">
      <w:pPr>
        <w:pStyle w:val="FootnoteText"/>
      </w:pPr>
      <w:r>
        <w:rPr>
          <w:rStyle w:val="FootnoteReference"/>
        </w:rPr>
        <w:footnoteRef/>
      </w:r>
      <w:r>
        <w:t xml:space="preserve"> </w:t>
      </w:r>
      <w:r w:rsidR="00F20650">
        <w:rPr>
          <w:i/>
          <w:iCs/>
        </w:rPr>
        <w:t>I</w:t>
      </w:r>
      <w:r w:rsidRPr="005B50C5" w:rsidR="005B50C5">
        <w:rPr>
          <w:i/>
          <w:iCs/>
        </w:rPr>
        <w:t>d.</w:t>
      </w:r>
      <w:r>
        <w:t xml:space="preserve"> at 3-5.</w:t>
      </w:r>
    </w:p>
  </w:footnote>
  <w:footnote w:id="21">
    <w:p w:rsidR="005C3EDA" w:rsidP="005C3EDA" w14:paraId="033A74E2" w14:textId="21C5B322">
      <w:pPr>
        <w:pStyle w:val="FootnoteText"/>
      </w:pPr>
      <w:r>
        <w:rPr>
          <w:rStyle w:val="FootnoteReference"/>
        </w:rPr>
        <w:footnoteRef/>
      </w:r>
      <w:r>
        <w:t xml:space="preserve"> </w:t>
      </w:r>
      <w:r w:rsidRPr="006348A7">
        <w:t xml:space="preserve">On October, 24 2019, the Commission approved foreign ownership of 100% of the equity and voting interests in the Inmarsat Licensees’ controlling U.S. parent, IGHI, and granted specific approval for each of the shareholders of Connect Topco and their respective foreign owners and controlling parties.  </w:t>
      </w:r>
      <w:r w:rsidRPr="00DA3915">
        <w:rPr>
          <w:i/>
          <w:iCs/>
        </w:rPr>
        <w:t>See</w:t>
      </w:r>
      <w:r w:rsidRPr="006348A7">
        <w:t xml:space="preserve"> Applications Granted for the Transfer of Control of Inmarsat plc and Subsidiaries to Connect </w:t>
      </w:r>
      <w:r w:rsidRPr="006348A7">
        <w:t>Bidco</w:t>
      </w:r>
      <w:r w:rsidRPr="006348A7">
        <w:t xml:space="preserve"> Limited;</w:t>
      </w:r>
      <w:r w:rsidR="00C87E39">
        <w:t xml:space="preserve"> </w:t>
      </w:r>
      <w:r w:rsidRPr="006348A7">
        <w:t xml:space="preserve">Declaratory Ruling on Foreign Ownership, Public Notice, 34 FCC </w:t>
      </w:r>
      <w:r w:rsidRPr="006348A7">
        <w:t>Rcd</w:t>
      </w:r>
      <w:r w:rsidRPr="006348A7">
        <w:t xml:space="preserve">  9571 (2019)</w:t>
      </w:r>
      <w:r>
        <w:t>.</w:t>
      </w:r>
    </w:p>
  </w:footnote>
  <w:footnote w:id="22">
    <w:p w:rsidR="0071471E" w14:paraId="403678C7" w14:textId="6784B0C6">
      <w:pPr>
        <w:pStyle w:val="FootnoteText"/>
      </w:pPr>
      <w:r>
        <w:rPr>
          <w:rStyle w:val="FootnoteReference"/>
        </w:rPr>
        <w:footnoteRef/>
      </w:r>
      <w:r>
        <w:t xml:space="preserve"> </w:t>
      </w:r>
      <w:r w:rsidR="00F416FC">
        <w:t>Petition</w:t>
      </w:r>
      <w:r>
        <w:t xml:space="preserve"> at 4.</w:t>
      </w:r>
      <w:r w:rsidR="00410077">
        <w:t xml:space="preserve">  </w:t>
      </w:r>
      <w:r w:rsidRPr="005B5830" w:rsidR="005B5830">
        <w:t xml:space="preserve">According to the Petition, “Inmarsat Investors have a contractual right to designate for nomination up to two out of ten directors to </w:t>
      </w:r>
      <w:r w:rsidRPr="005B5830" w:rsidR="005B5830">
        <w:t>Viasat’s</w:t>
      </w:r>
      <w:r w:rsidRPr="005B5830" w:rsidR="005B5830">
        <w:t xml:space="preserve"> board of directors; their right to designate directors for nomination is subject to their ownership percentage of the total outstanding shares of </w:t>
      </w:r>
      <w:r w:rsidRPr="005B5830" w:rsidR="005B5830">
        <w:t>Viasat’s</w:t>
      </w:r>
      <w:r w:rsidRPr="005B5830" w:rsidR="005B5830">
        <w:t xml:space="preserve"> common stock. </w:t>
      </w:r>
      <w:r w:rsidR="00DF0D67">
        <w:t xml:space="preserve"> </w:t>
      </w:r>
      <w:r w:rsidRPr="005B5830" w:rsidR="005B5830">
        <w:t xml:space="preserve">Those parties also are contractually obligated to vote their shares in accordance with the recommendation of the </w:t>
      </w:r>
      <w:r w:rsidRPr="005B5830" w:rsidR="005B5830">
        <w:t>Viasat</w:t>
      </w:r>
      <w:r w:rsidRPr="005B5830" w:rsidR="005B5830">
        <w:t xml:space="preserve"> board of directors or any applicable committee thereof with respect to any action, proposal or matter to be voted on by the </w:t>
      </w:r>
      <w:r w:rsidRPr="005B5830" w:rsidR="005B5830">
        <w:t>Viasat</w:t>
      </w:r>
      <w:r w:rsidRPr="005B5830" w:rsidR="005B5830">
        <w:t xml:space="preserve"> stockholders for a specified period.” </w:t>
      </w:r>
      <w:r w:rsidRPr="00DA3915" w:rsidR="005B5830">
        <w:rPr>
          <w:i/>
          <w:iCs/>
        </w:rPr>
        <w:t>Id.</w:t>
      </w:r>
      <w:r w:rsidRPr="005B5830" w:rsidR="005B5830">
        <w:t xml:space="preserve"> at 5,</w:t>
      </w:r>
      <w:r w:rsidR="00001F0D">
        <w:t xml:space="preserve"> </w:t>
      </w:r>
      <w:r w:rsidRPr="005B5830" w:rsidR="005B5830">
        <w:t>11.</w:t>
      </w:r>
    </w:p>
  </w:footnote>
  <w:footnote w:id="23">
    <w:p w:rsidR="002F796B" w14:paraId="04C431EE" w14:textId="46F2A115">
      <w:pPr>
        <w:pStyle w:val="FootnoteText"/>
      </w:pPr>
      <w:r>
        <w:rPr>
          <w:rStyle w:val="FootnoteReference"/>
        </w:rPr>
        <w:footnoteRef/>
      </w:r>
      <w:r>
        <w:t xml:space="preserve"> </w:t>
      </w:r>
      <w:r w:rsidRPr="00DA3915">
        <w:rPr>
          <w:i/>
          <w:iCs/>
        </w:rPr>
        <w:t>Id</w:t>
      </w:r>
      <w:r>
        <w:t>. at 5.</w:t>
      </w:r>
      <w:r w:rsidR="009B3825">
        <w:t xml:space="preserve"> </w:t>
      </w:r>
      <w:r w:rsidR="0028353B">
        <w:t xml:space="preserve"> </w:t>
      </w:r>
    </w:p>
  </w:footnote>
  <w:footnote w:id="24">
    <w:p w:rsidR="00944E03" w14:paraId="75BC1D72" w14:textId="6DF0B331">
      <w:pPr>
        <w:pStyle w:val="FootnoteText"/>
      </w:pPr>
      <w:r>
        <w:rPr>
          <w:rStyle w:val="FootnoteReference"/>
        </w:rPr>
        <w:footnoteRef/>
      </w:r>
      <w:r>
        <w:t xml:space="preserve"> </w:t>
      </w:r>
      <w:r w:rsidRPr="00944E03">
        <w:rPr>
          <w:i/>
          <w:iCs/>
        </w:rPr>
        <w:t>Id</w:t>
      </w:r>
      <w:r w:rsidRPr="00944E03">
        <w:t>. at 8,</w:t>
      </w:r>
      <w:r w:rsidR="006A6E48">
        <w:t xml:space="preserve"> </w:t>
      </w:r>
      <w:r w:rsidRPr="00944E03">
        <w:t>10.</w:t>
      </w:r>
    </w:p>
  </w:footnote>
  <w:footnote w:id="25">
    <w:p w:rsidR="00A278F2" w:rsidP="00A278F2" w14:paraId="4F8D2DD5" w14:textId="77777777">
      <w:pPr>
        <w:pStyle w:val="FootnoteText"/>
      </w:pPr>
      <w:r>
        <w:rPr>
          <w:rStyle w:val="FootnoteReference"/>
        </w:rPr>
        <w:footnoteRef/>
      </w:r>
      <w:r>
        <w:t xml:space="preserve"> </w:t>
      </w:r>
      <w:r w:rsidRPr="006D4D14">
        <w:rPr>
          <w:i/>
          <w:iCs/>
        </w:rPr>
        <w:t>Id</w:t>
      </w:r>
      <w:r>
        <w:t xml:space="preserve">. </w:t>
      </w:r>
    </w:p>
  </w:footnote>
  <w:footnote w:id="26">
    <w:p w:rsidR="00F20784" w:rsidP="00F20784" w14:paraId="04A75250" w14:textId="53A87E6F">
      <w:pPr>
        <w:pStyle w:val="FootnoteText"/>
      </w:pPr>
      <w:r>
        <w:rPr>
          <w:rStyle w:val="FootnoteReference"/>
        </w:rPr>
        <w:footnoteRef/>
      </w:r>
      <w:r>
        <w:t xml:space="preserve"> </w:t>
      </w:r>
      <w:r w:rsidR="00E53E0A">
        <w:t>Updated Specific Approval and Advance Approval Supplement</w:t>
      </w:r>
      <w:r w:rsidRPr="00DA3915" w:rsidR="00E53E0A">
        <w:t xml:space="preserve"> </w:t>
      </w:r>
      <w:r w:rsidRPr="00DA3915">
        <w:t>at 11</w:t>
      </w:r>
      <w:r w:rsidR="00BB437D">
        <w:t xml:space="preserve">; </w:t>
      </w:r>
      <w:r w:rsidRPr="004A78CA" w:rsidR="001E1A94">
        <w:t>Updated Ownership Diagrams</w:t>
      </w:r>
      <w:r w:rsidRPr="0006144C" w:rsidR="001E1A94">
        <w:t xml:space="preserve"> Supplement</w:t>
      </w:r>
      <w:r w:rsidR="003763F2">
        <w:t>.</w:t>
      </w:r>
    </w:p>
  </w:footnote>
  <w:footnote w:id="27">
    <w:p w:rsidR="008C5DC6" w14:paraId="7F8FEA10" w14:textId="6ECF30E8">
      <w:pPr>
        <w:pStyle w:val="FootnoteText"/>
      </w:pPr>
      <w:r>
        <w:rPr>
          <w:rStyle w:val="FootnoteReference"/>
        </w:rPr>
        <w:footnoteRef/>
      </w:r>
      <w:r>
        <w:t xml:space="preserve"> </w:t>
      </w:r>
      <w:r w:rsidR="00E22ADB">
        <w:t xml:space="preserve"> </w:t>
      </w:r>
      <w:r w:rsidRPr="00DA3915" w:rsidR="00812A70">
        <w:rPr>
          <w:i/>
          <w:iCs/>
        </w:rPr>
        <w:t>Id.</w:t>
      </w:r>
      <w:r w:rsidR="00812A70">
        <w:t xml:space="preserve">  </w:t>
      </w:r>
    </w:p>
  </w:footnote>
  <w:footnote w:id="28">
    <w:p w:rsidR="00435384" w:rsidP="00435384" w14:paraId="48F212EB" w14:textId="340AB772">
      <w:pPr>
        <w:pStyle w:val="FootnoteText"/>
      </w:pPr>
      <w:r>
        <w:rPr>
          <w:rStyle w:val="FootnoteReference"/>
        </w:rPr>
        <w:footnoteRef/>
      </w:r>
      <w:r>
        <w:t xml:space="preserve"> </w:t>
      </w:r>
      <w:r w:rsidRPr="00E73929">
        <w:rPr>
          <w:i/>
          <w:iCs/>
        </w:rPr>
        <w:t>See Process Reform for Executive Branch Review of Certain FCC Applications and Petitions Involving Foreign Ownership,</w:t>
      </w:r>
      <w:r w:rsidRPr="00E73929">
        <w:t xml:space="preserve"> Report and Order, </w:t>
      </w:r>
      <w:r>
        <w:rPr>
          <w:rFonts w:ascii="TimesNewRomanPSMT" w:hAnsi="TimesNewRomanPSMT" w:cs="TimesNewRomanPSMT"/>
        </w:rPr>
        <w:t xml:space="preserve">35 FCC </w:t>
      </w:r>
      <w:r>
        <w:rPr>
          <w:rFonts w:ascii="TimesNewRomanPSMT" w:hAnsi="TimesNewRomanPSMT" w:cs="TimesNewRomanPSMT"/>
        </w:rPr>
        <w:t>Rcd</w:t>
      </w:r>
      <w:r>
        <w:rPr>
          <w:rFonts w:ascii="TimesNewRomanPSMT" w:hAnsi="TimesNewRomanPSMT" w:cs="TimesNewRomanPSMT"/>
        </w:rPr>
        <w:t xml:space="preserve"> 10927</w:t>
      </w:r>
      <w:r w:rsidRPr="00E73929">
        <w:t xml:space="preserve"> (2020)</w:t>
      </w:r>
      <w:r w:rsidRPr="0037153E">
        <w:t>;</w:t>
      </w:r>
      <w:r>
        <w:rPr>
          <w:i/>
          <w:iCs/>
        </w:rPr>
        <w:t xml:space="preserve"> see also </w:t>
      </w:r>
      <w:r w:rsidRPr="00E73929">
        <w:rPr>
          <w:i/>
          <w:iCs/>
        </w:rPr>
        <w:t>Rules and Policies on Foreign Participation in the U.S. Telecommunications Market; Market Entry and Regulation of Foreign- Affiliated Entities</w:t>
      </w:r>
      <w:r w:rsidRPr="00E73929">
        <w:t xml:space="preserve">, Report and Order and Order on Reconsideration, 12 FCC </w:t>
      </w:r>
      <w:r w:rsidRPr="00E73929">
        <w:t>Rcd</w:t>
      </w:r>
      <w:r w:rsidRPr="00E73929">
        <w:t xml:space="preserve"> 23891, 23918-19, paras. 61-63 (1997), recon. denied, 15 FCC </w:t>
      </w:r>
      <w:r w:rsidRPr="00E73929">
        <w:t>Rcd</w:t>
      </w:r>
      <w:r w:rsidRPr="00E73929">
        <w:t xml:space="preserve"> 18158 (2000).</w:t>
      </w:r>
    </w:p>
  </w:footnote>
  <w:footnote w:id="29">
    <w:p w:rsidR="00765087" w:rsidRPr="00C25666" w:rsidP="00765087" w14:paraId="25D9CA67" w14:textId="1CD6B02C">
      <w:pPr>
        <w:pStyle w:val="FootnoteText"/>
      </w:pPr>
      <w:r w:rsidRPr="00C25666">
        <w:rPr>
          <w:rStyle w:val="FootnoteReference"/>
        </w:rPr>
        <w:footnoteRef/>
      </w:r>
      <w:r w:rsidRPr="00C25666">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25666">
        <w:rPr>
          <w:i/>
          <w:iCs/>
        </w:rPr>
        <w:t>See FCC Announces Closure of FCC Headquarters Open Window and Change in Hand-Delivery Policy</w:t>
      </w:r>
      <w:r w:rsidRPr="00C25666">
        <w:t>, Public Notice, DA 20-304 (Mar</w:t>
      </w:r>
      <w:r w:rsidR="007E5E3C">
        <w:t>.</w:t>
      </w:r>
      <w:r w:rsidRPr="00C25666">
        <w:t xml:space="preserve"> 19, 2020)</w:t>
      </w:r>
      <w:r w:rsidR="0032223B">
        <w:t xml:space="preserve">, </w:t>
      </w:r>
      <w:hyperlink r:id="rId1" w:history="1">
        <w:r w:rsidRPr="00C25666" w:rsidR="0032223B">
          <w:rPr>
            <w:rStyle w:val="Hyperlink"/>
          </w:rPr>
          <w:t>https://www.fcc.gov/document/fcc-closes-headquarters-open-window-and-changes-hand-delivery-policy</w:t>
        </w:r>
      </w:hyperlink>
      <w:r w:rsidR="0032223B">
        <w:t>.</w:t>
      </w:r>
    </w:p>
  </w:footnote>
  <w:footnote w:id="30">
    <w:p w:rsidR="00765087" w:rsidRPr="00C25666" w:rsidP="00765087" w14:paraId="2F36959B" w14:textId="77777777">
      <w:pPr>
        <w:pStyle w:val="FootnoteText"/>
      </w:pPr>
      <w:r w:rsidRPr="00C25666">
        <w:rPr>
          <w:rStyle w:val="FootnoteReference"/>
        </w:rPr>
        <w:footnoteRef/>
      </w:r>
      <w:r w:rsidRPr="00C25666">
        <w:t xml:space="preserve"> </w:t>
      </w:r>
      <w:r w:rsidRPr="00C25666">
        <w:rPr>
          <w:i/>
        </w:rPr>
        <w:t>See</w:t>
      </w:r>
      <w:r w:rsidRPr="00C25666">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0BCD2DDE" w14:textId="0CABA33D">
    <w:pPr>
      <w:tabs>
        <w:tab w:val="center" w:pos="4680"/>
        <w:tab w:val="right" w:pos="9360"/>
      </w:tabs>
    </w:pPr>
    <w:r>
      <w:rPr>
        <w:b/>
      </w:rPr>
      <w:tab/>
      <w:t>Federal Communications Commission</w:t>
    </w:r>
    <w:r>
      <w:rPr>
        <w:b/>
      </w:rPr>
      <w:tab/>
    </w:r>
    <w:r w:rsidR="00642F07">
      <w:rPr>
        <w:b/>
      </w:rPr>
      <w:t>DA 2</w:t>
    </w:r>
    <w:r w:rsidR="00CB4C24">
      <w:rPr>
        <w:b/>
      </w:rPr>
      <w:t>2</w:t>
    </w:r>
    <w:r w:rsidR="00642F07">
      <w:rPr>
        <w:b/>
      </w:rPr>
      <w:t>-</w:t>
    </w:r>
    <w:r w:rsidR="00872A65">
      <w:rPr>
        <w:b/>
      </w:rPr>
      <w:t>517</w:t>
    </w:r>
  </w:p>
  <w:p w:rsidR="003427EE" w14:paraId="59656295" w14:textId="76E75F0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27EE" w14:paraId="2183CC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3E2F071" w14:textId="600C0F88">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B1"/>
    <w:rsid w:val="00000DD5"/>
    <w:rsid w:val="00001F0D"/>
    <w:rsid w:val="00002AED"/>
    <w:rsid w:val="00003DED"/>
    <w:rsid w:val="00005536"/>
    <w:rsid w:val="000068AC"/>
    <w:rsid w:val="00016AD9"/>
    <w:rsid w:val="00021844"/>
    <w:rsid w:val="00021847"/>
    <w:rsid w:val="00021F2D"/>
    <w:rsid w:val="000221A6"/>
    <w:rsid w:val="000261C0"/>
    <w:rsid w:val="00026479"/>
    <w:rsid w:val="00027DAE"/>
    <w:rsid w:val="0003067E"/>
    <w:rsid w:val="0003173E"/>
    <w:rsid w:val="0003283F"/>
    <w:rsid w:val="00032D6A"/>
    <w:rsid w:val="00033685"/>
    <w:rsid w:val="00034A9D"/>
    <w:rsid w:val="00035054"/>
    <w:rsid w:val="000350DB"/>
    <w:rsid w:val="0003580D"/>
    <w:rsid w:val="000359D3"/>
    <w:rsid w:val="00036D32"/>
    <w:rsid w:val="00040613"/>
    <w:rsid w:val="00040A0E"/>
    <w:rsid w:val="00040F5E"/>
    <w:rsid w:val="000419A7"/>
    <w:rsid w:val="00043370"/>
    <w:rsid w:val="00043A8A"/>
    <w:rsid w:val="00043F20"/>
    <w:rsid w:val="00046D98"/>
    <w:rsid w:val="000477FE"/>
    <w:rsid w:val="00047899"/>
    <w:rsid w:val="00050B3D"/>
    <w:rsid w:val="00053C8E"/>
    <w:rsid w:val="00057B0B"/>
    <w:rsid w:val="00057D92"/>
    <w:rsid w:val="00057F2E"/>
    <w:rsid w:val="00060798"/>
    <w:rsid w:val="0006144C"/>
    <w:rsid w:val="000634A1"/>
    <w:rsid w:val="00063DB4"/>
    <w:rsid w:val="00063F33"/>
    <w:rsid w:val="0006693A"/>
    <w:rsid w:val="000703CA"/>
    <w:rsid w:val="000712E7"/>
    <w:rsid w:val="000719FB"/>
    <w:rsid w:val="00077C5E"/>
    <w:rsid w:val="00081F78"/>
    <w:rsid w:val="00082053"/>
    <w:rsid w:val="00082B7E"/>
    <w:rsid w:val="00084003"/>
    <w:rsid w:val="00084BA4"/>
    <w:rsid w:val="0008602B"/>
    <w:rsid w:val="00090938"/>
    <w:rsid w:val="00091185"/>
    <w:rsid w:val="00093B1F"/>
    <w:rsid w:val="00093C9C"/>
    <w:rsid w:val="00093E27"/>
    <w:rsid w:val="00093EEA"/>
    <w:rsid w:val="00094502"/>
    <w:rsid w:val="000A26C7"/>
    <w:rsid w:val="000A550B"/>
    <w:rsid w:val="000A5A34"/>
    <w:rsid w:val="000A6894"/>
    <w:rsid w:val="000A7E6D"/>
    <w:rsid w:val="000B15DC"/>
    <w:rsid w:val="000B3FCF"/>
    <w:rsid w:val="000C19AE"/>
    <w:rsid w:val="000C1D79"/>
    <w:rsid w:val="000C293A"/>
    <w:rsid w:val="000C3073"/>
    <w:rsid w:val="000C4521"/>
    <w:rsid w:val="000C5A17"/>
    <w:rsid w:val="000C66A5"/>
    <w:rsid w:val="000C789D"/>
    <w:rsid w:val="000D1873"/>
    <w:rsid w:val="000D1F22"/>
    <w:rsid w:val="000D2E14"/>
    <w:rsid w:val="000D5301"/>
    <w:rsid w:val="000D6958"/>
    <w:rsid w:val="000D7683"/>
    <w:rsid w:val="000E20B3"/>
    <w:rsid w:val="000E4B6F"/>
    <w:rsid w:val="000E5CC8"/>
    <w:rsid w:val="000E5CE6"/>
    <w:rsid w:val="000F12DD"/>
    <w:rsid w:val="000F25C2"/>
    <w:rsid w:val="001007EC"/>
    <w:rsid w:val="0010093E"/>
    <w:rsid w:val="0010111A"/>
    <w:rsid w:val="00101B4A"/>
    <w:rsid w:val="00101CDD"/>
    <w:rsid w:val="00103871"/>
    <w:rsid w:val="0010436E"/>
    <w:rsid w:val="00105130"/>
    <w:rsid w:val="00110011"/>
    <w:rsid w:val="0011188A"/>
    <w:rsid w:val="0011311D"/>
    <w:rsid w:val="00113F3B"/>
    <w:rsid w:val="00114A40"/>
    <w:rsid w:val="00117B14"/>
    <w:rsid w:val="00117FA9"/>
    <w:rsid w:val="00120F5E"/>
    <w:rsid w:val="0013139A"/>
    <w:rsid w:val="0013161F"/>
    <w:rsid w:val="00131791"/>
    <w:rsid w:val="00133048"/>
    <w:rsid w:val="0013395D"/>
    <w:rsid w:val="00133F3F"/>
    <w:rsid w:val="00134977"/>
    <w:rsid w:val="00137188"/>
    <w:rsid w:val="00141DCF"/>
    <w:rsid w:val="001429C0"/>
    <w:rsid w:val="00145020"/>
    <w:rsid w:val="0014517B"/>
    <w:rsid w:val="00147A3F"/>
    <w:rsid w:val="00152590"/>
    <w:rsid w:val="0015422F"/>
    <w:rsid w:val="0015716A"/>
    <w:rsid w:val="00157C27"/>
    <w:rsid w:val="00157F7E"/>
    <w:rsid w:val="00160B30"/>
    <w:rsid w:val="00160E88"/>
    <w:rsid w:val="00160F38"/>
    <w:rsid w:val="00162CA5"/>
    <w:rsid w:val="00167F94"/>
    <w:rsid w:val="001719AE"/>
    <w:rsid w:val="00173EEB"/>
    <w:rsid w:val="00174B43"/>
    <w:rsid w:val="00175606"/>
    <w:rsid w:val="00175B9D"/>
    <w:rsid w:val="00175F47"/>
    <w:rsid w:val="001809DA"/>
    <w:rsid w:val="00181216"/>
    <w:rsid w:val="00192BBB"/>
    <w:rsid w:val="00192E6F"/>
    <w:rsid w:val="001933BD"/>
    <w:rsid w:val="001954A4"/>
    <w:rsid w:val="001A1406"/>
    <w:rsid w:val="001A3A95"/>
    <w:rsid w:val="001A53E7"/>
    <w:rsid w:val="001A6A04"/>
    <w:rsid w:val="001A6E80"/>
    <w:rsid w:val="001A717B"/>
    <w:rsid w:val="001A7657"/>
    <w:rsid w:val="001A7D17"/>
    <w:rsid w:val="001B026E"/>
    <w:rsid w:val="001B22E5"/>
    <w:rsid w:val="001B294C"/>
    <w:rsid w:val="001B2ED1"/>
    <w:rsid w:val="001B3A25"/>
    <w:rsid w:val="001B582B"/>
    <w:rsid w:val="001B7981"/>
    <w:rsid w:val="001C47DA"/>
    <w:rsid w:val="001C530C"/>
    <w:rsid w:val="001D0F39"/>
    <w:rsid w:val="001D1E2D"/>
    <w:rsid w:val="001D40E1"/>
    <w:rsid w:val="001D45C3"/>
    <w:rsid w:val="001E0284"/>
    <w:rsid w:val="001E0CAE"/>
    <w:rsid w:val="001E1A94"/>
    <w:rsid w:val="001E37C1"/>
    <w:rsid w:val="001E45D1"/>
    <w:rsid w:val="001E4A9A"/>
    <w:rsid w:val="001F0573"/>
    <w:rsid w:val="001F184B"/>
    <w:rsid w:val="001F1DE4"/>
    <w:rsid w:val="001F2976"/>
    <w:rsid w:val="001F340B"/>
    <w:rsid w:val="001F38FB"/>
    <w:rsid w:val="001F5533"/>
    <w:rsid w:val="001F57A7"/>
    <w:rsid w:val="001F5998"/>
    <w:rsid w:val="00201998"/>
    <w:rsid w:val="00201DD3"/>
    <w:rsid w:val="00205820"/>
    <w:rsid w:val="00207180"/>
    <w:rsid w:val="00210621"/>
    <w:rsid w:val="00210811"/>
    <w:rsid w:val="002119AB"/>
    <w:rsid w:val="00211BD9"/>
    <w:rsid w:val="00213529"/>
    <w:rsid w:val="0021575D"/>
    <w:rsid w:val="002157C1"/>
    <w:rsid w:val="00216390"/>
    <w:rsid w:val="002167E2"/>
    <w:rsid w:val="00220DCE"/>
    <w:rsid w:val="00221CCF"/>
    <w:rsid w:val="002235FA"/>
    <w:rsid w:val="00224355"/>
    <w:rsid w:val="00224904"/>
    <w:rsid w:val="00230038"/>
    <w:rsid w:val="00230F3A"/>
    <w:rsid w:val="00233340"/>
    <w:rsid w:val="002336DD"/>
    <w:rsid w:val="002337D3"/>
    <w:rsid w:val="00234A29"/>
    <w:rsid w:val="0023639E"/>
    <w:rsid w:val="002376E6"/>
    <w:rsid w:val="00240D5B"/>
    <w:rsid w:val="002417F2"/>
    <w:rsid w:val="00242332"/>
    <w:rsid w:val="00242F96"/>
    <w:rsid w:val="002431C2"/>
    <w:rsid w:val="00244BCB"/>
    <w:rsid w:val="002479D7"/>
    <w:rsid w:val="00247B91"/>
    <w:rsid w:val="00247C71"/>
    <w:rsid w:val="00247DD3"/>
    <w:rsid w:val="00260191"/>
    <w:rsid w:val="002605AE"/>
    <w:rsid w:val="002610D8"/>
    <w:rsid w:val="002613FB"/>
    <w:rsid w:val="0026142A"/>
    <w:rsid w:val="002624BC"/>
    <w:rsid w:val="00262ABB"/>
    <w:rsid w:val="00262D0A"/>
    <w:rsid w:val="00264793"/>
    <w:rsid w:val="00267495"/>
    <w:rsid w:val="002719DC"/>
    <w:rsid w:val="00271A56"/>
    <w:rsid w:val="00272EBF"/>
    <w:rsid w:val="00273992"/>
    <w:rsid w:val="00274581"/>
    <w:rsid w:val="00277557"/>
    <w:rsid w:val="00277C00"/>
    <w:rsid w:val="00281770"/>
    <w:rsid w:val="0028275E"/>
    <w:rsid w:val="0028353B"/>
    <w:rsid w:val="0028611F"/>
    <w:rsid w:val="002868E4"/>
    <w:rsid w:val="00290AF3"/>
    <w:rsid w:val="00292327"/>
    <w:rsid w:val="00293339"/>
    <w:rsid w:val="00294044"/>
    <w:rsid w:val="00294C76"/>
    <w:rsid w:val="0029665F"/>
    <w:rsid w:val="00297171"/>
    <w:rsid w:val="002A38C3"/>
    <w:rsid w:val="002A6F94"/>
    <w:rsid w:val="002A75F0"/>
    <w:rsid w:val="002B0946"/>
    <w:rsid w:val="002B1183"/>
    <w:rsid w:val="002B27D8"/>
    <w:rsid w:val="002B4105"/>
    <w:rsid w:val="002B620D"/>
    <w:rsid w:val="002B6C54"/>
    <w:rsid w:val="002B6DF9"/>
    <w:rsid w:val="002B6F00"/>
    <w:rsid w:val="002B6F69"/>
    <w:rsid w:val="002C1DDE"/>
    <w:rsid w:val="002C5326"/>
    <w:rsid w:val="002C5C9A"/>
    <w:rsid w:val="002C74A9"/>
    <w:rsid w:val="002C7DF2"/>
    <w:rsid w:val="002D1AA0"/>
    <w:rsid w:val="002D7CE0"/>
    <w:rsid w:val="002E1894"/>
    <w:rsid w:val="002E1BAD"/>
    <w:rsid w:val="002E234C"/>
    <w:rsid w:val="002E6ECC"/>
    <w:rsid w:val="002E6EFA"/>
    <w:rsid w:val="002F1AD9"/>
    <w:rsid w:val="002F1C45"/>
    <w:rsid w:val="002F2806"/>
    <w:rsid w:val="002F722D"/>
    <w:rsid w:val="002F7259"/>
    <w:rsid w:val="002F796B"/>
    <w:rsid w:val="00301D6B"/>
    <w:rsid w:val="00302AFF"/>
    <w:rsid w:val="0030564C"/>
    <w:rsid w:val="00307468"/>
    <w:rsid w:val="0031108A"/>
    <w:rsid w:val="003110D8"/>
    <w:rsid w:val="00311300"/>
    <w:rsid w:val="00311E2A"/>
    <w:rsid w:val="00314FC7"/>
    <w:rsid w:val="0032223B"/>
    <w:rsid w:val="003224CF"/>
    <w:rsid w:val="00322771"/>
    <w:rsid w:val="00322C5F"/>
    <w:rsid w:val="0032562C"/>
    <w:rsid w:val="00325768"/>
    <w:rsid w:val="00327AFC"/>
    <w:rsid w:val="00327CAB"/>
    <w:rsid w:val="00330088"/>
    <w:rsid w:val="00330852"/>
    <w:rsid w:val="0033216E"/>
    <w:rsid w:val="003332B2"/>
    <w:rsid w:val="00335747"/>
    <w:rsid w:val="0033604C"/>
    <w:rsid w:val="003361AF"/>
    <w:rsid w:val="0033667C"/>
    <w:rsid w:val="00336A58"/>
    <w:rsid w:val="00336BD4"/>
    <w:rsid w:val="00336D05"/>
    <w:rsid w:val="003427EE"/>
    <w:rsid w:val="00343C1E"/>
    <w:rsid w:val="00343ECD"/>
    <w:rsid w:val="003447AC"/>
    <w:rsid w:val="00346091"/>
    <w:rsid w:val="00346B32"/>
    <w:rsid w:val="00350D98"/>
    <w:rsid w:val="00351AD1"/>
    <w:rsid w:val="00352C40"/>
    <w:rsid w:val="0035306E"/>
    <w:rsid w:val="00353261"/>
    <w:rsid w:val="00353627"/>
    <w:rsid w:val="00355CC5"/>
    <w:rsid w:val="00356646"/>
    <w:rsid w:val="00361350"/>
    <w:rsid w:val="003638C0"/>
    <w:rsid w:val="003657BE"/>
    <w:rsid w:val="003676D0"/>
    <w:rsid w:val="003705FD"/>
    <w:rsid w:val="0037153E"/>
    <w:rsid w:val="00371846"/>
    <w:rsid w:val="003731D1"/>
    <w:rsid w:val="003762E3"/>
    <w:rsid w:val="003763F2"/>
    <w:rsid w:val="003766F4"/>
    <w:rsid w:val="003776E8"/>
    <w:rsid w:val="0037779F"/>
    <w:rsid w:val="00377A45"/>
    <w:rsid w:val="00377FCB"/>
    <w:rsid w:val="00380C83"/>
    <w:rsid w:val="00381416"/>
    <w:rsid w:val="0038305B"/>
    <w:rsid w:val="00383E4A"/>
    <w:rsid w:val="00385433"/>
    <w:rsid w:val="003855B3"/>
    <w:rsid w:val="00390EBB"/>
    <w:rsid w:val="00395733"/>
    <w:rsid w:val="00395D87"/>
    <w:rsid w:val="00396729"/>
    <w:rsid w:val="003967AE"/>
    <w:rsid w:val="003A259E"/>
    <w:rsid w:val="003A2856"/>
    <w:rsid w:val="003A39C7"/>
    <w:rsid w:val="003A55B2"/>
    <w:rsid w:val="003A7852"/>
    <w:rsid w:val="003B0875"/>
    <w:rsid w:val="003B5EED"/>
    <w:rsid w:val="003B78E0"/>
    <w:rsid w:val="003B7D78"/>
    <w:rsid w:val="003C274B"/>
    <w:rsid w:val="003C2797"/>
    <w:rsid w:val="003C30AA"/>
    <w:rsid w:val="003C53D1"/>
    <w:rsid w:val="003C6F9F"/>
    <w:rsid w:val="003D0516"/>
    <w:rsid w:val="003D2379"/>
    <w:rsid w:val="003D2669"/>
    <w:rsid w:val="003D3305"/>
    <w:rsid w:val="003D397C"/>
    <w:rsid w:val="003D4C39"/>
    <w:rsid w:val="003D6F7B"/>
    <w:rsid w:val="003E0006"/>
    <w:rsid w:val="003E21F3"/>
    <w:rsid w:val="003E2781"/>
    <w:rsid w:val="003E7435"/>
    <w:rsid w:val="003F09C6"/>
    <w:rsid w:val="003F0C16"/>
    <w:rsid w:val="003F12CB"/>
    <w:rsid w:val="003F1582"/>
    <w:rsid w:val="003F267A"/>
    <w:rsid w:val="003F2D89"/>
    <w:rsid w:val="003F5645"/>
    <w:rsid w:val="003F6951"/>
    <w:rsid w:val="004004CD"/>
    <w:rsid w:val="0040221F"/>
    <w:rsid w:val="00403C02"/>
    <w:rsid w:val="00406672"/>
    <w:rsid w:val="0040758E"/>
    <w:rsid w:val="00410077"/>
    <w:rsid w:val="00412261"/>
    <w:rsid w:val="00412BB9"/>
    <w:rsid w:val="004173DC"/>
    <w:rsid w:val="00420B37"/>
    <w:rsid w:val="004210DA"/>
    <w:rsid w:val="00421197"/>
    <w:rsid w:val="00422B07"/>
    <w:rsid w:val="00422E8E"/>
    <w:rsid w:val="00423B31"/>
    <w:rsid w:val="00423DFB"/>
    <w:rsid w:val="00425BB9"/>
    <w:rsid w:val="00426EBE"/>
    <w:rsid w:val="00427BCE"/>
    <w:rsid w:val="00431393"/>
    <w:rsid w:val="00435384"/>
    <w:rsid w:val="00436669"/>
    <w:rsid w:val="00437FD0"/>
    <w:rsid w:val="00440EAC"/>
    <w:rsid w:val="0044119D"/>
    <w:rsid w:val="00443BFA"/>
    <w:rsid w:val="004447AB"/>
    <w:rsid w:val="00445427"/>
    <w:rsid w:val="004455A0"/>
    <w:rsid w:val="0044628A"/>
    <w:rsid w:val="00450D07"/>
    <w:rsid w:val="004540E8"/>
    <w:rsid w:val="00454544"/>
    <w:rsid w:val="00454E44"/>
    <w:rsid w:val="00455B8C"/>
    <w:rsid w:val="00456FDB"/>
    <w:rsid w:val="00461500"/>
    <w:rsid w:val="0046301F"/>
    <w:rsid w:val="004651AF"/>
    <w:rsid w:val="004652B8"/>
    <w:rsid w:val="00467681"/>
    <w:rsid w:val="00467DF4"/>
    <w:rsid w:val="00470B30"/>
    <w:rsid w:val="00471A03"/>
    <w:rsid w:val="00475BDE"/>
    <w:rsid w:val="00476E46"/>
    <w:rsid w:val="00477F41"/>
    <w:rsid w:val="004809B4"/>
    <w:rsid w:val="00480CFF"/>
    <w:rsid w:val="00481CEA"/>
    <w:rsid w:val="00485752"/>
    <w:rsid w:val="00485D42"/>
    <w:rsid w:val="0048758F"/>
    <w:rsid w:val="004910C1"/>
    <w:rsid w:val="0049319B"/>
    <w:rsid w:val="00493381"/>
    <w:rsid w:val="004946DA"/>
    <w:rsid w:val="00496500"/>
    <w:rsid w:val="00497647"/>
    <w:rsid w:val="004A0072"/>
    <w:rsid w:val="004A3F7D"/>
    <w:rsid w:val="004A449F"/>
    <w:rsid w:val="004A4FE1"/>
    <w:rsid w:val="004A53D3"/>
    <w:rsid w:val="004A775E"/>
    <w:rsid w:val="004A78CA"/>
    <w:rsid w:val="004B01F3"/>
    <w:rsid w:val="004B0D40"/>
    <w:rsid w:val="004B0E78"/>
    <w:rsid w:val="004B155F"/>
    <w:rsid w:val="004B23CE"/>
    <w:rsid w:val="004B4BE6"/>
    <w:rsid w:val="004B50A6"/>
    <w:rsid w:val="004B5EA1"/>
    <w:rsid w:val="004B6AFF"/>
    <w:rsid w:val="004B78FF"/>
    <w:rsid w:val="004C0589"/>
    <w:rsid w:val="004C2E5E"/>
    <w:rsid w:val="004C359E"/>
    <w:rsid w:val="004C3CEC"/>
    <w:rsid w:val="004C44D4"/>
    <w:rsid w:val="004C4E02"/>
    <w:rsid w:val="004C72DE"/>
    <w:rsid w:val="004C73BD"/>
    <w:rsid w:val="004D0792"/>
    <w:rsid w:val="004D1647"/>
    <w:rsid w:val="004D4521"/>
    <w:rsid w:val="004D5A1B"/>
    <w:rsid w:val="004D696B"/>
    <w:rsid w:val="004D7912"/>
    <w:rsid w:val="004E010D"/>
    <w:rsid w:val="004E27F3"/>
    <w:rsid w:val="004E2ABA"/>
    <w:rsid w:val="004E392B"/>
    <w:rsid w:val="004E5AE9"/>
    <w:rsid w:val="004E63E9"/>
    <w:rsid w:val="004E673C"/>
    <w:rsid w:val="004E77E7"/>
    <w:rsid w:val="004F00D5"/>
    <w:rsid w:val="004F0602"/>
    <w:rsid w:val="004F0785"/>
    <w:rsid w:val="004F2088"/>
    <w:rsid w:val="004F32B0"/>
    <w:rsid w:val="004F59B4"/>
    <w:rsid w:val="004F6886"/>
    <w:rsid w:val="005073D6"/>
    <w:rsid w:val="0051189F"/>
    <w:rsid w:val="00513889"/>
    <w:rsid w:val="005139D4"/>
    <w:rsid w:val="005147C9"/>
    <w:rsid w:val="00522B9B"/>
    <w:rsid w:val="00524685"/>
    <w:rsid w:val="0053126A"/>
    <w:rsid w:val="0053224C"/>
    <w:rsid w:val="00532C9E"/>
    <w:rsid w:val="00536249"/>
    <w:rsid w:val="005414D2"/>
    <w:rsid w:val="00545FB1"/>
    <w:rsid w:val="00547DFF"/>
    <w:rsid w:val="0055013C"/>
    <w:rsid w:val="0055270A"/>
    <w:rsid w:val="00553943"/>
    <w:rsid w:val="005542A1"/>
    <w:rsid w:val="005543D3"/>
    <w:rsid w:val="00555B8F"/>
    <w:rsid w:val="00557120"/>
    <w:rsid w:val="00562F4E"/>
    <w:rsid w:val="00571E13"/>
    <w:rsid w:val="00572099"/>
    <w:rsid w:val="005739C5"/>
    <w:rsid w:val="00574F59"/>
    <w:rsid w:val="00575369"/>
    <w:rsid w:val="0058109D"/>
    <w:rsid w:val="00583F2A"/>
    <w:rsid w:val="00585139"/>
    <w:rsid w:val="005859C6"/>
    <w:rsid w:val="00586AF4"/>
    <w:rsid w:val="00586F45"/>
    <w:rsid w:val="005874E4"/>
    <w:rsid w:val="00591697"/>
    <w:rsid w:val="005918A7"/>
    <w:rsid w:val="00591B8D"/>
    <w:rsid w:val="00592714"/>
    <w:rsid w:val="00594C2F"/>
    <w:rsid w:val="00596536"/>
    <w:rsid w:val="005A0AF3"/>
    <w:rsid w:val="005A4690"/>
    <w:rsid w:val="005A5B78"/>
    <w:rsid w:val="005A7BFC"/>
    <w:rsid w:val="005B34E0"/>
    <w:rsid w:val="005B50C5"/>
    <w:rsid w:val="005B5830"/>
    <w:rsid w:val="005B6BAB"/>
    <w:rsid w:val="005B73BB"/>
    <w:rsid w:val="005B766F"/>
    <w:rsid w:val="005B7D21"/>
    <w:rsid w:val="005C3EDA"/>
    <w:rsid w:val="005C5A7B"/>
    <w:rsid w:val="005C6924"/>
    <w:rsid w:val="005D25C7"/>
    <w:rsid w:val="005D3A63"/>
    <w:rsid w:val="005D404B"/>
    <w:rsid w:val="005D4275"/>
    <w:rsid w:val="005D46C0"/>
    <w:rsid w:val="005D5B58"/>
    <w:rsid w:val="005E2504"/>
    <w:rsid w:val="005E47D6"/>
    <w:rsid w:val="005E50CF"/>
    <w:rsid w:val="005E5645"/>
    <w:rsid w:val="005E68BA"/>
    <w:rsid w:val="005E7580"/>
    <w:rsid w:val="005F3906"/>
    <w:rsid w:val="005F5041"/>
    <w:rsid w:val="005F6979"/>
    <w:rsid w:val="005F6AEA"/>
    <w:rsid w:val="00600332"/>
    <w:rsid w:val="0060128E"/>
    <w:rsid w:val="00601C78"/>
    <w:rsid w:val="00602DC6"/>
    <w:rsid w:val="00604617"/>
    <w:rsid w:val="0060470F"/>
    <w:rsid w:val="006062AF"/>
    <w:rsid w:val="0060788A"/>
    <w:rsid w:val="00610470"/>
    <w:rsid w:val="00611479"/>
    <w:rsid w:val="00611BE4"/>
    <w:rsid w:val="0061553F"/>
    <w:rsid w:val="00620FC5"/>
    <w:rsid w:val="00621896"/>
    <w:rsid w:val="00621FF4"/>
    <w:rsid w:val="006222CF"/>
    <w:rsid w:val="00624CC4"/>
    <w:rsid w:val="0062658B"/>
    <w:rsid w:val="006279AA"/>
    <w:rsid w:val="00633ED5"/>
    <w:rsid w:val="006348A7"/>
    <w:rsid w:val="00634E94"/>
    <w:rsid w:val="006353F8"/>
    <w:rsid w:val="00636747"/>
    <w:rsid w:val="00640071"/>
    <w:rsid w:val="0064247F"/>
    <w:rsid w:val="00642F07"/>
    <w:rsid w:val="006433B7"/>
    <w:rsid w:val="00644796"/>
    <w:rsid w:val="0064565B"/>
    <w:rsid w:val="00647B26"/>
    <w:rsid w:val="00651976"/>
    <w:rsid w:val="00653782"/>
    <w:rsid w:val="00654277"/>
    <w:rsid w:val="0065592C"/>
    <w:rsid w:val="006564F3"/>
    <w:rsid w:val="00657EB7"/>
    <w:rsid w:val="006608EF"/>
    <w:rsid w:val="00661DE0"/>
    <w:rsid w:val="006626BF"/>
    <w:rsid w:val="0066611A"/>
    <w:rsid w:val="0066787D"/>
    <w:rsid w:val="0067084A"/>
    <w:rsid w:val="006730BB"/>
    <w:rsid w:val="00673DFF"/>
    <w:rsid w:val="00673EE4"/>
    <w:rsid w:val="00675A21"/>
    <w:rsid w:val="00680F36"/>
    <w:rsid w:val="00683E0E"/>
    <w:rsid w:val="00684005"/>
    <w:rsid w:val="00687223"/>
    <w:rsid w:val="00687A4C"/>
    <w:rsid w:val="00690080"/>
    <w:rsid w:val="00690766"/>
    <w:rsid w:val="006925B6"/>
    <w:rsid w:val="0069399F"/>
    <w:rsid w:val="00695A54"/>
    <w:rsid w:val="00695ACF"/>
    <w:rsid w:val="0069681C"/>
    <w:rsid w:val="00696A32"/>
    <w:rsid w:val="006973CB"/>
    <w:rsid w:val="006A5230"/>
    <w:rsid w:val="006A5CFB"/>
    <w:rsid w:val="006A6E48"/>
    <w:rsid w:val="006B0E7F"/>
    <w:rsid w:val="006B1251"/>
    <w:rsid w:val="006B3ACA"/>
    <w:rsid w:val="006B4415"/>
    <w:rsid w:val="006B7F06"/>
    <w:rsid w:val="006B7F4F"/>
    <w:rsid w:val="006C3819"/>
    <w:rsid w:val="006C5094"/>
    <w:rsid w:val="006C67DC"/>
    <w:rsid w:val="006C7AFC"/>
    <w:rsid w:val="006D0EA3"/>
    <w:rsid w:val="006D0EE7"/>
    <w:rsid w:val="006D4D14"/>
    <w:rsid w:val="006E1655"/>
    <w:rsid w:val="006E1C71"/>
    <w:rsid w:val="006E1CC0"/>
    <w:rsid w:val="006E4E2F"/>
    <w:rsid w:val="006F1526"/>
    <w:rsid w:val="006F34A3"/>
    <w:rsid w:val="006F4C2F"/>
    <w:rsid w:val="006F586C"/>
    <w:rsid w:val="006F7445"/>
    <w:rsid w:val="006F76D7"/>
    <w:rsid w:val="0070066F"/>
    <w:rsid w:val="0070186C"/>
    <w:rsid w:val="00701EFD"/>
    <w:rsid w:val="0070317C"/>
    <w:rsid w:val="007044FB"/>
    <w:rsid w:val="0070483A"/>
    <w:rsid w:val="00706BF6"/>
    <w:rsid w:val="00706EA6"/>
    <w:rsid w:val="00707D41"/>
    <w:rsid w:val="00714344"/>
    <w:rsid w:val="0071471E"/>
    <w:rsid w:val="007159BA"/>
    <w:rsid w:val="00715B03"/>
    <w:rsid w:val="00720C61"/>
    <w:rsid w:val="00720D16"/>
    <w:rsid w:val="007238C1"/>
    <w:rsid w:val="0072392C"/>
    <w:rsid w:val="007259E5"/>
    <w:rsid w:val="00725DE8"/>
    <w:rsid w:val="007270E0"/>
    <w:rsid w:val="00731812"/>
    <w:rsid w:val="00731852"/>
    <w:rsid w:val="0073279B"/>
    <w:rsid w:val="007339A9"/>
    <w:rsid w:val="007345D0"/>
    <w:rsid w:val="007355D0"/>
    <w:rsid w:val="0073646F"/>
    <w:rsid w:val="00736A2D"/>
    <w:rsid w:val="00737988"/>
    <w:rsid w:val="00740DC6"/>
    <w:rsid w:val="0074179B"/>
    <w:rsid w:val="007428FF"/>
    <w:rsid w:val="00745007"/>
    <w:rsid w:val="00745015"/>
    <w:rsid w:val="007456C5"/>
    <w:rsid w:val="00745E06"/>
    <w:rsid w:val="00746198"/>
    <w:rsid w:val="00746353"/>
    <w:rsid w:val="00747D0A"/>
    <w:rsid w:val="00751CE2"/>
    <w:rsid w:val="00751F49"/>
    <w:rsid w:val="0075291B"/>
    <w:rsid w:val="007533E2"/>
    <w:rsid w:val="007534CD"/>
    <w:rsid w:val="00753A75"/>
    <w:rsid w:val="00753B92"/>
    <w:rsid w:val="00754F99"/>
    <w:rsid w:val="007552A2"/>
    <w:rsid w:val="00760FDE"/>
    <w:rsid w:val="0076364A"/>
    <w:rsid w:val="00764686"/>
    <w:rsid w:val="00765087"/>
    <w:rsid w:val="00772D60"/>
    <w:rsid w:val="00773C1D"/>
    <w:rsid w:val="00774DE3"/>
    <w:rsid w:val="00775CDA"/>
    <w:rsid w:val="00775F47"/>
    <w:rsid w:val="007776FA"/>
    <w:rsid w:val="00781B71"/>
    <w:rsid w:val="00782CE9"/>
    <w:rsid w:val="00784411"/>
    <w:rsid w:val="00787327"/>
    <w:rsid w:val="00787E60"/>
    <w:rsid w:val="007909A3"/>
    <w:rsid w:val="00792A02"/>
    <w:rsid w:val="00793978"/>
    <w:rsid w:val="00795CCB"/>
    <w:rsid w:val="0079785D"/>
    <w:rsid w:val="00797B7D"/>
    <w:rsid w:val="007A0CD6"/>
    <w:rsid w:val="007A1236"/>
    <w:rsid w:val="007A4CFB"/>
    <w:rsid w:val="007A6057"/>
    <w:rsid w:val="007A6E59"/>
    <w:rsid w:val="007B22B7"/>
    <w:rsid w:val="007B3A34"/>
    <w:rsid w:val="007B419C"/>
    <w:rsid w:val="007B6137"/>
    <w:rsid w:val="007B65AE"/>
    <w:rsid w:val="007B6E19"/>
    <w:rsid w:val="007C13C9"/>
    <w:rsid w:val="007C16CE"/>
    <w:rsid w:val="007C5A4E"/>
    <w:rsid w:val="007C69E1"/>
    <w:rsid w:val="007C7713"/>
    <w:rsid w:val="007D08EE"/>
    <w:rsid w:val="007D1639"/>
    <w:rsid w:val="007D24AC"/>
    <w:rsid w:val="007D2DE0"/>
    <w:rsid w:val="007D3AEA"/>
    <w:rsid w:val="007D5885"/>
    <w:rsid w:val="007D5A5F"/>
    <w:rsid w:val="007E2D56"/>
    <w:rsid w:val="007E45A6"/>
    <w:rsid w:val="007E5E3C"/>
    <w:rsid w:val="007E6999"/>
    <w:rsid w:val="007E73BD"/>
    <w:rsid w:val="007E756F"/>
    <w:rsid w:val="007F0127"/>
    <w:rsid w:val="007F1272"/>
    <w:rsid w:val="007F183D"/>
    <w:rsid w:val="007F28CB"/>
    <w:rsid w:val="007F4131"/>
    <w:rsid w:val="007F4B1E"/>
    <w:rsid w:val="007F7948"/>
    <w:rsid w:val="008005CC"/>
    <w:rsid w:val="0080084A"/>
    <w:rsid w:val="008054EB"/>
    <w:rsid w:val="0080569E"/>
    <w:rsid w:val="00806819"/>
    <w:rsid w:val="00807477"/>
    <w:rsid w:val="008074AE"/>
    <w:rsid w:val="00807745"/>
    <w:rsid w:val="00807EE8"/>
    <w:rsid w:val="00807FD9"/>
    <w:rsid w:val="00812A70"/>
    <w:rsid w:val="00812E2F"/>
    <w:rsid w:val="00813EB4"/>
    <w:rsid w:val="00814E0D"/>
    <w:rsid w:val="00816E41"/>
    <w:rsid w:val="008217ED"/>
    <w:rsid w:val="00821FAE"/>
    <w:rsid w:val="00824C7E"/>
    <w:rsid w:val="008256B2"/>
    <w:rsid w:val="00825C23"/>
    <w:rsid w:val="00826257"/>
    <w:rsid w:val="0082629A"/>
    <w:rsid w:val="00831301"/>
    <w:rsid w:val="00831F98"/>
    <w:rsid w:val="0083396F"/>
    <w:rsid w:val="008346D8"/>
    <w:rsid w:val="00835079"/>
    <w:rsid w:val="00840BF4"/>
    <w:rsid w:val="00840CF5"/>
    <w:rsid w:val="0084104F"/>
    <w:rsid w:val="00841444"/>
    <w:rsid w:val="00841595"/>
    <w:rsid w:val="008433A4"/>
    <w:rsid w:val="00843577"/>
    <w:rsid w:val="0084377A"/>
    <w:rsid w:val="00845256"/>
    <w:rsid w:val="008455B7"/>
    <w:rsid w:val="0084642B"/>
    <w:rsid w:val="00850793"/>
    <w:rsid w:val="008521CE"/>
    <w:rsid w:val="008521D7"/>
    <w:rsid w:val="00852491"/>
    <w:rsid w:val="00854CDF"/>
    <w:rsid w:val="00856048"/>
    <w:rsid w:val="00856E81"/>
    <w:rsid w:val="00857463"/>
    <w:rsid w:val="00863914"/>
    <w:rsid w:val="00865540"/>
    <w:rsid w:val="00872A65"/>
    <w:rsid w:val="0087326B"/>
    <w:rsid w:val="008742F3"/>
    <w:rsid w:val="00876D40"/>
    <w:rsid w:val="00881F3F"/>
    <w:rsid w:val="00882480"/>
    <w:rsid w:val="00882A7B"/>
    <w:rsid w:val="00882C1A"/>
    <w:rsid w:val="00884167"/>
    <w:rsid w:val="00884940"/>
    <w:rsid w:val="00885825"/>
    <w:rsid w:val="008861E0"/>
    <w:rsid w:val="00887C79"/>
    <w:rsid w:val="00887DD2"/>
    <w:rsid w:val="00890206"/>
    <w:rsid w:val="008911C1"/>
    <w:rsid w:val="00894179"/>
    <w:rsid w:val="00895CE7"/>
    <w:rsid w:val="00896D0E"/>
    <w:rsid w:val="008A1DCB"/>
    <w:rsid w:val="008A2DE4"/>
    <w:rsid w:val="008A534B"/>
    <w:rsid w:val="008A55DF"/>
    <w:rsid w:val="008A5C59"/>
    <w:rsid w:val="008B05ED"/>
    <w:rsid w:val="008B0F63"/>
    <w:rsid w:val="008B14B9"/>
    <w:rsid w:val="008B3A43"/>
    <w:rsid w:val="008B4E23"/>
    <w:rsid w:val="008B5D45"/>
    <w:rsid w:val="008B7267"/>
    <w:rsid w:val="008C2DC7"/>
    <w:rsid w:val="008C467E"/>
    <w:rsid w:val="008C5DC6"/>
    <w:rsid w:val="008C6962"/>
    <w:rsid w:val="008C7901"/>
    <w:rsid w:val="008D1EDF"/>
    <w:rsid w:val="008D369B"/>
    <w:rsid w:val="008D4142"/>
    <w:rsid w:val="008E3179"/>
    <w:rsid w:val="008E3ACE"/>
    <w:rsid w:val="008E4C01"/>
    <w:rsid w:val="008E5E01"/>
    <w:rsid w:val="008F1D64"/>
    <w:rsid w:val="008F48B1"/>
    <w:rsid w:val="008F58A0"/>
    <w:rsid w:val="008F6206"/>
    <w:rsid w:val="008F6E59"/>
    <w:rsid w:val="008F7188"/>
    <w:rsid w:val="008F7833"/>
    <w:rsid w:val="009006AC"/>
    <w:rsid w:val="009013B1"/>
    <w:rsid w:val="0090342E"/>
    <w:rsid w:val="00903873"/>
    <w:rsid w:val="00904E01"/>
    <w:rsid w:val="0090662D"/>
    <w:rsid w:val="009071C7"/>
    <w:rsid w:val="009123B4"/>
    <w:rsid w:val="00912C6B"/>
    <w:rsid w:val="00912F72"/>
    <w:rsid w:val="00913A97"/>
    <w:rsid w:val="00914395"/>
    <w:rsid w:val="00914438"/>
    <w:rsid w:val="009164B9"/>
    <w:rsid w:val="0091694E"/>
    <w:rsid w:val="0091758E"/>
    <w:rsid w:val="00922613"/>
    <w:rsid w:val="00922EED"/>
    <w:rsid w:val="00923B90"/>
    <w:rsid w:val="0092551F"/>
    <w:rsid w:val="00925713"/>
    <w:rsid w:val="009278D6"/>
    <w:rsid w:val="00927AAB"/>
    <w:rsid w:val="009422CC"/>
    <w:rsid w:val="009447DA"/>
    <w:rsid w:val="00944E03"/>
    <w:rsid w:val="00945378"/>
    <w:rsid w:val="00945B92"/>
    <w:rsid w:val="00945EC8"/>
    <w:rsid w:val="00947134"/>
    <w:rsid w:val="009503D4"/>
    <w:rsid w:val="00953BC6"/>
    <w:rsid w:val="00953C13"/>
    <w:rsid w:val="00954293"/>
    <w:rsid w:val="0095673F"/>
    <w:rsid w:val="00956AB0"/>
    <w:rsid w:val="0096196E"/>
    <w:rsid w:val="00963A71"/>
    <w:rsid w:val="0096461A"/>
    <w:rsid w:val="009650DA"/>
    <w:rsid w:val="009722C7"/>
    <w:rsid w:val="00972BFB"/>
    <w:rsid w:val="00973871"/>
    <w:rsid w:val="009753C0"/>
    <w:rsid w:val="00975A34"/>
    <w:rsid w:val="00975B5C"/>
    <w:rsid w:val="00986C13"/>
    <w:rsid w:val="0098705D"/>
    <w:rsid w:val="0098712B"/>
    <w:rsid w:val="00990E04"/>
    <w:rsid w:val="009A156E"/>
    <w:rsid w:val="009A3A72"/>
    <w:rsid w:val="009B0498"/>
    <w:rsid w:val="009B0EAB"/>
    <w:rsid w:val="009B1CCF"/>
    <w:rsid w:val="009B2B7F"/>
    <w:rsid w:val="009B3452"/>
    <w:rsid w:val="009B3825"/>
    <w:rsid w:val="009B5771"/>
    <w:rsid w:val="009B643D"/>
    <w:rsid w:val="009B7432"/>
    <w:rsid w:val="009B7757"/>
    <w:rsid w:val="009B7D3A"/>
    <w:rsid w:val="009C3154"/>
    <w:rsid w:val="009C40F8"/>
    <w:rsid w:val="009C4F4A"/>
    <w:rsid w:val="009C69CB"/>
    <w:rsid w:val="009C7B93"/>
    <w:rsid w:val="009D120F"/>
    <w:rsid w:val="009D1E59"/>
    <w:rsid w:val="009D2239"/>
    <w:rsid w:val="009D2C60"/>
    <w:rsid w:val="009D3EC9"/>
    <w:rsid w:val="009D4A94"/>
    <w:rsid w:val="009D5876"/>
    <w:rsid w:val="009D63C0"/>
    <w:rsid w:val="009D6BFB"/>
    <w:rsid w:val="009D72F3"/>
    <w:rsid w:val="009E6438"/>
    <w:rsid w:val="009E6A3F"/>
    <w:rsid w:val="009F0D16"/>
    <w:rsid w:val="009F18F8"/>
    <w:rsid w:val="009F3F4F"/>
    <w:rsid w:val="009F4C71"/>
    <w:rsid w:val="009F4DF9"/>
    <w:rsid w:val="009F5445"/>
    <w:rsid w:val="009F5FC8"/>
    <w:rsid w:val="009F6AE5"/>
    <w:rsid w:val="00A01466"/>
    <w:rsid w:val="00A01C23"/>
    <w:rsid w:val="00A01D5C"/>
    <w:rsid w:val="00A035EC"/>
    <w:rsid w:val="00A05A2E"/>
    <w:rsid w:val="00A066EE"/>
    <w:rsid w:val="00A06D95"/>
    <w:rsid w:val="00A06E6F"/>
    <w:rsid w:val="00A125C1"/>
    <w:rsid w:val="00A134CB"/>
    <w:rsid w:val="00A13B3E"/>
    <w:rsid w:val="00A13F0B"/>
    <w:rsid w:val="00A162B3"/>
    <w:rsid w:val="00A16599"/>
    <w:rsid w:val="00A176B3"/>
    <w:rsid w:val="00A2092E"/>
    <w:rsid w:val="00A22E5A"/>
    <w:rsid w:val="00A24131"/>
    <w:rsid w:val="00A26237"/>
    <w:rsid w:val="00A278F2"/>
    <w:rsid w:val="00A27ABF"/>
    <w:rsid w:val="00A309E4"/>
    <w:rsid w:val="00A30B95"/>
    <w:rsid w:val="00A32368"/>
    <w:rsid w:val="00A32FAA"/>
    <w:rsid w:val="00A35A72"/>
    <w:rsid w:val="00A424DD"/>
    <w:rsid w:val="00A432C9"/>
    <w:rsid w:val="00A44455"/>
    <w:rsid w:val="00A45216"/>
    <w:rsid w:val="00A46B65"/>
    <w:rsid w:val="00A509A1"/>
    <w:rsid w:val="00A526A2"/>
    <w:rsid w:val="00A5491A"/>
    <w:rsid w:val="00A54EC1"/>
    <w:rsid w:val="00A56980"/>
    <w:rsid w:val="00A5706B"/>
    <w:rsid w:val="00A60504"/>
    <w:rsid w:val="00A60EDE"/>
    <w:rsid w:val="00A63539"/>
    <w:rsid w:val="00A650A6"/>
    <w:rsid w:val="00A651C9"/>
    <w:rsid w:val="00A65910"/>
    <w:rsid w:val="00A66DD7"/>
    <w:rsid w:val="00A677DF"/>
    <w:rsid w:val="00A73AC0"/>
    <w:rsid w:val="00A73C07"/>
    <w:rsid w:val="00A74B40"/>
    <w:rsid w:val="00A770A6"/>
    <w:rsid w:val="00A77CAD"/>
    <w:rsid w:val="00A80BF8"/>
    <w:rsid w:val="00A80EE4"/>
    <w:rsid w:val="00A81593"/>
    <w:rsid w:val="00A8287C"/>
    <w:rsid w:val="00A82AD2"/>
    <w:rsid w:val="00A82F99"/>
    <w:rsid w:val="00A84DB9"/>
    <w:rsid w:val="00A90CB9"/>
    <w:rsid w:val="00A916CA"/>
    <w:rsid w:val="00A923A0"/>
    <w:rsid w:val="00A93386"/>
    <w:rsid w:val="00A93BD5"/>
    <w:rsid w:val="00A95B21"/>
    <w:rsid w:val="00A96BF7"/>
    <w:rsid w:val="00A9763A"/>
    <w:rsid w:val="00AA0302"/>
    <w:rsid w:val="00AA2082"/>
    <w:rsid w:val="00AA49BE"/>
    <w:rsid w:val="00AA4B86"/>
    <w:rsid w:val="00AB0747"/>
    <w:rsid w:val="00AB2AA9"/>
    <w:rsid w:val="00AB3499"/>
    <w:rsid w:val="00AB369C"/>
    <w:rsid w:val="00AB3F3D"/>
    <w:rsid w:val="00AB7327"/>
    <w:rsid w:val="00AC018F"/>
    <w:rsid w:val="00AC09C9"/>
    <w:rsid w:val="00AC26D3"/>
    <w:rsid w:val="00AC284B"/>
    <w:rsid w:val="00AC3E6B"/>
    <w:rsid w:val="00AC4488"/>
    <w:rsid w:val="00AC64F5"/>
    <w:rsid w:val="00AC6E3E"/>
    <w:rsid w:val="00AD162A"/>
    <w:rsid w:val="00AE1EFF"/>
    <w:rsid w:val="00AE31FD"/>
    <w:rsid w:val="00AE50CE"/>
    <w:rsid w:val="00AE5FB5"/>
    <w:rsid w:val="00AE711B"/>
    <w:rsid w:val="00AE7CBC"/>
    <w:rsid w:val="00AF076F"/>
    <w:rsid w:val="00AF127C"/>
    <w:rsid w:val="00AF25A5"/>
    <w:rsid w:val="00AF4D27"/>
    <w:rsid w:val="00AF7976"/>
    <w:rsid w:val="00B01B87"/>
    <w:rsid w:val="00B01D4D"/>
    <w:rsid w:val="00B02165"/>
    <w:rsid w:val="00B025E7"/>
    <w:rsid w:val="00B027B2"/>
    <w:rsid w:val="00B03267"/>
    <w:rsid w:val="00B047B9"/>
    <w:rsid w:val="00B04FC3"/>
    <w:rsid w:val="00B0712D"/>
    <w:rsid w:val="00B07236"/>
    <w:rsid w:val="00B122DF"/>
    <w:rsid w:val="00B13001"/>
    <w:rsid w:val="00B14BEA"/>
    <w:rsid w:val="00B15819"/>
    <w:rsid w:val="00B213CD"/>
    <w:rsid w:val="00B21DA2"/>
    <w:rsid w:val="00B22C5C"/>
    <w:rsid w:val="00B24784"/>
    <w:rsid w:val="00B2510D"/>
    <w:rsid w:val="00B25721"/>
    <w:rsid w:val="00B3474B"/>
    <w:rsid w:val="00B35925"/>
    <w:rsid w:val="00B36785"/>
    <w:rsid w:val="00B410A4"/>
    <w:rsid w:val="00B43A61"/>
    <w:rsid w:val="00B4568E"/>
    <w:rsid w:val="00B45A59"/>
    <w:rsid w:val="00B46B7F"/>
    <w:rsid w:val="00B50B3F"/>
    <w:rsid w:val="00B51D55"/>
    <w:rsid w:val="00B605E2"/>
    <w:rsid w:val="00B6285F"/>
    <w:rsid w:val="00B6353D"/>
    <w:rsid w:val="00B636D1"/>
    <w:rsid w:val="00B66A16"/>
    <w:rsid w:val="00B713DE"/>
    <w:rsid w:val="00B72F23"/>
    <w:rsid w:val="00B73AB1"/>
    <w:rsid w:val="00B73DEE"/>
    <w:rsid w:val="00B758F6"/>
    <w:rsid w:val="00B76141"/>
    <w:rsid w:val="00B8186C"/>
    <w:rsid w:val="00B81A3D"/>
    <w:rsid w:val="00B82787"/>
    <w:rsid w:val="00B85050"/>
    <w:rsid w:val="00B8544D"/>
    <w:rsid w:val="00B85506"/>
    <w:rsid w:val="00B86853"/>
    <w:rsid w:val="00B9109F"/>
    <w:rsid w:val="00B91ECD"/>
    <w:rsid w:val="00B92A61"/>
    <w:rsid w:val="00B961B3"/>
    <w:rsid w:val="00B96773"/>
    <w:rsid w:val="00B9752C"/>
    <w:rsid w:val="00BA02F0"/>
    <w:rsid w:val="00BA07D2"/>
    <w:rsid w:val="00BA2192"/>
    <w:rsid w:val="00BA47A3"/>
    <w:rsid w:val="00BA55FC"/>
    <w:rsid w:val="00BA60B5"/>
    <w:rsid w:val="00BA6B00"/>
    <w:rsid w:val="00BA6E0C"/>
    <w:rsid w:val="00BB1CB6"/>
    <w:rsid w:val="00BB2081"/>
    <w:rsid w:val="00BB437D"/>
    <w:rsid w:val="00BC138F"/>
    <w:rsid w:val="00BC1AA8"/>
    <w:rsid w:val="00BC242F"/>
    <w:rsid w:val="00BC29EC"/>
    <w:rsid w:val="00BC5976"/>
    <w:rsid w:val="00BC5ED3"/>
    <w:rsid w:val="00BC5F38"/>
    <w:rsid w:val="00BC6E59"/>
    <w:rsid w:val="00BD06F8"/>
    <w:rsid w:val="00BD0B80"/>
    <w:rsid w:val="00BD0E03"/>
    <w:rsid w:val="00BD1F70"/>
    <w:rsid w:val="00BD2BFF"/>
    <w:rsid w:val="00BD6091"/>
    <w:rsid w:val="00BD7847"/>
    <w:rsid w:val="00BE05EC"/>
    <w:rsid w:val="00BE0DF8"/>
    <w:rsid w:val="00BE29CA"/>
    <w:rsid w:val="00BF03BB"/>
    <w:rsid w:val="00BF1513"/>
    <w:rsid w:val="00BF1659"/>
    <w:rsid w:val="00BF4EFB"/>
    <w:rsid w:val="00BF5263"/>
    <w:rsid w:val="00BF5A98"/>
    <w:rsid w:val="00BF62AC"/>
    <w:rsid w:val="00BF6965"/>
    <w:rsid w:val="00C0095D"/>
    <w:rsid w:val="00C02738"/>
    <w:rsid w:val="00C03B3D"/>
    <w:rsid w:val="00C045CC"/>
    <w:rsid w:val="00C05CCC"/>
    <w:rsid w:val="00C0753B"/>
    <w:rsid w:val="00C11612"/>
    <w:rsid w:val="00C120E4"/>
    <w:rsid w:val="00C12B90"/>
    <w:rsid w:val="00C14E50"/>
    <w:rsid w:val="00C17B93"/>
    <w:rsid w:val="00C203BF"/>
    <w:rsid w:val="00C21DCB"/>
    <w:rsid w:val="00C224AD"/>
    <w:rsid w:val="00C22B8A"/>
    <w:rsid w:val="00C25666"/>
    <w:rsid w:val="00C25CBF"/>
    <w:rsid w:val="00C264B9"/>
    <w:rsid w:val="00C27DB4"/>
    <w:rsid w:val="00C32114"/>
    <w:rsid w:val="00C321AC"/>
    <w:rsid w:val="00C332AE"/>
    <w:rsid w:val="00C33430"/>
    <w:rsid w:val="00C35299"/>
    <w:rsid w:val="00C36DF8"/>
    <w:rsid w:val="00C45E48"/>
    <w:rsid w:val="00C46A78"/>
    <w:rsid w:val="00C46CB4"/>
    <w:rsid w:val="00C509B9"/>
    <w:rsid w:val="00C50AEE"/>
    <w:rsid w:val="00C50C7A"/>
    <w:rsid w:val="00C52912"/>
    <w:rsid w:val="00C56956"/>
    <w:rsid w:val="00C57CB8"/>
    <w:rsid w:val="00C62E0B"/>
    <w:rsid w:val="00C63B9E"/>
    <w:rsid w:val="00C649F5"/>
    <w:rsid w:val="00C653BC"/>
    <w:rsid w:val="00C65770"/>
    <w:rsid w:val="00C67440"/>
    <w:rsid w:val="00C74222"/>
    <w:rsid w:val="00C74AA3"/>
    <w:rsid w:val="00C74B24"/>
    <w:rsid w:val="00C74FD5"/>
    <w:rsid w:val="00C75122"/>
    <w:rsid w:val="00C76486"/>
    <w:rsid w:val="00C76671"/>
    <w:rsid w:val="00C80F05"/>
    <w:rsid w:val="00C82E2C"/>
    <w:rsid w:val="00C87E39"/>
    <w:rsid w:val="00C9311E"/>
    <w:rsid w:val="00C93933"/>
    <w:rsid w:val="00C945DF"/>
    <w:rsid w:val="00C94EF8"/>
    <w:rsid w:val="00C965D0"/>
    <w:rsid w:val="00C96D06"/>
    <w:rsid w:val="00CA059E"/>
    <w:rsid w:val="00CA0891"/>
    <w:rsid w:val="00CA195D"/>
    <w:rsid w:val="00CA1E3E"/>
    <w:rsid w:val="00CA369C"/>
    <w:rsid w:val="00CA4FC5"/>
    <w:rsid w:val="00CA6BD8"/>
    <w:rsid w:val="00CA77EE"/>
    <w:rsid w:val="00CB0831"/>
    <w:rsid w:val="00CB2908"/>
    <w:rsid w:val="00CB4C24"/>
    <w:rsid w:val="00CB5E5D"/>
    <w:rsid w:val="00CB63AE"/>
    <w:rsid w:val="00CC0A33"/>
    <w:rsid w:val="00CC30C4"/>
    <w:rsid w:val="00CC41C5"/>
    <w:rsid w:val="00CC49BE"/>
    <w:rsid w:val="00CD0C97"/>
    <w:rsid w:val="00CD24BD"/>
    <w:rsid w:val="00CD3479"/>
    <w:rsid w:val="00CD3A8B"/>
    <w:rsid w:val="00CD6237"/>
    <w:rsid w:val="00CD6B6C"/>
    <w:rsid w:val="00CE34E7"/>
    <w:rsid w:val="00CE3801"/>
    <w:rsid w:val="00CF10EE"/>
    <w:rsid w:val="00CF12FC"/>
    <w:rsid w:val="00CF191B"/>
    <w:rsid w:val="00CF4EF4"/>
    <w:rsid w:val="00CF568C"/>
    <w:rsid w:val="00D010C2"/>
    <w:rsid w:val="00D04F13"/>
    <w:rsid w:val="00D16814"/>
    <w:rsid w:val="00D17723"/>
    <w:rsid w:val="00D17873"/>
    <w:rsid w:val="00D219F9"/>
    <w:rsid w:val="00D21E2A"/>
    <w:rsid w:val="00D23383"/>
    <w:rsid w:val="00D2559D"/>
    <w:rsid w:val="00D265A8"/>
    <w:rsid w:val="00D26BD1"/>
    <w:rsid w:val="00D275B9"/>
    <w:rsid w:val="00D31901"/>
    <w:rsid w:val="00D330D2"/>
    <w:rsid w:val="00D353BD"/>
    <w:rsid w:val="00D36C7C"/>
    <w:rsid w:val="00D41B62"/>
    <w:rsid w:val="00D4505F"/>
    <w:rsid w:val="00D46D7B"/>
    <w:rsid w:val="00D544B9"/>
    <w:rsid w:val="00D5466D"/>
    <w:rsid w:val="00D558B7"/>
    <w:rsid w:val="00D564E6"/>
    <w:rsid w:val="00D62057"/>
    <w:rsid w:val="00D63710"/>
    <w:rsid w:val="00D652A1"/>
    <w:rsid w:val="00D66C9A"/>
    <w:rsid w:val="00D703C0"/>
    <w:rsid w:val="00D71AA6"/>
    <w:rsid w:val="00D733A7"/>
    <w:rsid w:val="00D73BBC"/>
    <w:rsid w:val="00D74837"/>
    <w:rsid w:val="00D75F7B"/>
    <w:rsid w:val="00D76661"/>
    <w:rsid w:val="00D776CD"/>
    <w:rsid w:val="00D817EA"/>
    <w:rsid w:val="00D81969"/>
    <w:rsid w:val="00D8404B"/>
    <w:rsid w:val="00D865CF"/>
    <w:rsid w:val="00D86B18"/>
    <w:rsid w:val="00D9045F"/>
    <w:rsid w:val="00D91249"/>
    <w:rsid w:val="00D94991"/>
    <w:rsid w:val="00D96CE6"/>
    <w:rsid w:val="00D97B27"/>
    <w:rsid w:val="00DA10A9"/>
    <w:rsid w:val="00DA3915"/>
    <w:rsid w:val="00DA564F"/>
    <w:rsid w:val="00DB00D6"/>
    <w:rsid w:val="00DB03B1"/>
    <w:rsid w:val="00DB21EC"/>
    <w:rsid w:val="00DB23F5"/>
    <w:rsid w:val="00DB2ED8"/>
    <w:rsid w:val="00DB31C5"/>
    <w:rsid w:val="00DB3993"/>
    <w:rsid w:val="00DB6929"/>
    <w:rsid w:val="00DB72D5"/>
    <w:rsid w:val="00DC0AFD"/>
    <w:rsid w:val="00DC37D8"/>
    <w:rsid w:val="00DC4607"/>
    <w:rsid w:val="00DC64CE"/>
    <w:rsid w:val="00DC6684"/>
    <w:rsid w:val="00DC726C"/>
    <w:rsid w:val="00DC74AC"/>
    <w:rsid w:val="00DC74F6"/>
    <w:rsid w:val="00DC7C93"/>
    <w:rsid w:val="00DD046A"/>
    <w:rsid w:val="00DD27AD"/>
    <w:rsid w:val="00DD2862"/>
    <w:rsid w:val="00DD4FB3"/>
    <w:rsid w:val="00DD6B9A"/>
    <w:rsid w:val="00DD729C"/>
    <w:rsid w:val="00DE15A7"/>
    <w:rsid w:val="00DE4DAC"/>
    <w:rsid w:val="00DE5F88"/>
    <w:rsid w:val="00DE7DCD"/>
    <w:rsid w:val="00DF00BF"/>
    <w:rsid w:val="00DF0264"/>
    <w:rsid w:val="00DF0D67"/>
    <w:rsid w:val="00DF26AA"/>
    <w:rsid w:val="00DF35EA"/>
    <w:rsid w:val="00DF37AE"/>
    <w:rsid w:val="00E0610D"/>
    <w:rsid w:val="00E07EE6"/>
    <w:rsid w:val="00E10532"/>
    <w:rsid w:val="00E11FD2"/>
    <w:rsid w:val="00E12802"/>
    <w:rsid w:val="00E132EE"/>
    <w:rsid w:val="00E13923"/>
    <w:rsid w:val="00E154D5"/>
    <w:rsid w:val="00E15982"/>
    <w:rsid w:val="00E16301"/>
    <w:rsid w:val="00E1659A"/>
    <w:rsid w:val="00E16938"/>
    <w:rsid w:val="00E17D0B"/>
    <w:rsid w:val="00E205C7"/>
    <w:rsid w:val="00E20C5D"/>
    <w:rsid w:val="00E21636"/>
    <w:rsid w:val="00E22ADB"/>
    <w:rsid w:val="00E22B07"/>
    <w:rsid w:val="00E24563"/>
    <w:rsid w:val="00E256C3"/>
    <w:rsid w:val="00E2639F"/>
    <w:rsid w:val="00E31835"/>
    <w:rsid w:val="00E323D8"/>
    <w:rsid w:val="00E331A2"/>
    <w:rsid w:val="00E33362"/>
    <w:rsid w:val="00E40BE7"/>
    <w:rsid w:val="00E505F1"/>
    <w:rsid w:val="00E536B2"/>
    <w:rsid w:val="00E53E0A"/>
    <w:rsid w:val="00E547D1"/>
    <w:rsid w:val="00E6023E"/>
    <w:rsid w:val="00E606EF"/>
    <w:rsid w:val="00E613A9"/>
    <w:rsid w:val="00E6167C"/>
    <w:rsid w:val="00E6282C"/>
    <w:rsid w:val="00E64D34"/>
    <w:rsid w:val="00E651E5"/>
    <w:rsid w:val="00E653FA"/>
    <w:rsid w:val="00E65ABD"/>
    <w:rsid w:val="00E70474"/>
    <w:rsid w:val="00E70C3A"/>
    <w:rsid w:val="00E73824"/>
    <w:rsid w:val="00E73929"/>
    <w:rsid w:val="00E774FE"/>
    <w:rsid w:val="00E77B3A"/>
    <w:rsid w:val="00E83282"/>
    <w:rsid w:val="00E848E1"/>
    <w:rsid w:val="00E85187"/>
    <w:rsid w:val="00E862D0"/>
    <w:rsid w:val="00E86ACD"/>
    <w:rsid w:val="00E92940"/>
    <w:rsid w:val="00E92A1B"/>
    <w:rsid w:val="00E93027"/>
    <w:rsid w:val="00E964E0"/>
    <w:rsid w:val="00EA02E5"/>
    <w:rsid w:val="00EA076D"/>
    <w:rsid w:val="00EA09A2"/>
    <w:rsid w:val="00EA375C"/>
    <w:rsid w:val="00EA75C4"/>
    <w:rsid w:val="00EB017C"/>
    <w:rsid w:val="00EB1719"/>
    <w:rsid w:val="00EB211F"/>
    <w:rsid w:val="00EB23CB"/>
    <w:rsid w:val="00EB4527"/>
    <w:rsid w:val="00EB5F81"/>
    <w:rsid w:val="00EB6D5F"/>
    <w:rsid w:val="00EC01B8"/>
    <w:rsid w:val="00EC1B66"/>
    <w:rsid w:val="00EC1C41"/>
    <w:rsid w:val="00EC3AAE"/>
    <w:rsid w:val="00EC60D6"/>
    <w:rsid w:val="00EC66CA"/>
    <w:rsid w:val="00EC68F6"/>
    <w:rsid w:val="00ED1692"/>
    <w:rsid w:val="00ED27C8"/>
    <w:rsid w:val="00ED27DF"/>
    <w:rsid w:val="00ED2C7E"/>
    <w:rsid w:val="00ED38CA"/>
    <w:rsid w:val="00ED6AFB"/>
    <w:rsid w:val="00EE13A1"/>
    <w:rsid w:val="00EE30C4"/>
    <w:rsid w:val="00EE3F68"/>
    <w:rsid w:val="00EE48FB"/>
    <w:rsid w:val="00EE4CDF"/>
    <w:rsid w:val="00EF1515"/>
    <w:rsid w:val="00EF1D2F"/>
    <w:rsid w:val="00EF303B"/>
    <w:rsid w:val="00EF3986"/>
    <w:rsid w:val="00EF45AB"/>
    <w:rsid w:val="00EF65BD"/>
    <w:rsid w:val="00EF6E3E"/>
    <w:rsid w:val="00EF6EF1"/>
    <w:rsid w:val="00EF7753"/>
    <w:rsid w:val="00F0094C"/>
    <w:rsid w:val="00F021C6"/>
    <w:rsid w:val="00F0235E"/>
    <w:rsid w:val="00F024A5"/>
    <w:rsid w:val="00F02BBA"/>
    <w:rsid w:val="00F05532"/>
    <w:rsid w:val="00F069BB"/>
    <w:rsid w:val="00F074DB"/>
    <w:rsid w:val="00F0769D"/>
    <w:rsid w:val="00F07734"/>
    <w:rsid w:val="00F07A90"/>
    <w:rsid w:val="00F10197"/>
    <w:rsid w:val="00F14384"/>
    <w:rsid w:val="00F16619"/>
    <w:rsid w:val="00F1756F"/>
    <w:rsid w:val="00F20650"/>
    <w:rsid w:val="00F20784"/>
    <w:rsid w:val="00F2551C"/>
    <w:rsid w:val="00F263BC"/>
    <w:rsid w:val="00F27AFA"/>
    <w:rsid w:val="00F308B0"/>
    <w:rsid w:val="00F31C3C"/>
    <w:rsid w:val="00F3231F"/>
    <w:rsid w:val="00F33765"/>
    <w:rsid w:val="00F34BB3"/>
    <w:rsid w:val="00F34F82"/>
    <w:rsid w:val="00F36A48"/>
    <w:rsid w:val="00F416FC"/>
    <w:rsid w:val="00F432D0"/>
    <w:rsid w:val="00F44F96"/>
    <w:rsid w:val="00F46E6A"/>
    <w:rsid w:val="00F47C72"/>
    <w:rsid w:val="00F510D5"/>
    <w:rsid w:val="00F514FE"/>
    <w:rsid w:val="00F51537"/>
    <w:rsid w:val="00F515D6"/>
    <w:rsid w:val="00F524E6"/>
    <w:rsid w:val="00F543DF"/>
    <w:rsid w:val="00F5462B"/>
    <w:rsid w:val="00F55CB1"/>
    <w:rsid w:val="00F578C3"/>
    <w:rsid w:val="00F57E36"/>
    <w:rsid w:val="00F66128"/>
    <w:rsid w:val="00F6640A"/>
    <w:rsid w:val="00F66429"/>
    <w:rsid w:val="00F6747C"/>
    <w:rsid w:val="00F71C14"/>
    <w:rsid w:val="00F74E19"/>
    <w:rsid w:val="00F77FBE"/>
    <w:rsid w:val="00F80A0D"/>
    <w:rsid w:val="00F818CC"/>
    <w:rsid w:val="00F82B0C"/>
    <w:rsid w:val="00F86A80"/>
    <w:rsid w:val="00F97011"/>
    <w:rsid w:val="00FA0543"/>
    <w:rsid w:val="00FA0B54"/>
    <w:rsid w:val="00FA2012"/>
    <w:rsid w:val="00FA2BD9"/>
    <w:rsid w:val="00FB0D28"/>
    <w:rsid w:val="00FB2B0E"/>
    <w:rsid w:val="00FB2F21"/>
    <w:rsid w:val="00FB43E3"/>
    <w:rsid w:val="00FB5541"/>
    <w:rsid w:val="00FB72CA"/>
    <w:rsid w:val="00FB7850"/>
    <w:rsid w:val="00FC2AC8"/>
    <w:rsid w:val="00FC3223"/>
    <w:rsid w:val="00FC326C"/>
    <w:rsid w:val="00FC3AE7"/>
    <w:rsid w:val="00FC5B2E"/>
    <w:rsid w:val="00FC7423"/>
    <w:rsid w:val="00FC7989"/>
    <w:rsid w:val="00FD047F"/>
    <w:rsid w:val="00FD4510"/>
    <w:rsid w:val="00FD5D6B"/>
    <w:rsid w:val="00FD5E40"/>
    <w:rsid w:val="00FD72DC"/>
    <w:rsid w:val="00FE1F6A"/>
    <w:rsid w:val="00FE32B3"/>
    <w:rsid w:val="00FE408D"/>
    <w:rsid w:val="00FE4587"/>
    <w:rsid w:val="00FE4FDC"/>
    <w:rsid w:val="00FE604C"/>
    <w:rsid w:val="00FE6658"/>
    <w:rsid w:val="00FE672C"/>
    <w:rsid w:val="00FE70C1"/>
    <w:rsid w:val="00FE763F"/>
    <w:rsid w:val="00FF15E3"/>
    <w:rsid w:val="00FF2E72"/>
    <w:rsid w:val="00FF326C"/>
    <w:rsid w:val="00FF3F5F"/>
    <w:rsid w:val="00FF4830"/>
    <w:rsid w:val="00FF51AC"/>
    <w:rsid w:val="00FF62EF"/>
    <w:rsid w:val="036645CD"/>
    <w:rsid w:val="09998091"/>
    <w:rsid w:val="12783616"/>
    <w:rsid w:val="12A500C7"/>
    <w:rsid w:val="12E9F7B6"/>
    <w:rsid w:val="167DF15C"/>
    <w:rsid w:val="192B0CC8"/>
    <w:rsid w:val="1B7FC543"/>
    <w:rsid w:val="205F4D55"/>
    <w:rsid w:val="29B66B7F"/>
    <w:rsid w:val="2B5F0246"/>
    <w:rsid w:val="2C0D36D2"/>
    <w:rsid w:val="2D9EEE9E"/>
    <w:rsid w:val="2E6618B6"/>
    <w:rsid w:val="31CD14DA"/>
    <w:rsid w:val="326BD3FC"/>
    <w:rsid w:val="3349FB62"/>
    <w:rsid w:val="35CA4C1D"/>
    <w:rsid w:val="377BB80B"/>
    <w:rsid w:val="38B4A3C3"/>
    <w:rsid w:val="3A4983B8"/>
    <w:rsid w:val="3CC219BE"/>
    <w:rsid w:val="4032E9FE"/>
    <w:rsid w:val="42DE1ED4"/>
    <w:rsid w:val="43F65A4B"/>
    <w:rsid w:val="4582836C"/>
    <w:rsid w:val="462792CA"/>
    <w:rsid w:val="47D6D2C4"/>
    <w:rsid w:val="490EC25D"/>
    <w:rsid w:val="4BF91806"/>
    <w:rsid w:val="4C68F01D"/>
    <w:rsid w:val="4F37DE02"/>
    <w:rsid w:val="50F104A5"/>
    <w:rsid w:val="513EB268"/>
    <w:rsid w:val="517D894B"/>
    <w:rsid w:val="52965623"/>
    <w:rsid w:val="5A0375B5"/>
    <w:rsid w:val="5C06B9CA"/>
    <w:rsid w:val="5D60A740"/>
    <w:rsid w:val="67E1A0C9"/>
    <w:rsid w:val="68D59592"/>
    <w:rsid w:val="6B35FCAF"/>
    <w:rsid w:val="72183269"/>
    <w:rsid w:val="7370D243"/>
    <w:rsid w:val="75E86C2A"/>
    <w:rsid w:val="78D78D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6B7F2"/>
  <w15:chartTrackingRefBased/>
  <w15:docId w15:val="{0839FE9A-0BA8-4339-A771-980B10EE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rsid w:val="004E01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rsid w:val="004E010D"/>
    <w:pPr>
      <w:numPr>
        <w:ilvl w:val="6"/>
        <w:numId w:val="3"/>
      </w:numPr>
      <w:tabs>
        <w:tab w:val="left" w:pos="5040"/>
      </w:tabs>
      <w:spacing w:after="120"/>
      <w:outlineLvl w:val="6"/>
    </w:pPr>
    <w:rPr>
      <w:b/>
    </w:rPr>
  </w:style>
  <w:style w:type="paragraph" w:styleId="Heading8">
    <w:name w:val="heading 8"/>
    <w:basedOn w:val="Normal"/>
    <w:next w:val="ParaNum"/>
    <w:qFormat/>
    <w:rsid w:val="004E010D"/>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4E010D"/>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E010D"/>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4E010D"/>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87327"/>
  </w:style>
  <w:style w:type="paragraph" w:styleId="ListParagraph">
    <w:name w:val="List Paragraph"/>
    <w:basedOn w:val="Normal"/>
    <w:uiPriority w:val="34"/>
    <w:qFormat/>
    <w:rsid w:val="00A01C23"/>
    <w:pPr>
      <w:ind w:left="720"/>
      <w:contextualSpacing/>
    </w:pPr>
  </w:style>
  <w:style w:type="character" w:styleId="CommentReference">
    <w:name w:val="annotation reference"/>
    <w:basedOn w:val="DefaultParagraphFont"/>
    <w:uiPriority w:val="99"/>
    <w:semiHidden/>
    <w:unhideWhenUsed/>
    <w:rsid w:val="00093B1F"/>
    <w:rPr>
      <w:sz w:val="16"/>
      <w:szCs w:val="16"/>
    </w:rPr>
  </w:style>
  <w:style w:type="paragraph" w:styleId="CommentText">
    <w:name w:val="annotation text"/>
    <w:basedOn w:val="Normal"/>
    <w:link w:val="CommentTextChar"/>
    <w:uiPriority w:val="99"/>
    <w:semiHidden/>
    <w:unhideWhenUsed/>
    <w:rsid w:val="00093B1F"/>
    <w:rPr>
      <w:sz w:val="20"/>
    </w:rPr>
  </w:style>
  <w:style w:type="character" w:customStyle="1" w:styleId="CommentTextChar">
    <w:name w:val="Comment Text Char"/>
    <w:basedOn w:val="DefaultParagraphFont"/>
    <w:link w:val="CommentText"/>
    <w:uiPriority w:val="99"/>
    <w:semiHidden/>
    <w:rsid w:val="00093B1F"/>
    <w:rPr>
      <w:snapToGrid w:val="0"/>
      <w:kern w:val="28"/>
    </w:rPr>
  </w:style>
  <w:style w:type="paragraph" w:styleId="CommentSubject">
    <w:name w:val="annotation subject"/>
    <w:basedOn w:val="CommentText"/>
    <w:next w:val="CommentText"/>
    <w:link w:val="CommentSubjectChar"/>
    <w:uiPriority w:val="99"/>
    <w:semiHidden/>
    <w:unhideWhenUsed/>
    <w:rsid w:val="00093B1F"/>
    <w:rPr>
      <w:b/>
      <w:bCs/>
    </w:rPr>
  </w:style>
  <w:style w:type="character" w:customStyle="1" w:styleId="CommentSubjectChar">
    <w:name w:val="Comment Subject Char"/>
    <w:basedOn w:val="CommentTextChar"/>
    <w:link w:val="CommentSubject"/>
    <w:uiPriority w:val="99"/>
    <w:semiHidden/>
    <w:rsid w:val="00093B1F"/>
    <w:rPr>
      <w:b/>
      <w:bCs/>
      <w:snapToGrid w:val="0"/>
      <w:kern w:val="28"/>
    </w:rPr>
  </w:style>
  <w:style w:type="paragraph" w:styleId="Revision">
    <w:name w:val="Revision"/>
    <w:hidden/>
    <w:uiPriority w:val="99"/>
    <w:semiHidden/>
    <w:rsid w:val="00B9677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