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0709453A">
            <w:pPr>
              <w:tabs>
                <w:tab w:val="center" w:pos="4680"/>
              </w:tabs>
              <w:suppressAutoHyphens/>
              <w:rPr>
                <w:spacing w:val="-2"/>
              </w:rPr>
            </w:pPr>
            <w:r w:rsidRPr="00E97187">
              <w:rPr>
                <w:spacing w:val="-2"/>
              </w:rPr>
              <w:t>Stations</w:t>
            </w:r>
            <w:r w:rsidR="006F4D4C">
              <w:rPr>
                <w:spacing w:val="-2"/>
              </w:rPr>
              <w:t xml:space="preserve"> (</w:t>
            </w:r>
            <w:r w:rsidR="00EC6436">
              <w:rPr>
                <w:spacing w:val="-2"/>
              </w:rPr>
              <w:t>Weston</w:t>
            </w:r>
            <w:r w:rsidR="006F4D4C">
              <w:rPr>
                <w:spacing w:val="-2"/>
              </w:rPr>
              <w:t xml:space="preserve">, </w:t>
            </w:r>
            <w:r w:rsidR="00EC6436">
              <w:rPr>
                <w:spacing w:val="-2"/>
              </w:rPr>
              <w:t>West Virginia</w:t>
            </w:r>
            <w:r w:rsidR="006F4D4C">
              <w:rPr>
                <w:spacing w:val="-2"/>
              </w:rPr>
              <w:t>)</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0B3755CE">
            <w:pPr>
              <w:pStyle w:val="TOAHeading"/>
              <w:tabs>
                <w:tab w:val="center" w:pos="4680"/>
              </w:tabs>
              <w:rPr>
                <w:spacing w:val="-2"/>
              </w:rPr>
            </w:pPr>
            <w:r w:rsidRPr="00E97187">
              <w:rPr>
                <w:spacing w:val="-2"/>
              </w:rPr>
              <w:t>MB Docket No. 2</w:t>
            </w:r>
            <w:r w:rsidR="00F972E6">
              <w:rPr>
                <w:spacing w:val="-2"/>
              </w:rPr>
              <w:t>2-</w:t>
            </w:r>
            <w:r w:rsidR="00EC6436">
              <w:rPr>
                <w:spacing w:val="-2"/>
              </w:rPr>
              <w:t>112</w:t>
            </w:r>
          </w:p>
          <w:p w:rsidR="004C2EE3" w:rsidP="00E97187" w14:paraId="1C5147C7" w14:textId="00CD3A96">
            <w:pPr>
              <w:tabs>
                <w:tab w:val="center" w:pos="4680"/>
              </w:tabs>
              <w:suppressAutoHyphens/>
              <w:rPr>
                <w:spacing w:val="-2"/>
              </w:rPr>
            </w:pPr>
            <w:r w:rsidRPr="00E97187">
              <w:rPr>
                <w:spacing w:val="-2"/>
              </w:rPr>
              <w:t>RM-11</w:t>
            </w:r>
            <w:r w:rsidR="0033610A">
              <w:rPr>
                <w:spacing w:val="-2"/>
              </w:rPr>
              <w:t>91</w:t>
            </w:r>
            <w:r w:rsidR="00EC6436">
              <w:rPr>
                <w:spacing w:val="-2"/>
              </w:rPr>
              <w:t>9</w:t>
            </w:r>
          </w:p>
        </w:tc>
      </w:tr>
    </w:tbl>
    <w:p w:rsidR="004C2EE3" w:rsidP="0070224F" w14:paraId="7EE9EEFF" w14:textId="77777777"/>
    <w:p w:rsidR="00E97187" w:rsidP="00E97187" w14:paraId="6F829742" w14:textId="77777777">
      <w:pPr>
        <w:pStyle w:val="StyleBoldCentered"/>
      </w:pPr>
      <w:r>
        <w:t>report and order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53907E41">
      <w:pPr>
        <w:tabs>
          <w:tab w:val="left" w:pos="720"/>
          <w:tab w:val="right" w:pos="9360"/>
        </w:tabs>
        <w:suppressAutoHyphens/>
        <w:spacing w:line="227" w:lineRule="auto"/>
        <w:rPr>
          <w:spacing w:val="-2"/>
        </w:rPr>
      </w:pPr>
      <w:r>
        <w:rPr>
          <w:b/>
          <w:spacing w:val="-2"/>
        </w:rPr>
        <w:t xml:space="preserve">Adopted:  </w:t>
      </w:r>
      <w:r w:rsidR="00F972E6">
        <w:rPr>
          <w:b/>
          <w:spacing w:val="-2"/>
        </w:rPr>
        <w:t>May</w:t>
      </w:r>
      <w:r w:rsidR="008F6DAD">
        <w:rPr>
          <w:b/>
          <w:spacing w:val="-2"/>
        </w:rPr>
        <w:t xml:space="preserve"> </w:t>
      </w:r>
      <w:r w:rsidR="00F83873">
        <w:rPr>
          <w:b/>
          <w:spacing w:val="-2"/>
        </w:rPr>
        <w:t>12</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972E6">
        <w:rPr>
          <w:b/>
          <w:spacing w:val="-2"/>
        </w:rPr>
        <w:t>May</w:t>
      </w:r>
      <w:r w:rsidR="008F6DAD">
        <w:rPr>
          <w:b/>
          <w:spacing w:val="-2"/>
        </w:rPr>
        <w:t xml:space="preserve"> </w:t>
      </w:r>
      <w:r w:rsidR="00F83873">
        <w:rPr>
          <w:b/>
          <w:spacing w:val="-2"/>
        </w:rPr>
        <w:t>12</w:t>
      </w:r>
      <w:r w:rsidR="008F6DAD">
        <w:rPr>
          <w:b/>
          <w:spacing w:val="-2"/>
        </w:rPr>
        <w:t>, 2022</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480BA5" w14:paraId="74AAEE84" w14:textId="33613AFC">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00954A55">
        <w:rPr>
          <w:spacing w:val="-3"/>
        </w:rPr>
        <w:t xml:space="preserve"> </w:t>
      </w:r>
      <w:r w:rsidR="00954A55">
        <w:t>Gray Television Licensee, LLC</w:t>
      </w:r>
      <w:r w:rsidRPr="00E97187">
        <w:rPr>
          <w:spacing w:val="-7"/>
        </w:rPr>
        <w:t xml:space="preserve"> </w:t>
      </w:r>
      <w:r w:rsidRPr="00E208EC" w:rsidR="00092AB5">
        <w:t xml:space="preserve"> (</w:t>
      </w:r>
      <w:r w:rsidR="00432B47">
        <w:t>Petitioner</w:t>
      </w:r>
      <w:r w:rsidRPr="00E208EC" w:rsidR="00092AB5">
        <w:t xml:space="preserve">), the licensee </w:t>
      </w:r>
      <w:r w:rsidR="00B11296">
        <w:t xml:space="preserve">of </w:t>
      </w:r>
      <w:r w:rsidR="0033610A">
        <w:t xml:space="preserve">television station </w:t>
      </w:r>
      <w:r w:rsidR="00EC6436">
        <w:t>WDTV</w:t>
      </w:r>
      <w:r w:rsidR="0033610A">
        <w:t xml:space="preserve"> (Station),</w:t>
      </w:r>
      <w:r w:rsidR="002A1087">
        <w:t xml:space="preserve"> </w:t>
      </w:r>
      <w:r w:rsidRPr="00E208EC" w:rsidR="00092AB5">
        <w:t>channel</w:t>
      </w:r>
      <w:r w:rsidR="00FD7481">
        <w:t xml:space="preserve"> </w:t>
      </w:r>
      <w:r w:rsidR="00EC6436">
        <w:t>5</w:t>
      </w:r>
      <w:r w:rsidRPr="00E208EC" w:rsidR="00092AB5">
        <w:t xml:space="preserve">, </w:t>
      </w:r>
      <w:r w:rsidR="00EC6436">
        <w:t>Weston</w:t>
      </w:r>
      <w:r w:rsidR="00C65811">
        <w:t xml:space="preserve">, </w:t>
      </w:r>
      <w:r w:rsidR="00EC6436">
        <w:t>West Virginia</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00FD7481">
        <w:rPr>
          <w:spacing w:val="-3"/>
        </w:rPr>
        <w:t xml:space="preserve"> </w:t>
      </w:r>
      <w:r w:rsidR="00EC6436">
        <w:rPr>
          <w:spacing w:val="-3"/>
        </w:rPr>
        <w:t>33</w:t>
      </w:r>
      <w:r w:rsidRPr="00E97187">
        <w:rPr>
          <w:spacing w:val="-7"/>
        </w:rPr>
        <w:t xml:space="preserve"> </w:t>
      </w:r>
      <w:r w:rsidRPr="00E97187">
        <w:rPr>
          <w:spacing w:val="-3"/>
        </w:rPr>
        <w:t>for</w:t>
      </w:r>
      <w:r w:rsidRPr="00E97187">
        <w:t xml:space="preserve"> VHF channel</w:t>
      </w:r>
      <w:r w:rsidRPr="00E97187">
        <w:rPr>
          <w:spacing w:val="-6"/>
        </w:rPr>
        <w:t xml:space="preserve"> </w:t>
      </w:r>
      <w:r w:rsidR="00EC6436">
        <w:rPr>
          <w:spacing w:val="-6"/>
        </w:rPr>
        <w:t>5</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sidRPr="00E97187">
        <w:rPr>
          <w:position w:val="8"/>
        </w:rPr>
        <w:t xml:space="preserve">  </w:t>
      </w:r>
      <w:r w:rsidR="00480BA5">
        <w:t>The Petitioner</w:t>
      </w:r>
      <w:r w:rsidRPr="00E97187" w:rsidR="00480BA5">
        <w:t xml:space="preserve"> filed comments in support of the petition, as required by the Commission’s rules,</w:t>
      </w:r>
      <w:r>
        <w:rPr>
          <w:rStyle w:val="FootnoteReference"/>
          <w:iCs/>
          <w:sz w:val="22"/>
        </w:rPr>
        <w:footnoteReference w:id="4"/>
      </w:r>
      <w:r w:rsidRPr="00E97187" w:rsidR="00480BA5">
        <w:t xml:space="preserve"> reaffirming its commitment to apply for channel </w:t>
      </w:r>
      <w:r w:rsidR="00EC6436">
        <w:t>33</w:t>
      </w:r>
      <w:r w:rsidR="00480BA5">
        <w:t>.</w:t>
      </w:r>
      <w:r w:rsidR="001542A1">
        <w:t xml:space="preserve">  No other comments were received.</w:t>
      </w:r>
      <w:r w:rsidRPr="00E97187" w:rsidR="00F86933">
        <w:t xml:space="preserve">  </w:t>
      </w:r>
    </w:p>
    <w:p w:rsidR="0033517A" w:rsidP="00146B1A" w14:paraId="5C8D419A" w14:textId="411361A1">
      <w:pPr>
        <w:pStyle w:val="ParaNum"/>
      </w:pPr>
      <w:r w:rsidRPr="00E97187">
        <w:t xml:space="preserve">We believe the public interest would be served by substituting channel </w:t>
      </w:r>
      <w:r w:rsidR="000F052E">
        <w:t>33</w:t>
      </w:r>
      <w:r w:rsidRPr="00E97187">
        <w:t xml:space="preserve"> for channel </w:t>
      </w:r>
      <w:r w:rsidR="00222D2D">
        <w:t>5</w:t>
      </w:r>
      <w:r w:rsidRPr="00E97187" w:rsidR="00424EA6">
        <w:t xml:space="preserve"> </w:t>
      </w:r>
      <w:r w:rsidRPr="00E97187">
        <w:t xml:space="preserve">at </w:t>
      </w:r>
      <w:r w:rsidR="00EC6436">
        <w:t>Weston</w:t>
      </w:r>
      <w:r w:rsidR="001032F9">
        <w:t xml:space="preserve">, </w:t>
      </w:r>
      <w:r w:rsidR="00EC6436">
        <w:t>West Virginia</w:t>
      </w:r>
      <w:r w:rsidR="00E9514A">
        <w:t>.</w:t>
      </w:r>
      <w:r w:rsidRPr="00E97187">
        <w:t xml:space="preserve">  </w:t>
      </w:r>
      <w:r w:rsidR="008972C6">
        <w:t xml:space="preserve">According to the Petitioner, </w:t>
      </w:r>
      <w:r w:rsidRPr="00234875" w:rsidR="00FD7481">
        <w:rPr>
          <w:snapToGrid/>
          <w:kern w:val="0"/>
          <w:szCs w:val="22"/>
        </w:rPr>
        <w:t>the Commission</w:t>
      </w:r>
      <w:r w:rsidR="00FD7481">
        <w:rPr>
          <w:snapToGrid/>
          <w:kern w:val="0"/>
          <w:szCs w:val="22"/>
        </w:rPr>
        <w:t xml:space="preserve"> has</w:t>
      </w:r>
      <w:r w:rsidRPr="00234875" w:rsidR="00FD7481">
        <w:rPr>
          <w:snapToGrid/>
          <w:kern w:val="0"/>
          <w:szCs w:val="22"/>
        </w:rPr>
        <w:t xml:space="preserve"> recognized the </w:t>
      </w:r>
      <w:r w:rsidR="00222D2D">
        <w:rPr>
          <w:snapToGrid/>
          <w:kern w:val="0"/>
          <w:szCs w:val="22"/>
        </w:rPr>
        <w:t>negative</w:t>
      </w:r>
      <w:r w:rsidRPr="00234875" w:rsidR="00FD7481">
        <w:rPr>
          <w:snapToGrid/>
          <w:kern w:val="0"/>
          <w:szCs w:val="22"/>
        </w:rPr>
        <w:t xml:space="preserve"> effects manmade noise has on the reception of </w:t>
      </w:r>
      <w:r w:rsidR="00FD7481">
        <w:rPr>
          <w:snapToGrid/>
          <w:kern w:val="0"/>
          <w:szCs w:val="22"/>
        </w:rPr>
        <w:t xml:space="preserve">digital </w:t>
      </w:r>
      <w:r w:rsidRPr="00234875" w:rsidR="00FD7481">
        <w:rPr>
          <w:snapToGrid/>
          <w:kern w:val="0"/>
          <w:szCs w:val="22"/>
        </w:rPr>
        <w:t>VHF signals,</w:t>
      </w:r>
      <w:r w:rsidR="00FD7481">
        <w:rPr>
          <w:snapToGrid/>
          <w:kern w:val="0"/>
          <w:szCs w:val="22"/>
        </w:rPr>
        <w:t xml:space="preserve"> and</w:t>
      </w:r>
      <w:r w:rsidRPr="00234875" w:rsidR="00FD7481">
        <w:rPr>
          <w:snapToGrid/>
          <w:kern w:val="0"/>
          <w:szCs w:val="22"/>
        </w:rPr>
        <w:t xml:space="preserve"> that the propagation characteristics of </w:t>
      </w:r>
      <w:r w:rsidR="00FD7481">
        <w:rPr>
          <w:snapToGrid/>
          <w:kern w:val="0"/>
          <w:szCs w:val="22"/>
        </w:rPr>
        <w:t xml:space="preserve">these </w:t>
      </w:r>
      <w:r w:rsidRPr="00234875" w:rsidR="00FD7481">
        <w:rPr>
          <w:snapToGrid/>
          <w:kern w:val="0"/>
          <w:szCs w:val="22"/>
        </w:rPr>
        <w:t>channels allow undesired signals and noise to be receivable at relatively farther distances</w:t>
      </w:r>
      <w:r w:rsidR="00FD7481">
        <w:rPr>
          <w:snapToGrid/>
          <w:kern w:val="0"/>
          <w:szCs w:val="22"/>
        </w:rPr>
        <w:t xml:space="preserve"> compared to UHF channels</w:t>
      </w:r>
      <w:r w:rsidR="00222D2D">
        <w:rPr>
          <w:snapToGrid/>
          <w:kern w:val="0"/>
          <w:szCs w:val="22"/>
        </w:rPr>
        <w:t>,</w:t>
      </w:r>
      <w:r w:rsidR="00FD7481">
        <w:rPr>
          <w:snapToGrid/>
          <w:kern w:val="0"/>
          <w:szCs w:val="22"/>
        </w:rPr>
        <w:t xml:space="preserve"> and</w:t>
      </w:r>
      <w:r w:rsidRPr="00234875" w:rsidR="00FD7481">
        <w:rPr>
          <w:snapToGrid/>
          <w:kern w:val="0"/>
          <w:szCs w:val="22"/>
        </w:rPr>
        <w:t xml:space="preserve"> nearby electrical device</w:t>
      </w:r>
      <w:r w:rsidR="00FD7481">
        <w:rPr>
          <w:snapToGrid/>
          <w:kern w:val="0"/>
          <w:szCs w:val="22"/>
        </w:rPr>
        <w:t>s</w:t>
      </w:r>
      <w:r w:rsidRPr="00234875" w:rsidR="00FD7481">
        <w:rPr>
          <w:snapToGrid/>
          <w:kern w:val="0"/>
          <w:szCs w:val="22"/>
        </w:rPr>
        <w:t xml:space="preserve"> can cause interference.</w:t>
      </w:r>
      <w:r>
        <w:rPr>
          <w:rStyle w:val="FootnoteReference"/>
          <w:snapToGrid/>
          <w:kern w:val="0"/>
          <w:szCs w:val="22"/>
        </w:rPr>
        <w:footnoteReference w:id="5"/>
      </w:r>
      <w:r w:rsidRPr="001D0CF5" w:rsidR="001D0CF5">
        <w:rPr>
          <w:snapToGrid/>
        </w:rPr>
        <w:t xml:space="preserve"> </w:t>
      </w:r>
      <w:r w:rsidRPr="009B46EC" w:rsidR="001D0CF5">
        <w:rPr>
          <w:snapToGrid/>
        </w:rPr>
        <w:t>A total of 388,223 persons are predicted to lose service using a contour analysis</w:t>
      </w:r>
      <w:r w:rsidR="002E77F9">
        <w:rPr>
          <w:snapToGrid/>
        </w:rPr>
        <w:t>,</w:t>
      </w:r>
      <w:r w:rsidR="00EC736C">
        <w:rPr>
          <w:snapToGrid/>
        </w:rPr>
        <w:t xml:space="preserve"> </w:t>
      </w:r>
      <w:r w:rsidR="00251F30">
        <w:rPr>
          <w:snapToGrid/>
        </w:rPr>
        <w:t>however</w:t>
      </w:r>
      <w:r w:rsidR="002E77F9">
        <w:rPr>
          <w:snapToGrid/>
        </w:rPr>
        <w:t xml:space="preserve"> </w:t>
      </w:r>
      <w:r w:rsidRPr="002E77F9" w:rsidR="002E77F9">
        <w:rPr>
          <w:snapToGrid/>
        </w:rPr>
        <w:t xml:space="preserve">all but 4,142 persons </w:t>
      </w:r>
      <w:r w:rsidRPr="009B46EC" w:rsidR="001D0CF5">
        <w:rPr>
          <w:snapToGrid/>
        </w:rPr>
        <w:t>w</w:t>
      </w:r>
      <w:r w:rsidR="00251F30">
        <w:rPr>
          <w:snapToGrid/>
        </w:rPr>
        <w:t>ill</w:t>
      </w:r>
      <w:r w:rsidRPr="009B46EC" w:rsidR="001D0CF5">
        <w:rPr>
          <w:snapToGrid/>
        </w:rPr>
        <w:t xml:space="preserve"> continue to receive CBS service from other stations in the region </w:t>
      </w:r>
      <w:r w:rsidR="00A40381">
        <w:rPr>
          <w:snapToGrid/>
        </w:rPr>
        <w:t>or</w:t>
      </w:r>
      <w:r w:rsidRPr="009B46EC" w:rsidR="001D0CF5">
        <w:rPr>
          <w:snapToGrid/>
        </w:rPr>
        <w:t xml:space="preserve"> continue to be well served by five or more television services.</w:t>
      </w:r>
      <w:r>
        <w:rPr>
          <w:rStyle w:val="FootnoteReference"/>
          <w:snapToGrid/>
          <w:kern w:val="0"/>
          <w:szCs w:val="22"/>
        </w:rPr>
        <w:footnoteReference w:id="6"/>
      </w:r>
      <w:r w:rsidRPr="009B46EC" w:rsidR="001D0CF5">
        <w:rPr>
          <w:snapToGrid/>
        </w:rPr>
        <w:t xml:space="preserve"> </w:t>
      </w:r>
      <w:r w:rsidR="001D0CF5">
        <w:t xml:space="preserve">  </w:t>
      </w:r>
      <w:r w:rsidR="00F67CD2">
        <w:t>Moreover,</w:t>
      </w:r>
      <w:r w:rsidR="001D0CF5">
        <w:t xml:space="preserve"> </w:t>
      </w:r>
      <w:r w:rsidRPr="009B46EC" w:rsidR="001D0CF5">
        <w:t>a terrain-limited analysis using the</w:t>
      </w:r>
      <w:r w:rsidR="00FD7481">
        <w:t xml:space="preserve"> </w:t>
      </w:r>
      <w:r w:rsidRPr="009B46EC" w:rsidR="00F67CD2">
        <w:t xml:space="preserve">Commission’s </w:t>
      </w:r>
      <w:r w:rsidRPr="009B46EC" w:rsidR="00F67CD2">
        <w:rPr>
          <w:i/>
          <w:iCs/>
        </w:rPr>
        <w:t>TVStudy</w:t>
      </w:r>
      <w:r w:rsidRPr="009B46EC" w:rsidR="00F67CD2">
        <w:t xml:space="preserve"> software demonstrates that only 498 persons would no longer receive CBS network programming</w:t>
      </w:r>
      <w:r w:rsidRPr="00016359" w:rsidR="00016359">
        <w:rPr>
          <w:szCs w:val="22"/>
        </w:rPr>
        <w:t xml:space="preserve"> </w:t>
      </w:r>
      <w:r w:rsidRPr="0035052B" w:rsidR="00016359">
        <w:rPr>
          <w:szCs w:val="22"/>
        </w:rPr>
        <w:t>or</w:t>
      </w:r>
      <w:r w:rsidR="00016359">
        <w:t xml:space="preserve"> </w:t>
      </w:r>
      <w:r w:rsidRPr="0035052B" w:rsidR="00016359">
        <w:t>receive service from five or more full power television services</w:t>
      </w:r>
      <w:r w:rsidR="00016359">
        <w:t>,</w:t>
      </w:r>
      <w:r>
        <w:rPr>
          <w:rStyle w:val="FootnoteReference"/>
          <w:szCs w:val="22"/>
        </w:rPr>
        <w:footnoteReference w:id="7"/>
      </w:r>
      <w:r w:rsidR="00016359">
        <w:t xml:space="preserve"> </w:t>
      </w:r>
      <w:r w:rsidR="006A5693">
        <w:t xml:space="preserve">a number the Commission considers </w:t>
      </w:r>
      <w:r w:rsidRPr="00553C2D" w:rsidR="006A5693">
        <w:rPr>
          <w:i/>
          <w:iCs/>
        </w:rPr>
        <w:t>de minimis</w:t>
      </w:r>
      <w:r w:rsidR="00016359">
        <w:t>.</w:t>
      </w:r>
      <w:r>
        <w:rPr>
          <w:rStyle w:val="FootnoteReference"/>
        </w:rPr>
        <w:footnoteReference w:id="8"/>
      </w:r>
    </w:p>
    <w:p w:rsidR="00E97187" w:rsidRPr="007E31D4" w:rsidP="00711A32" w14:paraId="401FC91F" w14:textId="7A31F11A">
      <w:pPr>
        <w:pStyle w:val="ParaNum"/>
        <w:spacing w:after="220"/>
      </w:pPr>
      <w:r>
        <w:rPr>
          <w:spacing w:val="-7"/>
        </w:rPr>
        <w:t xml:space="preserve">As proposed, </w:t>
      </w:r>
      <w:r w:rsidR="009078BE">
        <w:rPr>
          <w:spacing w:val="-7"/>
        </w:rPr>
        <w:t>c</w:t>
      </w:r>
      <w:r w:rsidRPr="00E97187">
        <w:rPr>
          <w:spacing w:val="-7"/>
        </w:rPr>
        <w:t xml:space="preserve">hannel </w:t>
      </w:r>
      <w:r w:rsidR="000F052E">
        <w:rPr>
          <w:spacing w:val="-7"/>
        </w:rPr>
        <w:t>33</w:t>
      </w:r>
      <w:r w:rsidRPr="00E97187">
        <w:rPr>
          <w:spacing w:val="-7"/>
        </w:rPr>
        <w:t xml:space="preserve"> can be substituted for channel</w:t>
      </w:r>
      <w:r w:rsidRPr="00E97187">
        <w:t xml:space="preserve"> </w:t>
      </w:r>
      <w:r w:rsidR="000F052E">
        <w:t>5</w:t>
      </w:r>
      <w:r w:rsidRPr="00E97187">
        <w:t xml:space="preserve"> at </w:t>
      </w:r>
      <w:r w:rsidR="00EC6436">
        <w:t>Weston</w:t>
      </w:r>
      <w:r w:rsidR="007C60E1">
        <w:t xml:space="preserve">, </w:t>
      </w:r>
      <w:r w:rsidR="00EC6436">
        <w:t>West Virginia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rPr>
        <w:footnoteReference w:id="9"/>
      </w:r>
      <w:r w:rsidRPr="00E97187">
        <w:rPr>
          <w:spacing w:val="17"/>
          <w:position w:val="8"/>
        </w:rPr>
        <w:t xml:space="preserve"> </w:t>
      </w:r>
      <w:r w:rsidRPr="00E97187">
        <w:rPr>
          <w:spacing w:val="-3"/>
        </w:rPr>
        <w:t xml:space="preserve">at </w:t>
      </w:r>
      <w:r w:rsidRPr="00E97187">
        <w:rPr>
          <w:spacing w:val="-4"/>
        </w:rPr>
        <w:t>coordinates</w:t>
      </w:r>
      <w:r w:rsidR="00C11323">
        <w:rPr>
          <w:spacing w:val="-4"/>
        </w:rPr>
        <w:t xml:space="preserve"> </w:t>
      </w:r>
      <w:r w:rsidR="00EC6436">
        <w:t>39</w:t>
      </w:r>
      <w:r w:rsidRPr="004F0BC4" w:rsidR="00EC6436">
        <w:rPr>
          <w:snapToGrid/>
          <w:kern w:val="0"/>
          <w:szCs w:val="22"/>
        </w:rPr>
        <w:t>°</w:t>
      </w:r>
      <w:r w:rsidR="00EC6436">
        <w:t xml:space="preserve"> 18</w:t>
      </w:r>
      <w:r w:rsidRPr="004F0BC4" w:rsidR="00EC6436">
        <w:rPr>
          <w:snapToGrid/>
          <w:kern w:val="0"/>
          <w:szCs w:val="22"/>
        </w:rPr>
        <w:t>'</w:t>
      </w:r>
      <w:r w:rsidR="00EC6436">
        <w:t xml:space="preserve"> 02.0</w:t>
      </w:r>
      <w:r w:rsidRPr="004F0BC4" w:rsidR="00EC6436">
        <w:rPr>
          <w:snapToGrid/>
          <w:kern w:val="0"/>
          <w:szCs w:val="22"/>
        </w:rPr>
        <w:t>"</w:t>
      </w:r>
      <w:r w:rsidR="00EC6436">
        <w:t xml:space="preserve"> N and 08</w:t>
      </w:r>
      <w:r w:rsidRPr="004F0BC4" w:rsidR="00EC6436">
        <w:rPr>
          <w:snapToGrid/>
          <w:kern w:val="0"/>
          <w:szCs w:val="22"/>
        </w:rPr>
        <w:t>°</w:t>
      </w:r>
      <w:r w:rsidR="00EC6436">
        <w:t xml:space="preserve"> 20</w:t>
      </w:r>
      <w:r w:rsidRPr="004F0BC4" w:rsidR="00EC6436">
        <w:rPr>
          <w:snapToGrid/>
          <w:kern w:val="0"/>
          <w:szCs w:val="22"/>
        </w:rPr>
        <w:t>'</w:t>
      </w:r>
      <w:r w:rsidR="00EC6436">
        <w:t xml:space="preserve"> 36.0</w:t>
      </w:r>
      <w:r w:rsidRPr="004F0BC4" w:rsidR="00EC6436">
        <w:rPr>
          <w:snapToGrid/>
          <w:kern w:val="0"/>
          <w:szCs w:val="22"/>
        </w:rPr>
        <w:t>"</w:t>
      </w:r>
      <w:r w:rsidR="00EC6436">
        <w:t xml:space="preserve"> W.</w:t>
      </w:r>
      <w:r w:rsidRPr="00BF1B4B" w:rsidR="00EC6436">
        <w:t xml:space="preserve">  </w:t>
      </w:r>
      <w:r w:rsidR="002E77F9">
        <w:t>Although the Petitioner’s</w:t>
      </w:r>
      <w:r w:rsidRPr="00E208EC" w:rsidR="002E77F9">
        <w:t xml:space="preserve"> </w:t>
      </w:r>
      <w:r w:rsidR="002E77F9">
        <w:t xml:space="preserve">proposal would result in a loss of </w:t>
      </w:r>
      <w:r w:rsidR="00B335C8">
        <w:t>498</w:t>
      </w:r>
      <w:r w:rsidR="002E77F9">
        <w:t xml:space="preserve"> persons</w:t>
      </w:r>
      <w:r w:rsidR="00B335C8">
        <w:t xml:space="preserve"> that would </w:t>
      </w:r>
      <w:r w:rsidR="00A33210">
        <w:t xml:space="preserve">either </w:t>
      </w:r>
      <w:r w:rsidR="00B335C8">
        <w:t xml:space="preserve">no longer receive CBS service or maintain access to five or more </w:t>
      </w:r>
      <w:r w:rsidRPr="00DC4645" w:rsidR="002E77F9">
        <w:t>over-the-air television services</w:t>
      </w:r>
      <w:r w:rsidR="00B335C8">
        <w:t>, w</w:t>
      </w:r>
      <w:r w:rsidR="002E77F9">
        <w:t xml:space="preserve">e find </w:t>
      </w:r>
      <w:r w:rsidRPr="002E77F9" w:rsidR="002E77F9">
        <w:t xml:space="preserve">the overall benefits of the proposed channel change outweigh any possible harm to the public interest, given the fact that the loss of CBS service is ultimately </w:t>
      </w:r>
      <w:r w:rsidRPr="002E77F9" w:rsidR="002E77F9">
        <w:rPr>
          <w:i/>
          <w:iCs/>
        </w:rPr>
        <w:t>de minimis</w:t>
      </w:r>
      <w:r w:rsidRPr="002E77F9" w:rsidR="002E77F9">
        <w:t xml:space="preserve"> and taking into account the ability of viewers to access</w:t>
      </w:r>
      <w:r w:rsidR="00A33210">
        <w:t xml:space="preserve"> at least five or more other stations or</w:t>
      </w:r>
      <w:r w:rsidRPr="002E77F9" w:rsidR="002E77F9">
        <w:t xml:space="preserve"> CBS network programming from other over-the-air television stations</w:t>
      </w:r>
      <w:r w:rsidRPr="00E50821" w:rsidR="002E77F9">
        <w:t>.</w:t>
      </w:r>
      <w:r>
        <w:rPr>
          <w:rStyle w:val="FootnoteReference"/>
        </w:rPr>
        <w:footnoteReference w:id="10"/>
      </w:r>
      <w:r w:rsidRPr="002E77F9" w:rsidR="002E77F9">
        <w:t xml:space="preserve">  </w:t>
      </w:r>
      <w:r w:rsidR="00B335C8">
        <w:rPr>
          <w:spacing w:val="-2"/>
        </w:rPr>
        <w:t>We also</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rPr>
        <w:footnoteReference w:id="11"/>
      </w:r>
    </w:p>
    <w:p w:rsidR="00E97187" w:rsidRPr="00E97187" w:rsidP="00E97187" w14:paraId="1E73859A" w14:textId="6156F72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50D92888" w14:textId="1EBBBC97">
      <w:pPr>
        <w:pStyle w:val="BodyText"/>
        <w:tabs>
          <w:tab w:val="left" w:pos="3748"/>
          <w:tab w:val="left" w:pos="5189"/>
          <w:tab w:val="right" w:pos="7126"/>
        </w:tabs>
        <w:spacing w:after="220"/>
        <w:ind w:left="0"/>
      </w:pPr>
      <w:r>
        <w:rPr>
          <w:spacing w:val="-1"/>
        </w:rPr>
        <w:t>Weston</w:t>
      </w:r>
      <w:r w:rsidR="007C60E1">
        <w:rPr>
          <w:spacing w:val="-1"/>
        </w:rPr>
        <w:t xml:space="preserve">, </w:t>
      </w:r>
      <w:r>
        <w:rPr>
          <w:spacing w:val="-1"/>
        </w:rPr>
        <w:t>West Virginia</w:t>
      </w:r>
      <w:r w:rsidRPr="00E97187" w:rsidR="00F86933">
        <w:rPr>
          <w:spacing w:val="-1"/>
        </w:rPr>
        <w:t xml:space="preserve">       </w:t>
      </w:r>
      <w:r w:rsidR="002A5DE4">
        <w:rPr>
          <w:spacing w:val="-1"/>
        </w:rPr>
        <w:t xml:space="preserve">       </w:t>
      </w:r>
      <w:r w:rsidR="00C11323">
        <w:rPr>
          <w:spacing w:val="-1"/>
        </w:rPr>
        <w:t>33</w:t>
      </w:r>
      <w:r w:rsidR="002A5DE4">
        <w:rPr>
          <w:spacing w:val="-1"/>
        </w:rPr>
        <w:t xml:space="preserve">     </w:t>
      </w:r>
      <w:r w:rsidRPr="00E97187" w:rsidR="00F86933">
        <w:rPr>
          <w:spacing w:val="-1"/>
        </w:rPr>
        <w:t xml:space="preserve"> </w:t>
      </w:r>
      <w:r w:rsidR="00F47563">
        <w:rPr>
          <w:spacing w:val="-1"/>
        </w:rPr>
        <w:t xml:space="preserve">    </w:t>
      </w:r>
      <w:r w:rsidRPr="00E97187" w:rsidR="00F86933">
        <w:rPr>
          <w:spacing w:val="-1"/>
        </w:rPr>
        <w:t xml:space="preserve"> </w:t>
      </w:r>
      <w:r w:rsidRPr="00E97187" w:rsidR="00F86933">
        <w:t xml:space="preserve">     </w:t>
      </w:r>
      <w:r w:rsidR="00C11323">
        <w:t>935</w:t>
      </w:r>
      <w:r w:rsidRPr="00E97187" w:rsidR="00F86933">
        <w:t xml:space="preserve">             </w:t>
      </w:r>
      <w:r w:rsidR="00C11323">
        <w:t xml:space="preserve">  </w:t>
      </w:r>
      <w:r w:rsidRPr="00E97187" w:rsidR="00F86933">
        <w:t xml:space="preserve"> </w:t>
      </w:r>
      <w:r w:rsidR="00C11323">
        <w:t>228.1</w:t>
      </w:r>
      <w:r w:rsidRPr="00E97187" w:rsidR="00F86933">
        <w:t xml:space="preserve">                         </w:t>
      </w:r>
      <w:r w:rsidR="008A7F19">
        <w:t xml:space="preserve"> </w:t>
      </w:r>
      <w:r w:rsidR="00336DE4">
        <w:t>556,592</w:t>
      </w:r>
    </w:p>
    <w:p w:rsidR="00E97187" w:rsidRPr="00E97187" w:rsidP="00E97187" w14:paraId="35F4BD1A" w14:textId="233EA162">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2"/>
      </w:r>
      <w:r w:rsidRPr="00E97187">
        <w:t xml:space="preserve">  An expedited effective date is necessary in this case to ensure that</w:t>
      </w:r>
      <w:r w:rsidR="00C11323">
        <w:t xml:space="preserve"> WDTV</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0907642B" w14:textId="4AEAC568">
      <w:pPr>
        <w:pStyle w:val="ParaNum"/>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B9A714D" w14:textId="77777777">
      <w:pPr>
        <w:pStyle w:val="BodyText"/>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6409B6" w14:paraId="6EF99334" w14:textId="467A2CD8">
      <w:pPr>
        <w:pStyle w:val="BodyText"/>
        <w:tabs>
          <w:tab w:val="left" w:pos="3728"/>
          <w:tab w:val="right" w:pos="6105"/>
        </w:tabs>
        <w:spacing w:after="220"/>
        <w:ind w:left="0"/>
      </w:pPr>
      <w:r>
        <w:rPr>
          <w:spacing w:val="-4"/>
        </w:rPr>
        <w:t>Weston</w:t>
      </w:r>
      <w:r w:rsidR="0031731D">
        <w:rPr>
          <w:spacing w:val="-4"/>
        </w:rPr>
        <w:t xml:space="preserve">, </w:t>
      </w:r>
      <w:r>
        <w:rPr>
          <w:spacing w:val="-4"/>
        </w:rPr>
        <w:t>West Virginia</w:t>
      </w:r>
      <w:r w:rsidRPr="00E97187" w:rsidR="00F86933">
        <w:rPr>
          <w:spacing w:val="-4"/>
        </w:rPr>
        <w:t xml:space="preserve">                        </w:t>
      </w:r>
      <w:r w:rsidR="001A6147">
        <w:rPr>
          <w:spacing w:val="-4"/>
        </w:rPr>
        <w:t xml:space="preserve">  </w:t>
      </w:r>
      <w:r w:rsidR="008521B8">
        <w:rPr>
          <w:spacing w:val="-4"/>
        </w:rPr>
        <w:t xml:space="preserve">            </w:t>
      </w:r>
      <w:r w:rsidR="00B701AF">
        <w:rPr>
          <w:spacing w:val="-4"/>
        </w:rPr>
        <w:t xml:space="preserve"> </w:t>
      </w:r>
      <w:r w:rsidR="000F052E">
        <w:rPr>
          <w:spacing w:val="-4"/>
        </w:rPr>
        <w:t>33</w:t>
      </w:r>
    </w:p>
    <w:p w:rsidR="00E97187" w:rsidRPr="00E97187" w:rsidP="00E97187" w14:paraId="77911205" w14:textId="6A3018B9">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617368">
        <w:t xml:space="preserve"> Gray Television Licensee, LLC</w:t>
      </w:r>
      <w:r w:rsidRPr="00E97187" w:rsidR="00617368">
        <w:rPr>
          <w:spacing w:val="-7"/>
        </w:rPr>
        <w:t xml:space="preserve"> </w:t>
      </w:r>
      <w:r w:rsidR="00617368">
        <w:rPr>
          <w:spacing w:val="-7"/>
        </w:rPr>
        <w:t>shall</w:t>
      </w:r>
      <w:r w:rsidRPr="00E97187">
        <w:t xml:space="preserve"> submit to the Commission a minor change application for a construction permit (Form 2100, Schedule A) specifying channel </w:t>
      </w:r>
      <w:r w:rsidR="000F052E">
        <w:t>33</w:t>
      </w:r>
      <w:r w:rsidRPr="00E97187">
        <w:t xml:space="preserve"> in lieu of channel </w:t>
      </w:r>
      <w:r w:rsidR="000F052E">
        <w:t>5</w:t>
      </w:r>
      <w:r w:rsidRPr="00E97187">
        <w:t>.</w:t>
      </w:r>
    </w:p>
    <w:p w:rsidR="006409B6" w:rsidRPr="00AE423E" w:rsidP="006409B6"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D216C3" w14:paraId="63027075" w14:textId="3250EBDA">
      <w:pPr>
        <w:pStyle w:val="ParaNum"/>
        <w:widowControl/>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0817F1">
        <w:t>2</w:t>
      </w:r>
      <w:r w:rsidR="0071598A">
        <w:t>-</w:t>
      </w:r>
      <w:r w:rsidR="000F052E">
        <w:t>112</w:t>
      </w:r>
      <w:r w:rsidR="008A7F19">
        <w:t xml:space="preserve"> and </w:t>
      </w:r>
      <w:r w:rsidR="00C802E6">
        <w:t>RM-11</w:t>
      </w:r>
      <w:r w:rsidR="0071598A">
        <w:t>9</w:t>
      </w:r>
      <w:r w:rsidR="00617368">
        <w:t>1</w:t>
      </w:r>
      <w:r w:rsidR="000F052E">
        <w:t>9</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FA1290B"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4B08475" w14:textId="77777777">
      <w:r>
        <w:tab/>
      </w:r>
      <w:r>
        <w:tab/>
      </w:r>
      <w:r>
        <w:tab/>
      </w:r>
      <w:r>
        <w:tab/>
      </w:r>
      <w:r>
        <w:tab/>
      </w:r>
      <w:r>
        <w:tab/>
        <w:t>FEDERAL COMMUNICATIONS COMMISSION</w:t>
      </w:r>
    </w:p>
    <w:p w:rsidR="006409B6" w:rsidP="0017296B" w14:paraId="52D640EA" w14:textId="77777777"/>
    <w:p w:rsidR="006409B6" w:rsidP="0017296B" w14:paraId="008524A2" w14:textId="77777777"/>
    <w:p w:rsidR="00C43340" w:rsidP="0017296B" w14:paraId="0EDB033E" w14:textId="77777777"/>
    <w:p w:rsidR="006409B6" w:rsidP="0017296B" w14:paraId="03181155" w14:textId="77777777">
      <w:r>
        <w:tab/>
      </w:r>
      <w:r>
        <w:tab/>
      </w:r>
      <w:r>
        <w:tab/>
      </w:r>
      <w:r>
        <w:tab/>
      </w:r>
      <w:r>
        <w:tab/>
      </w:r>
      <w:r>
        <w:tab/>
        <w:t>Barbara A. Kreisman</w:t>
      </w:r>
    </w:p>
    <w:p w:rsidR="006409B6" w:rsidP="0017296B" w14:paraId="4D5DA483" w14:textId="77777777">
      <w:r>
        <w:tab/>
      </w:r>
      <w:r>
        <w:tab/>
      </w:r>
      <w:r>
        <w:tab/>
      </w:r>
      <w:r>
        <w:tab/>
      </w:r>
      <w:r>
        <w:tab/>
      </w:r>
      <w:r>
        <w:tab/>
        <w:t>Chief, Video Division</w:t>
      </w:r>
    </w:p>
    <w:p w:rsidR="00412FC5" w:rsidP="006409B6" w14:paraId="1C7D016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rsidR="00F83873">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737" w14:paraId="3317F56A" w14:textId="77777777">
      <w:r>
        <w:separator/>
      </w:r>
    </w:p>
  </w:footnote>
  <w:footnote w:type="continuationSeparator" w:id="1">
    <w:p w:rsidR="00DB2737" w:rsidP="00C721AC" w14:paraId="5236C496" w14:textId="77777777">
      <w:pPr>
        <w:spacing w:before="120"/>
        <w:rPr>
          <w:sz w:val="20"/>
        </w:rPr>
      </w:pPr>
      <w:r>
        <w:rPr>
          <w:sz w:val="20"/>
        </w:rPr>
        <w:t xml:space="preserve">(Continued from previous page)  </w:t>
      </w:r>
      <w:r>
        <w:rPr>
          <w:sz w:val="20"/>
        </w:rPr>
        <w:separator/>
      </w:r>
    </w:p>
  </w:footnote>
  <w:footnote w:type="continuationNotice" w:id="2">
    <w:p w:rsidR="00DB2737" w:rsidP="00C721AC" w14:paraId="70FD89CD" w14:textId="77777777">
      <w:pPr>
        <w:jc w:val="right"/>
        <w:rPr>
          <w:sz w:val="20"/>
        </w:rPr>
      </w:pPr>
      <w:r>
        <w:rPr>
          <w:sz w:val="20"/>
        </w:rPr>
        <w:t>(continued….)</w:t>
      </w:r>
    </w:p>
  </w:footnote>
  <w:footnote w:id="3">
    <w:p w:rsidR="00E97187" w:rsidP="006409B6" w14:paraId="08E961E2" w14:textId="2F554F1B">
      <w:pPr>
        <w:pStyle w:val="FootnoteText"/>
      </w:pPr>
      <w:r>
        <w:rPr>
          <w:rStyle w:val="FootnoteReference"/>
        </w:rPr>
        <w:footnoteRef/>
      </w:r>
      <w:r w:rsidR="00B36460">
        <w:rPr>
          <w:i/>
          <w:iCs/>
        </w:rPr>
        <w:t xml:space="preserve"> </w:t>
      </w:r>
      <w:r w:rsidRPr="00400001">
        <w:rPr>
          <w:i/>
          <w:iCs/>
        </w:rPr>
        <w:t>Amendment of Section 73.622(</w:t>
      </w:r>
      <w:r w:rsidR="004718FA">
        <w:rPr>
          <w:i/>
          <w:iCs/>
        </w:rPr>
        <w:t>i</w:t>
      </w:r>
      <w:r w:rsidRPr="00400001">
        <w:rPr>
          <w:i/>
          <w:iCs/>
        </w:rPr>
        <w:t xml:space="preserve">), </w:t>
      </w:r>
      <w:r w:rsidR="004718FA">
        <w:rPr>
          <w:i/>
          <w:iCs/>
        </w:rPr>
        <w:t xml:space="preserve">Post-Transition </w:t>
      </w:r>
      <w:r w:rsidRPr="00400001">
        <w:rPr>
          <w:i/>
          <w:iCs/>
        </w:rPr>
        <w:t xml:space="preserve">Table of </w:t>
      </w:r>
      <w:r w:rsidR="004718FA">
        <w:rPr>
          <w:i/>
          <w:iCs/>
        </w:rPr>
        <w:t xml:space="preserve">DTV </w:t>
      </w:r>
      <w:r w:rsidRPr="00400001">
        <w:rPr>
          <w:i/>
          <w:iCs/>
        </w:rPr>
        <w:t>Allotments, Television Stations (</w:t>
      </w:r>
      <w:r w:rsidR="00EC6436">
        <w:rPr>
          <w:i/>
          <w:iCs/>
        </w:rPr>
        <w:t>Weston</w:t>
      </w:r>
      <w:r w:rsidR="00C65811">
        <w:rPr>
          <w:i/>
          <w:iCs/>
        </w:rPr>
        <w:t xml:space="preserve">, </w:t>
      </w:r>
      <w:r w:rsidR="00EC6436">
        <w:rPr>
          <w:i/>
          <w:iCs/>
        </w:rPr>
        <w:t>West Virginia</w:t>
      </w:r>
      <w:r w:rsidRPr="00400001">
        <w:rPr>
          <w:i/>
          <w:iCs/>
        </w:rPr>
        <w:t>)</w:t>
      </w:r>
      <w:r>
        <w:t xml:space="preserve">, </w:t>
      </w:r>
      <w:r w:rsidR="006409B6">
        <w:t>MB Docket No. 2</w:t>
      </w:r>
      <w:r w:rsidR="00F47563">
        <w:t>2-</w:t>
      </w:r>
      <w:r w:rsidR="00EC6436">
        <w:t>112</w:t>
      </w:r>
      <w:r w:rsidR="006409B6">
        <w:t xml:space="preserve">, </w:t>
      </w:r>
      <w:r>
        <w:t>Notice of Proposed Rulemaking,</w:t>
      </w:r>
      <w:r w:rsidR="00C34A62">
        <w:t xml:space="preserve"> </w:t>
      </w:r>
      <w:r w:rsidR="00C65811">
        <w:t>DA 2</w:t>
      </w:r>
      <w:r w:rsidR="00AA25B3">
        <w:t>2-</w:t>
      </w:r>
      <w:r w:rsidR="000F052E">
        <w:t>240</w:t>
      </w:r>
      <w:r w:rsidR="00C65811">
        <w:t xml:space="preserve"> (rel. </w:t>
      </w:r>
      <w:r w:rsidR="00EC6436">
        <w:t>Mar. 9</w:t>
      </w:r>
      <w:r w:rsidR="00C65811">
        <w:t>, 202</w:t>
      </w:r>
      <w:r w:rsidR="00F972E6">
        <w:t>2</w:t>
      </w:r>
      <w:r w:rsidR="00C65811">
        <w:t>)</w:t>
      </w:r>
      <w:r>
        <w:t xml:space="preserve"> (</w:t>
      </w:r>
      <w:r w:rsidRPr="00400001">
        <w:rPr>
          <w:i/>
          <w:iCs/>
        </w:rPr>
        <w:t>NPRM</w:t>
      </w:r>
      <w:r>
        <w:t>).</w:t>
      </w:r>
      <w:r w:rsidR="004718FA">
        <w:t xml:space="preserve">  </w:t>
      </w:r>
    </w:p>
  </w:footnote>
  <w:footnote w:id="4">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5">
    <w:p w:rsidR="00FD7481" w:rsidP="00FD7481" w14:paraId="69E34B3C" w14:textId="4D51A1B3">
      <w:pPr>
        <w:pStyle w:val="FootnoteText"/>
        <w:widowControl w:val="0"/>
      </w:pPr>
      <w:r>
        <w:rPr>
          <w:rStyle w:val="FootnoteReference"/>
        </w:rPr>
        <w:footnoteRef/>
      </w:r>
      <w:r>
        <w:t xml:space="preserve"> </w:t>
      </w:r>
      <w:r w:rsidRPr="00902ECE" w:rsidR="00116560">
        <w:rPr>
          <w:i/>
          <w:iCs/>
        </w:rPr>
        <w:t>NPRM</w:t>
      </w:r>
      <w:r w:rsidR="00116560">
        <w:t xml:space="preserve"> at para. 2.</w:t>
      </w:r>
    </w:p>
  </w:footnote>
  <w:footnote w:id="6">
    <w:p w:rsidR="00EC736C" w:rsidP="00EC736C" w14:paraId="5858058D" w14:textId="222DFEDA">
      <w:pPr>
        <w:pStyle w:val="FootnoteText"/>
        <w:widowControl w:val="0"/>
      </w:pPr>
      <w:r>
        <w:rPr>
          <w:rStyle w:val="FootnoteReference"/>
        </w:rPr>
        <w:footnoteRef/>
      </w:r>
      <w:r>
        <w:t xml:space="preserve"> </w:t>
      </w:r>
      <w:r w:rsidR="00524D17">
        <w:t>Viewers in the loss area can obtain CBS programing from</w:t>
      </w:r>
      <w:r>
        <w:t xml:space="preserve"> </w:t>
      </w:r>
      <w:r w:rsidR="00524D17">
        <w:t>other</w:t>
      </w:r>
      <w:r>
        <w:t xml:space="preserve"> Nielsen Designated Market Areas</w:t>
      </w:r>
      <w:r w:rsidR="00524D17">
        <w:t xml:space="preserve"> including</w:t>
      </w:r>
      <w:r>
        <w:t xml:space="preserve"> Pittsburgh, Pennsylvania; Wheeling, West Virginia – Steubenville, Ohio; Parkersburg, West Virginia – Marietta, Ohio; and Huntington, West Virginia</w:t>
      </w:r>
      <w:r w:rsidR="00524D17">
        <w:t xml:space="preserve">.  When evaluating viewer loss </w:t>
      </w:r>
      <w:r>
        <w:t xml:space="preserve">Gray also took into account its licensed sister station WVFX (LMS File No. 0000179139, gr. Jan. 12, 2021), which is co-located with WDTV and carries CBS network programing on a multicast channel.  In addition, Gray relies on CBS programming carried on commonly owned and operated station WIYE-LD, Parkersburg, West Virginia.  We note that while low power television (LPTV) stations are secondary and can be displaced by full power television stations, </w:t>
      </w:r>
      <w:r w:rsidRPr="00570F7A">
        <w:t>we believe</w:t>
      </w:r>
      <w:r>
        <w:t xml:space="preserve"> </w:t>
      </w:r>
      <w:r w:rsidRPr="00570F7A">
        <w:t xml:space="preserve">it is unlikely that </w:t>
      </w:r>
      <w:r>
        <w:t>WIYE-LD</w:t>
      </w:r>
      <w:r w:rsidRPr="00570F7A">
        <w:t xml:space="preserve"> </w:t>
      </w:r>
      <w:r>
        <w:t>will</w:t>
      </w:r>
      <w:r w:rsidRPr="00570F7A">
        <w:t xml:space="preserve"> be displaced, and </w:t>
      </w:r>
      <w:r>
        <w:t xml:space="preserve">determined that there are multiple displacement channels available if it was displaced.  </w:t>
      </w:r>
      <w:r w:rsidRPr="00553C2D" w:rsidR="00524D17">
        <w:rPr>
          <w:i/>
          <w:iCs/>
        </w:rPr>
        <w:t>Id</w:t>
      </w:r>
      <w:r w:rsidR="00524D17">
        <w:t xml:space="preserve">. at para. 3 and n.5.  </w:t>
      </w:r>
    </w:p>
    <w:p w:rsidR="001D0CF5" w:rsidP="001D0CF5" w14:paraId="0883F707" w14:textId="43D9CA43">
      <w:pPr>
        <w:pStyle w:val="FootnoteText"/>
        <w:widowControl w:val="0"/>
      </w:pPr>
    </w:p>
  </w:footnote>
  <w:footnote w:id="7">
    <w:p w:rsidR="00016359" w:rsidP="00016359" w14:paraId="632E3912" w14:textId="77777777">
      <w:pPr>
        <w:pStyle w:val="FootnoteText"/>
        <w:widowControl w:val="0"/>
      </w:pPr>
      <w:r>
        <w:rPr>
          <w:rStyle w:val="FootnoteReference"/>
        </w:rPr>
        <w:footnoteRef/>
      </w:r>
      <w:r>
        <w:rPr>
          <w:i/>
          <w:iCs/>
        </w:rPr>
        <w:t xml:space="preserve"> </w:t>
      </w:r>
      <w:r>
        <w:t xml:space="preserve">The Commission is “generally most concerned where there is a loss of an area’s only network or NCE TV service, or where the loss results in an area becoming less that well-served, i.e., served by fewer than five full-power stations.” </w:t>
      </w:r>
      <w:r w:rsidRPr="001D25F4">
        <w:rPr>
          <w:i/>
          <w:iCs/>
        </w:rPr>
        <w:t>Third Periodic Review of the Commission’s Rules and Policies Affecting the Conversion to Digital Television</w:t>
      </w:r>
      <w:r w:rsidRPr="001D25F4">
        <w:t xml:space="preserve">, </w:t>
      </w:r>
      <w:r>
        <w:t xml:space="preserve">MB </w:t>
      </w:r>
      <w:r w:rsidRPr="001D25F4">
        <w:t xml:space="preserve">Docket No. </w:t>
      </w:r>
      <w:r>
        <w:t>07-91</w:t>
      </w:r>
      <w:r w:rsidRPr="001D25F4">
        <w:t xml:space="preserve">, Notice of Proposed Rulemaking, 22 FCC </w:t>
      </w:r>
      <w:r w:rsidRPr="001D25F4">
        <w:t>Rcd</w:t>
      </w:r>
      <w:r w:rsidRPr="001D25F4">
        <w:t xml:space="preserve"> 9478, 9493, para. 38</w:t>
      </w:r>
      <w:r>
        <w:t xml:space="preserve"> </w:t>
      </w:r>
      <w:r w:rsidRPr="001D25F4">
        <w:t>(2007</w:t>
      </w:r>
      <w:r>
        <w:t xml:space="preserve">).  </w:t>
      </w:r>
    </w:p>
  </w:footnote>
  <w:footnote w:id="8">
    <w:p w:rsidR="006A5693" w14:paraId="7312F3D4" w14:textId="45FE9D33">
      <w:pPr>
        <w:pStyle w:val="FootnoteText"/>
      </w:pPr>
      <w:r>
        <w:rPr>
          <w:rStyle w:val="FootnoteReference"/>
        </w:rPr>
        <w:footnoteRef/>
      </w:r>
      <w:r>
        <w:t xml:space="preserve"> </w:t>
      </w:r>
      <w:r w:rsidRPr="00553C2D">
        <w:rPr>
          <w:i/>
          <w:iCs/>
        </w:rPr>
        <w:t>Id</w:t>
      </w:r>
      <w:r>
        <w:t xml:space="preserve">. at para. 3;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p>
  </w:footnote>
  <w:footnote w:id="9">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0">
    <w:p w:rsidR="002E77F9" w:rsidP="002E77F9" w14:paraId="6E5BB264" w14:textId="0BE4E7FB">
      <w:pPr>
        <w:pStyle w:val="FootnoteText"/>
      </w:pPr>
      <w:r>
        <w:rPr>
          <w:rStyle w:val="FootnoteReference"/>
        </w:rPr>
        <w:footnoteRef/>
      </w:r>
      <w:r>
        <w:t xml:space="preserve"> </w:t>
      </w:r>
      <w:r w:rsidRPr="00E50821">
        <w:rPr>
          <w:i/>
          <w:iCs/>
        </w:rPr>
        <w:t>See supra</w:t>
      </w:r>
      <w:r>
        <w:t xml:space="preserve"> para. </w:t>
      </w:r>
      <w:r w:rsidR="00B335C8">
        <w:t>2</w:t>
      </w:r>
      <w:r>
        <w:t>.</w:t>
      </w:r>
    </w:p>
  </w:footnote>
  <w:footnote w:id="11">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2">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0C68A964">
    <w:pPr>
      <w:pStyle w:val="Header"/>
      <w:rPr>
        <w:b w:val="0"/>
      </w:rPr>
    </w:pPr>
    <w:r>
      <w:tab/>
      <w:t>Federal Communications Commission</w:t>
    </w:r>
    <w:r>
      <w:tab/>
    </w:r>
    <w:r w:rsidR="00E97187">
      <w:t xml:space="preserve">DA </w:t>
    </w:r>
    <w:r w:rsidR="00502F59">
      <w:t>22-</w:t>
    </w:r>
    <w:r w:rsidR="00F83873">
      <w:t>524</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1740DAF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 xml:space="preserve">DA </w:t>
    </w:r>
    <w:r w:rsidR="00502F59">
      <w:rPr>
        <w:spacing w:val="-2"/>
      </w:rPr>
      <w:t>22-</w:t>
    </w:r>
    <w:r w:rsidR="00F83873">
      <w:rPr>
        <w:spacing w:val="-2"/>
      </w:rPr>
      <w:t>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16359"/>
    <w:rsid w:val="00024DD6"/>
    <w:rsid w:val="000309C0"/>
    <w:rsid w:val="00031E32"/>
    <w:rsid w:val="00036039"/>
    <w:rsid w:val="0003658C"/>
    <w:rsid w:val="000376BF"/>
    <w:rsid w:val="00037F90"/>
    <w:rsid w:val="0005127D"/>
    <w:rsid w:val="00057AD2"/>
    <w:rsid w:val="00064BDF"/>
    <w:rsid w:val="000658A4"/>
    <w:rsid w:val="000709BB"/>
    <w:rsid w:val="00072DD6"/>
    <w:rsid w:val="0007735E"/>
    <w:rsid w:val="000817F1"/>
    <w:rsid w:val="000875BF"/>
    <w:rsid w:val="00092AB5"/>
    <w:rsid w:val="00096D8C"/>
    <w:rsid w:val="000A5931"/>
    <w:rsid w:val="000B6166"/>
    <w:rsid w:val="000C0B65"/>
    <w:rsid w:val="000C26D1"/>
    <w:rsid w:val="000C6457"/>
    <w:rsid w:val="000D67B8"/>
    <w:rsid w:val="000E05FE"/>
    <w:rsid w:val="000E3D42"/>
    <w:rsid w:val="000E3EFF"/>
    <w:rsid w:val="000F052E"/>
    <w:rsid w:val="000F1C60"/>
    <w:rsid w:val="001023E8"/>
    <w:rsid w:val="001032F9"/>
    <w:rsid w:val="00116560"/>
    <w:rsid w:val="00122BD5"/>
    <w:rsid w:val="00133F79"/>
    <w:rsid w:val="00146B1A"/>
    <w:rsid w:val="00150D37"/>
    <w:rsid w:val="0015218A"/>
    <w:rsid w:val="00154155"/>
    <w:rsid w:val="001542A1"/>
    <w:rsid w:val="0017296B"/>
    <w:rsid w:val="00175593"/>
    <w:rsid w:val="00190580"/>
    <w:rsid w:val="0019432C"/>
    <w:rsid w:val="00194A66"/>
    <w:rsid w:val="001A0147"/>
    <w:rsid w:val="001A6147"/>
    <w:rsid w:val="001B10DB"/>
    <w:rsid w:val="001B7E9E"/>
    <w:rsid w:val="001D0CF5"/>
    <w:rsid w:val="001D25F4"/>
    <w:rsid w:val="001D4184"/>
    <w:rsid w:val="001D6BCF"/>
    <w:rsid w:val="001E0027"/>
    <w:rsid w:val="001E01CA"/>
    <w:rsid w:val="001E63D8"/>
    <w:rsid w:val="001F07E1"/>
    <w:rsid w:val="001F5E8F"/>
    <w:rsid w:val="001F5F24"/>
    <w:rsid w:val="002004C8"/>
    <w:rsid w:val="00206D86"/>
    <w:rsid w:val="00222D2D"/>
    <w:rsid w:val="00234875"/>
    <w:rsid w:val="00251F30"/>
    <w:rsid w:val="002566E5"/>
    <w:rsid w:val="00275CF5"/>
    <w:rsid w:val="0028301F"/>
    <w:rsid w:val="00285017"/>
    <w:rsid w:val="00291754"/>
    <w:rsid w:val="002A1087"/>
    <w:rsid w:val="002A2D2E"/>
    <w:rsid w:val="002A5DE4"/>
    <w:rsid w:val="002A79DD"/>
    <w:rsid w:val="002C00E8"/>
    <w:rsid w:val="002C607F"/>
    <w:rsid w:val="002D4695"/>
    <w:rsid w:val="002E77F9"/>
    <w:rsid w:val="002F6E16"/>
    <w:rsid w:val="0031731D"/>
    <w:rsid w:val="0033517A"/>
    <w:rsid w:val="0033610A"/>
    <w:rsid w:val="00336DE4"/>
    <w:rsid w:val="00343749"/>
    <w:rsid w:val="0035052B"/>
    <w:rsid w:val="00351C35"/>
    <w:rsid w:val="003660ED"/>
    <w:rsid w:val="00367B19"/>
    <w:rsid w:val="00375199"/>
    <w:rsid w:val="00381DCA"/>
    <w:rsid w:val="003A688B"/>
    <w:rsid w:val="003B0550"/>
    <w:rsid w:val="003B2DD1"/>
    <w:rsid w:val="003B694F"/>
    <w:rsid w:val="003C109A"/>
    <w:rsid w:val="003C639A"/>
    <w:rsid w:val="003C78ED"/>
    <w:rsid w:val="003F171C"/>
    <w:rsid w:val="00400001"/>
    <w:rsid w:val="0040157D"/>
    <w:rsid w:val="0040460E"/>
    <w:rsid w:val="00412FC5"/>
    <w:rsid w:val="00422276"/>
    <w:rsid w:val="004242F1"/>
    <w:rsid w:val="00424EA6"/>
    <w:rsid w:val="00432B47"/>
    <w:rsid w:val="00436645"/>
    <w:rsid w:val="00445A00"/>
    <w:rsid w:val="00451B0F"/>
    <w:rsid w:val="004718FA"/>
    <w:rsid w:val="00471E93"/>
    <w:rsid w:val="00472840"/>
    <w:rsid w:val="00480BA5"/>
    <w:rsid w:val="00494BBF"/>
    <w:rsid w:val="004A57F0"/>
    <w:rsid w:val="004A63F5"/>
    <w:rsid w:val="004C2EE3"/>
    <w:rsid w:val="004D4DB7"/>
    <w:rsid w:val="004E4A22"/>
    <w:rsid w:val="004E716F"/>
    <w:rsid w:val="004F0BC4"/>
    <w:rsid w:val="00502F59"/>
    <w:rsid w:val="005077A3"/>
    <w:rsid w:val="00511968"/>
    <w:rsid w:val="00511E8C"/>
    <w:rsid w:val="00516A3F"/>
    <w:rsid w:val="00524D17"/>
    <w:rsid w:val="00553C2D"/>
    <w:rsid w:val="0055614C"/>
    <w:rsid w:val="00566D06"/>
    <w:rsid w:val="00570F7A"/>
    <w:rsid w:val="00586AF3"/>
    <w:rsid w:val="00590F45"/>
    <w:rsid w:val="005A3852"/>
    <w:rsid w:val="005E0314"/>
    <w:rsid w:val="005E14C2"/>
    <w:rsid w:val="005E1A37"/>
    <w:rsid w:val="005F2F3D"/>
    <w:rsid w:val="00601070"/>
    <w:rsid w:val="00607BA5"/>
    <w:rsid w:val="0061180A"/>
    <w:rsid w:val="00616F89"/>
    <w:rsid w:val="00617368"/>
    <w:rsid w:val="006241E4"/>
    <w:rsid w:val="00625FAE"/>
    <w:rsid w:val="00626EB6"/>
    <w:rsid w:val="006345A5"/>
    <w:rsid w:val="006409B6"/>
    <w:rsid w:val="00655D03"/>
    <w:rsid w:val="00665E6B"/>
    <w:rsid w:val="0067154C"/>
    <w:rsid w:val="006777C5"/>
    <w:rsid w:val="00683388"/>
    <w:rsid w:val="00683CEC"/>
    <w:rsid w:val="00683F84"/>
    <w:rsid w:val="006856D1"/>
    <w:rsid w:val="00691886"/>
    <w:rsid w:val="0069200D"/>
    <w:rsid w:val="006945ED"/>
    <w:rsid w:val="0069695A"/>
    <w:rsid w:val="006A5693"/>
    <w:rsid w:val="006A6A81"/>
    <w:rsid w:val="006C43FD"/>
    <w:rsid w:val="006D3720"/>
    <w:rsid w:val="006E0BDE"/>
    <w:rsid w:val="006E2ABD"/>
    <w:rsid w:val="006F4D4C"/>
    <w:rsid w:val="006F7393"/>
    <w:rsid w:val="0070224F"/>
    <w:rsid w:val="007115F7"/>
    <w:rsid w:val="00711A32"/>
    <w:rsid w:val="0071598A"/>
    <w:rsid w:val="00716576"/>
    <w:rsid w:val="00734172"/>
    <w:rsid w:val="00736502"/>
    <w:rsid w:val="00742FEA"/>
    <w:rsid w:val="007469D2"/>
    <w:rsid w:val="00752E7E"/>
    <w:rsid w:val="00755FC5"/>
    <w:rsid w:val="0076002E"/>
    <w:rsid w:val="00772675"/>
    <w:rsid w:val="00785689"/>
    <w:rsid w:val="007876AA"/>
    <w:rsid w:val="00792B09"/>
    <w:rsid w:val="0079754B"/>
    <w:rsid w:val="007A1E6D"/>
    <w:rsid w:val="007A7D14"/>
    <w:rsid w:val="007B0EB2"/>
    <w:rsid w:val="007C60E1"/>
    <w:rsid w:val="007D35F6"/>
    <w:rsid w:val="007E31D4"/>
    <w:rsid w:val="007F6ED0"/>
    <w:rsid w:val="00810B6F"/>
    <w:rsid w:val="00822CE0"/>
    <w:rsid w:val="00841AB1"/>
    <w:rsid w:val="00842702"/>
    <w:rsid w:val="008521B8"/>
    <w:rsid w:val="00852F57"/>
    <w:rsid w:val="008534B2"/>
    <w:rsid w:val="0085773E"/>
    <w:rsid w:val="00866173"/>
    <w:rsid w:val="00880D1D"/>
    <w:rsid w:val="00893C37"/>
    <w:rsid w:val="008972C6"/>
    <w:rsid w:val="008A5B1B"/>
    <w:rsid w:val="008A7F19"/>
    <w:rsid w:val="008B3E1E"/>
    <w:rsid w:val="008B4DE5"/>
    <w:rsid w:val="008C68F1"/>
    <w:rsid w:val="008E5616"/>
    <w:rsid w:val="008F6B08"/>
    <w:rsid w:val="008F6DAD"/>
    <w:rsid w:val="008F6F47"/>
    <w:rsid w:val="00902ECE"/>
    <w:rsid w:val="009043D2"/>
    <w:rsid w:val="009064B6"/>
    <w:rsid w:val="009078BE"/>
    <w:rsid w:val="009148A4"/>
    <w:rsid w:val="00921803"/>
    <w:rsid w:val="00924BBC"/>
    <w:rsid w:val="00926503"/>
    <w:rsid w:val="00936017"/>
    <w:rsid w:val="00941655"/>
    <w:rsid w:val="00952649"/>
    <w:rsid w:val="00953030"/>
    <w:rsid w:val="00954A55"/>
    <w:rsid w:val="009726D8"/>
    <w:rsid w:val="009803CE"/>
    <w:rsid w:val="009919F5"/>
    <w:rsid w:val="009A286F"/>
    <w:rsid w:val="009B46EC"/>
    <w:rsid w:val="009D7308"/>
    <w:rsid w:val="009F76DB"/>
    <w:rsid w:val="009F7981"/>
    <w:rsid w:val="00A10BD0"/>
    <w:rsid w:val="00A17D36"/>
    <w:rsid w:val="00A2491E"/>
    <w:rsid w:val="00A26DFA"/>
    <w:rsid w:val="00A32C3B"/>
    <w:rsid w:val="00A33210"/>
    <w:rsid w:val="00A369E2"/>
    <w:rsid w:val="00A40381"/>
    <w:rsid w:val="00A45F4F"/>
    <w:rsid w:val="00A600A9"/>
    <w:rsid w:val="00A6058D"/>
    <w:rsid w:val="00A651AA"/>
    <w:rsid w:val="00A755D3"/>
    <w:rsid w:val="00A85239"/>
    <w:rsid w:val="00AA25B3"/>
    <w:rsid w:val="00AA55B7"/>
    <w:rsid w:val="00AA5B9E"/>
    <w:rsid w:val="00AB2407"/>
    <w:rsid w:val="00AB4AEE"/>
    <w:rsid w:val="00AB53DF"/>
    <w:rsid w:val="00AE01F6"/>
    <w:rsid w:val="00AE423E"/>
    <w:rsid w:val="00AE585E"/>
    <w:rsid w:val="00B07E5C"/>
    <w:rsid w:val="00B11296"/>
    <w:rsid w:val="00B16B6E"/>
    <w:rsid w:val="00B2579A"/>
    <w:rsid w:val="00B335C8"/>
    <w:rsid w:val="00B36460"/>
    <w:rsid w:val="00B66A30"/>
    <w:rsid w:val="00B701AF"/>
    <w:rsid w:val="00B7763C"/>
    <w:rsid w:val="00B811F7"/>
    <w:rsid w:val="00B83842"/>
    <w:rsid w:val="00B92E3C"/>
    <w:rsid w:val="00BA5DC6"/>
    <w:rsid w:val="00BA6196"/>
    <w:rsid w:val="00BB297B"/>
    <w:rsid w:val="00BC0F09"/>
    <w:rsid w:val="00BC6D8C"/>
    <w:rsid w:val="00BD70E4"/>
    <w:rsid w:val="00BE6CEF"/>
    <w:rsid w:val="00BF0056"/>
    <w:rsid w:val="00BF0A68"/>
    <w:rsid w:val="00BF1B4B"/>
    <w:rsid w:val="00C11323"/>
    <w:rsid w:val="00C12F3A"/>
    <w:rsid w:val="00C2185E"/>
    <w:rsid w:val="00C34006"/>
    <w:rsid w:val="00C34A62"/>
    <w:rsid w:val="00C36B4C"/>
    <w:rsid w:val="00C42076"/>
    <w:rsid w:val="00C426B1"/>
    <w:rsid w:val="00C43340"/>
    <w:rsid w:val="00C43C45"/>
    <w:rsid w:val="00C53046"/>
    <w:rsid w:val="00C65811"/>
    <w:rsid w:val="00C66160"/>
    <w:rsid w:val="00C721AC"/>
    <w:rsid w:val="00C72A6A"/>
    <w:rsid w:val="00C738D7"/>
    <w:rsid w:val="00C802E6"/>
    <w:rsid w:val="00C85E24"/>
    <w:rsid w:val="00C869ED"/>
    <w:rsid w:val="00C87108"/>
    <w:rsid w:val="00C90D6A"/>
    <w:rsid w:val="00CA247E"/>
    <w:rsid w:val="00CA4457"/>
    <w:rsid w:val="00CA6563"/>
    <w:rsid w:val="00CA6D21"/>
    <w:rsid w:val="00CA77CA"/>
    <w:rsid w:val="00CB0283"/>
    <w:rsid w:val="00CC72B6"/>
    <w:rsid w:val="00CF3A61"/>
    <w:rsid w:val="00CF65F3"/>
    <w:rsid w:val="00D0218D"/>
    <w:rsid w:val="00D139C5"/>
    <w:rsid w:val="00D216C3"/>
    <w:rsid w:val="00D21ECE"/>
    <w:rsid w:val="00D25FB5"/>
    <w:rsid w:val="00D3417F"/>
    <w:rsid w:val="00D4006E"/>
    <w:rsid w:val="00D44223"/>
    <w:rsid w:val="00D55227"/>
    <w:rsid w:val="00D56707"/>
    <w:rsid w:val="00D711F6"/>
    <w:rsid w:val="00D7252C"/>
    <w:rsid w:val="00D7585F"/>
    <w:rsid w:val="00D80309"/>
    <w:rsid w:val="00D84D96"/>
    <w:rsid w:val="00D867A7"/>
    <w:rsid w:val="00DA2529"/>
    <w:rsid w:val="00DA6018"/>
    <w:rsid w:val="00DB130A"/>
    <w:rsid w:val="00DB1F56"/>
    <w:rsid w:val="00DB2737"/>
    <w:rsid w:val="00DB2EBB"/>
    <w:rsid w:val="00DB6A95"/>
    <w:rsid w:val="00DC024A"/>
    <w:rsid w:val="00DC10A1"/>
    <w:rsid w:val="00DC28AB"/>
    <w:rsid w:val="00DC4645"/>
    <w:rsid w:val="00DC655F"/>
    <w:rsid w:val="00DC699B"/>
    <w:rsid w:val="00DD0B59"/>
    <w:rsid w:val="00DD2E71"/>
    <w:rsid w:val="00DD64D6"/>
    <w:rsid w:val="00DD7EBD"/>
    <w:rsid w:val="00DE27DE"/>
    <w:rsid w:val="00DE70C9"/>
    <w:rsid w:val="00DF62B6"/>
    <w:rsid w:val="00E0405C"/>
    <w:rsid w:val="00E07225"/>
    <w:rsid w:val="00E208EC"/>
    <w:rsid w:val="00E260F8"/>
    <w:rsid w:val="00E3141D"/>
    <w:rsid w:val="00E319DF"/>
    <w:rsid w:val="00E474AA"/>
    <w:rsid w:val="00E50821"/>
    <w:rsid w:val="00E5409F"/>
    <w:rsid w:val="00E8079C"/>
    <w:rsid w:val="00E819AC"/>
    <w:rsid w:val="00E91504"/>
    <w:rsid w:val="00E9514A"/>
    <w:rsid w:val="00E97187"/>
    <w:rsid w:val="00EA0A8B"/>
    <w:rsid w:val="00EB6D5F"/>
    <w:rsid w:val="00EC2856"/>
    <w:rsid w:val="00EC5F55"/>
    <w:rsid w:val="00EC6436"/>
    <w:rsid w:val="00EC736C"/>
    <w:rsid w:val="00EE0047"/>
    <w:rsid w:val="00EE6488"/>
    <w:rsid w:val="00EF48D8"/>
    <w:rsid w:val="00F021FA"/>
    <w:rsid w:val="00F0767B"/>
    <w:rsid w:val="00F0783D"/>
    <w:rsid w:val="00F23FF8"/>
    <w:rsid w:val="00F372C7"/>
    <w:rsid w:val="00F41DC1"/>
    <w:rsid w:val="00F466AA"/>
    <w:rsid w:val="00F47563"/>
    <w:rsid w:val="00F61B15"/>
    <w:rsid w:val="00F62E97"/>
    <w:rsid w:val="00F64209"/>
    <w:rsid w:val="00F67CD2"/>
    <w:rsid w:val="00F83873"/>
    <w:rsid w:val="00F86933"/>
    <w:rsid w:val="00F9262B"/>
    <w:rsid w:val="00F93BF5"/>
    <w:rsid w:val="00F972E6"/>
    <w:rsid w:val="00FA07F6"/>
    <w:rsid w:val="00FA4C43"/>
    <w:rsid w:val="00FB1EE4"/>
    <w:rsid w:val="00FB4302"/>
    <w:rsid w:val="00FC0606"/>
    <w:rsid w:val="00FC350D"/>
    <w:rsid w:val="00FD3720"/>
    <w:rsid w:val="00FD7481"/>
    <w:rsid w:val="00FE7B78"/>
    <w:rsid w:val="00FF167F"/>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73"/>
    <w:pPr>
      <w:widowControl w:val="0"/>
    </w:pPr>
    <w:rPr>
      <w:snapToGrid w:val="0"/>
      <w:kern w:val="28"/>
      <w:sz w:val="22"/>
    </w:rPr>
  </w:style>
  <w:style w:type="paragraph" w:styleId="Heading1">
    <w:name w:val="heading 1"/>
    <w:basedOn w:val="Normal"/>
    <w:next w:val="ParaNum"/>
    <w:qFormat/>
    <w:rsid w:val="00F838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3873"/>
    <w:pPr>
      <w:keepNext/>
      <w:numPr>
        <w:ilvl w:val="1"/>
        <w:numId w:val="3"/>
      </w:numPr>
      <w:spacing w:after="120"/>
      <w:outlineLvl w:val="1"/>
    </w:pPr>
    <w:rPr>
      <w:b/>
    </w:rPr>
  </w:style>
  <w:style w:type="paragraph" w:styleId="Heading3">
    <w:name w:val="heading 3"/>
    <w:basedOn w:val="Normal"/>
    <w:next w:val="ParaNum"/>
    <w:qFormat/>
    <w:rsid w:val="00F83873"/>
    <w:pPr>
      <w:keepNext/>
      <w:numPr>
        <w:ilvl w:val="2"/>
        <w:numId w:val="3"/>
      </w:numPr>
      <w:tabs>
        <w:tab w:val="left" w:pos="2160"/>
      </w:tabs>
      <w:spacing w:after="120"/>
      <w:outlineLvl w:val="2"/>
    </w:pPr>
    <w:rPr>
      <w:b/>
    </w:rPr>
  </w:style>
  <w:style w:type="paragraph" w:styleId="Heading4">
    <w:name w:val="heading 4"/>
    <w:basedOn w:val="Normal"/>
    <w:next w:val="ParaNum"/>
    <w:qFormat/>
    <w:rsid w:val="00F83873"/>
    <w:pPr>
      <w:keepNext/>
      <w:numPr>
        <w:ilvl w:val="3"/>
        <w:numId w:val="3"/>
      </w:numPr>
      <w:tabs>
        <w:tab w:val="left" w:pos="2880"/>
      </w:tabs>
      <w:spacing w:after="120"/>
      <w:outlineLvl w:val="3"/>
    </w:pPr>
    <w:rPr>
      <w:b/>
    </w:rPr>
  </w:style>
  <w:style w:type="paragraph" w:styleId="Heading5">
    <w:name w:val="heading 5"/>
    <w:basedOn w:val="Normal"/>
    <w:next w:val="ParaNum"/>
    <w:qFormat/>
    <w:rsid w:val="00F8387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3873"/>
    <w:pPr>
      <w:numPr>
        <w:ilvl w:val="5"/>
        <w:numId w:val="3"/>
      </w:numPr>
      <w:tabs>
        <w:tab w:val="left" w:pos="4320"/>
      </w:tabs>
      <w:spacing w:after="120"/>
      <w:outlineLvl w:val="5"/>
    </w:pPr>
    <w:rPr>
      <w:b/>
    </w:rPr>
  </w:style>
  <w:style w:type="paragraph" w:styleId="Heading7">
    <w:name w:val="heading 7"/>
    <w:basedOn w:val="Normal"/>
    <w:next w:val="ParaNum"/>
    <w:qFormat/>
    <w:rsid w:val="00F838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38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38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38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3873"/>
  </w:style>
  <w:style w:type="paragraph" w:customStyle="1" w:styleId="ParaNum">
    <w:name w:val="ParaNum"/>
    <w:basedOn w:val="Normal"/>
    <w:link w:val="ParaNumChar1"/>
    <w:rsid w:val="00F83873"/>
    <w:pPr>
      <w:numPr>
        <w:numId w:val="2"/>
      </w:numPr>
      <w:tabs>
        <w:tab w:val="clear" w:pos="1080"/>
        <w:tab w:val="num" w:pos="1440"/>
      </w:tabs>
      <w:spacing w:after="120"/>
    </w:pPr>
  </w:style>
  <w:style w:type="paragraph" w:styleId="EndnoteText">
    <w:name w:val="endnote text"/>
    <w:basedOn w:val="Normal"/>
    <w:semiHidden/>
    <w:rsid w:val="00F83873"/>
    <w:rPr>
      <w:sz w:val="20"/>
    </w:rPr>
  </w:style>
  <w:style w:type="character" w:styleId="EndnoteReference">
    <w:name w:val="endnote reference"/>
    <w:semiHidden/>
    <w:rsid w:val="00F83873"/>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F83873"/>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83873"/>
    <w:rPr>
      <w:rFonts w:ascii="Times New Roman" w:hAnsi="Times New Roman"/>
      <w:dstrike w:val="0"/>
      <w:color w:val="auto"/>
      <w:sz w:val="20"/>
      <w:vertAlign w:val="superscript"/>
    </w:rPr>
  </w:style>
  <w:style w:type="paragraph" w:styleId="TOC1">
    <w:name w:val="toc 1"/>
    <w:basedOn w:val="Normal"/>
    <w:next w:val="Normal"/>
    <w:semiHidden/>
    <w:rsid w:val="00F838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3873"/>
    <w:pPr>
      <w:tabs>
        <w:tab w:val="left" w:pos="720"/>
        <w:tab w:val="right" w:leader="dot" w:pos="9360"/>
      </w:tabs>
      <w:suppressAutoHyphens/>
      <w:ind w:left="720" w:right="720" w:hanging="360"/>
    </w:pPr>
    <w:rPr>
      <w:noProof/>
    </w:rPr>
  </w:style>
  <w:style w:type="paragraph" w:styleId="TOC3">
    <w:name w:val="toc 3"/>
    <w:basedOn w:val="Normal"/>
    <w:next w:val="Normal"/>
    <w:semiHidden/>
    <w:rsid w:val="00F838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38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38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38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38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38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38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3873"/>
    <w:pPr>
      <w:tabs>
        <w:tab w:val="right" w:pos="9360"/>
      </w:tabs>
      <w:suppressAutoHyphens/>
    </w:pPr>
  </w:style>
  <w:style w:type="character" w:customStyle="1" w:styleId="EquationCaption">
    <w:name w:val="_Equation Caption"/>
    <w:rsid w:val="00F83873"/>
  </w:style>
  <w:style w:type="paragraph" w:styleId="Header">
    <w:name w:val="header"/>
    <w:basedOn w:val="Normal"/>
    <w:autoRedefine/>
    <w:rsid w:val="00F83873"/>
    <w:pPr>
      <w:tabs>
        <w:tab w:val="center" w:pos="4680"/>
        <w:tab w:val="right" w:pos="9360"/>
      </w:tabs>
    </w:pPr>
    <w:rPr>
      <w:b/>
    </w:rPr>
  </w:style>
  <w:style w:type="paragraph" w:styleId="Footer">
    <w:name w:val="footer"/>
    <w:basedOn w:val="Normal"/>
    <w:link w:val="FooterChar"/>
    <w:uiPriority w:val="99"/>
    <w:rsid w:val="00F83873"/>
    <w:pPr>
      <w:tabs>
        <w:tab w:val="center" w:pos="4320"/>
        <w:tab w:val="right" w:pos="8640"/>
      </w:tabs>
    </w:pPr>
  </w:style>
  <w:style w:type="character" w:styleId="PageNumber">
    <w:name w:val="page number"/>
    <w:basedOn w:val="DefaultParagraphFont"/>
    <w:rsid w:val="00F83873"/>
  </w:style>
  <w:style w:type="paragraph" w:styleId="BlockText">
    <w:name w:val="Block Text"/>
    <w:basedOn w:val="Normal"/>
    <w:rsid w:val="00F83873"/>
    <w:pPr>
      <w:spacing w:after="240"/>
      <w:ind w:left="1440" w:right="1440"/>
    </w:pPr>
  </w:style>
  <w:style w:type="paragraph" w:customStyle="1" w:styleId="Paratitle">
    <w:name w:val="Para title"/>
    <w:basedOn w:val="Normal"/>
    <w:rsid w:val="00F83873"/>
    <w:pPr>
      <w:tabs>
        <w:tab w:val="center" w:pos="9270"/>
      </w:tabs>
      <w:spacing w:after="240"/>
    </w:pPr>
    <w:rPr>
      <w:spacing w:val="-2"/>
    </w:rPr>
  </w:style>
  <w:style w:type="paragraph" w:customStyle="1" w:styleId="Bullet">
    <w:name w:val="Bullet"/>
    <w:basedOn w:val="Normal"/>
    <w:rsid w:val="00F83873"/>
    <w:pPr>
      <w:tabs>
        <w:tab w:val="left" w:pos="2160"/>
      </w:tabs>
      <w:spacing w:after="220"/>
      <w:ind w:left="2160" w:hanging="720"/>
    </w:pPr>
  </w:style>
  <w:style w:type="paragraph" w:customStyle="1" w:styleId="TableFormat">
    <w:name w:val="TableFormat"/>
    <w:basedOn w:val="Bullet"/>
    <w:rsid w:val="00F83873"/>
    <w:pPr>
      <w:tabs>
        <w:tab w:val="clear" w:pos="2160"/>
        <w:tab w:val="left" w:pos="5040"/>
      </w:tabs>
      <w:ind w:left="5040" w:hanging="3600"/>
    </w:pPr>
  </w:style>
  <w:style w:type="paragraph" w:customStyle="1" w:styleId="TOCTitle">
    <w:name w:val="TOC Title"/>
    <w:basedOn w:val="Normal"/>
    <w:rsid w:val="00F838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3873"/>
    <w:pPr>
      <w:jc w:val="center"/>
    </w:pPr>
    <w:rPr>
      <w:rFonts w:ascii="Times New Roman Bold" w:hAnsi="Times New Roman Bold"/>
      <w:b/>
      <w:bCs/>
      <w:caps/>
      <w:szCs w:val="22"/>
    </w:rPr>
  </w:style>
  <w:style w:type="character" w:styleId="Hyperlink">
    <w:name w:val="Hyperlink"/>
    <w:rsid w:val="00F83873"/>
    <w:rPr>
      <w:color w:val="0000FF"/>
      <w:u w:val="single"/>
    </w:rPr>
  </w:style>
  <w:style w:type="character" w:customStyle="1" w:styleId="FooterChar">
    <w:name w:val="Footer Char"/>
    <w:link w:val="Footer"/>
    <w:uiPriority w:val="99"/>
    <w:rsid w:val="00F83873"/>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0D67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