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14BC949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9D69ED" w:rsidP="009D69ED" w14:paraId="219D82F5" w14:textId="436A88AE">
      <w:pPr>
        <w:ind w:left="7200"/>
        <w:rPr>
          <w:b/>
          <w:color w:val="000000"/>
          <w:szCs w:val="22"/>
        </w:rPr>
      </w:pPr>
      <w:r w:rsidRPr="00376464">
        <w:rPr>
          <w:b/>
          <w:color w:val="000000"/>
          <w:szCs w:val="22"/>
        </w:rPr>
        <w:t>DA 2</w:t>
      </w:r>
      <w:r w:rsidR="006D53B8">
        <w:rPr>
          <w:b/>
          <w:color w:val="000000"/>
          <w:szCs w:val="22"/>
        </w:rPr>
        <w:t>2-</w:t>
      </w:r>
      <w:r w:rsidR="00F81960">
        <w:rPr>
          <w:b/>
          <w:color w:val="000000"/>
          <w:szCs w:val="22"/>
        </w:rPr>
        <w:t>527</w:t>
      </w:r>
    </w:p>
    <w:p w:rsidR="00376464" w:rsidRPr="00376464" w:rsidP="009D69ED" w14:paraId="32B5AE85" w14:textId="77777777">
      <w:pPr>
        <w:ind w:left="7200"/>
        <w:rPr>
          <w:b/>
          <w:color w:val="000000"/>
          <w:szCs w:val="22"/>
        </w:rPr>
      </w:pPr>
      <w:r>
        <w:rPr>
          <w:b/>
          <w:color w:val="000000"/>
          <w:szCs w:val="22"/>
        </w:rPr>
        <w:t xml:space="preserve">May </w:t>
      </w:r>
      <w:r w:rsidR="001151C9">
        <w:rPr>
          <w:b/>
          <w:color w:val="000000"/>
          <w:szCs w:val="22"/>
        </w:rPr>
        <w:t>12</w:t>
      </w:r>
      <w:r w:rsidRPr="00376464" w:rsidR="006D6B63">
        <w:rPr>
          <w:b/>
          <w:color w:val="000000"/>
          <w:szCs w:val="22"/>
        </w:rPr>
        <w:t>, 202</w:t>
      </w:r>
      <w:r w:rsidR="00E749E0">
        <w:rPr>
          <w:b/>
          <w:color w:val="000000"/>
          <w:szCs w:val="22"/>
        </w:rPr>
        <w:t>2</w:t>
      </w:r>
    </w:p>
    <w:p w:rsidR="00376464" w:rsidRPr="00376464" w:rsidP="00376464" w14:paraId="7EF50306" w14:textId="77777777">
      <w:pPr>
        <w:spacing w:before="60"/>
        <w:jc w:val="right"/>
        <w:rPr>
          <w:b/>
          <w:color w:val="000000"/>
          <w:szCs w:val="22"/>
        </w:rPr>
      </w:pPr>
    </w:p>
    <w:p w:rsidR="006548DD" w:rsidP="00376464" w14:paraId="1881EDCD" w14:textId="77777777">
      <w:pPr>
        <w:jc w:val="center"/>
        <w:rPr>
          <w:b/>
          <w:color w:val="000000"/>
          <w:szCs w:val="22"/>
        </w:rPr>
      </w:pPr>
      <w:r>
        <w:rPr>
          <w:b/>
          <w:color w:val="000000"/>
          <w:szCs w:val="22"/>
        </w:rPr>
        <w:t xml:space="preserve">DOMESTIC 214 APPLICATION GRANTED FOR THE TRANSFER </w:t>
      </w:r>
      <w:r w:rsidRPr="00376464" w:rsidR="006D6B63">
        <w:rPr>
          <w:b/>
          <w:color w:val="000000"/>
          <w:szCs w:val="22"/>
        </w:rPr>
        <w:t>OF</w:t>
      </w:r>
    </w:p>
    <w:p w:rsidR="003A7FA9" w:rsidRPr="003A7FA9" w:rsidP="003A7FA9" w14:paraId="4B8C853F" w14:textId="77777777">
      <w:pPr>
        <w:jc w:val="center"/>
        <w:rPr>
          <w:b/>
          <w:bCs/>
          <w:color w:val="000000"/>
          <w:szCs w:val="22"/>
        </w:rPr>
      </w:pPr>
      <w:r w:rsidRPr="003A7FA9">
        <w:rPr>
          <w:b/>
          <w:bCs/>
          <w:color w:val="000000"/>
          <w:szCs w:val="22"/>
        </w:rPr>
        <w:t xml:space="preserve">ENA HEALTHCARE SERVICES, LLC AND ENA SERVICES, LLC </w:t>
      </w:r>
    </w:p>
    <w:p w:rsidR="00376464" w:rsidRPr="00376464" w:rsidP="003A7FA9" w14:paraId="68E0AF6E" w14:textId="77777777">
      <w:pPr>
        <w:jc w:val="center"/>
        <w:rPr>
          <w:b/>
          <w:color w:val="000000"/>
          <w:szCs w:val="22"/>
        </w:rPr>
      </w:pPr>
      <w:r w:rsidRPr="003A7FA9">
        <w:rPr>
          <w:b/>
          <w:bCs/>
          <w:color w:val="000000"/>
          <w:szCs w:val="22"/>
        </w:rPr>
        <w:t>TO ZAYO GROUP, LLC</w:t>
      </w:r>
      <w:r w:rsidRPr="00376464" w:rsidR="006D6B63">
        <w:rPr>
          <w:b/>
          <w:color w:val="000000"/>
          <w:szCs w:val="22"/>
        </w:rPr>
        <w:t xml:space="preserve"> </w:t>
      </w:r>
    </w:p>
    <w:p w:rsidR="00376464" w:rsidRPr="00376464" w:rsidP="00376464" w14:paraId="0EB6FE3C" w14:textId="77777777">
      <w:pPr>
        <w:jc w:val="right"/>
        <w:rPr>
          <w:b/>
          <w:color w:val="000000"/>
          <w:szCs w:val="22"/>
        </w:rPr>
      </w:pPr>
    </w:p>
    <w:p w:rsidR="00376464" w:rsidRPr="00376464" w:rsidP="00376464" w14:paraId="1D43ED29" w14:textId="77777777">
      <w:pPr>
        <w:widowControl w:val="0"/>
        <w:jc w:val="center"/>
        <w:rPr>
          <w:b/>
          <w:szCs w:val="22"/>
        </w:rPr>
      </w:pPr>
      <w:r w:rsidRPr="00376464">
        <w:rPr>
          <w:b/>
          <w:color w:val="000000"/>
          <w:szCs w:val="22"/>
        </w:rPr>
        <w:t xml:space="preserve">WC Docket No. </w:t>
      </w:r>
      <w:r w:rsidRPr="00376464">
        <w:rPr>
          <w:b/>
          <w:szCs w:val="22"/>
        </w:rPr>
        <w:t>2</w:t>
      </w:r>
      <w:r w:rsidR="001835A9">
        <w:rPr>
          <w:b/>
          <w:szCs w:val="22"/>
        </w:rPr>
        <w:t>2-111</w:t>
      </w:r>
    </w:p>
    <w:p w:rsidR="00376464" w:rsidRPr="00376464" w:rsidP="00376464" w14:paraId="51EDFB8F" w14:textId="77777777">
      <w:pPr>
        <w:widowControl w:val="0"/>
        <w:jc w:val="center"/>
        <w:rPr>
          <w:b/>
          <w:szCs w:val="22"/>
        </w:rPr>
      </w:pPr>
    </w:p>
    <w:p w:rsidR="007C222F" w:rsidRPr="007C222F" w:rsidP="007C222F" w14:paraId="31D88999" w14:textId="77777777">
      <w:pPr>
        <w:autoSpaceDE w:val="0"/>
        <w:autoSpaceDN w:val="0"/>
        <w:adjustRightInd w:val="0"/>
        <w:spacing w:after="120"/>
        <w:ind w:firstLine="720"/>
        <w:rPr>
          <w:szCs w:val="22"/>
        </w:rPr>
      </w:pPr>
      <w:r w:rsidRPr="00EA09BE">
        <w:rPr>
          <w:szCs w:val="22"/>
        </w:rPr>
        <w:t xml:space="preserve">By this Public Notice, the Wireline Competition Bureau </w:t>
      </w:r>
      <w:r>
        <w:rPr>
          <w:szCs w:val="22"/>
        </w:rPr>
        <w:t>grants</w:t>
      </w:r>
      <w:r w:rsidRPr="00EA09BE">
        <w:rPr>
          <w:szCs w:val="22"/>
        </w:rPr>
        <w:t xml:space="preserve"> </w:t>
      </w:r>
      <w:r>
        <w:rPr>
          <w:szCs w:val="22"/>
        </w:rPr>
        <w:t xml:space="preserve">the </w:t>
      </w:r>
      <w:r w:rsidRPr="007C222F">
        <w:rPr>
          <w:szCs w:val="22"/>
        </w:rPr>
        <w:t xml:space="preserve">application filed by </w:t>
      </w:r>
      <w:bookmarkStart w:id="1" w:name="_Hlk87961388"/>
      <w:bookmarkStart w:id="2" w:name="_Hlk73713070"/>
      <w:bookmarkStart w:id="3" w:name="_Hlk67917977"/>
      <w:r w:rsidRPr="007C222F">
        <w:rPr>
          <w:szCs w:val="22"/>
        </w:rPr>
        <w:t>Commodore Intermediate Holdco, LLC (Commodore) and its indirect wholly-owned subsidiaries, ENA Healthcare Services, LLC (ENA Healthcare) and ENA Services, LLC (ENA Services) (together, ENA Subsidiaries), and Zayo Group, LLC (ZGL or Transferee)</w:t>
      </w:r>
      <w:bookmarkEnd w:id="1"/>
      <w:r w:rsidRPr="007C222F">
        <w:rPr>
          <w:szCs w:val="22"/>
        </w:rPr>
        <w:t xml:space="preserve"> (Commodore, ENA Subsidiaries, and ZGL, collectively, Applicants), pursuant to section 214 of the Communications Act of 1934, as amended, and sections 63.03-04 of the Commission’s rules, requesting consent to transfer indirect control of </w:t>
      </w:r>
      <w:bookmarkEnd w:id="2"/>
      <w:bookmarkEnd w:id="3"/>
      <w:r w:rsidRPr="007C222F">
        <w:rPr>
          <w:szCs w:val="22"/>
        </w:rPr>
        <w:t xml:space="preserve">the ENA Subsidiaries </w:t>
      </w:r>
      <w:r w:rsidR="001151C9">
        <w:rPr>
          <w:szCs w:val="22"/>
        </w:rPr>
        <w:t xml:space="preserve">from Commodore </w:t>
      </w:r>
      <w:r w:rsidRPr="007C222F">
        <w:rPr>
          <w:szCs w:val="22"/>
        </w:rPr>
        <w:t>to ZGL.</w:t>
      </w:r>
      <w:r>
        <w:rPr>
          <w:szCs w:val="22"/>
          <w:vertAlign w:val="superscript"/>
        </w:rPr>
        <w:footnoteReference w:id="3"/>
      </w:r>
    </w:p>
    <w:p w:rsidR="00366B20" w:rsidP="001173A2" w14:paraId="5B237498" w14:textId="77777777">
      <w:pPr>
        <w:autoSpaceDE w:val="0"/>
        <w:autoSpaceDN w:val="0"/>
        <w:adjustRightInd w:val="0"/>
        <w:spacing w:after="120"/>
        <w:ind w:firstLine="720"/>
        <w:rPr>
          <w:snapToGrid w:val="0"/>
          <w:color w:val="000000"/>
          <w:kern w:val="28"/>
          <w:szCs w:val="22"/>
        </w:rPr>
      </w:pPr>
      <w:r w:rsidRPr="00186CBD">
        <w:rPr>
          <w:snapToGrid w:val="0"/>
          <w:color w:val="000000"/>
          <w:kern w:val="28"/>
          <w:szCs w:val="24"/>
        </w:rPr>
        <w:t>On</w:t>
      </w:r>
      <w:r w:rsidR="00794F64">
        <w:rPr>
          <w:snapToGrid w:val="0"/>
          <w:color w:val="000000"/>
          <w:kern w:val="28"/>
          <w:szCs w:val="24"/>
        </w:rPr>
        <w:t xml:space="preserve"> March 23, 2022</w:t>
      </w:r>
      <w:r w:rsidRPr="00186CBD">
        <w:rPr>
          <w:snapToGrid w:val="0"/>
          <w:color w:val="000000"/>
          <w:kern w:val="28"/>
          <w:szCs w:val="24"/>
        </w:rPr>
        <w:t xml:space="preserve">, </w:t>
      </w:r>
      <w:r w:rsidRPr="00186CBD">
        <w:rPr>
          <w:snapToGrid w:val="0"/>
          <w:color w:val="000000"/>
          <w:kern w:val="28"/>
        </w:rPr>
        <w:t xml:space="preserve">the Bureau released a public notice seeking comment on the </w:t>
      </w:r>
      <w:r w:rsidR="005C32F3">
        <w:rPr>
          <w:snapToGrid w:val="0"/>
          <w:color w:val="000000"/>
          <w:kern w:val="28"/>
        </w:rPr>
        <w:t>A</w:t>
      </w:r>
      <w:r w:rsidRPr="00186CBD">
        <w:rPr>
          <w:snapToGrid w:val="0"/>
          <w:color w:val="000000"/>
          <w:kern w:val="28"/>
        </w:rPr>
        <w:t>pplication</w:t>
      </w:r>
      <w:r w:rsidRPr="00186CBD">
        <w:rPr>
          <w:snapToGrid w:val="0"/>
          <w:color w:val="000000"/>
          <w:kern w:val="28"/>
          <w:szCs w:val="22"/>
        </w:rPr>
        <w:t>.</w:t>
      </w:r>
      <w:r>
        <w:rPr>
          <w:snapToGrid w:val="0"/>
          <w:kern w:val="28"/>
          <w:szCs w:val="22"/>
          <w:vertAlign w:val="superscript"/>
        </w:rPr>
        <w:footnoteReference w:id="4"/>
      </w:r>
      <w:r w:rsidRPr="00186CBD">
        <w:rPr>
          <w:snapToGrid w:val="0"/>
          <w:color w:val="000000"/>
          <w:kern w:val="28"/>
          <w:szCs w:val="22"/>
        </w:rPr>
        <w:t xml:space="preserve">  No party filed comments in opposition to a grant of the Applicatio</w:t>
      </w:r>
      <w:r w:rsidR="00B700C9">
        <w:rPr>
          <w:snapToGrid w:val="0"/>
          <w:color w:val="000000"/>
          <w:kern w:val="28"/>
          <w:szCs w:val="22"/>
        </w:rPr>
        <w:t>n</w:t>
      </w:r>
      <w:r w:rsidR="00E92B8E">
        <w:rPr>
          <w:snapToGrid w:val="0"/>
          <w:color w:val="000000"/>
          <w:kern w:val="28"/>
          <w:szCs w:val="22"/>
        </w:rPr>
        <w:t>.</w:t>
      </w:r>
      <w:r w:rsidR="0008542F">
        <w:rPr>
          <w:snapToGrid w:val="0"/>
          <w:color w:val="000000"/>
          <w:kern w:val="28"/>
          <w:szCs w:val="22"/>
        </w:rPr>
        <w:t xml:space="preserve">  </w:t>
      </w:r>
      <w:r w:rsidR="00E92B8E">
        <w:rPr>
          <w:snapToGrid w:val="0"/>
          <w:color w:val="000000"/>
          <w:kern w:val="28"/>
          <w:szCs w:val="22"/>
        </w:rPr>
        <w:t>T</w:t>
      </w:r>
      <w:r w:rsidRPr="00186CBD">
        <w:rPr>
          <w:snapToGrid w:val="0"/>
          <w:color w:val="000000"/>
          <w:kern w:val="28"/>
          <w:szCs w:val="22"/>
        </w:rPr>
        <w:t xml:space="preserve">he Bureau </w:t>
      </w:r>
      <w:r w:rsidRPr="00186CBD">
        <w:rPr>
          <w:snapToGrid w:val="0"/>
          <w:color w:val="000000"/>
          <w:kern w:val="28"/>
          <w:szCs w:val="22"/>
        </w:rPr>
        <w:t>finds, upon consideration of the record, that granting the Application will serve the public interest, convenience, and necessity.</w:t>
      </w:r>
      <w:r>
        <w:rPr>
          <w:snapToGrid w:val="0"/>
          <w:kern w:val="28"/>
          <w:szCs w:val="22"/>
          <w:vertAlign w:val="superscript"/>
        </w:rPr>
        <w:footnoteReference w:id="5"/>
      </w:r>
      <w:r w:rsidRPr="00186CBD">
        <w:rPr>
          <w:snapToGrid w:val="0"/>
          <w:color w:val="000000"/>
          <w:kern w:val="28"/>
          <w:szCs w:val="22"/>
        </w:rPr>
        <w:t xml:space="preserve">  </w:t>
      </w:r>
    </w:p>
    <w:p w:rsidR="00186CBD" w:rsidP="001173A2" w14:paraId="7A3CC607" w14:textId="77777777">
      <w:pPr>
        <w:autoSpaceDE w:val="0"/>
        <w:autoSpaceDN w:val="0"/>
        <w:adjustRightInd w:val="0"/>
        <w:spacing w:after="120"/>
        <w:ind w:firstLine="720"/>
        <w:rPr>
          <w:snapToGrid w:val="0"/>
          <w:color w:val="000000"/>
          <w:kern w:val="28"/>
          <w:szCs w:val="22"/>
        </w:rPr>
      </w:pPr>
      <w:r w:rsidRPr="00186CBD">
        <w:rPr>
          <w:snapToGrid w:val="0"/>
          <w:color w:val="000000"/>
          <w:kern w:val="28"/>
          <w:szCs w:val="22"/>
        </w:rPr>
        <w:t>Pursuant to section 1.103 of the Commission's rules, 47 C.F.R. § 1.103, the grant is effective upon release of this Public Notice.</w:t>
      </w:r>
      <w:r>
        <w:rPr>
          <w:rStyle w:val="FootnoteReference"/>
          <w:snapToGrid w:val="0"/>
          <w:color w:val="000000"/>
          <w:kern w:val="28"/>
          <w:szCs w:val="22"/>
        </w:rPr>
        <w:footnoteReference w:id="6"/>
      </w:r>
      <w:r w:rsidRPr="00186CBD">
        <w:rPr>
          <w:snapToGrid w:val="0"/>
          <w:color w:val="000000"/>
          <w:kern w:val="28"/>
          <w:szCs w:val="22"/>
        </w:rPr>
        <w:t xml:space="preserve">  Petitions for reconsideration under section 1.106 or applications for review under section 1.115 of the Commission's rules, 47 C.F.R. §§ 1.106, 1.115, may be filed within 30 days of the date of this Public Notice. </w:t>
      </w:r>
    </w:p>
    <w:p w:rsidR="001173A2" w:rsidP="0008542F" w14:paraId="08860072" w14:textId="77777777">
      <w:pPr>
        <w:rPr>
          <w:szCs w:val="22"/>
        </w:rPr>
      </w:pPr>
      <w:r>
        <w:rPr>
          <w:szCs w:val="22"/>
        </w:rPr>
        <w:t xml:space="preserve"> </w:t>
      </w:r>
      <w:r w:rsidR="0008542F">
        <w:rPr>
          <w:szCs w:val="22"/>
        </w:rPr>
        <w:tab/>
      </w:r>
      <w:r w:rsidRPr="00831D8A" w:rsidR="00831D8A">
        <w:rPr>
          <w:szCs w:val="22"/>
        </w:rPr>
        <w:t xml:space="preserve">Domestic Section 214 Application Filed for the Transfer of Control of </w:t>
      </w:r>
    </w:p>
    <w:p w:rsidR="001173A2" w:rsidP="00831D8A" w14:paraId="17CBB94F" w14:textId="77777777">
      <w:pPr>
        <w:ind w:left="720"/>
        <w:rPr>
          <w:szCs w:val="22"/>
        </w:rPr>
      </w:pPr>
      <w:r w:rsidRPr="00831D8A">
        <w:rPr>
          <w:szCs w:val="22"/>
        </w:rPr>
        <w:t>ENA Healthcare</w:t>
      </w:r>
      <w:r w:rsidR="001151C9">
        <w:rPr>
          <w:szCs w:val="22"/>
        </w:rPr>
        <w:t xml:space="preserve"> Serv</w:t>
      </w:r>
      <w:r w:rsidR="00BB73B2">
        <w:rPr>
          <w:szCs w:val="22"/>
        </w:rPr>
        <w:t>i</w:t>
      </w:r>
      <w:r w:rsidR="001151C9">
        <w:rPr>
          <w:szCs w:val="22"/>
        </w:rPr>
        <w:t>ces</w:t>
      </w:r>
      <w:r w:rsidRPr="00831D8A">
        <w:rPr>
          <w:szCs w:val="22"/>
        </w:rPr>
        <w:t xml:space="preserve">, LLC and ENA Services, LLC to Zayo Group, LLC, </w:t>
      </w:r>
    </w:p>
    <w:p w:rsidR="00831D8A" w:rsidRPr="00831D8A" w:rsidP="00831D8A" w14:paraId="7D90BF65" w14:textId="77777777">
      <w:pPr>
        <w:ind w:left="720"/>
        <w:rPr>
          <w:szCs w:val="22"/>
        </w:rPr>
      </w:pPr>
      <w:r w:rsidRPr="00831D8A">
        <w:rPr>
          <w:szCs w:val="22"/>
        </w:rPr>
        <w:t>WC Docket No. 22-111</w:t>
      </w:r>
      <w:r>
        <w:rPr>
          <w:szCs w:val="22"/>
        </w:rPr>
        <w:t xml:space="preserve">, Public Notice, DA 22-313 </w:t>
      </w:r>
      <w:r w:rsidRPr="00831D8A">
        <w:rPr>
          <w:szCs w:val="22"/>
        </w:rPr>
        <w:t>(</w:t>
      </w:r>
      <w:r>
        <w:rPr>
          <w:szCs w:val="22"/>
        </w:rPr>
        <w:t>WCB</w:t>
      </w:r>
      <w:r w:rsidRPr="00831D8A">
        <w:rPr>
          <w:szCs w:val="22"/>
        </w:rPr>
        <w:t xml:space="preserve"> 2022).</w:t>
      </w:r>
    </w:p>
    <w:p w:rsidR="00376464" w:rsidRPr="00376464" w:rsidP="00376464" w14:paraId="350B92A2" w14:textId="77777777">
      <w:pPr>
        <w:widowControl w:val="0"/>
        <w:autoSpaceDE w:val="0"/>
        <w:autoSpaceDN w:val="0"/>
        <w:adjustRightInd w:val="0"/>
        <w:rPr>
          <w:snapToGrid w:val="0"/>
          <w:kern w:val="28"/>
        </w:rPr>
      </w:pPr>
    </w:p>
    <w:p w:rsidR="00376464" w:rsidP="00377D89" w14:paraId="18051DF5" w14:textId="77777777">
      <w:pPr>
        <w:ind w:firstLine="720"/>
      </w:pPr>
      <w:r w:rsidRPr="00376464">
        <w:t xml:space="preserve">For further information, please contact </w:t>
      </w:r>
      <w:r w:rsidR="00FA7521">
        <w:t xml:space="preserve">Gregory Kwan </w:t>
      </w:r>
      <w:r w:rsidRPr="00376464">
        <w:t>at (202)</w:t>
      </w:r>
      <w:r w:rsidR="000069BA">
        <w:t xml:space="preserve"> </w:t>
      </w:r>
      <w:r w:rsidRPr="00376464">
        <w:t>418-</w:t>
      </w:r>
      <w:r w:rsidR="00FA7521">
        <w:t>1191</w:t>
      </w:r>
      <w:r w:rsidRPr="00376464">
        <w:t>, Competition Policy Division, Wireline Competition Bureau.</w:t>
      </w:r>
    </w:p>
    <w:p w:rsidR="00377D89" w:rsidRPr="00377D89" w:rsidP="00377D89" w14:paraId="175AEFF6" w14:textId="77777777">
      <w:pPr>
        <w:ind w:firstLine="720"/>
      </w:pPr>
    </w:p>
    <w:p w:rsidR="00376464" w:rsidRPr="00376464" w:rsidP="00376464" w14:paraId="16B46D70" w14:textId="77777777">
      <w:pPr>
        <w:jc w:val="center"/>
        <w:rPr>
          <w:b/>
          <w:color w:val="000000"/>
          <w:szCs w:val="22"/>
        </w:rPr>
      </w:pPr>
      <w:r w:rsidRPr="00376464">
        <w:rPr>
          <w:color w:val="000000"/>
          <w:szCs w:val="22"/>
        </w:rPr>
        <w:t>-FCC-</w:t>
      </w:r>
    </w:p>
    <w:p w:rsidR="00376464" w:rsidRPr="00376464" w:rsidP="00376464" w14:paraId="22D71697" w14:textId="77777777">
      <w:pPr>
        <w:autoSpaceDE w:val="0"/>
        <w:autoSpaceDN w:val="0"/>
        <w:adjustRightInd w:val="0"/>
        <w:jc w:val="center"/>
        <w:rPr>
          <w:b/>
          <w:szCs w:val="22"/>
        </w:rPr>
      </w:pPr>
    </w:p>
    <w:p w:rsidR="00E7033D" w:rsidP="00376464" w14:paraId="308A5B79"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46FF3D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71DE9">
      <w:rPr>
        <w:rStyle w:val="PageNumber"/>
      </w:rPr>
      <w:fldChar w:fldCharType="separate"/>
    </w:r>
    <w:r>
      <w:rPr>
        <w:rStyle w:val="PageNumber"/>
      </w:rPr>
      <w:fldChar w:fldCharType="end"/>
    </w:r>
  </w:p>
  <w:p w:rsidR="00E7033D" w14:paraId="25EAAA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3C2422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4E70448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B49EF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5242C46A" w14:textId="77777777"/>
  <w:p w:rsidR="00E7033D" w14:paraId="6676052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3195" w14:paraId="46E408C6" w14:textId="77777777">
      <w:r>
        <w:separator/>
      </w:r>
    </w:p>
  </w:footnote>
  <w:footnote w:type="continuationSeparator" w:id="1">
    <w:p w:rsidR="00A03195" w14:paraId="43A077FF" w14:textId="77777777">
      <w:r>
        <w:continuationSeparator/>
      </w:r>
    </w:p>
  </w:footnote>
  <w:footnote w:type="continuationNotice" w:id="2">
    <w:p w:rsidR="00A03195" w14:paraId="6D627C48" w14:textId="77777777"/>
  </w:footnote>
  <w:footnote w:id="3">
    <w:p w:rsidR="007C222F" w:rsidRPr="00426342" w:rsidP="0008542F" w14:paraId="14B2540B" w14:textId="77777777">
      <w:pPr>
        <w:spacing w:after="120"/>
        <w:rPr>
          <w:bCs/>
          <w:sz w:val="20"/>
        </w:rPr>
      </w:pPr>
      <w:r w:rsidRPr="008C7EBC">
        <w:rPr>
          <w:rStyle w:val="FootnoteReference"/>
          <w:sz w:val="20"/>
        </w:rPr>
        <w:footnoteRef/>
      </w:r>
      <w:r w:rsidRPr="008C7EBC">
        <w:rPr>
          <w:sz w:val="20"/>
        </w:rPr>
        <w:t xml:space="preserve"> </w:t>
      </w:r>
      <w:r w:rsidRPr="00426342">
        <w:rPr>
          <w:i/>
          <w:sz w:val="20"/>
        </w:rPr>
        <w:t>See</w:t>
      </w:r>
      <w:r w:rsidRPr="00426342">
        <w:rPr>
          <w:sz w:val="20"/>
        </w:rPr>
        <w:t xml:space="preserve"> 47 U.S.C. § 214; 47 CFR §§ 63.03-04.  Application of Zayo Group, LLC and Commodore Intermediate Holdco, LLC for Consent Pursuant to Section 214 of the Communications Act of 1934, as Amended, to Transfer Control of Holders of Domestic Section 214 Authority to Zayo Group, LLC, WC Docket No. 22-111 (filed Mar. 7, 2022) (Application).  On March 15, 2022</w:t>
      </w:r>
      <w:r>
        <w:rPr>
          <w:sz w:val="20"/>
        </w:rPr>
        <w:t xml:space="preserve"> and March 20, 2022</w:t>
      </w:r>
      <w:r w:rsidRPr="00426342">
        <w:rPr>
          <w:sz w:val="20"/>
        </w:rPr>
        <w:t>, Applicants filed supplement</w:t>
      </w:r>
      <w:r>
        <w:rPr>
          <w:sz w:val="20"/>
        </w:rPr>
        <w:t>s</w:t>
      </w:r>
      <w:r w:rsidRPr="00426342">
        <w:rPr>
          <w:sz w:val="20"/>
        </w:rPr>
        <w:t xml:space="preserve"> to their domestic section 214 application.  Supplement to Application, WC Docket No. 22-111 (filed Mar. 15, 2022) (Supplement)</w:t>
      </w:r>
      <w:r>
        <w:rPr>
          <w:sz w:val="20"/>
        </w:rPr>
        <w:t xml:space="preserve">; Letter from Catherine Wang and Brett Ferenchak, </w:t>
      </w:r>
      <w:r w:rsidR="00AB330E">
        <w:rPr>
          <w:sz w:val="20"/>
        </w:rPr>
        <w:t>C</w:t>
      </w:r>
      <w:r>
        <w:rPr>
          <w:sz w:val="20"/>
        </w:rPr>
        <w:t>ounsel to Zayo Group, LLC, to Marlene H. Dortch, Secretary, FCC (Mar. 20, 2022) (on file in WC Docket No. 22-111).</w:t>
      </w:r>
      <w:r w:rsidRPr="00426342">
        <w:rPr>
          <w:sz w:val="20"/>
        </w:rPr>
        <w:t xml:space="preserve">  Any action on this domestic section 214 application is without prejudice to Commission action on other related, pending applications</w:t>
      </w:r>
      <w:r w:rsidRPr="00426342">
        <w:rPr>
          <w:bCs/>
          <w:sz w:val="20"/>
        </w:rPr>
        <w:t xml:space="preserve">.  </w:t>
      </w:r>
    </w:p>
  </w:footnote>
  <w:footnote w:id="4">
    <w:p w:rsidR="00186CBD" w:rsidRPr="0081162A" w:rsidP="0008542F" w14:paraId="184ED5D5" w14:textId="77777777">
      <w:pPr>
        <w:pStyle w:val="FootnoteText"/>
        <w:spacing w:after="120"/>
        <w:rPr>
          <w:sz w:val="20"/>
        </w:rPr>
      </w:pPr>
      <w:r w:rsidRPr="00041236">
        <w:rPr>
          <w:rStyle w:val="FootnoteReference"/>
          <w:sz w:val="20"/>
        </w:rPr>
        <w:footnoteRef/>
      </w:r>
      <w:r w:rsidRPr="00041236">
        <w:rPr>
          <w:sz w:val="20"/>
        </w:rPr>
        <w:t xml:space="preserve"> </w:t>
      </w:r>
      <w:r w:rsidRPr="00041236">
        <w:rPr>
          <w:i/>
          <w:sz w:val="20"/>
        </w:rPr>
        <w:t xml:space="preserve">Domestic Section 214 Application Filed for the Transfer of Control of </w:t>
      </w:r>
      <w:r w:rsidRPr="00794F64" w:rsidR="00794F64">
        <w:rPr>
          <w:i/>
          <w:sz w:val="20"/>
        </w:rPr>
        <w:t>ENA Healthcare</w:t>
      </w:r>
      <w:r w:rsidR="00AB330E">
        <w:rPr>
          <w:i/>
          <w:sz w:val="20"/>
        </w:rPr>
        <w:t xml:space="preserve"> Services</w:t>
      </w:r>
      <w:r w:rsidRPr="00794F64" w:rsidR="00794F64">
        <w:rPr>
          <w:i/>
          <w:sz w:val="20"/>
        </w:rPr>
        <w:t>, LLC and ENA Services, LLC to Zayo Group, LLC</w:t>
      </w:r>
      <w:r w:rsidRPr="00794F64" w:rsidR="00794F64">
        <w:rPr>
          <w:iCs/>
          <w:sz w:val="20"/>
        </w:rPr>
        <w:t>, WC Docket No. 22-111</w:t>
      </w:r>
      <w:r w:rsidR="00794F64">
        <w:rPr>
          <w:iCs/>
          <w:sz w:val="20"/>
        </w:rPr>
        <w:t xml:space="preserve">, Public Notice, </w:t>
      </w:r>
      <w:r w:rsidRPr="001835A9" w:rsidR="00794F64">
        <w:rPr>
          <w:iCs/>
          <w:sz w:val="20"/>
        </w:rPr>
        <w:t>DA 22-313</w:t>
      </w:r>
      <w:r w:rsidRPr="00041236">
        <w:rPr>
          <w:sz w:val="20"/>
        </w:rPr>
        <w:t xml:space="preserve"> (WCB 202</w:t>
      </w:r>
      <w:r w:rsidR="00FA7521">
        <w:rPr>
          <w:sz w:val="20"/>
        </w:rPr>
        <w:t>2</w:t>
      </w:r>
      <w:r w:rsidRPr="00041236">
        <w:rPr>
          <w:sz w:val="20"/>
        </w:rPr>
        <w:t xml:space="preserve">).  </w:t>
      </w:r>
      <w:r w:rsidRPr="0081162A" w:rsidR="00A924E3">
        <w:rPr>
          <w:sz w:val="20"/>
        </w:rPr>
        <w:t xml:space="preserve">The ENA Subsidiaries are direct wholly-owned subsidiaries of Education Networks of America, Inc. </w:t>
      </w:r>
      <w:r w:rsidRPr="0081162A" w:rsidR="000069BA">
        <w:rPr>
          <w:sz w:val="20"/>
        </w:rPr>
        <w:t>(</w:t>
      </w:r>
      <w:r w:rsidRPr="0081162A" w:rsidR="00A924E3">
        <w:rPr>
          <w:sz w:val="20"/>
        </w:rPr>
        <w:t>together with the ENA Subsidiaries, ENA OpCos) and indirect wholly-owned subsidiaries of Commodore</w:t>
      </w:r>
      <w:r w:rsidRPr="0081162A" w:rsidR="00E61695">
        <w:rPr>
          <w:sz w:val="20"/>
        </w:rPr>
        <w:t xml:space="preserve">. </w:t>
      </w:r>
      <w:r w:rsidRPr="0081162A" w:rsidR="00A924E3">
        <w:rPr>
          <w:sz w:val="20"/>
        </w:rPr>
        <w:t xml:space="preserve"> </w:t>
      </w:r>
      <w:bookmarkStart w:id="4" w:name="_Hlk98839055"/>
      <w:r w:rsidRPr="0081162A" w:rsidR="00DE532E">
        <w:rPr>
          <w:sz w:val="20"/>
        </w:rPr>
        <w:t>Applicants state that, using leased facilities from other providers, including in some cases from ZGL, the ENA OpCos provide services primarily to school districts and libraries t</w:t>
      </w:r>
      <w:bookmarkEnd w:id="4"/>
      <w:r w:rsidRPr="0081162A" w:rsidR="00DE532E">
        <w:rPr>
          <w:sz w:val="20"/>
        </w:rPr>
        <w:t xml:space="preserve">hat participate in the Schools and Libraries (E-Rate) universal service program and rural healthcare providers that participate in the Rural Health Care (RHC) universal service program.  Application at 2-3, 6-7.  </w:t>
      </w:r>
      <w:r w:rsidRPr="0081162A" w:rsidR="004744BB">
        <w:rPr>
          <w:sz w:val="20"/>
        </w:rPr>
        <w:t>ZGL and its operating company subsidiaries provide competitive local exchange services in the District of Columbia and every state except Alaska</w:t>
      </w:r>
      <w:r w:rsidR="00F8009B">
        <w:rPr>
          <w:sz w:val="20"/>
        </w:rPr>
        <w:t>,</w:t>
      </w:r>
      <w:r w:rsidRPr="0081162A" w:rsidR="004744BB">
        <w:rPr>
          <w:sz w:val="20"/>
        </w:rPr>
        <w:t xml:space="preserve"> and serve primarily carrier and enterprise customers over regional and metropolitan fiber networks.  </w:t>
      </w:r>
      <w:r w:rsidRPr="0081162A" w:rsidR="004744BB">
        <w:rPr>
          <w:i/>
          <w:iCs/>
          <w:sz w:val="20"/>
        </w:rPr>
        <w:t>Id.</w:t>
      </w:r>
      <w:r w:rsidRPr="0081162A" w:rsidR="00A2399B">
        <w:rPr>
          <w:sz w:val="20"/>
        </w:rPr>
        <w:t>at 2.</w:t>
      </w:r>
    </w:p>
  </w:footnote>
  <w:footnote w:id="5">
    <w:p w:rsidR="00186CBD" w:rsidRPr="00FA7521" w:rsidP="0008542F" w14:paraId="236E09D2" w14:textId="77777777">
      <w:pPr>
        <w:spacing w:after="120"/>
        <w:rPr>
          <w:sz w:val="20"/>
        </w:rPr>
      </w:pPr>
      <w:r w:rsidRPr="009F16F4">
        <w:rPr>
          <w:rStyle w:val="FootnoteReference"/>
          <w:sz w:val="20"/>
        </w:rPr>
        <w:footnoteRef/>
      </w:r>
      <w:r w:rsidR="00041236">
        <w:rPr>
          <w:i/>
          <w:iCs/>
          <w:sz w:val="20"/>
        </w:rPr>
        <w:t xml:space="preserve"> </w:t>
      </w:r>
      <w:r w:rsidRPr="0081162A" w:rsidR="00366B20">
        <w:rPr>
          <w:i/>
          <w:iCs/>
          <w:sz w:val="20"/>
        </w:rPr>
        <w:t>See, e.g</w:t>
      </w:r>
      <w:r w:rsidRPr="0081162A" w:rsidR="00366B20">
        <w:rPr>
          <w:sz w:val="20"/>
        </w:rPr>
        <w:t>.,</w:t>
      </w:r>
      <w:r w:rsidRPr="0081162A" w:rsidR="00366B20">
        <w:rPr>
          <w:i/>
          <w:iCs/>
          <w:sz w:val="20"/>
        </w:rPr>
        <w:t xml:space="preserve"> Applications of Level 3 Communications, Inc. and CenturyLink, Inc. for Consent to Transfer Control of Licenses and Authorizations</w:t>
      </w:r>
      <w:r w:rsidRPr="0081162A" w:rsidR="00366B20">
        <w:rPr>
          <w:sz w:val="20"/>
        </w:rPr>
        <w:t>, Memorandum Opinion and Order, 32 FCC Rcd 9581, 9594, 9605, paras. 26 and 52 (2017) (</w:t>
      </w:r>
      <w:r w:rsidR="00532D9E">
        <w:rPr>
          <w:sz w:val="20"/>
        </w:rPr>
        <w:t>f</w:t>
      </w:r>
      <w:r w:rsidRPr="0081162A" w:rsidR="00366B20">
        <w:rPr>
          <w:sz w:val="20"/>
        </w:rPr>
        <w:t xml:space="preserve">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 </w:t>
      </w:r>
      <w:r w:rsidR="00B66225">
        <w:rPr>
          <w:sz w:val="20"/>
        </w:rPr>
        <w:t xml:space="preserve"> </w:t>
      </w:r>
    </w:p>
  </w:footnote>
  <w:footnote w:id="6">
    <w:p w:rsidR="00013F47" w:rsidP="0008542F" w14:paraId="4F7B9508" w14:textId="77777777">
      <w:pPr>
        <w:pStyle w:val="FootnoteText"/>
        <w:spacing w:after="120"/>
      </w:pPr>
      <w:r>
        <w:rPr>
          <w:rStyle w:val="FootnoteReference"/>
        </w:rPr>
        <w:footnoteRef/>
      </w:r>
      <w:r>
        <w:t xml:space="preserve"> </w:t>
      </w:r>
      <w:r w:rsidRPr="00366B20">
        <w:rPr>
          <w:snapToGrid w:val="0"/>
          <w:color w:val="000000"/>
          <w:sz w:val="20"/>
        </w:rPr>
        <w:t>Applicants</w:t>
      </w:r>
      <w:r w:rsidRPr="00FA7521">
        <w:rPr>
          <w:snapToGrid w:val="0"/>
          <w:color w:val="000000"/>
          <w:sz w:val="20"/>
        </w:rPr>
        <w:t xml:space="preserve"> acknowledge that consummation of the proposed transaction will not alter </w:t>
      </w:r>
      <w:r>
        <w:rPr>
          <w:snapToGrid w:val="0"/>
          <w:color w:val="000000"/>
          <w:sz w:val="20"/>
        </w:rPr>
        <w:t xml:space="preserve">the ENA Subsidiaries’ </w:t>
      </w:r>
      <w:r w:rsidRPr="00FA7521">
        <w:rPr>
          <w:snapToGrid w:val="0"/>
          <w:color w:val="000000"/>
          <w:sz w:val="20"/>
        </w:rPr>
        <w:t>responsibility to comply with an existing enforcement action</w:t>
      </w:r>
      <w:r>
        <w:rPr>
          <w:snapToGrid w:val="0"/>
          <w:color w:val="000000"/>
          <w:sz w:val="20"/>
        </w:rPr>
        <w:t>.  They</w:t>
      </w:r>
      <w:r w:rsidRPr="00FA7521">
        <w:rPr>
          <w:snapToGrid w:val="0"/>
          <w:color w:val="000000"/>
          <w:sz w:val="20"/>
        </w:rPr>
        <w:t xml:space="preserve"> state that “ENA Healthcare will continue to meet the requirements of its Consent Decree with the Commission, including payment of </w:t>
      </w:r>
      <w:r>
        <w:rPr>
          <w:snapToGrid w:val="0"/>
          <w:color w:val="000000"/>
          <w:sz w:val="20"/>
        </w:rPr>
        <w:t xml:space="preserve">the </w:t>
      </w:r>
      <w:r w:rsidRPr="00FA7521">
        <w:rPr>
          <w:snapToGrid w:val="0"/>
          <w:color w:val="000000"/>
          <w:sz w:val="20"/>
        </w:rPr>
        <w:t>Settlement Amount and other compliance requirements.</w:t>
      </w:r>
      <w:r>
        <w:rPr>
          <w:snapToGrid w:val="0"/>
          <w:color w:val="000000"/>
          <w:sz w:val="20"/>
        </w:rPr>
        <w:t xml:space="preserve"> </w:t>
      </w:r>
      <w:r w:rsidRPr="00FA7521">
        <w:rPr>
          <w:snapToGrid w:val="0"/>
          <w:color w:val="000000"/>
          <w:sz w:val="20"/>
        </w:rPr>
        <w:t xml:space="preserve"> Further</w:t>
      </w:r>
      <w:r>
        <w:rPr>
          <w:snapToGrid w:val="0"/>
          <w:color w:val="000000"/>
          <w:sz w:val="20"/>
        </w:rPr>
        <w:t>,</w:t>
      </w:r>
      <w:r w:rsidRPr="00FA7521">
        <w:rPr>
          <w:snapToGrid w:val="0"/>
          <w:color w:val="000000"/>
          <w:sz w:val="20"/>
        </w:rPr>
        <w:t xml:space="preserve"> ENA Healthcare’s internal compliance structure</w:t>
      </w:r>
      <w:r>
        <w:rPr>
          <w:snapToGrid w:val="0"/>
          <w:color w:val="000000"/>
          <w:sz w:val="20"/>
        </w:rPr>
        <w:t>,</w:t>
      </w:r>
      <w:r w:rsidRPr="00FA7521">
        <w:rPr>
          <w:snapToGrid w:val="0"/>
          <w:color w:val="000000"/>
          <w:sz w:val="20"/>
        </w:rPr>
        <w:t xml:space="preserve"> including its Compliance Officer, is not expected to change as a result of the Transaction.</w:t>
      </w:r>
      <w:r>
        <w:rPr>
          <w:snapToGrid w:val="0"/>
          <w:color w:val="000000"/>
          <w:sz w:val="20"/>
        </w:rPr>
        <w:t xml:space="preserve">  </w:t>
      </w:r>
      <w:r w:rsidRPr="00FA7521">
        <w:rPr>
          <w:snapToGrid w:val="0"/>
          <w:color w:val="000000"/>
          <w:sz w:val="20"/>
        </w:rPr>
        <w:t xml:space="preserve">Finally, Transferee and the </w:t>
      </w:r>
      <w:r w:rsidRPr="001835A9">
        <w:rPr>
          <w:snapToGrid w:val="0"/>
          <w:color w:val="000000"/>
          <w:sz w:val="20"/>
        </w:rPr>
        <w:t xml:space="preserve">ENA OpCos confirm that the proposed Transaction will not result in any changes that would compromise the ability of </w:t>
      </w:r>
      <w:r>
        <w:rPr>
          <w:snapToGrid w:val="0"/>
          <w:color w:val="000000"/>
          <w:sz w:val="20"/>
        </w:rPr>
        <w:t xml:space="preserve">the </w:t>
      </w:r>
      <w:r w:rsidRPr="001835A9">
        <w:rPr>
          <w:snapToGrid w:val="0"/>
          <w:color w:val="000000"/>
          <w:sz w:val="20"/>
        </w:rPr>
        <w:t xml:space="preserve">ENA OpCos to meet their obligations under the E-Rate and RHC Programs.”  Application at 6 (citing </w:t>
      </w:r>
      <w:r w:rsidRPr="001835A9">
        <w:rPr>
          <w:i/>
          <w:iCs/>
          <w:snapToGrid w:val="0"/>
          <w:color w:val="000000"/>
          <w:sz w:val="20"/>
        </w:rPr>
        <w:t>TeleQuality Communications, LLC</w:t>
      </w:r>
      <w:r w:rsidRPr="001835A9">
        <w:rPr>
          <w:snapToGrid w:val="0"/>
          <w:color w:val="000000"/>
          <w:sz w:val="20"/>
        </w:rPr>
        <w:t xml:space="preserve">, File No. EB-IHD, 19-00028870, Order and Consent Decree, 35 FCC Rcd 503 (EB 2020)).  </w:t>
      </w:r>
      <w:r w:rsidRPr="001835A9">
        <w:rPr>
          <w:sz w:val="20"/>
        </w:rPr>
        <w:t xml:space="preserve">A grant of the domestic section 214 application is without prejudice to any enforcement action by the Commission </w:t>
      </w:r>
      <w:r>
        <w:rPr>
          <w:sz w:val="20"/>
        </w:rPr>
        <w:t xml:space="preserve">or action by the Universal Service Administrative Company (USAC) </w:t>
      </w:r>
      <w:r w:rsidRPr="001835A9">
        <w:rPr>
          <w:sz w:val="20"/>
        </w:rPr>
        <w:t>for non-compliance with the Act, or the Commission’s rules</w:t>
      </w:r>
      <w:r>
        <w:rPr>
          <w:sz w:val="20"/>
        </w:rPr>
        <w:t>, including the rules for the E-Rate and RHC universal service programs</w:t>
      </w:r>
      <w:r w:rsidRPr="001835A9">
        <w:rPr>
          <w:sz w:val="20"/>
        </w:rPr>
        <w:t>.  In addition, t</w:t>
      </w:r>
      <w:r w:rsidRPr="001835A9">
        <w:rPr>
          <w:snapToGrid w:val="0"/>
          <w:color w:val="000000"/>
          <w:sz w:val="20"/>
        </w:rPr>
        <w:t>he ENA Subsidiaries and Transferee must comply with any and all final orders or consent decrees associated with any Commission investigation into the ENA Subsidiaries’</w:t>
      </w:r>
      <w:r w:rsidRPr="00FA7521">
        <w:rPr>
          <w:snapToGrid w:val="0"/>
          <w:color w:val="000000"/>
          <w:sz w:val="20"/>
        </w:rPr>
        <w:t xml:space="preserve"> compliance</w:t>
      </w:r>
      <w:r>
        <w:rPr>
          <w:snapToGrid w:val="0"/>
          <w:color w:val="000000"/>
          <w:sz w:val="20"/>
        </w:rPr>
        <w:t xml:space="preserve"> (including without limitation compliance by the predecessor company, TeleQuality Communications, LLC) </w:t>
      </w:r>
      <w:r w:rsidRPr="00FA7521">
        <w:rPr>
          <w:snapToGrid w:val="0"/>
          <w:color w:val="000000"/>
          <w:sz w:val="20"/>
        </w:rPr>
        <w:t xml:space="preserve">with the Act and the Commission’s rules, including any requirements in such orders or consent decrees to file, report, or otherwise provide any information to </w:t>
      </w:r>
      <w:r w:rsidRPr="00FA7521">
        <w:rPr>
          <w:snapToGrid w:val="0"/>
          <w:color w:val="0D0D0D"/>
          <w:sz w:val="20"/>
        </w:rPr>
        <w:t>USAC</w:t>
      </w:r>
      <w:r w:rsidR="00075725">
        <w:rPr>
          <w:snapToGrid w:val="0"/>
          <w:color w:val="0D0D0D"/>
          <w:sz w:val="20"/>
        </w:rPr>
        <w:t xml:space="preserve"> </w:t>
      </w:r>
      <w:r w:rsidRPr="00FA7521">
        <w:rPr>
          <w:snapToGrid w:val="0"/>
          <w:color w:val="0D0D0D"/>
          <w:sz w:val="20"/>
        </w:rPr>
        <w:t xml:space="preserve">or to </w:t>
      </w:r>
      <w:r w:rsidRPr="00FA7521">
        <w:rPr>
          <w:snapToGrid w:val="0"/>
          <w:color w:val="000000"/>
          <w:sz w:val="20"/>
        </w:rPr>
        <w:t>make payments to USAC as the administrator of the Universal Service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8EDD97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535CFDD8" w14:textId="77777777">
                <w:pPr>
                  <w:rPr>
                    <w:rFonts w:ascii="Arial" w:hAnsi="Arial"/>
                    <w:b/>
                  </w:rPr>
                </w:pPr>
                <w:r>
                  <w:rPr>
                    <w:rFonts w:ascii="Arial" w:hAnsi="Arial"/>
                    <w:b/>
                  </w:rPr>
                  <w:t>Federal Communications Commission</w:t>
                </w:r>
              </w:p>
              <w:p w:rsidR="00E7033D" w14:paraId="31833192"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1111694F"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77BB7F9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F9625" w14:textId="77777777">
                <w:pPr>
                  <w:spacing w:before="40"/>
                  <w:jc w:val="right"/>
                  <w:rPr>
                    <w:rFonts w:ascii="Arial" w:hAnsi="Arial"/>
                    <w:b/>
                    <w:sz w:val="16"/>
                  </w:rPr>
                </w:pPr>
                <w:r>
                  <w:rPr>
                    <w:rFonts w:ascii="Arial" w:hAnsi="Arial"/>
                    <w:b/>
                    <w:sz w:val="16"/>
                  </w:rPr>
                  <w:t>News Media Information 202 / 418-0500</w:t>
                </w:r>
              </w:p>
              <w:p w:rsidR="00E7033D" w14:paraId="267FD84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119885D8" w14:textId="77777777">
                <w:pPr>
                  <w:jc w:val="right"/>
                  <w:rPr>
                    <w:rFonts w:ascii="Arial" w:hAnsi="Arial"/>
                    <w:b/>
                    <w:sz w:val="16"/>
                  </w:rPr>
                </w:pPr>
                <w:r>
                  <w:rPr>
                    <w:rFonts w:ascii="Arial" w:hAnsi="Arial"/>
                    <w:b/>
                    <w:sz w:val="16"/>
                  </w:rPr>
                  <w:t>TTY: 1-888-835-5322</w:t>
                </w:r>
              </w:p>
              <w:p w:rsidR="00E7033D" w14:paraId="23535A7B" w14:textId="77777777">
                <w:pPr>
                  <w:jc w:val="right"/>
                </w:pPr>
              </w:p>
            </w:txbxContent>
          </v:textbox>
        </v:shape>
      </w:pict>
    </w:r>
  </w:p>
  <w:p w:rsidR="00E7033D" w14:paraId="6F1BB9B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2ABDF55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69BA"/>
    <w:rsid w:val="0001135F"/>
    <w:rsid w:val="000113A2"/>
    <w:rsid w:val="0001280D"/>
    <w:rsid w:val="00013F47"/>
    <w:rsid w:val="000151BF"/>
    <w:rsid w:val="00017A3A"/>
    <w:rsid w:val="000231BD"/>
    <w:rsid w:val="00040610"/>
    <w:rsid w:val="00041236"/>
    <w:rsid w:val="00041C01"/>
    <w:rsid w:val="00043C19"/>
    <w:rsid w:val="000534AC"/>
    <w:rsid w:val="00066D12"/>
    <w:rsid w:val="00070D65"/>
    <w:rsid w:val="000735C8"/>
    <w:rsid w:val="00075725"/>
    <w:rsid w:val="0008381D"/>
    <w:rsid w:val="0008542F"/>
    <w:rsid w:val="00087205"/>
    <w:rsid w:val="000A6A85"/>
    <w:rsid w:val="000A76F2"/>
    <w:rsid w:val="000B0FA7"/>
    <w:rsid w:val="000B304C"/>
    <w:rsid w:val="000B4EDD"/>
    <w:rsid w:val="000C6797"/>
    <w:rsid w:val="000D6105"/>
    <w:rsid w:val="000F02F7"/>
    <w:rsid w:val="00101D0B"/>
    <w:rsid w:val="00104173"/>
    <w:rsid w:val="00106E99"/>
    <w:rsid w:val="001151C9"/>
    <w:rsid w:val="001173A2"/>
    <w:rsid w:val="0013405D"/>
    <w:rsid w:val="0013645F"/>
    <w:rsid w:val="00140E74"/>
    <w:rsid w:val="001412C1"/>
    <w:rsid w:val="00141388"/>
    <w:rsid w:val="0015217F"/>
    <w:rsid w:val="00155E40"/>
    <w:rsid w:val="001704BC"/>
    <w:rsid w:val="001835A9"/>
    <w:rsid w:val="00186CBD"/>
    <w:rsid w:val="001A3813"/>
    <w:rsid w:val="001B69F9"/>
    <w:rsid w:val="001C4E34"/>
    <w:rsid w:val="001C76E5"/>
    <w:rsid w:val="001F1E04"/>
    <w:rsid w:val="001F6762"/>
    <w:rsid w:val="001F724F"/>
    <w:rsid w:val="00213C6B"/>
    <w:rsid w:val="002234F0"/>
    <w:rsid w:val="0022449B"/>
    <w:rsid w:val="00253247"/>
    <w:rsid w:val="00262E65"/>
    <w:rsid w:val="00285612"/>
    <w:rsid w:val="002B16FA"/>
    <w:rsid w:val="002C15B3"/>
    <w:rsid w:val="002C203E"/>
    <w:rsid w:val="002C22F3"/>
    <w:rsid w:val="002C27F4"/>
    <w:rsid w:val="002C47F7"/>
    <w:rsid w:val="002D09E2"/>
    <w:rsid w:val="002D136F"/>
    <w:rsid w:val="002D6F61"/>
    <w:rsid w:val="002F35F4"/>
    <w:rsid w:val="002F473E"/>
    <w:rsid w:val="002F6E56"/>
    <w:rsid w:val="0030157A"/>
    <w:rsid w:val="0030742E"/>
    <w:rsid w:val="00320530"/>
    <w:rsid w:val="00325130"/>
    <w:rsid w:val="003320FA"/>
    <w:rsid w:val="00353CB5"/>
    <w:rsid w:val="00365194"/>
    <w:rsid w:val="00366B20"/>
    <w:rsid w:val="00375518"/>
    <w:rsid w:val="00376464"/>
    <w:rsid w:val="00377D89"/>
    <w:rsid w:val="003855A0"/>
    <w:rsid w:val="003921C1"/>
    <w:rsid w:val="003945C4"/>
    <w:rsid w:val="00395A7A"/>
    <w:rsid w:val="003A0B69"/>
    <w:rsid w:val="003A18A0"/>
    <w:rsid w:val="003A443A"/>
    <w:rsid w:val="003A7FA9"/>
    <w:rsid w:val="003B5CEE"/>
    <w:rsid w:val="003B6121"/>
    <w:rsid w:val="003E013A"/>
    <w:rsid w:val="003E0C2F"/>
    <w:rsid w:val="003F0ECD"/>
    <w:rsid w:val="004077D0"/>
    <w:rsid w:val="00411872"/>
    <w:rsid w:val="00412DA6"/>
    <w:rsid w:val="00426342"/>
    <w:rsid w:val="00426650"/>
    <w:rsid w:val="004331D7"/>
    <w:rsid w:val="00433D8C"/>
    <w:rsid w:val="00434C96"/>
    <w:rsid w:val="004417A8"/>
    <w:rsid w:val="00460914"/>
    <w:rsid w:val="004609A4"/>
    <w:rsid w:val="00464E8A"/>
    <w:rsid w:val="004744BB"/>
    <w:rsid w:val="004808FC"/>
    <w:rsid w:val="00480E4B"/>
    <w:rsid w:val="00482EB0"/>
    <w:rsid w:val="004913FF"/>
    <w:rsid w:val="0049487E"/>
    <w:rsid w:val="004951AE"/>
    <w:rsid w:val="004A0102"/>
    <w:rsid w:val="004C712F"/>
    <w:rsid w:val="004E0C60"/>
    <w:rsid w:val="004F3603"/>
    <w:rsid w:val="004F6F64"/>
    <w:rsid w:val="0050037F"/>
    <w:rsid w:val="00502C9C"/>
    <w:rsid w:val="00505E30"/>
    <w:rsid w:val="00507F97"/>
    <w:rsid w:val="00511202"/>
    <w:rsid w:val="0052334B"/>
    <w:rsid w:val="005243E7"/>
    <w:rsid w:val="005320B5"/>
    <w:rsid w:val="00532D9E"/>
    <w:rsid w:val="0056058F"/>
    <w:rsid w:val="00590951"/>
    <w:rsid w:val="005932BA"/>
    <w:rsid w:val="0059528F"/>
    <w:rsid w:val="005A13D0"/>
    <w:rsid w:val="005A64A7"/>
    <w:rsid w:val="005C32F3"/>
    <w:rsid w:val="005C403A"/>
    <w:rsid w:val="005D7355"/>
    <w:rsid w:val="005F2C50"/>
    <w:rsid w:val="0060105E"/>
    <w:rsid w:val="0060106A"/>
    <w:rsid w:val="00604A3C"/>
    <w:rsid w:val="00604CFF"/>
    <w:rsid w:val="00607E4E"/>
    <w:rsid w:val="0061137C"/>
    <w:rsid w:val="00612202"/>
    <w:rsid w:val="00616221"/>
    <w:rsid w:val="00633503"/>
    <w:rsid w:val="00637BE3"/>
    <w:rsid w:val="0064619A"/>
    <w:rsid w:val="00646C38"/>
    <w:rsid w:val="006548DD"/>
    <w:rsid w:val="00673DD1"/>
    <w:rsid w:val="006768CC"/>
    <w:rsid w:val="006801A6"/>
    <w:rsid w:val="00691832"/>
    <w:rsid w:val="006947CF"/>
    <w:rsid w:val="006B5C06"/>
    <w:rsid w:val="006C32C8"/>
    <w:rsid w:val="006C591C"/>
    <w:rsid w:val="006D3CCE"/>
    <w:rsid w:val="006D53B8"/>
    <w:rsid w:val="006D6B63"/>
    <w:rsid w:val="006E155C"/>
    <w:rsid w:val="006E3E11"/>
    <w:rsid w:val="006E61ED"/>
    <w:rsid w:val="006E7452"/>
    <w:rsid w:val="006F4D60"/>
    <w:rsid w:val="00706D49"/>
    <w:rsid w:val="0071041E"/>
    <w:rsid w:val="00715A9F"/>
    <w:rsid w:val="00724722"/>
    <w:rsid w:val="00733B9B"/>
    <w:rsid w:val="00754D6A"/>
    <w:rsid w:val="007569C5"/>
    <w:rsid w:val="00760269"/>
    <w:rsid w:val="00780F55"/>
    <w:rsid w:val="00794F64"/>
    <w:rsid w:val="007A33E3"/>
    <w:rsid w:val="007B2C2E"/>
    <w:rsid w:val="007B47A9"/>
    <w:rsid w:val="007C222F"/>
    <w:rsid w:val="007C263F"/>
    <w:rsid w:val="007C30DA"/>
    <w:rsid w:val="007E5753"/>
    <w:rsid w:val="00801E50"/>
    <w:rsid w:val="00804BCE"/>
    <w:rsid w:val="0081162A"/>
    <w:rsid w:val="00813C6D"/>
    <w:rsid w:val="00821491"/>
    <w:rsid w:val="00823B29"/>
    <w:rsid w:val="008240AA"/>
    <w:rsid w:val="00824765"/>
    <w:rsid w:val="00831D8A"/>
    <w:rsid w:val="0083340A"/>
    <w:rsid w:val="0084778A"/>
    <w:rsid w:val="00853114"/>
    <w:rsid w:val="0085579D"/>
    <w:rsid w:val="0086691C"/>
    <w:rsid w:val="008675C7"/>
    <w:rsid w:val="0087554B"/>
    <w:rsid w:val="00877D35"/>
    <w:rsid w:val="00881DC6"/>
    <w:rsid w:val="008850E4"/>
    <w:rsid w:val="008A2D44"/>
    <w:rsid w:val="008B2FAB"/>
    <w:rsid w:val="008B7656"/>
    <w:rsid w:val="008C294A"/>
    <w:rsid w:val="008C3677"/>
    <w:rsid w:val="008C558A"/>
    <w:rsid w:val="008C7EBC"/>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C797E"/>
    <w:rsid w:val="009D69ED"/>
    <w:rsid w:val="009E6916"/>
    <w:rsid w:val="009F16F4"/>
    <w:rsid w:val="00A03195"/>
    <w:rsid w:val="00A11865"/>
    <w:rsid w:val="00A15248"/>
    <w:rsid w:val="00A2021A"/>
    <w:rsid w:val="00A233A3"/>
    <w:rsid w:val="00A2399B"/>
    <w:rsid w:val="00A25C41"/>
    <w:rsid w:val="00A27072"/>
    <w:rsid w:val="00A30656"/>
    <w:rsid w:val="00A34A3D"/>
    <w:rsid w:val="00A46608"/>
    <w:rsid w:val="00A47815"/>
    <w:rsid w:val="00A55F2F"/>
    <w:rsid w:val="00A5673E"/>
    <w:rsid w:val="00A569E4"/>
    <w:rsid w:val="00A61D2B"/>
    <w:rsid w:val="00A924E3"/>
    <w:rsid w:val="00A9279F"/>
    <w:rsid w:val="00A92C9E"/>
    <w:rsid w:val="00AB330E"/>
    <w:rsid w:val="00AB7DD7"/>
    <w:rsid w:val="00AC61C0"/>
    <w:rsid w:val="00AD0360"/>
    <w:rsid w:val="00AE4EB4"/>
    <w:rsid w:val="00AF7297"/>
    <w:rsid w:val="00B00CBF"/>
    <w:rsid w:val="00B02CE4"/>
    <w:rsid w:val="00B10AB1"/>
    <w:rsid w:val="00B24422"/>
    <w:rsid w:val="00B3352B"/>
    <w:rsid w:val="00B335D6"/>
    <w:rsid w:val="00B55A93"/>
    <w:rsid w:val="00B66225"/>
    <w:rsid w:val="00B700C9"/>
    <w:rsid w:val="00B73AED"/>
    <w:rsid w:val="00B803F0"/>
    <w:rsid w:val="00B8395C"/>
    <w:rsid w:val="00B83E32"/>
    <w:rsid w:val="00B87423"/>
    <w:rsid w:val="00B908C9"/>
    <w:rsid w:val="00B958E7"/>
    <w:rsid w:val="00BB417E"/>
    <w:rsid w:val="00BB73B2"/>
    <w:rsid w:val="00BC1C80"/>
    <w:rsid w:val="00BC7555"/>
    <w:rsid w:val="00BD282A"/>
    <w:rsid w:val="00BF0B00"/>
    <w:rsid w:val="00C117C2"/>
    <w:rsid w:val="00C503CC"/>
    <w:rsid w:val="00C612FD"/>
    <w:rsid w:val="00C71DE9"/>
    <w:rsid w:val="00C749BC"/>
    <w:rsid w:val="00C75DF3"/>
    <w:rsid w:val="00C82D34"/>
    <w:rsid w:val="00C87F03"/>
    <w:rsid w:val="00CA3252"/>
    <w:rsid w:val="00CA6E65"/>
    <w:rsid w:val="00CB08EA"/>
    <w:rsid w:val="00CC1FB2"/>
    <w:rsid w:val="00CC2C01"/>
    <w:rsid w:val="00CD0AA5"/>
    <w:rsid w:val="00CE03DE"/>
    <w:rsid w:val="00CE49B4"/>
    <w:rsid w:val="00CE657C"/>
    <w:rsid w:val="00D024AA"/>
    <w:rsid w:val="00D04DB0"/>
    <w:rsid w:val="00D05E13"/>
    <w:rsid w:val="00D111DF"/>
    <w:rsid w:val="00D252B2"/>
    <w:rsid w:val="00D30DAA"/>
    <w:rsid w:val="00D3174C"/>
    <w:rsid w:val="00D33F54"/>
    <w:rsid w:val="00D517C2"/>
    <w:rsid w:val="00D702F3"/>
    <w:rsid w:val="00D80F4F"/>
    <w:rsid w:val="00D923A9"/>
    <w:rsid w:val="00DB59FD"/>
    <w:rsid w:val="00DC1AB7"/>
    <w:rsid w:val="00DC2535"/>
    <w:rsid w:val="00DD0968"/>
    <w:rsid w:val="00DD0E5A"/>
    <w:rsid w:val="00DE532E"/>
    <w:rsid w:val="00DF1AD9"/>
    <w:rsid w:val="00E02506"/>
    <w:rsid w:val="00E03B04"/>
    <w:rsid w:val="00E04A42"/>
    <w:rsid w:val="00E07E13"/>
    <w:rsid w:val="00E152DF"/>
    <w:rsid w:val="00E33795"/>
    <w:rsid w:val="00E54722"/>
    <w:rsid w:val="00E55A96"/>
    <w:rsid w:val="00E61695"/>
    <w:rsid w:val="00E7033D"/>
    <w:rsid w:val="00E714D1"/>
    <w:rsid w:val="00E749E0"/>
    <w:rsid w:val="00E7751B"/>
    <w:rsid w:val="00E90A56"/>
    <w:rsid w:val="00E92B8E"/>
    <w:rsid w:val="00EA09BE"/>
    <w:rsid w:val="00EB1975"/>
    <w:rsid w:val="00EB2E3F"/>
    <w:rsid w:val="00EC0FDA"/>
    <w:rsid w:val="00EC3BF9"/>
    <w:rsid w:val="00EC3CCE"/>
    <w:rsid w:val="00ED40B2"/>
    <w:rsid w:val="00ED41E6"/>
    <w:rsid w:val="00EE0E6D"/>
    <w:rsid w:val="00EE37C8"/>
    <w:rsid w:val="00EE6D22"/>
    <w:rsid w:val="00EF5ACE"/>
    <w:rsid w:val="00F04273"/>
    <w:rsid w:val="00F05755"/>
    <w:rsid w:val="00F107E6"/>
    <w:rsid w:val="00F25C6B"/>
    <w:rsid w:val="00F3092F"/>
    <w:rsid w:val="00F36234"/>
    <w:rsid w:val="00F51CF9"/>
    <w:rsid w:val="00F65523"/>
    <w:rsid w:val="00F700CA"/>
    <w:rsid w:val="00F8009B"/>
    <w:rsid w:val="00F81960"/>
    <w:rsid w:val="00F85F3E"/>
    <w:rsid w:val="00FA546C"/>
    <w:rsid w:val="00FA7521"/>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E786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