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7BC48E91" w14:textId="77777777">
      <w:pPr>
        <w:jc w:val="right"/>
        <w:rPr>
          <w:sz w:val="24"/>
        </w:rPr>
      </w:pPr>
    </w:p>
    <w:p w:rsidR="003474AA" w:rsidRPr="00B02A93" w:rsidP="003474AA" w14:paraId="3E9E573F" w14:textId="77777777">
      <w:pPr>
        <w:jc w:val="right"/>
        <w:rPr>
          <w:sz w:val="24"/>
          <w:szCs w:val="24"/>
        </w:rPr>
      </w:pPr>
    </w:p>
    <w:p w:rsidR="00A37769" w:rsidRPr="00A37769" w:rsidP="00A37769" w14:paraId="5B85EE6B" w14:textId="15AE5446">
      <w:pPr>
        <w:widowControl/>
        <w:suppressAutoHyphens/>
        <w:jc w:val="right"/>
        <w:rPr>
          <w:b/>
          <w:color w:val="000000"/>
        </w:rPr>
      </w:pPr>
      <w:r w:rsidRPr="00A37769">
        <w:rPr>
          <w:b/>
          <w:color w:val="000000"/>
        </w:rPr>
        <w:t>DA 22-</w:t>
      </w:r>
      <w:r w:rsidR="00D50824">
        <w:rPr>
          <w:b/>
          <w:color w:val="000000"/>
        </w:rPr>
        <w:t>531</w:t>
      </w:r>
    </w:p>
    <w:p w:rsidR="00A37769" w:rsidRPr="00A37769" w:rsidP="00A37769" w14:paraId="3C18533E" w14:textId="77777777">
      <w:pPr>
        <w:widowControl/>
        <w:suppressAutoHyphens/>
        <w:spacing w:after="240"/>
        <w:jc w:val="right"/>
        <w:rPr>
          <w:b/>
          <w:color w:val="000000"/>
        </w:rPr>
      </w:pPr>
      <w:r w:rsidRPr="00A37769">
        <w:rPr>
          <w:b/>
          <w:color w:val="000000"/>
        </w:rPr>
        <w:t xml:space="preserve">Released: </w:t>
      </w:r>
      <w:r w:rsidR="002E6977">
        <w:rPr>
          <w:b/>
          <w:color w:val="000000"/>
        </w:rPr>
        <w:t xml:space="preserve"> </w:t>
      </w:r>
      <w:r w:rsidR="001C6F75">
        <w:rPr>
          <w:b/>
          <w:color w:val="000000"/>
        </w:rPr>
        <w:t>May</w:t>
      </w:r>
      <w:r w:rsidRPr="00A37769">
        <w:rPr>
          <w:b/>
          <w:color w:val="000000"/>
        </w:rPr>
        <w:t xml:space="preserve"> </w:t>
      </w:r>
      <w:r w:rsidR="002C63A7">
        <w:rPr>
          <w:b/>
          <w:color w:val="000000"/>
        </w:rPr>
        <w:t>13</w:t>
      </w:r>
      <w:r w:rsidRPr="00A37769">
        <w:rPr>
          <w:b/>
          <w:color w:val="000000"/>
        </w:rPr>
        <w:t>, 2022</w:t>
      </w:r>
    </w:p>
    <w:p w:rsidR="00A37769" w:rsidRPr="00A37769" w:rsidP="00A37769" w14:paraId="0C3E393C" w14:textId="77777777">
      <w:pPr>
        <w:widowControl/>
        <w:suppressAutoHyphens/>
        <w:jc w:val="center"/>
        <w:rPr>
          <w:b/>
          <w:szCs w:val="22"/>
        </w:rPr>
      </w:pPr>
      <w:r w:rsidRPr="00A37769">
        <w:rPr>
          <w:b/>
          <w:szCs w:val="22"/>
        </w:rPr>
        <w:t>DOMESTIC SECTION 214 APPLICATION GRANTED SUBJECT TO CONDITION</w:t>
      </w:r>
    </w:p>
    <w:p w:rsidR="00A37769" w:rsidRPr="00A37769" w:rsidP="00A37769" w14:paraId="4A265FC1" w14:textId="77777777">
      <w:pPr>
        <w:widowControl/>
        <w:suppressAutoHyphens/>
        <w:jc w:val="center"/>
        <w:rPr>
          <w:b/>
          <w:color w:val="000000"/>
          <w:szCs w:val="22"/>
        </w:rPr>
      </w:pPr>
    </w:p>
    <w:p w:rsidR="00A37769" w:rsidRPr="00A37769" w:rsidP="00A37769" w14:paraId="3D34485A" w14:textId="77777777">
      <w:pPr>
        <w:widowControl/>
        <w:suppressAutoHyphens/>
        <w:spacing w:after="240"/>
        <w:jc w:val="center"/>
        <w:rPr>
          <w:b/>
          <w:color w:val="000000"/>
          <w:szCs w:val="22"/>
        </w:rPr>
      </w:pPr>
      <w:r w:rsidRPr="00A37769">
        <w:rPr>
          <w:b/>
          <w:color w:val="000000"/>
          <w:szCs w:val="22"/>
        </w:rPr>
        <w:t>WC Docket No. 2</w:t>
      </w:r>
      <w:r w:rsidR="0045759E">
        <w:rPr>
          <w:b/>
          <w:color w:val="000000"/>
          <w:szCs w:val="22"/>
        </w:rPr>
        <w:t>2-99</w:t>
      </w:r>
    </w:p>
    <w:p w:rsidR="00A37769" w:rsidRPr="00A37769" w:rsidP="00A37769" w14:paraId="19C88B5A" w14:textId="77777777">
      <w:pPr>
        <w:widowControl/>
        <w:autoSpaceDE w:val="0"/>
        <w:autoSpaceDN w:val="0"/>
        <w:adjustRightInd w:val="0"/>
        <w:spacing w:after="120"/>
        <w:ind w:firstLine="720"/>
        <w:rPr>
          <w:snapToGrid/>
          <w:kern w:val="0"/>
          <w:szCs w:val="22"/>
        </w:rPr>
      </w:pPr>
      <w:r w:rsidRPr="00A37769">
        <w:rPr>
          <w:snapToGrid/>
          <w:kern w:val="0"/>
          <w:szCs w:val="22"/>
        </w:rPr>
        <w:t xml:space="preserve">By this Public Notice, the Wireline Competition Bureau (Bureau) grants, as conditioned, an application filed by </w:t>
      </w:r>
      <w:r w:rsidR="0045759E">
        <w:rPr>
          <w:snapToGrid/>
          <w:kern w:val="0"/>
          <w:szCs w:val="22"/>
        </w:rPr>
        <w:t>t</w:t>
      </w:r>
      <w:r w:rsidRPr="00F42D59" w:rsidR="0045759E">
        <w:rPr>
          <w:snapToGrid/>
          <w:kern w:val="0"/>
          <w:szCs w:val="22"/>
        </w:rPr>
        <w:t xml:space="preserve">he former shareholders of the Pennsylvania Telephone Company, Inc. (PTC) and </w:t>
      </w:r>
      <w:r w:rsidR="00F0415F">
        <w:rPr>
          <w:snapToGrid/>
          <w:kern w:val="0"/>
          <w:szCs w:val="22"/>
        </w:rPr>
        <w:t xml:space="preserve">by </w:t>
      </w:r>
      <w:r w:rsidRPr="00F42D59" w:rsidR="0045759E">
        <w:rPr>
          <w:snapToGrid/>
          <w:kern w:val="0"/>
          <w:szCs w:val="22"/>
        </w:rPr>
        <w:t>New Lisbon Holdings, Inc. (NLHI)</w:t>
      </w:r>
      <w:r w:rsidR="00F0415F">
        <w:rPr>
          <w:snapToGrid/>
          <w:kern w:val="0"/>
          <w:szCs w:val="22"/>
        </w:rPr>
        <w:t xml:space="preserve"> and its wholly-owned subsidiary, New Lisbon Telephone Company, Inc. (NLTC)</w:t>
      </w:r>
      <w:r w:rsidR="003F0093">
        <w:rPr>
          <w:snapToGrid/>
          <w:kern w:val="0"/>
          <w:szCs w:val="22"/>
        </w:rPr>
        <w:t xml:space="preserve"> (collectively, Applicants)</w:t>
      </w:r>
      <w:r w:rsidRPr="00477B03" w:rsidR="0045759E">
        <w:rPr>
          <w:snapToGrid/>
          <w:kern w:val="0"/>
          <w:szCs w:val="22"/>
        </w:rPr>
        <w:t xml:space="preserve">, pursuant to section 214 of the Communications Act of 1934, as amended, and sections 63.03-04 of the Commission’s rules, </w:t>
      </w:r>
      <w:r w:rsidRPr="0041725C" w:rsidR="0045759E">
        <w:rPr>
          <w:snapToGrid/>
          <w:kern w:val="0"/>
          <w:szCs w:val="22"/>
        </w:rPr>
        <w:t xml:space="preserve">requesting consent </w:t>
      </w:r>
      <w:r w:rsidRPr="0043537A" w:rsidR="0045759E">
        <w:rPr>
          <w:snapToGrid/>
          <w:kern w:val="0"/>
          <w:szCs w:val="22"/>
        </w:rPr>
        <w:t xml:space="preserve">to transfer control of </w:t>
      </w:r>
      <w:r w:rsidRPr="00E16955" w:rsidR="0045759E">
        <w:rPr>
          <w:snapToGrid/>
          <w:kern w:val="0"/>
          <w:szCs w:val="22"/>
        </w:rPr>
        <w:t>PTC</w:t>
      </w:r>
      <w:r w:rsidRPr="007F3852" w:rsidR="0045759E">
        <w:rPr>
          <w:snapToGrid/>
          <w:color w:val="1F1F1F"/>
          <w:w w:val="105"/>
          <w:kern w:val="0"/>
          <w:szCs w:val="22"/>
        </w:rPr>
        <w:t xml:space="preserve"> to NLTC</w:t>
      </w:r>
      <w:r w:rsidR="003F0093">
        <w:rPr>
          <w:snapToGrid/>
          <w:color w:val="1F1F1F"/>
          <w:w w:val="105"/>
          <w:kern w:val="0"/>
          <w:szCs w:val="22"/>
        </w:rPr>
        <w:t>, which occurred on July 31, 2020</w:t>
      </w:r>
      <w:r w:rsidRPr="007F3852" w:rsidR="0045759E">
        <w:rPr>
          <w:snapToGrid/>
          <w:color w:val="1F1F1F"/>
          <w:w w:val="105"/>
          <w:kern w:val="0"/>
          <w:szCs w:val="22"/>
        </w:rPr>
        <w:t>.</w:t>
      </w:r>
      <w:r>
        <w:rPr>
          <w:snapToGrid/>
          <w:kern w:val="0"/>
          <w:szCs w:val="22"/>
          <w:vertAlign w:val="superscript"/>
        </w:rPr>
        <w:footnoteReference w:id="3"/>
      </w:r>
      <w:r w:rsidRPr="00477B03" w:rsidR="0045759E">
        <w:rPr>
          <w:snapToGrid/>
          <w:kern w:val="0"/>
          <w:szCs w:val="22"/>
        </w:rPr>
        <w:t xml:space="preserve"> </w:t>
      </w:r>
      <w:r w:rsidR="0045759E">
        <w:rPr>
          <w:snapToGrid/>
          <w:kern w:val="0"/>
          <w:szCs w:val="22"/>
        </w:rPr>
        <w:t xml:space="preserve">   </w:t>
      </w:r>
      <w:r w:rsidRPr="00A37769">
        <w:rPr>
          <w:snapToGrid/>
          <w:kern w:val="0"/>
          <w:szCs w:val="22"/>
        </w:rPr>
        <w:t xml:space="preserve">  </w:t>
      </w:r>
    </w:p>
    <w:p w:rsidR="00A37769" w:rsidRPr="00A37769" w:rsidP="00A37769" w14:paraId="3D96A954" w14:textId="77777777">
      <w:pPr>
        <w:widowControl/>
        <w:autoSpaceDE w:val="0"/>
        <w:autoSpaceDN w:val="0"/>
        <w:adjustRightInd w:val="0"/>
        <w:spacing w:after="120"/>
        <w:ind w:firstLine="720"/>
        <w:rPr>
          <w:snapToGrid/>
          <w:kern w:val="0"/>
          <w:szCs w:val="22"/>
        </w:rPr>
      </w:pPr>
      <w:r w:rsidRPr="00A37769">
        <w:rPr>
          <w:color w:val="000000"/>
          <w:szCs w:val="22"/>
        </w:rPr>
        <w:t xml:space="preserve">On </w:t>
      </w:r>
      <w:r w:rsidR="0045759E">
        <w:rPr>
          <w:color w:val="000000"/>
          <w:szCs w:val="22"/>
        </w:rPr>
        <w:t>March 9</w:t>
      </w:r>
      <w:r w:rsidRPr="00A37769">
        <w:rPr>
          <w:color w:val="000000"/>
          <w:szCs w:val="22"/>
        </w:rPr>
        <w:t>, 202</w:t>
      </w:r>
      <w:r w:rsidR="0045759E">
        <w:rPr>
          <w:color w:val="000000"/>
          <w:szCs w:val="22"/>
        </w:rPr>
        <w:t>2</w:t>
      </w:r>
      <w:r w:rsidRPr="00A37769">
        <w:rPr>
          <w:color w:val="000000"/>
          <w:szCs w:val="22"/>
        </w:rPr>
        <w:t>, the Bureau released a public notice seeking comment on the Application.</w:t>
      </w:r>
      <w:r>
        <w:rPr>
          <w:szCs w:val="22"/>
          <w:vertAlign w:val="superscript"/>
        </w:rPr>
        <w:footnoteReference w:id="4"/>
      </w:r>
      <w:r w:rsidRPr="00A37769">
        <w:rPr>
          <w:color w:val="000000"/>
          <w:szCs w:val="22"/>
        </w:rPr>
        <w:t xml:space="preserve">  We</w:t>
      </w:r>
      <w:r w:rsidRPr="00A37769">
        <w:rPr>
          <w:szCs w:val="22"/>
        </w:rPr>
        <w:t xml:space="preserve"> did not receive comments or petitions in opposition to the Application.</w:t>
      </w:r>
    </w:p>
    <w:p w:rsidR="00DF2528" w:rsidRPr="00DF2528" w:rsidP="00DF2528" w14:paraId="57EAC6BE" w14:textId="77777777">
      <w:pPr>
        <w:widowControl/>
        <w:autoSpaceDE w:val="0"/>
        <w:autoSpaceDN w:val="0"/>
        <w:adjustRightInd w:val="0"/>
        <w:spacing w:after="120"/>
        <w:rPr>
          <w:b/>
          <w:bCs/>
          <w:snapToGrid/>
          <w:kern w:val="0"/>
          <w:szCs w:val="22"/>
          <w:u w:val="single"/>
        </w:rPr>
      </w:pPr>
      <w:r w:rsidRPr="00DF2528">
        <w:rPr>
          <w:b/>
          <w:bCs/>
          <w:snapToGrid/>
          <w:kern w:val="0"/>
          <w:szCs w:val="22"/>
          <w:u w:val="single"/>
        </w:rPr>
        <w:t>Applicants and Description of Transaction</w:t>
      </w:r>
    </w:p>
    <w:p w:rsidR="00C02DE6" w:rsidP="00C02DE6" w14:paraId="64D74EF2" w14:textId="77777777">
      <w:pPr>
        <w:widowControl/>
        <w:autoSpaceDE w:val="0"/>
        <w:autoSpaceDN w:val="0"/>
        <w:adjustRightInd w:val="0"/>
        <w:spacing w:after="120"/>
        <w:ind w:firstLine="720"/>
        <w:rPr>
          <w:snapToGrid/>
          <w:kern w:val="0"/>
          <w:szCs w:val="22"/>
        </w:rPr>
      </w:pPr>
      <w:r>
        <w:rPr>
          <w:snapToGrid/>
          <w:kern w:val="0"/>
          <w:szCs w:val="22"/>
        </w:rPr>
        <w:t xml:space="preserve">PTC, a </w:t>
      </w:r>
      <w:r w:rsidRPr="002D66B2">
        <w:rPr>
          <w:snapToGrid/>
          <w:kern w:val="0"/>
          <w:szCs w:val="22"/>
        </w:rPr>
        <w:t>Pennsylvania corporation</w:t>
      </w:r>
      <w:r>
        <w:rPr>
          <w:snapToGrid/>
          <w:kern w:val="0"/>
          <w:szCs w:val="22"/>
        </w:rPr>
        <w:t>, provides service to</w:t>
      </w:r>
      <w:r w:rsidRPr="002D66B2">
        <w:rPr>
          <w:snapToGrid/>
          <w:kern w:val="0"/>
          <w:szCs w:val="22"/>
        </w:rPr>
        <w:t xml:space="preserve"> </w:t>
      </w:r>
      <w:r>
        <w:rPr>
          <w:snapToGrid/>
          <w:kern w:val="0"/>
          <w:szCs w:val="22"/>
        </w:rPr>
        <w:t xml:space="preserve">approximately </w:t>
      </w:r>
      <w:r w:rsidRPr="002D66B2">
        <w:rPr>
          <w:snapToGrid/>
          <w:kern w:val="0"/>
          <w:szCs w:val="22"/>
        </w:rPr>
        <w:t xml:space="preserve">840 access lines </w:t>
      </w:r>
      <w:r>
        <w:rPr>
          <w:snapToGrid/>
          <w:kern w:val="0"/>
          <w:szCs w:val="22"/>
        </w:rPr>
        <w:t xml:space="preserve">as a </w:t>
      </w:r>
      <w:r w:rsidRPr="007F3852">
        <w:rPr>
          <w:snapToGrid/>
          <w:kern w:val="0"/>
          <w:szCs w:val="22"/>
        </w:rPr>
        <w:t>rural incumbent local exchange carrier (LEC)</w:t>
      </w:r>
      <w:r>
        <w:rPr>
          <w:snapToGrid/>
          <w:kern w:val="0"/>
          <w:szCs w:val="22"/>
        </w:rPr>
        <w:t xml:space="preserve"> </w:t>
      </w:r>
      <w:r w:rsidRPr="002D66B2">
        <w:rPr>
          <w:snapToGrid/>
          <w:kern w:val="0"/>
          <w:szCs w:val="22"/>
        </w:rPr>
        <w:t>in the southern portions of Clinton and Lycoming Counties in south central Pennsylvania.</w:t>
      </w:r>
      <w:r>
        <w:rPr>
          <w:rStyle w:val="FootnoteReference"/>
          <w:snapToGrid/>
          <w:kern w:val="0"/>
          <w:szCs w:val="22"/>
        </w:rPr>
        <w:footnoteReference w:id="5"/>
      </w:r>
      <w:r w:rsidRPr="002D66B2">
        <w:rPr>
          <w:snapToGrid/>
          <w:kern w:val="0"/>
          <w:szCs w:val="22"/>
        </w:rPr>
        <w:t xml:space="preserve"> </w:t>
      </w:r>
      <w:r>
        <w:rPr>
          <w:snapToGrid/>
          <w:kern w:val="0"/>
          <w:szCs w:val="22"/>
        </w:rPr>
        <w:t xml:space="preserve"> </w:t>
      </w:r>
      <w:r w:rsidR="00CB0F35">
        <w:rPr>
          <w:snapToGrid/>
          <w:kern w:val="0"/>
          <w:szCs w:val="22"/>
        </w:rPr>
        <w:t>PTC</w:t>
      </w:r>
      <w:r w:rsidRPr="00A37769" w:rsidR="00CB0F35">
        <w:rPr>
          <w:snapToGrid/>
          <w:kern w:val="0"/>
          <w:szCs w:val="22"/>
        </w:rPr>
        <w:t xml:space="preserve"> did not elect to receive model-based support and receives cost-based universal service support.</w:t>
      </w:r>
      <w:r>
        <w:rPr>
          <w:snapToGrid/>
          <w:kern w:val="0"/>
          <w:szCs w:val="22"/>
          <w:vertAlign w:val="superscript"/>
        </w:rPr>
        <w:footnoteReference w:id="6"/>
      </w:r>
      <w:r w:rsidRPr="00A37769" w:rsidR="00CB0F35">
        <w:rPr>
          <w:snapToGrid/>
          <w:kern w:val="0"/>
          <w:szCs w:val="22"/>
        </w:rPr>
        <w:t xml:space="preserve"> </w:t>
      </w:r>
    </w:p>
    <w:p w:rsidR="002E6977" w:rsidP="00CB0F35" w14:paraId="32FC97A5" w14:textId="77777777">
      <w:pPr>
        <w:widowControl/>
        <w:autoSpaceDE w:val="0"/>
        <w:autoSpaceDN w:val="0"/>
        <w:adjustRightInd w:val="0"/>
        <w:spacing w:after="120"/>
        <w:ind w:firstLine="720"/>
        <w:rPr>
          <w:snapToGrid/>
          <w:kern w:val="0"/>
          <w:szCs w:val="22"/>
        </w:rPr>
      </w:pPr>
      <w:r w:rsidRPr="002D66B2">
        <w:rPr>
          <w:snapToGrid/>
          <w:kern w:val="0"/>
          <w:szCs w:val="22"/>
        </w:rPr>
        <w:t>NLTC, a</w:t>
      </w:r>
      <w:r>
        <w:rPr>
          <w:snapToGrid/>
          <w:kern w:val="0"/>
          <w:szCs w:val="22"/>
        </w:rPr>
        <w:t>n Indiana corporation</w:t>
      </w:r>
      <w:r w:rsidRPr="002D66B2">
        <w:rPr>
          <w:snapToGrid/>
          <w:kern w:val="0"/>
          <w:szCs w:val="22"/>
        </w:rPr>
        <w:t xml:space="preserve">, provides </w:t>
      </w:r>
      <w:r>
        <w:rPr>
          <w:snapToGrid/>
          <w:kern w:val="0"/>
          <w:szCs w:val="22"/>
        </w:rPr>
        <w:t xml:space="preserve">service as a </w:t>
      </w:r>
      <w:r w:rsidRPr="002D66B2">
        <w:rPr>
          <w:snapToGrid/>
          <w:kern w:val="0"/>
          <w:szCs w:val="22"/>
        </w:rPr>
        <w:t xml:space="preserve">rural </w:t>
      </w:r>
      <w:r>
        <w:rPr>
          <w:snapToGrid/>
          <w:kern w:val="0"/>
          <w:szCs w:val="22"/>
        </w:rPr>
        <w:t xml:space="preserve">incumbent </w:t>
      </w:r>
      <w:r w:rsidRPr="002D66B2">
        <w:rPr>
          <w:snapToGrid/>
          <w:kern w:val="0"/>
          <w:szCs w:val="22"/>
        </w:rPr>
        <w:t xml:space="preserve">LEC </w:t>
      </w:r>
      <w:r>
        <w:rPr>
          <w:snapToGrid/>
          <w:kern w:val="0"/>
          <w:szCs w:val="22"/>
        </w:rPr>
        <w:t>in Henry County in south central Indiana</w:t>
      </w:r>
      <w:r w:rsidRPr="00877BCD">
        <w:rPr>
          <w:snapToGrid/>
          <w:kern w:val="0"/>
          <w:szCs w:val="22"/>
        </w:rPr>
        <w:t>.</w:t>
      </w:r>
      <w:r>
        <w:rPr>
          <w:rStyle w:val="FootnoteReference"/>
          <w:snapToGrid/>
          <w:kern w:val="0"/>
          <w:szCs w:val="22"/>
        </w:rPr>
        <w:footnoteReference w:id="7"/>
      </w:r>
      <w:r>
        <w:rPr>
          <w:snapToGrid/>
          <w:kern w:val="0"/>
          <w:szCs w:val="22"/>
        </w:rPr>
        <w:t xml:space="preserve">  </w:t>
      </w:r>
      <w:r w:rsidR="00CB0F35">
        <w:rPr>
          <w:snapToGrid/>
          <w:kern w:val="0"/>
          <w:szCs w:val="22"/>
        </w:rPr>
        <w:t>NLTC</w:t>
      </w:r>
      <w:r w:rsidRPr="00A37769" w:rsidR="00CB0F35">
        <w:rPr>
          <w:snapToGrid/>
          <w:kern w:val="0"/>
          <w:szCs w:val="22"/>
        </w:rPr>
        <w:t xml:space="preserve"> did not elect to receive model-based support and receives cost-based universal service support.</w:t>
      </w:r>
      <w:r>
        <w:rPr>
          <w:snapToGrid/>
          <w:kern w:val="0"/>
          <w:szCs w:val="22"/>
          <w:vertAlign w:val="superscript"/>
        </w:rPr>
        <w:footnoteReference w:id="8"/>
      </w:r>
      <w:r w:rsidRPr="00A37769" w:rsidR="00CB0F35">
        <w:rPr>
          <w:snapToGrid/>
          <w:kern w:val="0"/>
          <w:szCs w:val="22"/>
        </w:rPr>
        <w:t xml:space="preserve"> </w:t>
      </w:r>
      <w:r w:rsidR="00CB0F35">
        <w:rPr>
          <w:snapToGrid/>
          <w:kern w:val="0"/>
          <w:szCs w:val="22"/>
        </w:rPr>
        <w:t xml:space="preserve"> </w:t>
      </w:r>
    </w:p>
    <w:p w:rsidR="004D34C6" w:rsidP="00C02DE6" w14:paraId="1F5266D7" w14:textId="77777777">
      <w:pPr>
        <w:widowControl/>
        <w:autoSpaceDE w:val="0"/>
        <w:autoSpaceDN w:val="0"/>
        <w:adjustRightInd w:val="0"/>
        <w:spacing w:after="120"/>
        <w:ind w:firstLine="720"/>
        <w:rPr>
          <w:snapToGrid/>
          <w:kern w:val="0"/>
          <w:szCs w:val="22"/>
        </w:rPr>
      </w:pPr>
      <w:r w:rsidRPr="00DA0A78">
        <w:rPr>
          <w:snapToGrid/>
          <w:kern w:val="0"/>
          <w:szCs w:val="22"/>
        </w:rPr>
        <w:t>NLHI</w:t>
      </w:r>
      <w:r>
        <w:rPr>
          <w:snapToGrid/>
          <w:kern w:val="0"/>
          <w:szCs w:val="22"/>
        </w:rPr>
        <w:t xml:space="preserve">, </w:t>
      </w:r>
      <w:r w:rsidRPr="00DA0A78">
        <w:rPr>
          <w:snapToGrid/>
          <w:kern w:val="0"/>
          <w:szCs w:val="22"/>
        </w:rPr>
        <w:t>a holding company</w:t>
      </w:r>
      <w:r>
        <w:rPr>
          <w:snapToGrid/>
          <w:kern w:val="0"/>
          <w:szCs w:val="22"/>
        </w:rPr>
        <w:t>, does not provide telecommunications services</w:t>
      </w:r>
      <w:r w:rsidR="002E6977">
        <w:rPr>
          <w:snapToGrid/>
          <w:kern w:val="0"/>
          <w:szCs w:val="22"/>
        </w:rPr>
        <w:t xml:space="preserve"> and is owned and controlled by a Board of Directors that is comprised of eight U.S. citizens</w:t>
      </w:r>
      <w:r w:rsidRPr="00DA0A78">
        <w:rPr>
          <w:snapToGrid/>
          <w:kern w:val="0"/>
          <w:szCs w:val="22"/>
        </w:rPr>
        <w:t>.</w:t>
      </w:r>
      <w:r>
        <w:rPr>
          <w:rStyle w:val="FootnoteReference"/>
          <w:snapToGrid/>
          <w:kern w:val="0"/>
          <w:szCs w:val="22"/>
        </w:rPr>
        <w:footnoteReference w:id="9"/>
      </w:r>
      <w:r>
        <w:rPr>
          <w:snapToGrid/>
          <w:kern w:val="0"/>
          <w:szCs w:val="22"/>
        </w:rPr>
        <w:t xml:space="preserve">  </w:t>
      </w:r>
      <w:r>
        <w:rPr>
          <w:snapToGrid/>
          <w:kern w:val="0"/>
          <w:szCs w:val="22"/>
        </w:rPr>
        <w:t>NL</w:t>
      </w:r>
      <w:r>
        <w:rPr>
          <w:snapToGrid/>
          <w:kern w:val="0"/>
          <w:szCs w:val="22"/>
        </w:rPr>
        <w:t>HI’s</w:t>
      </w:r>
      <w:r>
        <w:rPr>
          <w:snapToGrid/>
          <w:kern w:val="0"/>
          <w:szCs w:val="22"/>
        </w:rPr>
        <w:t xml:space="preserve"> </w:t>
      </w:r>
      <w:r w:rsidR="00F80CF7">
        <w:rPr>
          <w:snapToGrid/>
          <w:kern w:val="0"/>
          <w:szCs w:val="22"/>
        </w:rPr>
        <w:t xml:space="preserve">wholly-owned </w:t>
      </w:r>
      <w:r>
        <w:rPr>
          <w:snapToGrid/>
          <w:kern w:val="0"/>
          <w:szCs w:val="22"/>
        </w:rPr>
        <w:t>subsidiary, New Lisbon Broadband and Communications, LLC (NLBC), is a competitive LEC</w:t>
      </w:r>
      <w:r w:rsidR="00C56959">
        <w:rPr>
          <w:snapToGrid/>
          <w:kern w:val="0"/>
          <w:szCs w:val="22"/>
        </w:rPr>
        <w:t xml:space="preserve"> in Indiana</w:t>
      </w:r>
      <w:r>
        <w:rPr>
          <w:snapToGrid/>
          <w:kern w:val="0"/>
          <w:szCs w:val="22"/>
        </w:rPr>
        <w:t>.</w:t>
      </w:r>
      <w:r>
        <w:rPr>
          <w:rStyle w:val="FootnoteReference"/>
          <w:snapToGrid/>
          <w:kern w:val="0"/>
          <w:szCs w:val="22"/>
        </w:rPr>
        <w:footnoteReference w:id="10"/>
      </w:r>
      <w:r>
        <w:rPr>
          <w:snapToGrid/>
          <w:kern w:val="0"/>
          <w:szCs w:val="22"/>
        </w:rPr>
        <w:t xml:space="preserve">  NLBC received authorization for Rural Broadband Experiment</w:t>
      </w:r>
      <w:r w:rsidR="00B144FF">
        <w:rPr>
          <w:snapToGrid/>
          <w:kern w:val="0"/>
          <w:szCs w:val="22"/>
        </w:rPr>
        <w:t>s</w:t>
      </w:r>
      <w:r>
        <w:rPr>
          <w:snapToGrid/>
          <w:kern w:val="0"/>
          <w:szCs w:val="22"/>
        </w:rPr>
        <w:t xml:space="preserve"> </w:t>
      </w:r>
      <w:r w:rsidR="00EC3DD3">
        <w:rPr>
          <w:snapToGrid/>
          <w:kern w:val="0"/>
          <w:szCs w:val="22"/>
        </w:rPr>
        <w:t xml:space="preserve">(RBE) </w:t>
      </w:r>
      <w:r w:rsidR="00B144FF">
        <w:rPr>
          <w:snapToGrid/>
          <w:kern w:val="0"/>
          <w:szCs w:val="22"/>
        </w:rPr>
        <w:t>support</w:t>
      </w:r>
      <w:r w:rsidR="00C56959">
        <w:rPr>
          <w:snapToGrid/>
          <w:kern w:val="0"/>
          <w:szCs w:val="22"/>
        </w:rPr>
        <w:t xml:space="preserve"> </w:t>
      </w:r>
      <w:r w:rsidR="007C090F">
        <w:rPr>
          <w:snapToGrid/>
          <w:kern w:val="0"/>
          <w:szCs w:val="22"/>
        </w:rPr>
        <w:t>for a 10-year term beginning in 2016</w:t>
      </w:r>
      <w:r w:rsidR="00C56959">
        <w:rPr>
          <w:snapToGrid/>
          <w:kern w:val="0"/>
          <w:szCs w:val="22"/>
        </w:rPr>
        <w:t>.</w:t>
      </w:r>
      <w:r>
        <w:rPr>
          <w:rStyle w:val="FootnoteReference"/>
          <w:snapToGrid/>
          <w:kern w:val="0"/>
          <w:szCs w:val="22"/>
        </w:rPr>
        <w:footnoteReference w:id="11"/>
      </w:r>
      <w:r w:rsidR="00C56959">
        <w:rPr>
          <w:snapToGrid/>
          <w:kern w:val="0"/>
          <w:szCs w:val="22"/>
        </w:rPr>
        <w:t xml:space="preserve">  NLBC</w:t>
      </w:r>
      <w:r>
        <w:rPr>
          <w:snapToGrid/>
          <w:kern w:val="0"/>
          <w:szCs w:val="22"/>
        </w:rPr>
        <w:t xml:space="preserve"> also</w:t>
      </w:r>
      <w:r w:rsidRPr="00F34674">
        <w:rPr>
          <w:szCs w:val="22"/>
        </w:rPr>
        <w:t xml:space="preserve"> participated in and won the rights to provide service </w:t>
      </w:r>
      <w:r>
        <w:rPr>
          <w:szCs w:val="22"/>
        </w:rPr>
        <w:t xml:space="preserve">to 281 locations in Indiana </w:t>
      </w:r>
      <w:r w:rsidRPr="00F34674">
        <w:rPr>
          <w:szCs w:val="22"/>
        </w:rPr>
        <w:t>through Phase I of the Rural Digital Opportunity Fund (RDOF) Auction</w:t>
      </w:r>
      <w:r>
        <w:rPr>
          <w:snapToGrid/>
          <w:kern w:val="0"/>
          <w:szCs w:val="22"/>
        </w:rPr>
        <w:t>.</w:t>
      </w:r>
      <w:r>
        <w:rPr>
          <w:rStyle w:val="FootnoteReference"/>
          <w:snapToGrid/>
          <w:kern w:val="0"/>
          <w:szCs w:val="22"/>
        </w:rPr>
        <w:footnoteReference w:id="12"/>
      </w:r>
      <w:r>
        <w:rPr>
          <w:snapToGrid/>
          <w:kern w:val="0"/>
          <w:szCs w:val="22"/>
        </w:rPr>
        <w:t xml:space="preserve">    </w:t>
      </w:r>
    </w:p>
    <w:p w:rsidR="00C02DE6" w:rsidRPr="00C02DE6" w:rsidP="00C02DE6" w14:paraId="37400E0A" w14:textId="77777777">
      <w:pPr>
        <w:widowControl/>
        <w:autoSpaceDE w:val="0"/>
        <w:autoSpaceDN w:val="0"/>
        <w:adjustRightInd w:val="0"/>
        <w:spacing w:after="120"/>
        <w:ind w:firstLine="720"/>
        <w:rPr>
          <w:snapToGrid/>
        </w:rPr>
      </w:pPr>
      <w:r>
        <w:rPr>
          <w:snapToGrid/>
        </w:rPr>
        <w:t xml:space="preserve">The former </w:t>
      </w:r>
      <w:r w:rsidRPr="004F0F83">
        <w:rPr>
          <w:snapToGrid/>
        </w:rPr>
        <w:t xml:space="preserve">shareholders of PTC </w:t>
      </w:r>
      <w:r>
        <w:rPr>
          <w:snapToGrid/>
        </w:rPr>
        <w:t>sold</w:t>
      </w:r>
      <w:r w:rsidRPr="004F0F83">
        <w:rPr>
          <w:snapToGrid/>
        </w:rPr>
        <w:t xml:space="preserve"> 100% of </w:t>
      </w:r>
      <w:r w:rsidR="00DF2528">
        <w:rPr>
          <w:snapToGrid/>
        </w:rPr>
        <w:t xml:space="preserve">all </w:t>
      </w:r>
      <w:r w:rsidRPr="004F0F83">
        <w:rPr>
          <w:snapToGrid/>
        </w:rPr>
        <w:t>issued and outstanding shares to NLTC</w:t>
      </w:r>
      <w:r>
        <w:rPr>
          <w:snapToGrid/>
        </w:rPr>
        <w:t xml:space="preserve"> on July 31, 2020</w:t>
      </w:r>
      <w:r w:rsidR="00DF2528">
        <w:rPr>
          <w:snapToGrid/>
        </w:rPr>
        <w:t xml:space="preserve"> </w:t>
      </w:r>
      <w:r w:rsidR="00DF2528">
        <w:rPr>
          <w:snapToGrid/>
          <w:kern w:val="0"/>
          <w:szCs w:val="22"/>
        </w:rPr>
        <w:t>without prior authorization from the Commission</w:t>
      </w:r>
      <w:r w:rsidRPr="004F0F83">
        <w:rPr>
          <w:snapToGrid/>
        </w:rPr>
        <w:t>.</w:t>
      </w:r>
      <w:r>
        <w:rPr>
          <w:rStyle w:val="FootnoteReference"/>
          <w:snapToGrid/>
        </w:rPr>
        <w:footnoteReference w:id="13"/>
      </w:r>
      <w:r>
        <w:rPr>
          <w:snapToGrid/>
        </w:rPr>
        <w:t xml:space="preserve">  On August 14, 2021, </w:t>
      </w:r>
      <w:r>
        <w:rPr>
          <w:snapToGrid/>
          <w:kern w:val="0"/>
          <w:szCs w:val="22"/>
        </w:rPr>
        <w:t xml:space="preserve">Applicants consummated a </w:t>
      </w:r>
      <w:r w:rsidRPr="001C6F75">
        <w:rPr>
          <w:i/>
          <w:iCs/>
          <w:snapToGrid/>
          <w:kern w:val="0"/>
          <w:szCs w:val="22"/>
        </w:rPr>
        <w:t>pro forma</w:t>
      </w:r>
      <w:r>
        <w:rPr>
          <w:snapToGrid/>
          <w:kern w:val="0"/>
          <w:szCs w:val="22"/>
        </w:rPr>
        <w:t xml:space="preserve"> transaction resulting in </w:t>
      </w:r>
      <w:r w:rsidRPr="002D66B2">
        <w:rPr>
          <w:snapToGrid/>
          <w:kern w:val="0"/>
          <w:szCs w:val="22"/>
        </w:rPr>
        <w:t>NLTC</w:t>
      </w:r>
      <w:r>
        <w:rPr>
          <w:snapToGrid/>
          <w:kern w:val="0"/>
          <w:szCs w:val="22"/>
        </w:rPr>
        <w:t>,</w:t>
      </w:r>
      <w:r w:rsidRPr="002D66B2">
        <w:rPr>
          <w:snapToGrid/>
          <w:kern w:val="0"/>
          <w:szCs w:val="22"/>
        </w:rPr>
        <w:t xml:space="preserve"> PTC</w:t>
      </w:r>
      <w:r>
        <w:rPr>
          <w:snapToGrid/>
          <w:kern w:val="0"/>
          <w:szCs w:val="22"/>
        </w:rPr>
        <w:t xml:space="preserve">, and </w:t>
      </w:r>
      <w:r w:rsidRPr="002D66B2">
        <w:rPr>
          <w:snapToGrid/>
          <w:kern w:val="0"/>
          <w:szCs w:val="22"/>
        </w:rPr>
        <w:t>N</w:t>
      </w:r>
      <w:r>
        <w:rPr>
          <w:snapToGrid/>
          <w:kern w:val="0"/>
          <w:szCs w:val="22"/>
        </w:rPr>
        <w:t>LBC becoming wholly-owned subsidiaries of NLHI</w:t>
      </w:r>
      <w:r w:rsidRPr="002D66B2">
        <w:rPr>
          <w:snapToGrid/>
          <w:kern w:val="0"/>
          <w:szCs w:val="22"/>
        </w:rPr>
        <w:t>.</w:t>
      </w:r>
      <w:r>
        <w:rPr>
          <w:rStyle w:val="FootnoteReference"/>
          <w:snapToGrid/>
          <w:kern w:val="0"/>
          <w:szCs w:val="22"/>
        </w:rPr>
        <w:footnoteReference w:id="14"/>
      </w:r>
    </w:p>
    <w:p w:rsidR="00DF2528" w:rsidRPr="00DF2528" w:rsidP="00DF2528" w14:paraId="2F67577F" w14:textId="77777777">
      <w:pPr>
        <w:widowControl/>
        <w:autoSpaceDE w:val="0"/>
        <w:autoSpaceDN w:val="0"/>
        <w:adjustRightInd w:val="0"/>
        <w:spacing w:after="120"/>
        <w:rPr>
          <w:b/>
          <w:bCs/>
          <w:iCs/>
          <w:snapToGrid/>
          <w:kern w:val="0"/>
          <w:szCs w:val="22"/>
        </w:rPr>
      </w:pPr>
      <w:r w:rsidRPr="00DF2528">
        <w:rPr>
          <w:b/>
          <w:bCs/>
          <w:iCs/>
          <w:snapToGrid/>
          <w:kern w:val="0"/>
          <w:szCs w:val="22"/>
          <w:u w:val="single"/>
        </w:rPr>
        <w:t>Discussion</w:t>
      </w:r>
      <w:r w:rsidRPr="00DF2528">
        <w:rPr>
          <w:b/>
          <w:bCs/>
          <w:iCs/>
          <w:snapToGrid/>
          <w:kern w:val="0"/>
          <w:szCs w:val="22"/>
        </w:rPr>
        <w:t xml:space="preserve">  </w:t>
      </w:r>
    </w:p>
    <w:p w:rsidR="00A37769" w:rsidRPr="00A37769" w:rsidP="00A37769" w14:paraId="2A947004" w14:textId="77777777">
      <w:pPr>
        <w:widowControl/>
        <w:autoSpaceDE w:val="0"/>
        <w:autoSpaceDN w:val="0"/>
        <w:adjustRightInd w:val="0"/>
        <w:spacing w:after="120"/>
        <w:ind w:firstLine="720"/>
        <w:rPr>
          <w:snapToGrid/>
          <w:kern w:val="0"/>
          <w:szCs w:val="22"/>
        </w:rPr>
      </w:pPr>
      <w:r w:rsidRPr="00A37769">
        <w:rPr>
          <w:snapToGrid/>
          <w:kern w:val="0"/>
          <w:szCs w:val="22"/>
        </w:rPr>
        <w:t xml:space="preserve">The Applicants </w:t>
      </w:r>
      <w:r w:rsidR="00F415E7">
        <w:rPr>
          <w:snapToGrid/>
          <w:kern w:val="0"/>
          <w:szCs w:val="22"/>
        </w:rPr>
        <w:t xml:space="preserve">have </w:t>
      </w:r>
      <w:r w:rsidRPr="00A37769">
        <w:rPr>
          <w:snapToGrid/>
          <w:kern w:val="0"/>
          <w:szCs w:val="22"/>
        </w:rPr>
        <w:t>consummate</w:t>
      </w:r>
      <w:r w:rsidR="004528C9">
        <w:rPr>
          <w:snapToGrid/>
          <w:kern w:val="0"/>
          <w:szCs w:val="22"/>
        </w:rPr>
        <w:t>d</w:t>
      </w:r>
      <w:r w:rsidRPr="00A37769">
        <w:rPr>
          <w:snapToGrid/>
          <w:kern w:val="0"/>
          <w:szCs w:val="22"/>
        </w:rPr>
        <w:t xml:space="preserve"> </w:t>
      </w:r>
      <w:r w:rsidR="004528C9">
        <w:rPr>
          <w:snapToGrid/>
          <w:kern w:val="0"/>
          <w:szCs w:val="22"/>
        </w:rPr>
        <w:t xml:space="preserve">a </w:t>
      </w:r>
      <w:r w:rsidRPr="00A37769">
        <w:rPr>
          <w:snapToGrid/>
          <w:kern w:val="0"/>
          <w:szCs w:val="22"/>
        </w:rPr>
        <w:t>transaction involving companies that receive high-cost universal service support under the different support mechanisms of fixed model-based support and cost-based support (a mixed support transaction).  The Commission has found that this type of transaction could result in potential harm to its goal of ensuring that limited universal service funding is distributed efficiently and effectively.</w:t>
      </w:r>
      <w:r>
        <w:rPr>
          <w:snapToGrid/>
          <w:kern w:val="0"/>
          <w:szCs w:val="22"/>
          <w:vertAlign w:val="superscript"/>
        </w:rPr>
        <w:footnoteReference w:id="15"/>
      </w:r>
      <w:r w:rsidRPr="00A37769">
        <w:rPr>
          <w:snapToGrid/>
          <w:kern w:val="0"/>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napToGrid/>
          <w:kern w:val="0"/>
          <w:szCs w:val="22"/>
          <w:vertAlign w:val="superscript"/>
        </w:rPr>
        <w:footnoteReference w:id="16"/>
      </w:r>
      <w:r w:rsidRPr="00A37769">
        <w:rPr>
          <w:snapToGrid/>
          <w:kern w:val="0"/>
          <w:szCs w:val="22"/>
        </w:rPr>
        <w:t xml:space="preserve">  If cost shifting were to occur, the combined company, post-transaction, could obtain more high</w:t>
      </w:r>
      <w:r w:rsidR="009C206F">
        <w:rPr>
          <w:snapToGrid/>
          <w:kern w:val="0"/>
          <w:szCs w:val="22"/>
        </w:rPr>
        <w:t>-</w:t>
      </w:r>
      <w:r w:rsidRPr="00A37769">
        <w:rPr>
          <w:snapToGrid/>
          <w:kern w:val="0"/>
          <w:szCs w:val="22"/>
        </w:rPr>
        <w:t>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17"/>
      </w:r>
      <w:r w:rsidRPr="00A37769">
        <w:rPr>
          <w:snapToGrid/>
          <w:kern w:val="0"/>
          <w:szCs w:val="22"/>
        </w:rPr>
        <w:t xml:space="preserve">  Such an outcome is inconsistent with the Commission’s general </w:t>
      </w:r>
      <w:r w:rsidRPr="00A37769">
        <w:rPr>
          <w:snapToGrid/>
          <w:kern w:val="0"/>
          <w:szCs w:val="22"/>
        </w:rPr>
        <w:t>expectation that transactions generate efficiencies that reduce the combined company’s costs.</w:t>
      </w:r>
      <w:r>
        <w:rPr>
          <w:snapToGrid/>
          <w:kern w:val="0"/>
          <w:szCs w:val="22"/>
          <w:vertAlign w:val="superscript"/>
        </w:rPr>
        <w:footnoteReference w:id="18"/>
      </w:r>
      <w:r w:rsidRPr="00A37769">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19"/>
      </w:r>
    </w:p>
    <w:p w:rsidR="00A37769" w:rsidRPr="00A37769" w:rsidP="00A37769" w14:paraId="1B9A0ADE" w14:textId="77777777">
      <w:pPr>
        <w:widowControl/>
        <w:autoSpaceDE w:val="0"/>
        <w:autoSpaceDN w:val="0"/>
        <w:adjustRightInd w:val="0"/>
        <w:spacing w:after="120"/>
        <w:ind w:firstLine="720"/>
        <w:rPr>
          <w:snapToGrid/>
          <w:kern w:val="0"/>
          <w:szCs w:val="22"/>
        </w:rPr>
      </w:pPr>
      <w:r w:rsidRPr="00A37769">
        <w:rPr>
          <w:snapToGrid/>
          <w:kern w:val="0"/>
          <w:szCs w:val="22"/>
        </w:rPr>
        <w:t xml:space="preserve">In the </w:t>
      </w:r>
      <w:r w:rsidRPr="00A37769">
        <w:rPr>
          <w:i/>
          <w:snapToGrid/>
          <w:kern w:val="0"/>
          <w:szCs w:val="22"/>
        </w:rPr>
        <w:t>Hargray/ComSouth Order</w:t>
      </w:r>
      <w:r w:rsidRPr="00A37769">
        <w:rPr>
          <w:snapToGrid/>
          <w:kern w:val="0"/>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napToGrid/>
          <w:kern w:val="0"/>
          <w:szCs w:val="22"/>
          <w:vertAlign w:val="superscript"/>
        </w:rPr>
        <w:footnoteReference w:id="20"/>
      </w:r>
      <w:r w:rsidRPr="00A37769">
        <w:rPr>
          <w:snapToGrid/>
          <w:kern w:val="0"/>
          <w:szCs w:val="22"/>
        </w:rPr>
        <w:t xml:space="preserve">  The Commission also directed the Bureau to impose the same limited condition on future transactions between parties receiving different types of high-cost universal service support.</w:t>
      </w:r>
      <w:r>
        <w:rPr>
          <w:snapToGrid/>
          <w:kern w:val="0"/>
          <w:szCs w:val="22"/>
          <w:vertAlign w:val="superscript"/>
        </w:rPr>
        <w:footnoteReference w:id="21"/>
      </w:r>
      <w:r w:rsidRPr="00A37769">
        <w:rPr>
          <w:snapToGrid/>
          <w:kern w:val="0"/>
          <w:szCs w:val="22"/>
        </w:rPr>
        <w:t xml:space="preserve">  </w:t>
      </w:r>
    </w:p>
    <w:p w:rsidR="008A2B61" w:rsidP="007E6B10" w14:paraId="7F9FB013" w14:textId="77777777">
      <w:pPr>
        <w:widowControl/>
        <w:autoSpaceDE w:val="0"/>
        <w:autoSpaceDN w:val="0"/>
        <w:adjustRightInd w:val="0"/>
        <w:spacing w:after="120"/>
        <w:ind w:firstLine="720"/>
        <w:rPr>
          <w:snapToGrid/>
          <w:kern w:val="0"/>
          <w:szCs w:val="22"/>
        </w:rPr>
      </w:pPr>
      <w:r w:rsidRPr="00F0415F">
        <w:rPr>
          <w:snapToGrid/>
          <w:kern w:val="0"/>
          <w:szCs w:val="22"/>
        </w:rPr>
        <w:t xml:space="preserve">NLHI wholly-owns </w:t>
      </w:r>
      <w:r w:rsidRPr="00F0415F" w:rsidR="006D0686">
        <w:rPr>
          <w:snapToGrid/>
          <w:kern w:val="0"/>
          <w:szCs w:val="22"/>
        </w:rPr>
        <w:t>NLT</w:t>
      </w:r>
      <w:r w:rsidRPr="00F0415F" w:rsidR="00B81CC5">
        <w:rPr>
          <w:snapToGrid/>
          <w:kern w:val="0"/>
          <w:szCs w:val="22"/>
        </w:rPr>
        <w:t>C</w:t>
      </w:r>
      <w:r w:rsidRPr="00F0415F" w:rsidR="00694565">
        <w:rPr>
          <w:snapToGrid/>
          <w:kern w:val="0"/>
          <w:szCs w:val="22"/>
        </w:rPr>
        <w:t xml:space="preserve"> and</w:t>
      </w:r>
      <w:r w:rsidRPr="00F0415F" w:rsidR="00C35C0A">
        <w:rPr>
          <w:snapToGrid/>
          <w:kern w:val="0"/>
          <w:szCs w:val="22"/>
        </w:rPr>
        <w:t>, as a result of the transaction,</w:t>
      </w:r>
      <w:r w:rsidRPr="00F0415F" w:rsidR="00694565">
        <w:rPr>
          <w:snapToGrid/>
          <w:kern w:val="0"/>
          <w:szCs w:val="22"/>
        </w:rPr>
        <w:t xml:space="preserve"> PT</w:t>
      </w:r>
      <w:r w:rsidRPr="00F0415F" w:rsidR="00B81CC5">
        <w:rPr>
          <w:snapToGrid/>
          <w:kern w:val="0"/>
          <w:szCs w:val="22"/>
        </w:rPr>
        <w:t>C</w:t>
      </w:r>
      <w:r w:rsidRPr="00F0415F" w:rsidR="00EC3DD3">
        <w:rPr>
          <w:snapToGrid/>
          <w:kern w:val="0"/>
          <w:szCs w:val="22"/>
        </w:rPr>
        <w:t>.  Both NLTC and PTC</w:t>
      </w:r>
      <w:r w:rsidRPr="00F0415F" w:rsidR="00C35C0A">
        <w:rPr>
          <w:snapToGrid/>
          <w:kern w:val="0"/>
          <w:szCs w:val="22"/>
        </w:rPr>
        <w:t xml:space="preserve"> </w:t>
      </w:r>
      <w:r w:rsidRPr="00F0415F" w:rsidR="006D0686">
        <w:rPr>
          <w:snapToGrid/>
          <w:kern w:val="0"/>
          <w:szCs w:val="22"/>
        </w:rPr>
        <w:t>receive cost-based support</w:t>
      </w:r>
      <w:r w:rsidRPr="00F0415F" w:rsidR="00C35C0A">
        <w:rPr>
          <w:snapToGrid/>
          <w:kern w:val="0"/>
          <w:szCs w:val="22"/>
        </w:rPr>
        <w:t xml:space="preserve">.  NLHI also wholly-owns </w:t>
      </w:r>
      <w:r w:rsidRPr="00F0415F">
        <w:rPr>
          <w:snapToGrid/>
          <w:kern w:val="0"/>
          <w:szCs w:val="22"/>
        </w:rPr>
        <w:t>NLBC, which, at the time of the transaction closing, received a fixed level of high</w:t>
      </w:r>
      <w:r w:rsidR="009C206F">
        <w:rPr>
          <w:snapToGrid/>
          <w:kern w:val="0"/>
          <w:szCs w:val="22"/>
        </w:rPr>
        <w:t>-</w:t>
      </w:r>
      <w:r w:rsidRPr="00F0415F">
        <w:rPr>
          <w:snapToGrid/>
          <w:kern w:val="0"/>
          <w:szCs w:val="22"/>
        </w:rPr>
        <w:t>cost support through the RBE program</w:t>
      </w:r>
      <w:r w:rsidRPr="00F0415F" w:rsidR="00C35C0A">
        <w:rPr>
          <w:snapToGrid/>
          <w:kern w:val="0"/>
          <w:szCs w:val="22"/>
        </w:rPr>
        <w:t xml:space="preserve">, and will </w:t>
      </w:r>
      <w:r w:rsidRPr="00F0415F" w:rsidR="00C561B6">
        <w:rPr>
          <w:snapToGrid/>
          <w:kern w:val="0"/>
          <w:szCs w:val="22"/>
        </w:rPr>
        <w:t xml:space="preserve">now </w:t>
      </w:r>
      <w:r w:rsidRPr="00F0415F" w:rsidR="00C35C0A">
        <w:rPr>
          <w:snapToGrid/>
          <w:kern w:val="0"/>
          <w:szCs w:val="22"/>
        </w:rPr>
        <w:t>a</w:t>
      </w:r>
      <w:r w:rsidRPr="00F0415F">
        <w:rPr>
          <w:snapToGrid/>
          <w:kern w:val="0"/>
          <w:szCs w:val="22"/>
        </w:rPr>
        <w:t xml:space="preserve">lso receive a fixed level of RDOF auction support.  Because the companies </w:t>
      </w:r>
      <w:r w:rsidRPr="00F0415F" w:rsidR="007E6B10">
        <w:rPr>
          <w:snapToGrid/>
          <w:kern w:val="0"/>
          <w:szCs w:val="22"/>
        </w:rPr>
        <w:t>receive</w:t>
      </w:r>
      <w:r w:rsidRPr="00F0415F" w:rsidR="00975139">
        <w:rPr>
          <w:snapToGrid/>
          <w:kern w:val="0"/>
          <w:szCs w:val="22"/>
        </w:rPr>
        <w:t>d</w:t>
      </w:r>
      <w:r w:rsidRPr="00F0415F" w:rsidR="007E6B10">
        <w:rPr>
          <w:snapToGrid/>
          <w:kern w:val="0"/>
          <w:szCs w:val="22"/>
        </w:rPr>
        <w:t xml:space="preserve"> high-cost universal service support under different support mechanisms</w:t>
      </w:r>
      <w:r w:rsidRPr="00F0415F" w:rsidR="00975139">
        <w:rPr>
          <w:snapToGrid/>
          <w:kern w:val="0"/>
          <w:szCs w:val="22"/>
        </w:rPr>
        <w:t xml:space="preserve"> when the transaction closed, the potential for harm caused by cost-shifting is specific to th</w:t>
      </w:r>
      <w:r w:rsidRPr="00F0415F" w:rsidR="00694565">
        <w:rPr>
          <w:snapToGrid/>
          <w:kern w:val="0"/>
          <w:szCs w:val="22"/>
        </w:rPr>
        <w:t>is</w:t>
      </w:r>
      <w:r w:rsidRPr="00F0415F" w:rsidR="00975139">
        <w:rPr>
          <w:snapToGrid/>
          <w:kern w:val="0"/>
          <w:szCs w:val="22"/>
        </w:rPr>
        <w:t xml:space="preserve"> transaction.  Accordingly, to mitigate the potential for cost shifting, we grant the Application subject to the condition adopted in the </w:t>
      </w:r>
      <w:r w:rsidRPr="00F0415F" w:rsidR="00975139">
        <w:rPr>
          <w:i/>
          <w:snapToGrid/>
          <w:kern w:val="0"/>
          <w:szCs w:val="22"/>
        </w:rPr>
        <w:t>Hargray/ComSouth Order</w:t>
      </w:r>
      <w:r w:rsidRPr="00F0415F" w:rsidR="00975139">
        <w:rPr>
          <w:snapToGrid/>
          <w:kern w:val="0"/>
          <w:szCs w:val="22"/>
        </w:rPr>
        <w:t>.</w:t>
      </w:r>
      <w:r>
        <w:rPr>
          <w:snapToGrid/>
          <w:kern w:val="0"/>
          <w:szCs w:val="22"/>
          <w:vertAlign w:val="superscript"/>
        </w:rPr>
        <w:footnoteReference w:id="22"/>
      </w:r>
      <w:r w:rsidRPr="00F0415F" w:rsidR="00975139">
        <w:rPr>
          <w:snapToGrid/>
          <w:kern w:val="0"/>
          <w:szCs w:val="22"/>
        </w:rPr>
        <w:t xml:space="preserve">  The combined operating expenses of </w:t>
      </w:r>
      <w:r w:rsidRPr="00F0415F" w:rsidR="007E6B10">
        <w:rPr>
          <w:snapToGrid/>
          <w:kern w:val="0"/>
          <w:szCs w:val="22"/>
        </w:rPr>
        <w:t>the</w:t>
      </w:r>
      <w:r w:rsidRPr="00F0415F" w:rsidR="00975139">
        <w:rPr>
          <w:snapToGrid/>
          <w:kern w:val="0"/>
          <w:szCs w:val="22"/>
        </w:rPr>
        <w:t xml:space="preserve"> post-consummation company’s rate-of-return affiliates</w:t>
      </w:r>
      <w:r>
        <w:rPr>
          <w:snapToGrid/>
          <w:kern w:val="0"/>
          <w:szCs w:val="22"/>
          <w:vertAlign w:val="superscript"/>
        </w:rPr>
        <w:footnoteReference w:id="23"/>
      </w:r>
      <w:r w:rsidRPr="00F0415F" w:rsidR="00975139">
        <w:rPr>
          <w:snapToGrid/>
          <w:kern w:val="0"/>
          <w:szCs w:val="22"/>
        </w:rPr>
        <w:t xml:space="preserve"> shall be capped at the averaged combined operating expenses of the three calendar years preceding the transactions’ closing date for which the operating expense data are available.</w:t>
      </w:r>
      <w:r>
        <w:rPr>
          <w:rStyle w:val="FootnoteReference"/>
          <w:snapToGrid/>
          <w:kern w:val="0"/>
          <w:szCs w:val="22"/>
        </w:rPr>
        <w:footnoteReference w:id="24"/>
      </w:r>
      <w:r w:rsidRPr="00F0415F" w:rsidR="00AB05F1">
        <w:rPr>
          <w:snapToGrid/>
          <w:kern w:val="0"/>
          <w:szCs w:val="22"/>
        </w:rPr>
        <w:t xml:space="preserve"> </w:t>
      </w:r>
      <w:r w:rsidRPr="00F0415F">
        <w:rPr>
          <w:snapToGrid/>
          <w:kern w:val="0"/>
          <w:szCs w:val="22"/>
        </w:rPr>
        <w:t xml:space="preserve"> This cap shall remain in effect for seven years from the consummation of the transaction.</w:t>
      </w:r>
      <w:r>
        <w:rPr>
          <w:snapToGrid/>
          <w:kern w:val="0"/>
          <w:szCs w:val="22"/>
          <w:vertAlign w:val="superscript"/>
        </w:rPr>
        <w:footnoteReference w:id="25"/>
      </w:r>
      <w:r w:rsidRPr="00F0415F">
        <w:rPr>
          <w:snapToGrid/>
          <w:kern w:val="0"/>
          <w:szCs w:val="22"/>
        </w:rPr>
        <w:t xml:space="preserve">  The condition will sunset if all of a post-consummation company’s rate-of-return affiliates become model-based support companies at any point during the seven-year period.</w:t>
      </w:r>
      <w:r>
        <w:rPr>
          <w:snapToGrid/>
          <w:kern w:val="0"/>
          <w:szCs w:val="22"/>
          <w:vertAlign w:val="superscript"/>
        </w:rPr>
        <w:footnoteReference w:id="26"/>
      </w:r>
      <w:r w:rsidR="00AB05F1">
        <w:rPr>
          <w:snapToGrid/>
          <w:kern w:val="0"/>
          <w:szCs w:val="22"/>
        </w:rPr>
        <w:t xml:space="preserve"> </w:t>
      </w:r>
    </w:p>
    <w:p w:rsidR="00A37769" w:rsidRPr="00A37769" w:rsidP="007E6B10" w14:paraId="2C32C968" w14:textId="77777777">
      <w:pPr>
        <w:widowControl/>
        <w:autoSpaceDE w:val="0"/>
        <w:autoSpaceDN w:val="0"/>
        <w:adjustRightInd w:val="0"/>
        <w:spacing w:after="120"/>
        <w:ind w:firstLine="720"/>
        <w:rPr>
          <w:snapToGrid/>
          <w:kern w:val="0"/>
          <w:szCs w:val="22"/>
        </w:rPr>
      </w:pPr>
      <w:r w:rsidRPr="00F0415F">
        <w:rPr>
          <w:snapToGrid/>
          <w:kern w:val="0"/>
          <w:szCs w:val="22"/>
        </w:rPr>
        <w:t xml:space="preserve">Because the transaction closed without prior </w:t>
      </w:r>
      <w:r w:rsidRPr="00F0415F" w:rsidR="00753BC0">
        <w:rPr>
          <w:snapToGrid/>
          <w:kern w:val="0"/>
          <w:szCs w:val="22"/>
        </w:rPr>
        <w:t xml:space="preserve">Commission </w:t>
      </w:r>
      <w:r w:rsidRPr="00F0415F">
        <w:rPr>
          <w:snapToGrid/>
          <w:kern w:val="0"/>
          <w:szCs w:val="22"/>
        </w:rPr>
        <w:t>approval on July 31, 2020, we direct NL</w:t>
      </w:r>
      <w:r w:rsidRPr="00F0415F" w:rsidR="000A0D0A">
        <w:rPr>
          <w:snapToGrid/>
          <w:kern w:val="0"/>
          <w:szCs w:val="22"/>
        </w:rPr>
        <w:t>HI, NLTC, and PTC</w:t>
      </w:r>
      <w:r w:rsidRPr="00F0415F">
        <w:rPr>
          <w:snapToGrid/>
          <w:kern w:val="0"/>
          <w:szCs w:val="22"/>
        </w:rPr>
        <w:t xml:space="preserve"> to work with the National Exchange Carrier Association (NECA) </w:t>
      </w:r>
      <w:r w:rsidRPr="00F0415F">
        <w:t xml:space="preserve">to </w:t>
      </w:r>
      <w:r w:rsidRPr="00F0415F" w:rsidR="00753BC0">
        <w:t xml:space="preserve">establish a process for </w:t>
      </w:r>
      <w:r w:rsidR="00F415E7">
        <w:t xml:space="preserve">promptly </w:t>
      </w:r>
      <w:r w:rsidRPr="00F0415F">
        <w:t>com</w:t>
      </w:r>
      <w:r w:rsidRPr="00F0415F" w:rsidR="00753BC0">
        <w:t>ing</w:t>
      </w:r>
      <w:r w:rsidRPr="00F0415F">
        <w:t xml:space="preserve"> into compliance with the </w:t>
      </w:r>
      <w:r w:rsidRPr="00F0415F">
        <w:rPr>
          <w:i/>
          <w:iCs/>
        </w:rPr>
        <w:t>Hargray/ComSouth</w:t>
      </w:r>
      <w:r w:rsidRPr="00F0415F">
        <w:t xml:space="preserve"> condition</w:t>
      </w:r>
      <w:r w:rsidRPr="00F0415F" w:rsidR="000A0D0A">
        <w:t xml:space="preserve">, and </w:t>
      </w:r>
      <w:r w:rsidR="000E0BEF">
        <w:t xml:space="preserve">to </w:t>
      </w:r>
      <w:r w:rsidRPr="00F0415F" w:rsidR="000A0D0A">
        <w:t>submit</w:t>
      </w:r>
      <w:r w:rsidRPr="00F0415F">
        <w:t xml:space="preserve"> a status report in WC Docket No. 22-99 within 30 days of the date of this Public Notice explaining the </w:t>
      </w:r>
      <w:r w:rsidRPr="00F0415F" w:rsidR="00712110">
        <w:t xml:space="preserve">process and </w:t>
      </w:r>
      <w:r w:rsidRPr="00F0415F">
        <w:t>steps</w:t>
      </w:r>
      <w:r w:rsidRPr="00F0415F" w:rsidR="000A0D0A">
        <w:t xml:space="preserve"> they will take </w:t>
      </w:r>
      <w:r w:rsidRPr="00F0415F">
        <w:t>to comply with the condition</w:t>
      </w:r>
      <w:r w:rsidRPr="00F0415F" w:rsidR="00753BC0">
        <w:t xml:space="preserve">.  We further direct </w:t>
      </w:r>
      <w:r w:rsidRPr="00F0415F" w:rsidR="000A0D0A">
        <w:t>NLHI, NLTC, and PTC t</w:t>
      </w:r>
      <w:r w:rsidRPr="00F0415F" w:rsidR="00753BC0">
        <w:t>o provide a courtesy copy of the status report to the Universal Service Administrative Company (USAC) at hcinfo@usac.org</w:t>
      </w:r>
      <w:r w:rsidRPr="00F0415F">
        <w:t>.</w:t>
      </w:r>
      <w:r>
        <w:rPr>
          <w:snapToGrid/>
          <w:kern w:val="0"/>
          <w:szCs w:val="22"/>
          <w:vertAlign w:val="superscript"/>
        </w:rPr>
        <w:footnoteReference w:id="27"/>
      </w:r>
      <w:r w:rsidRPr="00A37769" w:rsidR="00975139">
        <w:rPr>
          <w:snapToGrid/>
          <w:kern w:val="0"/>
          <w:szCs w:val="22"/>
        </w:rPr>
        <w:t xml:space="preserve">  </w:t>
      </w:r>
    </w:p>
    <w:p w:rsidR="00A37769" w:rsidRPr="00A37769" w:rsidP="00A37769" w14:paraId="3365620A" w14:textId="77777777">
      <w:pPr>
        <w:widowControl/>
        <w:autoSpaceDE w:val="0"/>
        <w:autoSpaceDN w:val="0"/>
        <w:adjustRightInd w:val="0"/>
        <w:spacing w:after="120"/>
        <w:ind w:firstLine="720"/>
        <w:rPr>
          <w:snapToGrid/>
          <w:kern w:val="0"/>
          <w:szCs w:val="22"/>
        </w:rPr>
      </w:pPr>
      <w:r w:rsidRPr="00A37769">
        <w:rPr>
          <w:snapToGrid/>
          <w:kern w:val="0"/>
          <w:szCs w:val="22"/>
        </w:rPr>
        <w:t>We find that grant of the Application listed above, subject to compliance with the condition, will serve the public interest, convenience, and necessity.</w:t>
      </w:r>
      <w:r>
        <w:rPr>
          <w:snapToGrid/>
          <w:kern w:val="0"/>
          <w:szCs w:val="22"/>
          <w:vertAlign w:val="superscript"/>
        </w:rPr>
        <w:footnoteReference w:id="28"/>
      </w:r>
      <w:r w:rsidRPr="00A37769">
        <w:rPr>
          <w:snapToGrid/>
          <w:kern w:val="0"/>
          <w:szCs w:val="22"/>
        </w:rPr>
        <w:t xml:space="preserve">  Therefore, pursuant to section 214 of the Act, 47 U.S.C. § 214, and sections 0.91, 0.291, 63.03, and 63.04 of the Commission’s rules, 47 CFR §§ 0.91, 0.291, 63.03, and 63.04, the Bureau hereby grants the Application discussed in this Public Notice subject to compliance with the condition described above.</w:t>
      </w:r>
      <w:r>
        <w:rPr>
          <w:snapToGrid/>
          <w:kern w:val="0"/>
          <w:szCs w:val="22"/>
          <w:vertAlign w:val="superscript"/>
        </w:rPr>
        <w:footnoteReference w:id="29"/>
      </w:r>
      <w:r w:rsidRPr="00A37769">
        <w:rPr>
          <w:snapToGrid/>
          <w:kern w:val="0"/>
          <w:szCs w:val="22"/>
        </w:rPr>
        <w:t xml:space="preserve"> </w:t>
      </w:r>
    </w:p>
    <w:p w:rsidR="00A37769" w:rsidRPr="00A37769" w:rsidP="00A37769" w14:paraId="536EE981" w14:textId="77777777">
      <w:pPr>
        <w:widowControl/>
        <w:autoSpaceDE w:val="0"/>
        <w:autoSpaceDN w:val="0"/>
        <w:adjustRightInd w:val="0"/>
        <w:spacing w:after="120"/>
        <w:ind w:firstLine="720"/>
        <w:rPr>
          <w:snapToGrid/>
          <w:kern w:val="0"/>
          <w:szCs w:val="22"/>
        </w:rPr>
      </w:pPr>
      <w:r w:rsidRPr="00A37769">
        <w:rPr>
          <w:snapToGrid/>
          <w:kern w:val="0"/>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A37769" w:rsidRPr="00A37769" w:rsidP="00A37769" w14:paraId="6100EBD4" w14:textId="77777777">
      <w:pPr>
        <w:widowControl/>
        <w:autoSpaceDE w:val="0"/>
        <w:autoSpaceDN w:val="0"/>
        <w:adjustRightInd w:val="0"/>
        <w:spacing w:after="120"/>
        <w:ind w:firstLine="720"/>
        <w:rPr>
          <w:snapToGrid/>
          <w:kern w:val="0"/>
          <w:szCs w:val="22"/>
        </w:rPr>
      </w:pPr>
      <w:r w:rsidRPr="00A37769">
        <w:rPr>
          <w:snapToGrid/>
          <w:kern w:val="0"/>
          <w:szCs w:val="22"/>
        </w:rPr>
        <w:t xml:space="preserve">For further information, please contact </w:t>
      </w:r>
      <w:r w:rsidR="000E0BEF">
        <w:rPr>
          <w:snapToGrid/>
          <w:kern w:val="0"/>
          <w:szCs w:val="22"/>
        </w:rPr>
        <w:t>Dennis Johnson</w:t>
      </w:r>
      <w:r w:rsidRPr="00A37769">
        <w:rPr>
          <w:snapToGrid/>
          <w:kern w:val="0"/>
          <w:szCs w:val="22"/>
        </w:rPr>
        <w:t>, Wireline Competition Bureau, Competition Policy Division, (202) 418-0</w:t>
      </w:r>
      <w:r w:rsidR="000E0BEF">
        <w:rPr>
          <w:snapToGrid/>
          <w:kern w:val="0"/>
          <w:szCs w:val="22"/>
        </w:rPr>
        <w:t>809</w:t>
      </w:r>
      <w:r w:rsidRPr="00A37769">
        <w:rPr>
          <w:snapToGrid/>
          <w:kern w:val="0"/>
          <w:szCs w:val="22"/>
        </w:rPr>
        <w:t>.</w:t>
      </w:r>
    </w:p>
    <w:p w:rsidR="00A37769" w:rsidRPr="00A37769" w:rsidP="00A37769" w14:paraId="7B64086B" w14:textId="77777777">
      <w:pPr>
        <w:widowControl/>
        <w:autoSpaceDE w:val="0"/>
        <w:autoSpaceDN w:val="0"/>
        <w:adjustRightInd w:val="0"/>
        <w:spacing w:after="120"/>
        <w:ind w:firstLine="720"/>
        <w:rPr>
          <w:snapToGrid/>
          <w:kern w:val="0"/>
          <w:szCs w:val="22"/>
        </w:rPr>
      </w:pPr>
    </w:p>
    <w:p w:rsidR="00A37769" w:rsidRPr="00A37769" w:rsidP="00A37769" w14:paraId="47A3D9FF" w14:textId="77777777">
      <w:pPr>
        <w:widowControl/>
        <w:autoSpaceDE w:val="0"/>
        <w:autoSpaceDN w:val="0"/>
        <w:adjustRightInd w:val="0"/>
        <w:spacing w:after="120"/>
        <w:jc w:val="center"/>
        <w:rPr>
          <w:snapToGrid/>
          <w:kern w:val="0"/>
          <w:szCs w:val="22"/>
        </w:rPr>
      </w:pPr>
      <w:r w:rsidRPr="00A37769">
        <w:rPr>
          <w:b/>
          <w:bCs/>
          <w:snapToGrid/>
          <w:kern w:val="0"/>
          <w:szCs w:val="22"/>
        </w:rPr>
        <w:t>-FCC-</w:t>
      </w:r>
    </w:p>
    <w:p w:rsidR="00A37769" w:rsidRPr="00A37769" w:rsidP="00A37769" w14:paraId="73EEDF7B" w14:textId="77777777">
      <w:pPr>
        <w:widowControl/>
        <w:rPr>
          <w:rFonts w:ascii="TimesNewRomanPSMT" w:hAnsi="TimesNewRomanPSMT" w:cs="TimesNewRomanPSMT"/>
          <w:i/>
          <w:szCs w:val="22"/>
          <w:u w:val="single"/>
        </w:rPr>
      </w:pPr>
    </w:p>
    <w:p w:rsidR="003474AA" w:rsidRPr="00B02A93" w:rsidP="003474AA" w14:paraId="2E005557" w14:textId="77777777">
      <w:pPr>
        <w:widowControl/>
        <w:autoSpaceDE w:val="0"/>
        <w:autoSpaceDN w:val="0"/>
        <w:adjustRightInd w:val="0"/>
        <w:spacing w:after="120"/>
        <w:rPr>
          <w:szCs w:val="22"/>
        </w:rPr>
      </w:pPr>
    </w:p>
    <w:p w:rsidR="003474AA" w:rsidP="003474AA" w14:paraId="5DD6B48F" w14:textId="77777777">
      <w:pPr>
        <w:spacing w:before="120" w:after="24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B0A2AC5" w14:textId="77777777">
    <w:pPr>
      <w:pStyle w:val="Footer"/>
      <w:framePr w:wrap="around" w:vAnchor="text" w:hAnchor="margin" w:xAlign="center" w:y="1"/>
    </w:pPr>
    <w:r>
      <w:fldChar w:fldCharType="begin"/>
    </w:r>
    <w:r>
      <w:instrText xml:space="preserve">PAGE  </w:instrText>
    </w:r>
    <w:r w:rsidR="00783DC2">
      <w:fldChar w:fldCharType="separate"/>
    </w:r>
    <w:r>
      <w:fldChar w:fldCharType="end"/>
    </w:r>
  </w:p>
  <w:p w:rsidR="00D43260" w14:paraId="401781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8CB17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D04E1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3DE0" w14:paraId="10D9B682" w14:textId="77777777">
      <w:r>
        <w:separator/>
      </w:r>
    </w:p>
  </w:footnote>
  <w:footnote w:type="continuationSeparator" w:id="1">
    <w:p w:rsidR="00233DE0" w14:paraId="7B9BB6D6" w14:textId="77777777">
      <w:pPr>
        <w:rPr>
          <w:sz w:val="20"/>
        </w:rPr>
      </w:pPr>
      <w:r>
        <w:rPr>
          <w:sz w:val="20"/>
        </w:rPr>
        <w:t xml:space="preserve">(Continued from previous page)  </w:t>
      </w:r>
      <w:r>
        <w:rPr>
          <w:sz w:val="20"/>
        </w:rPr>
        <w:separator/>
      </w:r>
    </w:p>
  </w:footnote>
  <w:footnote w:type="continuationNotice" w:id="2">
    <w:p w:rsidR="00233DE0" w14:paraId="78402273" w14:textId="77777777">
      <w:pPr>
        <w:jc w:val="right"/>
        <w:rPr>
          <w:sz w:val="20"/>
        </w:rPr>
      </w:pPr>
      <w:r>
        <w:rPr>
          <w:sz w:val="20"/>
        </w:rPr>
        <w:t>(continued….)</w:t>
      </w:r>
    </w:p>
  </w:footnote>
  <w:footnote w:id="3">
    <w:p w:rsidR="0045759E" w:rsidRPr="00D354C2" w:rsidP="0045759E" w14:paraId="6F546B2D" w14:textId="77777777">
      <w:pPr>
        <w:spacing w:after="120"/>
        <w:rPr>
          <w:bCs/>
          <w:sz w:val="20"/>
        </w:rPr>
      </w:pPr>
      <w:r w:rsidRPr="00D354C2">
        <w:rPr>
          <w:rStyle w:val="FootnoteReference"/>
          <w:sz w:val="20"/>
        </w:rPr>
        <w:footnoteRef/>
      </w:r>
      <w:r w:rsidRPr="00D354C2">
        <w:rPr>
          <w:sz w:val="20"/>
        </w:rPr>
        <w:t xml:space="preserve"> </w:t>
      </w:r>
      <w:r w:rsidRPr="00D354C2">
        <w:rPr>
          <w:i/>
          <w:sz w:val="20"/>
        </w:rPr>
        <w:t>See</w:t>
      </w:r>
      <w:r w:rsidRPr="00D354C2">
        <w:rPr>
          <w:sz w:val="20"/>
        </w:rPr>
        <w:t xml:space="preserve"> 47 U.S.C. § 214; 47 CFR §§ 63.03-04</w:t>
      </w:r>
      <w:r w:rsidRPr="00884C47">
        <w:rPr>
          <w:sz w:val="20"/>
        </w:rPr>
        <w:t>.</w:t>
      </w:r>
      <w:r>
        <w:rPr>
          <w:sz w:val="20"/>
        </w:rPr>
        <w:t xml:space="preserve">  Application for the Transfer of Control of Domestic Authorization of Pennsylvania Telephone Company, WC Docket No. 22-99 (filed February 25, 2020) (Application).  </w:t>
      </w:r>
      <w:r w:rsidRPr="003F0093" w:rsidR="00DF2528">
        <w:rPr>
          <w:snapToGrid/>
          <w:kern w:val="0"/>
          <w:sz w:val="20"/>
        </w:rPr>
        <w:t>Applicants consummated the transaction without prior authorization from the Commission</w:t>
      </w:r>
      <w:r w:rsidRPr="003F0093" w:rsidR="00DF2528">
        <w:rPr>
          <w:sz w:val="20"/>
        </w:rPr>
        <w:t xml:space="preserve"> and</w:t>
      </w:r>
      <w:r w:rsidRPr="003F0093">
        <w:rPr>
          <w:sz w:val="20"/>
        </w:rPr>
        <w:t xml:space="preserve"> filed a request for special temporary authority (STA) to allow them to continue to provide service to customers while t</w:t>
      </w:r>
      <w:r>
        <w:rPr>
          <w:sz w:val="20"/>
        </w:rPr>
        <w:t xml:space="preserve">he domestic section 214 application is pending.  On March 9, 2022, the Bureau granted the STA for a period of 60 days.  Letter from Charles E. Thomas, Jr., Counsel to the Former Shareholders of Pennsylvania Telephone Company, Inc., and Thomas J. Moorman, Counsel to the Current Shareholders of New Lisbon Telephone Company, Inc., to Marlene H. Dortch, Secretary, FCC, WC Docket No. 22-99 (filed Feb. 25, 2022).  </w:t>
      </w:r>
      <w:r w:rsidR="007A38DA">
        <w:rPr>
          <w:sz w:val="20"/>
        </w:rPr>
        <w:t xml:space="preserve">On </w:t>
      </w:r>
      <w:r w:rsidR="00BF2689">
        <w:rPr>
          <w:sz w:val="20"/>
        </w:rPr>
        <w:t xml:space="preserve">May 5, 2022, the Bureau granted </w:t>
      </w:r>
      <w:r w:rsidR="009D4FEF">
        <w:rPr>
          <w:sz w:val="20"/>
        </w:rPr>
        <w:t xml:space="preserve">the Applicant’s request to extend </w:t>
      </w:r>
      <w:r w:rsidR="00BF2689">
        <w:rPr>
          <w:sz w:val="20"/>
        </w:rPr>
        <w:t xml:space="preserve">the STA for a period of 60 </w:t>
      </w:r>
      <w:r w:rsidR="00F52907">
        <w:rPr>
          <w:sz w:val="20"/>
        </w:rPr>
        <w:t xml:space="preserve">additional </w:t>
      </w:r>
      <w:r w:rsidR="00BF2689">
        <w:rPr>
          <w:sz w:val="20"/>
        </w:rPr>
        <w:t xml:space="preserve">days.  Letter from Charles E. Thomas, Jr., Counsel to the Former Shareholders of Pennsylvania Telephone Company, Inc., and Thomas J. Moorman, Counsel to the Current Shareholders of New Lisbon Telephone Company, Inc., to Marlene H. Dortch, Secretary, FCC, WC Docket No. 22-99 (filed </w:t>
      </w:r>
      <w:r w:rsidR="00790B92">
        <w:rPr>
          <w:sz w:val="20"/>
        </w:rPr>
        <w:t>May</w:t>
      </w:r>
      <w:r w:rsidR="00BF2689">
        <w:rPr>
          <w:sz w:val="20"/>
        </w:rPr>
        <w:t xml:space="preserve"> </w:t>
      </w:r>
      <w:r w:rsidR="00790B92">
        <w:rPr>
          <w:sz w:val="20"/>
        </w:rPr>
        <w:t>4</w:t>
      </w:r>
      <w:r w:rsidR="00BF2689">
        <w:rPr>
          <w:sz w:val="20"/>
        </w:rPr>
        <w:t xml:space="preserve">, 2022). </w:t>
      </w:r>
      <w:r w:rsidR="0059339D">
        <w:rPr>
          <w:sz w:val="20"/>
        </w:rPr>
        <w:t xml:space="preserve"> </w:t>
      </w:r>
      <w:r>
        <w:rPr>
          <w:sz w:val="20"/>
        </w:rPr>
        <w:t xml:space="preserve">A grant of the domestic section 214 application is without prejudice to any enforcement action by the Commission for non-compliance with the Communications Act of 1934, as amended, or the Commission’s rules.  </w:t>
      </w:r>
    </w:p>
  </w:footnote>
  <w:footnote w:id="4">
    <w:p w:rsidR="00A37769" w:rsidP="00A37769" w14:paraId="14A07E75" w14:textId="77777777">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w:t>
      </w:r>
      <w:r w:rsidR="0045759E">
        <w:rPr>
          <w:i/>
          <w:iCs/>
        </w:rPr>
        <w:t>Pennsylvania Telephone Company, Inc. to New Lisbon Holdings, Inc.</w:t>
      </w:r>
      <w:r w:rsidRPr="00207939">
        <w:t xml:space="preserve">, WC Docket No. </w:t>
      </w:r>
      <w:r w:rsidR="0045759E">
        <w:t>22-99</w:t>
      </w:r>
      <w:r>
        <w:t>, Public Notice, DA 2</w:t>
      </w:r>
      <w:r w:rsidR="0045759E">
        <w:t>2-243</w:t>
      </w:r>
      <w:r w:rsidRPr="008670A1">
        <w:t xml:space="preserve"> </w:t>
      </w:r>
      <w:r>
        <w:t>(WCB 202</w:t>
      </w:r>
      <w:r w:rsidR="0045759E">
        <w:t>2</w:t>
      </w:r>
      <w:r>
        <w:t xml:space="preserve">).     </w:t>
      </w:r>
    </w:p>
  </w:footnote>
  <w:footnote w:id="5">
    <w:p w:rsidR="004D34C6" w:rsidP="004D34C6" w14:paraId="6C201190" w14:textId="77777777">
      <w:pPr>
        <w:pStyle w:val="FootnoteText"/>
      </w:pPr>
      <w:r>
        <w:rPr>
          <w:rStyle w:val="FootnoteReference"/>
        </w:rPr>
        <w:footnoteRef/>
      </w:r>
      <w:r>
        <w:t xml:space="preserve"> </w:t>
      </w:r>
      <w:r w:rsidR="00CB0F35">
        <w:t xml:space="preserve">Application </w:t>
      </w:r>
      <w:r>
        <w:t xml:space="preserve">at 2, n.2, 10. </w:t>
      </w:r>
    </w:p>
  </w:footnote>
  <w:footnote w:id="6">
    <w:p w:rsidR="00CB0F35" w:rsidRPr="00494109" w:rsidP="00CB0F35" w14:paraId="254EB0F5" w14:textId="77777777">
      <w:pPr>
        <w:pStyle w:val="FootnoteText"/>
      </w:pPr>
      <w:r w:rsidRPr="00494109">
        <w:rPr>
          <w:rStyle w:val="FootnoteReference"/>
          <w:sz w:val="20"/>
        </w:rPr>
        <w:footnoteRef/>
      </w:r>
      <w:r>
        <w:t xml:space="preserve"> </w:t>
      </w:r>
      <w:r>
        <w:rPr>
          <w:i/>
          <w:iCs/>
        </w:rPr>
        <w:t>Id</w:t>
      </w:r>
      <w:r>
        <w:t xml:space="preserve">. at 2-3.  </w:t>
      </w:r>
      <w:r>
        <w:rPr>
          <w:i/>
          <w:iCs/>
        </w:rPr>
        <w:t xml:space="preserve">See </w:t>
      </w:r>
      <w:r w:rsidRPr="00494109">
        <w:t>Universal Service Administrative Co., Tools, “ACAM, ACAM II and CAF</w:t>
      </w:r>
      <w:r>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p>
  </w:footnote>
  <w:footnote w:id="7">
    <w:p w:rsidR="004D34C6" w:rsidP="004D34C6" w14:paraId="56E7735B" w14:textId="77777777">
      <w:pPr>
        <w:pStyle w:val="FootnoteText"/>
      </w:pPr>
      <w:r>
        <w:rPr>
          <w:rStyle w:val="FootnoteReference"/>
        </w:rPr>
        <w:footnoteRef/>
      </w:r>
      <w:r>
        <w:t xml:space="preserve"> </w:t>
      </w:r>
      <w:r w:rsidR="00CB0F35">
        <w:t>Application</w:t>
      </w:r>
      <w:r>
        <w:t xml:space="preserve"> at 10.</w:t>
      </w:r>
    </w:p>
  </w:footnote>
  <w:footnote w:id="8">
    <w:p w:rsidR="00CB0F35" w:rsidRPr="00494109" w:rsidP="00CB0F35" w14:paraId="0841476C" w14:textId="77777777">
      <w:pPr>
        <w:pStyle w:val="FootnoteText"/>
      </w:pPr>
      <w:r w:rsidRPr="00494109">
        <w:rPr>
          <w:rStyle w:val="FootnoteReference"/>
          <w:sz w:val="20"/>
        </w:rPr>
        <w:footnoteRef/>
      </w:r>
      <w:r w:rsidR="00F80CF7">
        <w:t xml:space="preserve"> </w:t>
      </w:r>
      <w:r w:rsidRPr="00B35044" w:rsidR="00F80CF7">
        <w:rPr>
          <w:i/>
          <w:iCs/>
        </w:rPr>
        <w:t>Id</w:t>
      </w:r>
      <w:r w:rsidR="00F80CF7">
        <w:t xml:space="preserve">. at 2-3.  </w:t>
      </w:r>
      <w:r w:rsidR="00F80CF7">
        <w:rPr>
          <w:i/>
          <w:iCs/>
        </w:rPr>
        <w:t xml:space="preserve">See </w:t>
      </w:r>
      <w:r w:rsidRPr="00F80CF7">
        <w:t>Universal</w:t>
      </w:r>
      <w:r w:rsidRPr="00494109">
        <w:t xml:space="preserve"> Service Administrative Co., Tools, “ACAM, ACAM II and CAF</w:t>
      </w:r>
      <w:r>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p>
  </w:footnote>
  <w:footnote w:id="9">
    <w:p w:rsidR="00964168" w:rsidP="00964168" w14:paraId="4B5DBA26" w14:textId="77777777">
      <w:pPr>
        <w:pStyle w:val="FootnoteText"/>
      </w:pPr>
      <w:r>
        <w:rPr>
          <w:rStyle w:val="FootnoteReference"/>
        </w:rPr>
        <w:footnoteRef/>
      </w:r>
      <w:r>
        <w:t xml:space="preserve"> </w:t>
      </w:r>
      <w:r w:rsidR="000E0BEF">
        <w:t>Application</w:t>
      </w:r>
      <w:r>
        <w:t xml:space="preserve"> at 9.</w:t>
      </w:r>
    </w:p>
  </w:footnote>
  <w:footnote w:id="10">
    <w:p w:rsidR="004D34C6" w:rsidRPr="003F0093" w:rsidP="004D34C6" w14:paraId="65BB1B52" w14:textId="77777777">
      <w:pPr>
        <w:pStyle w:val="FootnoteText"/>
      </w:pPr>
      <w:r>
        <w:rPr>
          <w:rStyle w:val="FootnoteReference"/>
        </w:rPr>
        <w:footnoteRef/>
      </w:r>
      <w:r>
        <w:t xml:space="preserve"> </w:t>
      </w:r>
      <w:bookmarkStart w:id="0" w:name="_Hlk97048032"/>
      <w:r w:rsidR="000E0BEF">
        <w:rPr>
          <w:i/>
          <w:iCs/>
        </w:rPr>
        <w:t>Id</w:t>
      </w:r>
      <w:r w:rsidR="000E0BEF">
        <w:t>.</w:t>
      </w:r>
      <w:r>
        <w:t xml:space="preserve"> at 2, n.3.</w:t>
      </w:r>
      <w:bookmarkEnd w:id="0"/>
      <w:r>
        <w:t xml:space="preserve">  </w:t>
      </w:r>
      <w:r w:rsidRPr="002D66B2" w:rsidR="003F0093">
        <w:rPr>
          <w:szCs w:val="22"/>
        </w:rPr>
        <w:t xml:space="preserve">NLBC provides wholesale broadband services within the NLTC service area, as well as cable television service </w:t>
      </w:r>
      <w:r w:rsidR="003F0093">
        <w:rPr>
          <w:szCs w:val="22"/>
        </w:rPr>
        <w:t>in</w:t>
      </w:r>
      <w:r w:rsidRPr="002D66B2" w:rsidR="003F0093">
        <w:rPr>
          <w:szCs w:val="22"/>
        </w:rPr>
        <w:t xml:space="preserve"> Henry County</w:t>
      </w:r>
      <w:r w:rsidR="003F0093">
        <w:rPr>
          <w:szCs w:val="22"/>
        </w:rPr>
        <w:t xml:space="preserve">, Randolph County, and </w:t>
      </w:r>
      <w:r w:rsidR="00E852A8">
        <w:rPr>
          <w:szCs w:val="22"/>
        </w:rPr>
        <w:t>Wayne County</w:t>
      </w:r>
      <w:r w:rsidR="003F0093">
        <w:rPr>
          <w:szCs w:val="22"/>
        </w:rPr>
        <w:t xml:space="preserve"> in Indiana</w:t>
      </w:r>
      <w:r w:rsidRPr="002D66B2" w:rsidR="003F0093">
        <w:rPr>
          <w:szCs w:val="22"/>
        </w:rPr>
        <w:t>.</w:t>
      </w:r>
      <w:r w:rsidR="003F0093">
        <w:rPr>
          <w:szCs w:val="22"/>
        </w:rPr>
        <w:t xml:space="preserve">  </w:t>
      </w:r>
      <w:r w:rsidR="003F0093">
        <w:rPr>
          <w:i/>
          <w:iCs/>
          <w:szCs w:val="22"/>
        </w:rPr>
        <w:t>Id</w:t>
      </w:r>
      <w:r w:rsidR="003F0093">
        <w:rPr>
          <w:szCs w:val="22"/>
        </w:rPr>
        <w:t>.</w:t>
      </w:r>
    </w:p>
  </w:footnote>
  <w:footnote w:id="11">
    <w:p w:rsidR="00C56959" w14:paraId="5613F89F" w14:textId="77777777">
      <w:pPr>
        <w:pStyle w:val="FootnoteText"/>
      </w:pPr>
      <w:r>
        <w:rPr>
          <w:rStyle w:val="FootnoteReference"/>
        </w:rPr>
        <w:footnoteRef/>
      </w:r>
      <w:r>
        <w:t xml:space="preserve"> </w:t>
      </w:r>
      <w:r w:rsidRPr="00137861">
        <w:rPr>
          <w:i/>
          <w:iCs/>
        </w:rPr>
        <w:t>Id.</w:t>
      </w:r>
      <w:r>
        <w:t xml:space="preserve"> at 3 (citing </w:t>
      </w:r>
      <w:r w:rsidRPr="002E6B02">
        <w:rPr>
          <w:i/>
          <w:iCs/>
        </w:rPr>
        <w:t>Rural Broadband Experiment Support Authorized for Winning Bid Submitted by New Lisbon Broadband and Communications, LLC</w:t>
      </w:r>
      <w:r>
        <w:t>, WC Docket Nos. 10-90, 14-259, Public Notice, 31 FCC Rcd 4405 (WCB 2016)</w:t>
      </w:r>
      <w:r w:rsidR="000E0BEF">
        <w:t>)</w:t>
      </w:r>
      <w:r>
        <w:t>.</w:t>
      </w:r>
    </w:p>
  </w:footnote>
  <w:footnote w:id="12">
    <w:p w:rsidR="004D34C6" w:rsidP="004D34C6" w14:paraId="5735D1D0" w14:textId="77777777">
      <w:pPr>
        <w:pStyle w:val="FootnoteText"/>
      </w:pPr>
      <w:r>
        <w:rPr>
          <w:rStyle w:val="FootnoteReference"/>
        </w:rPr>
        <w:footnoteRef/>
      </w:r>
      <w:r>
        <w:t xml:space="preserve"> </w:t>
      </w:r>
      <w:r w:rsidRPr="0053035D">
        <w:rPr>
          <w:i/>
          <w:iCs/>
        </w:rPr>
        <w:t>Rural Digital Opportunity Fund Support Authorized for 2,576 Winning Bids</w:t>
      </w:r>
      <w:r>
        <w:t xml:space="preserve">, AU Docket No. 20-34, WC Docket Nos. 10-90, 19-126, Public Notice, DA 21-151, Attach. A (Authorized Long Form Applicants and Winning Bids) (WCB/OEA, Feb. 14, 2022). </w:t>
      </w:r>
    </w:p>
  </w:footnote>
  <w:footnote w:id="13">
    <w:p w:rsidR="00C02DE6" w:rsidP="00C02DE6" w14:paraId="46BF0189" w14:textId="77777777">
      <w:pPr>
        <w:pStyle w:val="FootnoteText"/>
      </w:pPr>
      <w:r>
        <w:rPr>
          <w:rStyle w:val="FootnoteReference"/>
        </w:rPr>
        <w:footnoteRef/>
      </w:r>
      <w:r>
        <w:t xml:space="preserve"> </w:t>
      </w:r>
      <w:r w:rsidR="001C6F75">
        <w:t>Application</w:t>
      </w:r>
      <w:r>
        <w:t xml:space="preserve"> at </w:t>
      </w:r>
      <w:r w:rsidR="00DF2528">
        <w:t xml:space="preserve">1-3, </w:t>
      </w:r>
      <w:r>
        <w:t>9.</w:t>
      </w:r>
    </w:p>
  </w:footnote>
  <w:footnote w:id="14">
    <w:p w:rsidR="00C02DE6" w:rsidP="00C02DE6" w14:paraId="28AAD0F8" w14:textId="77777777">
      <w:pPr>
        <w:pStyle w:val="FootnoteText"/>
      </w:pPr>
      <w:r>
        <w:rPr>
          <w:rStyle w:val="FootnoteReference"/>
        </w:rPr>
        <w:footnoteRef/>
      </w:r>
      <w:r>
        <w:t xml:space="preserve"> </w:t>
      </w:r>
      <w:r w:rsidRPr="00E53E4C">
        <w:rPr>
          <w:i/>
          <w:iCs/>
        </w:rPr>
        <w:t>Id.</w:t>
      </w:r>
      <w:r>
        <w:t xml:space="preserve"> at 2, n.3.</w:t>
      </w:r>
    </w:p>
  </w:footnote>
  <w:footnote w:id="15">
    <w:p w:rsidR="00A37769" w:rsidRPr="00494109" w:rsidP="00A37769" w14:paraId="3C1F78A9" w14:textId="77777777">
      <w:pPr>
        <w:pStyle w:val="FootnoteText"/>
      </w:pPr>
      <w:r w:rsidRPr="00494109">
        <w:rPr>
          <w:rStyle w:val="FootnoteReference"/>
          <w:sz w:val="20"/>
        </w:rPr>
        <w:footnoteRef/>
      </w:r>
      <w:r w:rsidRPr="00494109">
        <w:t xml:space="preserve"> </w:t>
      </w:r>
      <w:r w:rsidRPr="00494109">
        <w:rPr>
          <w:i/>
        </w:rPr>
        <w:t>Joint Application of W. Mansfield Jennings Limited Partnership and Hargray Communications Group, Inc. for Consent to the Transfer of Control of ComSouth Corporation Pursuant to Section 214 of the Communications Act of 1934</w:t>
      </w:r>
      <w:r w:rsidRPr="00494109">
        <w:t>, WC Docket 18-52, Memorandum Opinion and Order, 33 FCC Rcd 4780, 4784, para. 19 (2018). (</w:t>
      </w:r>
      <w:bookmarkStart w:id="1" w:name="_Hlk103339362"/>
      <w:r w:rsidRPr="00494109">
        <w:rPr>
          <w:i/>
        </w:rPr>
        <w:t>Hargray/ComSouth Order</w:t>
      </w:r>
      <w:bookmarkEnd w:id="1"/>
      <w:r w:rsidRPr="00494109">
        <w:t>).</w:t>
      </w:r>
    </w:p>
  </w:footnote>
  <w:footnote w:id="16">
    <w:p w:rsidR="00A37769" w:rsidRPr="00494109" w:rsidP="00A37769" w14:paraId="1E64B893"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17">
    <w:p w:rsidR="00A37769" w:rsidRPr="00494109" w:rsidP="00A37769" w14:paraId="19099654"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18">
    <w:p w:rsidR="00A37769" w:rsidRPr="00494109" w:rsidP="00A37769" w14:paraId="1FD8CD77"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19">
    <w:p w:rsidR="00A37769" w:rsidRPr="00494109" w:rsidP="00A37769" w14:paraId="5B4F0381"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20">
    <w:p w:rsidR="00A37769" w:rsidRPr="00494109" w:rsidP="00A37769" w14:paraId="01464B53"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21">
    <w:p w:rsidR="00A37769" w:rsidRPr="00494109" w:rsidP="00A37769" w14:paraId="00C4725E" w14:textId="77777777">
      <w:pPr>
        <w:pStyle w:val="FootnoteText"/>
      </w:pPr>
      <w:r w:rsidRPr="00494109">
        <w:rPr>
          <w:rStyle w:val="FootnoteReference"/>
          <w:sz w:val="20"/>
        </w:rPr>
        <w:footnoteRef/>
      </w:r>
      <w:r w:rsidRPr="00494109">
        <w:t xml:space="preserve"> </w:t>
      </w:r>
      <w:r w:rsidRPr="00494109">
        <w:rPr>
          <w:i/>
        </w:rPr>
        <w:t>Id</w:t>
      </w:r>
      <w:r w:rsidRPr="00494109">
        <w:t xml:space="preserve">. at 4789, para. 27, n.72.   </w:t>
      </w:r>
      <w:r w:rsidR="00966B79">
        <w:rPr>
          <w:i/>
          <w:iCs/>
        </w:rPr>
        <w:t>See also Domestic Section 214 Application for the Transfer of Control of Lavaca Telephone Company, Inc. to Dobson Technologies Inc.</w:t>
      </w:r>
      <w:r w:rsidR="00966B79">
        <w:t xml:space="preserve">, WC Docket No. 20-389, Order on Reconsideration, FCC 21-63, para. 14 (2021) (reaffirming the Commission’s delegation to the Bureau to continue to apply the mixed support condition where necessary). </w:t>
      </w:r>
      <w:r w:rsidRPr="00494109" w:rsidR="00966B79">
        <w:t xml:space="preserve">   </w:t>
      </w:r>
    </w:p>
  </w:footnote>
  <w:footnote w:id="22">
    <w:p w:rsidR="00A37769" w:rsidRPr="00494109" w:rsidP="00A37769" w14:paraId="0B643102" w14:textId="77777777">
      <w:pPr>
        <w:pStyle w:val="FootnoteText"/>
      </w:pPr>
      <w:r w:rsidRPr="00494109">
        <w:rPr>
          <w:rStyle w:val="FootnoteReference"/>
          <w:sz w:val="20"/>
        </w:rPr>
        <w:footnoteRef/>
      </w:r>
      <w:r w:rsidRPr="00494109">
        <w:t xml:space="preserve"> </w:t>
      </w:r>
      <w:r w:rsidRPr="00B35044" w:rsidR="00B35044">
        <w:rPr>
          <w:i/>
        </w:rPr>
        <w:t>Hargray/ComSouth Order</w:t>
      </w:r>
      <w:r w:rsidR="00B35044">
        <w:rPr>
          <w:iCs/>
        </w:rPr>
        <w:t xml:space="preserve">, 33 FCC Rcd at </w:t>
      </w:r>
      <w:r w:rsidRPr="00494109">
        <w:t>4788-90, paras. 26-31.</w:t>
      </w:r>
    </w:p>
  </w:footnote>
  <w:footnote w:id="23">
    <w:p w:rsidR="00A37769" w:rsidRPr="00494109" w:rsidP="00A37769" w14:paraId="1DB8C2D3" w14:textId="77777777">
      <w:pPr>
        <w:pStyle w:val="FootnoteText"/>
      </w:pPr>
      <w:r w:rsidRPr="00494109">
        <w:rPr>
          <w:rStyle w:val="FootnoteReference"/>
          <w:sz w:val="20"/>
        </w:rPr>
        <w:footnoteRef/>
      </w:r>
      <w:r w:rsidRPr="00494109">
        <w:t xml:space="preserve"> </w:t>
      </w:r>
      <w:r w:rsidRPr="00494109">
        <w:rPr>
          <w:i/>
        </w:rPr>
        <w:t>See</w:t>
      </w:r>
      <w:r w:rsidRPr="00494109">
        <w:t xml:space="preserve"> 47 U.S.C. § 153(2).</w:t>
      </w:r>
    </w:p>
  </w:footnote>
  <w:footnote w:id="24">
    <w:p w:rsidR="00EC3DD3" w:rsidP="008A2B61" w14:paraId="5416E07B" w14:textId="77777777">
      <w:pPr>
        <w:pStyle w:val="FootnoteText"/>
      </w:pPr>
      <w:r>
        <w:rPr>
          <w:rStyle w:val="FootnoteReference"/>
        </w:rPr>
        <w:footnoteRef/>
      </w:r>
      <w:r>
        <w:t xml:space="preserve"> </w:t>
      </w:r>
      <w:r w:rsidRPr="00A37769">
        <w:rPr>
          <w:szCs w:val="22"/>
        </w:rPr>
        <w:t xml:space="preserve">The cap will apply to cost recovery under both </w:t>
      </w:r>
      <w:r w:rsidRPr="00494109" w:rsidR="00966B79">
        <w:t>High-Cost Loop Support (HCLS) and Connect America Fund-Broadband Loop Support (CAF-BLS)</w:t>
      </w:r>
      <w:r w:rsidRPr="00A37769">
        <w:rPr>
          <w:szCs w:val="22"/>
        </w:rPr>
        <w:t xml:space="preserve"> and will be applied proportionately to each affiliate’s accounts used to determine the affiliate’s eligible operating expense for HCLS and CAF-BLS.  For example, if the cap requires that a post-consummation company’s eligible operating expense be reduced by 10%, then each account used to determine each rate-of-return affiliate’s eligible operating expenses shall be reduced by 10%.  For purposes of this cap, operating expenses shall include maintenance, network support/network operations/general, benefits, rent expenses, and corporate operations, while depreciation, return on investment, and taxes shall be excluded.</w:t>
      </w:r>
      <w:r>
        <w:rPr>
          <w:szCs w:val="22"/>
        </w:rPr>
        <w:t xml:space="preserve">  </w:t>
      </w:r>
      <w:r w:rsidR="008A2B61">
        <w:rPr>
          <w:i/>
          <w:iCs/>
          <w:szCs w:val="22"/>
        </w:rPr>
        <w:t xml:space="preserve">See </w:t>
      </w:r>
      <w:r w:rsidRPr="008A2B61" w:rsidR="008A2B61">
        <w:rPr>
          <w:i/>
          <w:iCs/>
          <w:szCs w:val="22"/>
        </w:rPr>
        <w:t>Hargray/ComSouth Order</w:t>
      </w:r>
      <w:r w:rsidR="008A2B61">
        <w:rPr>
          <w:szCs w:val="22"/>
        </w:rPr>
        <w:t xml:space="preserve">, 33 FCC Rcd </w:t>
      </w:r>
      <w:r w:rsidRPr="00494109">
        <w:t>at 4789, para. 28.</w:t>
      </w:r>
      <w:r w:rsidR="008A2B61">
        <w:t xml:space="preserve">  </w:t>
      </w:r>
      <w:r w:rsidRPr="00A37769" w:rsidR="008A2B61">
        <w:rPr>
          <w:szCs w:val="22"/>
        </w:rPr>
        <w:t>For all covered entities, the new cap shall also include an annual adjustment for inflation based on the Gross Domestic Product-Channel Price I</w:t>
      </w:r>
      <w:r w:rsidR="00BE6236">
        <w:rPr>
          <w:szCs w:val="22"/>
        </w:rPr>
        <w:t>n</w:t>
      </w:r>
      <w:r w:rsidRPr="00A37769" w:rsidR="008A2B61">
        <w:rPr>
          <w:szCs w:val="22"/>
        </w:rPr>
        <w:t>dex (GDP-CPI) for the years in which the new cap remains in effect.</w:t>
      </w:r>
      <w:r w:rsidR="008A2B61">
        <w:rPr>
          <w:szCs w:val="22"/>
          <w:vertAlign w:val="superscript"/>
        </w:rPr>
        <w:t xml:space="preserve">   </w:t>
      </w:r>
      <w:r w:rsidRPr="00494109" w:rsidR="008A2B61">
        <w:rPr>
          <w:i/>
        </w:rPr>
        <w:t>Id.</w:t>
      </w:r>
      <w:r w:rsidRPr="00494109" w:rsidR="008A2B61">
        <w:t xml:space="preserve"> at 4790, para. 30.</w:t>
      </w:r>
      <w:r>
        <w:rPr>
          <w:rStyle w:val="CommentReference"/>
        </w:rPr>
        <w:t xml:space="preserve"> </w:t>
      </w:r>
    </w:p>
  </w:footnote>
  <w:footnote w:id="25">
    <w:p w:rsidR="008A2B61" w:rsidRPr="00494109" w:rsidP="008A2B61" w14:paraId="0CAEA887" w14:textId="77777777">
      <w:pPr>
        <w:pStyle w:val="FootnoteText"/>
      </w:pPr>
      <w:r w:rsidRPr="00494109">
        <w:rPr>
          <w:rStyle w:val="FootnoteReference"/>
          <w:sz w:val="20"/>
        </w:rPr>
        <w:footnoteRef/>
      </w:r>
      <w:r w:rsidRPr="00494109">
        <w:t xml:space="preserve"> 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xml:space="preserve">. at 4789-90, para. 29, fn.78.  </w:t>
      </w:r>
    </w:p>
  </w:footnote>
  <w:footnote w:id="26">
    <w:p w:rsidR="008A2B61" w:rsidRPr="00494109" w:rsidP="008A2B61" w14:paraId="2383EE5B"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27">
    <w:p w:rsidR="00A37769" w:rsidRPr="00494109" w:rsidP="00A37769" w14:paraId="175BCC16" w14:textId="77777777">
      <w:pPr>
        <w:pStyle w:val="FootnoteText"/>
      </w:pPr>
      <w:r w:rsidRPr="00494109">
        <w:rPr>
          <w:rStyle w:val="FootnoteReference"/>
          <w:sz w:val="20"/>
        </w:rPr>
        <w:footnoteRef/>
      </w:r>
      <w:r w:rsidRPr="00494109">
        <w:t xml:space="preserve"> </w:t>
      </w:r>
      <w:r w:rsidRPr="00B35044" w:rsidR="00B35044">
        <w:rPr>
          <w:i/>
          <w:iCs/>
        </w:rPr>
        <w:t>Id</w:t>
      </w:r>
      <w:r w:rsidR="00B35044">
        <w:t>.</w:t>
      </w:r>
      <w:r w:rsidRPr="00494109">
        <w:rPr>
          <w:i/>
        </w:rPr>
        <w:t xml:space="preserve"> </w:t>
      </w:r>
      <w:r w:rsidRPr="00494109">
        <w:t>at 4788-89, para. 27.  The cap will apply to the combined operating expenses of the post-consummation compan</w:t>
      </w:r>
      <w:r w:rsidR="00C561B6">
        <w:t>ies</w:t>
      </w:r>
      <w:r w:rsidRPr="00494109">
        <w:t xml:space="preserve"> and any other existing rate-of-return affiliates that they may acquire during the time in which the condition is in effect (together, covered entities).  To monitor compliance with the condition adopted herein, </w:t>
      </w:r>
      <w:r w:rsidRPr="00494109">
        <w:rPr>
          <w:color w:val="000000"/>
        </w:rPr>
        <w:t xml:space="preserve">we direct the covered entities </w:t>
      </w:r>
      <w:r w:rsidRPr="00494109">
        <w:t xml:space="preserve">to submit their relevant cost data to </w:t>
      </w:r>
      <w:r w:rsidR="00753BC0">
        <w:t>NECA</w:t>
      </w:r>
      <w:r w:rsidRPr="00494109">
        <w:t xml:space="preserve">.  We direct NECA to provide the dollar amount of the operating expense costs that will be capped pursuant to this Public Notice to USAC within 30 days following submission of any covered entity’s cost data.  We further direct NECA to provide USAC with the reductions in HCLS and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494109">
        <w:rPr>
          <w:i/>
        </w:rPr>
        <w:t>Id</w:t>
      </w:r>
      <w:r w:rsidRPr="00494109">
        <w:t xml:space="preserve">. at 4790, para. 31.       </w:t>
      </w:r>
    </w:p>
  </w:footnote>
  <w:footnote w:id="28">
    <w:p w:rsidR="00A37769" w:rsidRPr="00494109" w:rsidP="00A37769" w14:paraId="37B13638" w14:textId="77777777">
      <w:pPr>
        <w:pStyle w:val="FootnoteText"/>
        <w:rPr>
          <w:iCs/>
          <w:color w:val="212121"/>
        </w:rPr>
      </w:pPr>
      <w:r w:rsidRPr="00494109">
        <w:rPr>
          <w:rStyle w:val="FootnoteReference"/>
          <w:sz w:val="20"/>
        </w:rPr>
        <w:footnoteRef/>
      </w:r>
      <w:r w:rsidRPr="00494109">
        <w:t xml:space="preserve"> </w:t>
      </w:r>
      <w:r w:rsidRPr="00494109">
        <w:rPr>
          <w:i/>
        </w:rPr>
        <w:t xml:space="preserve">See </w:t>
      </w:r>
      <w:r w:rsidRPr="00494109">
        <w:rPr>
          <w:iCs/>
        </w:rPr>
        <w:t xml:space="preserve">47 U.S.C. § 214(a); 47 CFR § 63.03.  </w:t>
      </w:r>
      <w:r w:rsidRPr="00494109">
        <w:rPr>
          <w:i/>
        </w:rPr>
        <w:t xml:space="preserve"> </w:t>
      </w:r>
    </w:p>
  </w:footnote>
  <w:footnote w:id="29">
    <w:p w:rsidR="00A37769" w:rsidRPr="00317D86" w:rsidP="00A37769" w14:paraId="2479CE19" w14:textId="77777777">
      <w:pPr>
        <w:pStyle w:val="FootnoteText"/>
      </w:pPr>
      <w:r w:rsidRPr="00494109">
        <w:rPr>
          <w:rStyle w:val="FootnoteReference"/>
          <w:sz w:val="20"/>
        </w:rPr>
        <w:footnoteRef/>
      </w:r>
      <w:r w:rsidRPr="00494109">
        <w:t xml:space="preserve"> </w:t>
      </w:r>
      <w:r w:rsidRPr="00C02DE6">
        <w:rPr>
          <w:snapToGrid w:val="0"/>
          <w:kern w:val="28"/>
        </w:rPr>
        <w:t>The</w:t>
      </w:r>
      <w:r w:rsidRPr="00C02DE6">
        <w:t xml:space="preserve"> Applicants provide incumbent LEC services in their respective study areas.  Within 30 days of </w:t>
      </w:r>
      <w:r w:rsidRPr="00C02DE6" w:rsidR="002E6977">
        <w:t>this Public Notice</w:t>
      </w:r>
      <w:r w:rsidRPr="00C02DE6">
        <w:t>, they</w:t>
      </w:r>
      <w:r w:rsidRPr="00494109">
        <w:t xml:space="preserve"> must notify USAC so that it can make any appropriate changes to the High Cost Universal Broadband (HUBB) on-line location reporting portal for universal service recipients.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7F0A5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2CC0F8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65A2D"/>
    <w:rsid w:val="00080349"/>
    <w:rsid w:val="000A0D0A"/>
    <w:rsid w:val="000E0BEF"/>
    <w:rsid w:val="000F15DC"/>
    <w:rsid w:val="0011284D"/>
    <w:rsid w:val="00113860"/>
    <w:rsid w:val="00137861"/>
    <w:rsid w:val="001421A0"/>
    <w:rsid w:val="0014718D"/>
    <w:rsid w:val="001805F0"/>
    <w:rsid w:val="001A3419"/>
    <w:rsid w:val="001C1595"/>
    <w:rsid w:val="001C5E50"/>
    <w:rsid w:val="001C6F75"/>
    <w:rsid w:val="001D13D1"/>
    <w:rsid w:val="00207939"/>
    <w:rsid w:val="0021422C"/>
    <w:rsid w:val="00233DE0"/>
    <w:rsid w:val="0024459C"/>
    <w:rsid w:val="00273EBC"/>
    <w:rsid w:val="002C63A7"/>
    <w:rsid w:val="002D66B2"/>
    <w:rsid w:val="002E6531"/>
    <w:rsid w:val="002E6977"/>
    <w:rsid w:val="002E6B02"/>
    <w:rsid w:val="002F5A1F"/>
    <w:rsid w:val="00316485"/>
    <w:rsid w:val="00317D86"/>
    <w:rsid w:val="00341E03"/>
    <w:rsid w:val="003474AA"/>
    <w:rsid w:val="00351578"/>
    <w:rsid w:val="00351689"/>
    <w:rsid w:val="00381D63"/>
    <w:rsid w:val="003A3CAA"/>
    <w:rsid w:val="003D18FA"/>
    <w:rsid w:val="003E5517"/>
    <w:rsid w:val="003F0093"/>
    <w:rsid w:val="0041725C"/>
    <w:rsid w:val="00422F19"/>
    <w:rsid w:val="004301FA"/>
    <w:rsid w:val="0043537A"/>
    <w:rsid w:val="00446101"/>
    <w:rsid w:val="00452453"/>
    <w:rsid w:val="004528C9"/>
    <w:rsid w:val="0045759E"/>
    <w:rsid w:val="00477B03"/>
    <w:rsid w:val="00494109"/>
    <w:rsid w:val="004A5F0F"/>
    <w:rsid w:val="004A75F3"/>
    <w:rsid w:val="004D34C6"/>
    <w:rsid w:val="004F0F83"/>
    <w:rsid w:val="0053035D"/>
    <w:rsid w:val="005730EF"/>
    <w:rsid w:val="00590452"/>
    <w:rsid w:val="0059339D"/>
    <w:rsid w:val="005B2105"/>
    <w:rsid w:val="005C743D"/>
    <w:rsid w:val="005D1BA2"/>
    <w:rsid w:val="005D4EA8"/>
    <w:rsid w:val="00603D3C"/>
    <w:rsid w:val="00607DD7"/>
    <w:rsid w:val="00610F36"/>
    <w:rsid w:val="00637C9C"/>
    <w:rsid w:val="00644592"/>
    <w:rsid w:val="006924C8"/>
    <w:rsid w:val="00694565"/>
    <w:rsid w:val="00696223"/>
    <w:rsid w:val="006D0686"/>
    <w:rsid w:val="006E46C9"/>
    <w:rsid w:val="006E48C9"/>
    <w:rsid w:val="00712110"/>
    <w:rsid w:val="00753BC0"/>
    <w:rsid w:val="00763A02"/>
    <w:rsid w:val="00770F07"/>
    <w:rsid w:val="00783DC2"/>
    <w:rsid w:val="00790B92"/>
    <w:rsid w:val="007A38DA"/>
    <w:rsid w:val="007C090F"/>
    <w:rsid w:val="007D7102"/>
    <w:rsid w:val="007E6B10"/>
    <w:rsid w:val="007F3852"/>
    <w:rsid w:val="008430D7"/>
    <w:rsid w:val="008670A1"/>
    <w:rsid w:val="00877BCD"/>
    <w:rsid w:val="00884C47"/>
    <w:rsid w:val="00885A98"/>
    <w:rsid w:val="008A2B61"/>
    <w:rsid w:val="008C56C5"/>
    <w:rsid w:val="0091104D"/>
    <w:rsid w:val="00914BB8"/>
    <w:rsid w:val="009308B7"/>
    <w:rsid w:val="00964168"/>
    <w:rsid w:val="00966B79"/>
    <w:rsid w:val="00975139"/>
    <w:rsid w:val="009C206F"/>
    <w:rsid w:val="009D4FEF"/>
    <w:rsid w:val="009F7D1F"/>
    <w:rsid w:val="00A3458C"/>
    <w:rsid w:val="00A37769"/>
    <w:rsid w:val="00A65CFD"/>
    <w:rsid w:val="00A808A5"/>
    <w:rsid w:val="00A855F1"/>
    <w:rsid w:val="00A85A03"/>
    <w:rsid w:val="00A87085"/>
    <w:rsid w:val="00AA0192"/>
    <w:rsid w:val="00AA5EF7"/>
    <w:rsid w:val="00AB05F1"/>
    <w:rsid w:val="00AD1C04"/>
    <w:rsid w:val="00B02A93"/>
    <w:rsid w:val="00B144FF"/>
    <w:rsid w:val="00B2695F"/>
    <w:rsid w:val="00B35044"/>
    <w:rsid w:val="00B45BDE"/>
    <w:rsid w:val="00B81CC5"/>
    <w:rsid w:val="00B83962"/>
    <w:rsid w:val="00B854A4"/>
    <w:rsid w:val="00BE6236"/>
    <w:rsid w:val="00BF2689"/>
    <w:rsid w:val="00BF334A"/>
    <w:rsid w:val="00BF35BF"/>
    <w:rsid w:val="00BF7446"/>
    <w:rsid w:val="00C02DE6"/>
    <w:rsid w:val="00C11660"/>
    <w:rsid w:val="00C35C0A"/>
    <w:rsid w:val="00C42323"/>
    <w:rsid w:val="00C561B6"/>
    <w:rsid w:val="00C56959"/>
    <w:rsid w:val="00C75306"/>
    <w:rsid w:val="00C87AF0"/>
    <w:rsid w:val="00CB0F35"/>
    <w:rsid w:val="00CC5ECB"/>
    <w:rsid w:val="00CD0F58"/>
    <w:rsid w:val="00CF27DD"/>
    <w:rsid w:val="00D02BB8"/>
    <w:rsid w:val="00D2484F"/>
    <w:rsid w:val="00D311C9"/>
    <w:rsid w:val="00D354C2"/>
    <w:rsid w:val="00D43260"/>
    <w:rsid w:val="00D50824"/>
    <w:rsid w:val="00DA0A78"/>
    <w:rsid w:val="00DB0790"/>
    <w:rsid w:val="00DB41A7"/>
    <w:rsid w:val="00DD25DD"/>
    <w:rsid w:val="00DF2528"/>
    <w:rsid w:val="00E16955"/>
    <w:rsid w:val="00E3339B"/>
    <w:rsid w:val="00E53E4C"/>
    <w:rsid w:val="00E554BA"/>
    <w:rsid w:val="00E57208"/>
    <w:rsid w:val="00E82844"/>
    <w:rsid w:val="00E84325"/>
    <w:rsid w:val="00E852A8"/>
    <w:rsid w:val="00E96300"/>
    <w:rsid w:val="00EC3279"/>
    <w:rsid w:val="00EC3DD3"/>
    <w:rsid w:val="00EE04BD"/>
    <w:rsid w:val="00EE736C"/>
    <w:rsid w:val="00F034E1"/>
    <w:rsid w:val="00F0415F"/>
    <w:rsid w:val="00F043DD"/>
    <w:rsid w:val="00F20CFA"/>
    <w:rsid w:val="00F34674"/>
    <w:rsid w:val="00F415E7"/>
    <w:rsid w:val="00F42D59"/>
    <w:rsid w:val="00F52907"/>
    <w:rsid w:val="00F57C05"/>
    <w:rsid w:val="00F71244"/>
    <w:rsid w:val="00F80CF7"/>
    <w:rsid w:val="00FC11C8"/>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55A7A"/>
  <w15:chartTrackingRefBased/>
  <w15:docId w15:val="{143BA30F-50B2-44D1-9210-9C9493C3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