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717CEBAD">
            <w:pPr>
              <w:tabs>
                <w:tab w:val="center" w:pos="4680"/>
              </w:tabs>
              <w:suppressAutoHyphens/>
              <w:rPr>
                <w:spacing w:val="-2"/>
              </w:rPr>
            </w:pPr>
            <w:r w:rsidRPr="00E97187">
              <w:rPr>
                <w:spacing w:val="-2"/>
              </w:rPr>
              <w:t>Stations</w:t>
            </w:r>
            <w:r w:rsidR="006F4D4C">
              <w:rPr>
                <w:spacing w:val="-2"/>
              </w:rPr>
              <w:t xml:space="preserve"> (</w:t>
            </w:r>
            <w:r w:rsidR="002159C2">
              <w:rPr>
                <w:spacing w:val="-2"/>
              </w:rPr>
              <w:t>Bozeman</w:t>
            </w:r>
            <w:r w:rsidR="006F4D4C">
              <w:rPr>
                <w:spacing w:val="-2"/>
              </w:rPr>
              <w:t xml:space="preserve">, </w:t>
            </w:r>
            <w:r w:rsidR="002159C2">
              <w:rPr>
                <w:spacing w:val="-2"/>
              </w:rPr>
              <w:t>Montana</w:t>
            </w:r>
            <w:r w:rsidR="006F4D4C">
              <w:rPr>
                <w:spacing w:val="-2"/>
              </w:rPr>
              <w:t>)</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78BB51A2">
            <w:pPr>
              <w:pStyle w:val="TOAHeading"/>
              <w:tabs>
                <w:tab w:val="center" w:pos="4680"/>
              </w:tabs>
              <w:rPr>
                <w:spacing w:val="-2"/>
              </w:rPr>
            </w:pPr>
            <w:r w:rsidRPr="00E97187">
              <w:rPr>
                <w:spacing w:val="-2"/>
              </w:rPr>
              <w:t>MB Docket No. 2</w:t>
            </w:r>
            <w:r w:rsidR="002159C2">
              <w:rPr>
                <w:spacing w:val="-2"/>
              </w:rPr>
              <w:t>2-114</w:t>
            </w:r>
          </w:p>
          <w:p w:rsidR="004C2EE3" w:rsidP="00E97187" w14:paraId="1C5147C7" w14:textId="053DE923">
            <w:pPr>
              <w:tabs>
                <w:tab w:val="center" w:pos="4680"/>
              </w:tabs>
              <w:suppressAutoHyphens/>
              <w:rPr>
                <w:spacing w:val="-2"/>
              </w:rPr>
            </w:pPr>
            <w:r w:rsidRPr="00E97187">
              <w:rPr>
                <w:spacing w:val="-2"/>
              </w:rPr>
              <w:t>RM-11</w:t>
            </w:r>
            <w:r w:rsidR="0033610A">
              <w:rPr>
                <w:spacing w:val="-2"/>
              </w:rPr>
              <w:t>9</w:t>
            </w:r>
            <w:r w:rsidR="002159C2">
              <w:rPr>
                <w:spacing w:val="-2"/>
              </w:rPr>
              <w:t>20</w:t>
            </w:r>
          </w:p>
        </w:tc>
      </w:tr>
    </w:tbl>
    <w:p w:rsidR="004C2EE3" w:rsidP="0070224F" w14:paraId="7EE9EEFF" w14:textId="77777777"/>
    <w:p w:rsidR="00E97187" w:rsidP="00E97187" w14:paraId="6F829742" w14:textId="77777777">
      <w:pPr>
        <w:pStyle w:val="StyleBoldCentered"/>
      </w:pPr>
      <w:r>
        <w:t>report and order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5FA776A4">
      <w:pPr>
        <w:tabs>
          <w:tab w:val="left" w:pos="720"/>
          <w:tab w:val="right" w:pos="9360"/>
        </w:tabs>
        <w:suppressAutoHyphens/>
        <w:spacing w:line="227" w:lineRule="auto"/>
        <w:rPr>
          <w:spacing w:val="-2"/>
        </w:rPr>
      </w:pPr>
      <w:r>
        <w:rPr>
          <w:b/>
          <w:spacing w:val="-2"/>
        </w:rPr>
        <w:t xml:space="preserve">Adopted:  </w:t>
      </w:r>
      <w:r w:rsidR="002159C2">
        <w:rPr>
          <w:b/>
          <w:spacing w:val="-2"/>
        </w:rPr>
        <w:t>May</w:t>
      </w:r>
      <w:r w:rsidR="008F6DAD">
        <w:rPr>
          <w:b/>
          <w:spacing w:val="-2"/>
        </w:rPr>
        <w:t xml:space="preserve"> </w:t>
      </w:r>
      <w:r w:rsidR="00EB1177">
        <w:rPr>
          <w:b/>
          <w:spacing w:val="-2"/>
        </w:rPr>
        <w:t>17</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159C2">
        <w:rPr>
          <w:b/>
          <w:spacing w:val="-2"/>
        </w:rPr>
        <w:t>May</w:t>
      </w:r>
      <w:r w:rsidR="008F6DAD">
        <w:rPr>
          <w:b/>
          <w:spacing w:val="-2"/>
        </w:rPr>
        <w:t xml:space="preserve"> </w:t>
      </w:r>
      <w:r w:rsidR="00EB1177">
        <w:rPr>
          <w:b/>
          <w:spacing w:val="-2"/>
        </w:rPr>
        <w:t>17</w:t>
      </w:r>
      <w:r w:rsidR="008F6DAD">
        <w:rPr>
          <w:b/>
          <w:spacing w:val="-2"/>
        </w:rPr>
        <w:t>, 2022</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480BA5" w14:paraId="74AAEE84" w14:textId="7287D791">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76278F">
        <w:rPr>
          <w:spacing w:val="-3"/>
        </w:rPr>
        <w:t xml:space="preserve"> </w:t>
      </w:r>
      <w:r w:rsidR="0076278F">
        <w:t>Scripps Broadcasting Holdings LLC</w:t>
      </w:r>
      <w:r w:rsidRPr="00E97187">
        <w:rPr>
          <w:spacing w:val="-7"/>
        </w:rPr>
        <w:t xml:space="preserve"> </w:t>
      </w:r>
      <w:r w:rsidRPr="00E208EC" w:rsidR="00092AB5">
        <w:t>(</w:t>
      </w:r>
      <w:r w:rsidR="00432B47">
        <w:t>Petitioner</w:t>
      </w:r>
      <w:r w:rsidRPr="00E208EC" w:rsidR="00092AB5">
        <w:t xml:space="preserve">), the licensee </w:t>
      </w:r>
      <w:r w:rsidR="00B11296">
        <w:t xml:space="preserve">of </w:t>
      </w:r>
      <w:r w:rsidR="0033610A">
        <w:t>television station</w:t>
      </w:r>
      <w:r w:rsidR="00C671B7">
        <w:t xml:space="preserve"> KBZK</w:t>
      </w:r>
      <w:r w:rsidR="0033610A">
        <w:t xml:space="preserve"> (Station),</w:t>
      </w:r>
      <w:r w:rsidR="002A1087">
        <w:t xml:space="preserve"> </w:t>
      </w:r>
      <w:r w:rsidRPr="00E208EC" w:rsidR="00092AB5">
        <w:t>channel</w:t>
      </w:r>
      <w:r w:rsidR="0076278F">
        <w:t xml:space="preserve"> 13</w:t>
      </w:r>
      <w:r w:rsidRPr="00E208EC" w:rsidR="00092AB5">
        <w:t xml:space="preserve">, </w:t>
      </w:r>
      <w:r w:rsidR="002159C2">
        <w:t>Bozeman</w:t>
      </w:r>
      <w:r w:rsidR="00C65811">
        <w:t xml:space="preserve">, </w:t>
      </w:r>
      <w:r w:rsidR="002159C2">
        <w:t>Montana</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76278F">
        <w:rPr>
          <w:spacing w:val="-6"/>
        </w:rPr>
        <w:t>27</w:t>
      </w:r>
      <w:r w:rsidRPr="00E97187">
        <w:rPr>
          <w:spacing w:val="-7"/>
        </w:rPr>
        <w:t xml:space="preserve"> </w:t>
      </w:r>
      <w:r w:rsidRPr="00E97187">
        <w:rPr>
          <w:spacing w:val="-3"/>
        </w:rPr>
        <w:t>for</w:t>
      </w:r>
      <w:r w:rsidRPr="00E97187">
        <w:t xml:space="preserve"> VHF channel</w:t>
      </w:r>
      <w:r w:rsidRPr="00E97187">
        <w:rPr>
          <w:spacing w:val="-6"/>
        </w:rPr>
        <w:t xml:space="preserve"> </w:t>
      </w:r>
      <w:r w:rsidR="0076278F">
        <w:rPr>
          <w:spacing w:val="-6"/>
        </w:rPr>
        <w:t>13</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sidRPr="00E97187">
        <w:rPr>
          <w:position w:val="8"/>
        </w:rPr>
        <w:t xml:space="preserve">  </w:t>
      </w:r>
      <w:r w:rsidR="00480BA5">
        <w:t>The Petitioner</w:t>
      </w:r>
      <w:r w:rsidRPr="00E97187" w:rsidR="00480BA5">
        <w:t xml:space="preserve"> filed comments in support of the petition, as required by the Commission’s rules,</w:t>
      </w:r>
      <w:r>
        <w:rPr>
          <w:rStyle w:val="FootnoteReference"/>
          <w:iCs/>
          <w:sz w:val="22"/>
        </w:rPr>
        <w:footnoteReference w:id="4"/>
      </w:r>
      <w:r w:rsidRPr="00E97187" w:rsidR="00480BA5">
        <w:t xml:space="preserve"> reaffirming its commitment to apply for channel </w:t>
      </w:r>
      <w:r w:rsidR="0076278F">
        <w:t>27</w:t>
      </w:r>
      <w:r w:rsidR="00480BA5">
        <w:t>.</w:t>
      </w:r>
      <w:r w:rsidR="001542A1">
        <w:t xml:space="preserve">  No other comments were received.</w:t>
      </w:r>
      <w:r w:rsidRPr="00E97187" w:rsidR="00F86933">
        <w:t xml:space="preserve">  </w:t>
      </w:r>
    </w:p>
    <w:p w:rsidR="0033517A" w:rsidP="001B3643" w14:paraId="5C8D419A" w14:textId="22803914">
      <w:pPr>
        <w:pStyle w:val="ParaNum"/>
        <w:widowControl/>
      </w:pPr>
      <w:r w:rsidRPr="00E97187">
        <w:t xml:space="preserve">We believe the public interest would be served by substituting channel </w:t>
      </w:r>
      <w:r w:rsidR="0076278F">
        <w:t>27</w:t>
      </w:r>
      <w:r w:rsidRPr="00E97187">
        <w:t xml:space="preserve"> for channel </w:t>
      </w:r>
      <w:r w:rsidR="0076278F">
        <w:t>13</w:t>
      </w:r>
      <w:r w:rsidRPr="00E97187" w:rsidR="00424EA6">
        <w:t xml:space="preserve"> </w:t>
      </w:r>
      <w:r w:rsidRPr="00E97187">
        <w:t xml:space="preserve">at </w:t>
      </w:r>
      <w:r w:rsidR="002159C2">
        <w:t>Bozeman</w:t>
      </w:r>
      <w:r w:rsidR="001032F9">
        <w:t xml:space="preserve">, </w:t>
      </w:r>
      <w:r w:rsidR="002159C2">
        <w:t>Montana</w:t>
      </w:r>
      <w:r w:rsidR="00E9514A">
        <w:t>.</w:t>
      </w:r>
      <w:r w:rsidRPr="00E97187">
        <w:t xml:space="preserve"> </w:t>
      </w:r>
      <w:r w:rsidR="00756C1E">
        <w:t xml:space="preserve"> </w:t>
      </w:r>
      <w:r w:rsidR="00061E09">
        <w:t xml:space="preserve">According to the Petitioner, it has received many complaints from viewers unable to receive a reliable signal on </w:t>
      </w:r>
      <w:r w:rsidR="00756C1E">
        <w:t xml:space="preserve">VHF </w:t>
      </w:r>
      <w:r w:rsidR="00061E09">
        <w:t>channel 13</w:t>
      </w:r>
      <w:r w:rsidR="00756C1E">
        <w:t>, and</w:t>
      </w:r>
      <w:r w:rsidR="00061E09">
        <w:t xml:space="preserve"> </w:t>
      </w:r>
      <w:r w:rsidR="00756C1E">
        <w:t>the Commission has recognized that VHF channels have certain characteristics that pose challenges for their use in providing digital television service.</w:t>
      </w:r>
      <w:r>
        <w:rPr>
          <w:rStyle w:val="FootnoteReference"/>
        </w:rPr>
        <w:footnoteReference w:id="5"/>
      </w:r>
      <w:r w:rsidRPr="00064DF8" w:rsidR="00756C1E">
        <w:rPr>
          <w:szCs w:val="22"/>
        </w:rPr>
        <w:t xml:space="preserve"> </w:t>
      </w:r>
      <w:r w:rsidR="00F23620">
        <w:rPr>
          <w:szCs w:val="22"/>
        </w:rPr>
        <w:t xml:space="preserve"> </w:t>
      </w:r>
      <w:r w:rsidRPr="00064DF8" w:rsidR="00061E09">
        <w:rPr>
          <w:szCs w:val="22"/>
        </w:rPr>
        <w:t xml:space="preserve">The proposed channel 27 contour would continue to reach virtually all of the population within the Station’s current service area and </w:t>
      </w:r>
      <w:r w:rsidR="00F23620">
        <w:rPr>
          <w:szCs w:val="22"/>
        </w:rPr>
        <w:t>a</w:t>
      </w:r>
      <w:r w:rsidRPr="00064DF8" w:rsidR="00061E09">
        <w:rPr>
          <w:szCs w:val="22"/>
        </w:rPr>
        <w:t xml:space="preserve">n analysis using the Commission’s </w:t>
      </w:r>
      <w:r w:rsidRPr="00064DF8" w:rsidR="00061E09">
        <w:rPr>
          <w:i/>
          <w:iCs/>
          <w:szCs w:val="22"/>
        </w:rPr>
        <w:t>TVStudy</w:t>
      </w:r>
      <w:r w:rsidRPr="00064DF8" w:rsidR="00061E09">
        <w:rPr>
          <w:szCs w:val="22"/>
        </w:rPr>
        <w:t xml:space="preserve"> software tool indicates that KBZK’s move from channel 13 to channel 27 is predicted to create a small area where 675 persons</w:t>
      </w:r>
      <w:r w:rsidR="00F23620">
        <w:rPr>
          <w:szCs w:val="22"/>
        </w:rPr>
        <w:t xml:space="preserve"> will</w:t>
      </w:r>
      <w:r w:rsidRPr="00064DF8" w:rsidR="00061E09">
        <w:rPr>
          <w:szCs w:val="22"/>
        </w:rPr>
        <w:t xml:space="preserve"> lose service.</w:t>
      </w:r>
      <w:r>
        <w:rPr>
          <w:rStyle w:val="FootnoteReference"/>
          <w:szCs w:val="22"/>
        </w:rPr>
        <w:footnoteReference w:id="6"/>
      </w:r>
      <w:r w:rsidRPr="00064DF8" w:rsidR="00061E09">
        <w:rPr>
          <w:szCs w:val="22"/>
        </w:rPr>
        <w:t xml:space="preserve">  The loss area, however, is partially overlapped by the noise limited contour of Scripps’ owned television station KXLF-TV, Butte, Montana, which</w:t>
      </w:r>
      <w:r w:rsidR="00CE0F49">
        <w:rPr>
          <w:szCs w:val="22"/>
        </w:rPr>
        <w:t>, like KBZK,</w:t>
      </w:r>
      <w:r w:rsidRPr="00064DF8" w:rsidR="00061E09">
        <w:rPr>
          <w:szCs w:val="22"/>
        </w:rPr>
        <w:t xml:space="preserve"> is a CBS network affiliate</w:t>
      </w:r>
      <w:r w:rsidR="00CE61A9">
        <w:rPr>
          <w:szCs w:val="22"/>
        </w:rPr>
        <w:t>.</w:t>
      </w:r>
      <w:r>
        <w:rPr>
          <w:rStyle w:val="FootnoteReference"/>
          <w:szCs w:val="22"/>
        </w:rPr>
        <w:footnoteReference w:id="7"/>
      </w:r>
      <w:r w:rsidRPr="00064DF8" w:rsidR="00061E09">
        <w:rPr>
          <w:szCs w:val="22"/>
        </w:rPr>
        <w:t xml:space="preserve"> </w:t>
      </w:r>
      <w:r w:rsidR="001E1408">
        <w:rPr>
          <w:szCs w:val="22"/>
        </w:rPr>
        <w:t xml:space="preserve"> </w:t>
      </w:r>
      <w:r w:rsidR="00CE61A9">
        <w:rPr>
          <w:szCs w:val="22"/>
        </w:rPr>
        <w:t>T</w:t>
      </w:r>
      <w:r w:rsidR="00CE0F49">
        <w:rPr>
          <w:szCs w:val="22"/>
        </w:rPr>
        <w:t xml:space="preserve">aking KXLF-TV into consideration </w:t>
      </w:r>
      <w:r w:rsidRPr="00064DF8" w:rsidR="00061E09">
        <w:rPr>
          <w:szCs w:val="22"/>
        </w:rPr>
        <w:t xml:space="preserve">reduces the number who are predicted to lose CBS network service to less </w:t>
      </w:r>
      <w:r w:rsidRPr="00064DF8" w:rsidR="00061E09">
        <w:rPr>
          <w:szCs w:val="22"/>
        </w:rPr>
        <w:t>than 500 persons</w:t>
      </w:r>
      <w:r w:rsidR="00061E09">
        <w:rPr>
          <w:szCs w:val="22"/>
        </w:rPr>
        <w:t xml:space="preserve">, </w:t>
      </w:r>
      <w:r w:rsidR="00F23620">
        <w:rPr>
          <w:szCs w:val="22"/>
        </w:rPr>
        <w:t>a number which the Commission has found to be</w:t>
      </w:r>
      <w:r w:rsidRPr="00064DF8" w:rsidR="00061E09">
        <w:rPr>
          <w:szCs w:val="22"/>
        </w:rPr>
        <w:t xml:space="preserve"> </w:t>
      </w:r>
      <w:r w:rsidRPr="00064DF8" w:rsidR="00061E09">
        <w:rPr>
          <w:i/>
          <w:iCs/>
          <w:szCs w:val="22"/>
        </w:rPr>
        <w:t>de minimis.</w:t>
      </w:r>
      <w:r>
        <w:rPr>
          <w:rStyle w:val="FootnoteReference"/>
          <w:i/>
          <w:iCs/>
          <w:szCs w:val="22"/>
        </w:rPr>
        <w:footnoteReference w:id="8"/>
      </w:r>
      <w:r w:rsidR="00613106">
        <w:t xml:space="preserve">  In addition, </w:t>
      </w:r>
      <w:r w:rsidRPr="00E50821" w:rsidR="00613106">
        <w:t>viewers in the loss area would continue to have access to other major network programming.</w:t>
      </w:r>
      <w:r>
        <w:rPr>
          <w:rStyle w:val="FootnoteReference"/>
        </w:rPr>
        <w:footnoteReference w:id="9"/>
      </w:r>
      <w:r w:rsidR="00613106">
        <w:t xml:space="preserve">  </w:t>
      </w:r>
    </w:p>
    <w:p w:rsidR="00E97187" w:rsidRPr="007E31D4" w:rsidP="00711A32" w14:paraId="401FC91F" w14:textId="03713F5E">
      <w:pPr>
        <w:pStyle w:val="ParaNum"/>
        <w:spacing w:after="220"/>
      </w:pPr>
      <w:r>
        <w:rPr>
          <w:spacing w:val="-7"/>
        </w:rPr>
        <w:t xml:space="preserve">As proposed, </w:t>
      </w:r>
      <w:r w:rsidR="009078BE">
        <w:rPr>
          <w:spacing w:val="-7"/>
        </w:rPr>
        <w:t>c</w:t>
      </w:r>
      <w:r w:rsidRPr="00E97187">
        <w:rPr>
          <w:spacing w:val="-7"/>
        </w:rPr>
        <w:t xml:space="preserve">hannel </w:t>
      </w:r>
      <w:r w:rsidR="0076278F">
        <w:rPr>
          <w:spacing w:val="-7"/>
        </w:rPr>
        <w:t>27</w:t>
      </w:r>
      <w:r w:rsidRPr="00E97187">
        <w:rPr>
          <w:spacing w:val="-7"/>
        </w:rPr>
        <w:t xml:space="preserve"> can be substituted for channel</w:t>
      </w:r>
      <w:r w:rsidRPr="00E97187">
        <w:t xml:space="preserve"> </w:t>
      </w:r>
      <w:r w:rsidR="0076278F">
        <w:t>13</w:t>
      </w:r>
      <w:r w:rsidRPr="00E97187">
        <w:t xml:space="preserve"> at </w:t>
      </w:r>
      <w:r w:rsidR="002159C2">
        <w:t>Bozeman</w:t>
      </w:r>
      <w:r w:rsidR="007C60E1">
        <w:t xml:space="preserve">, </w:t>
      </w:r>
      <w:r w:rsidR="002159C2">
        <w:t>Montana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rPr>
        <w:footnoteReference w:id="10"/>
      </w:r>
      <w:r w:rsidRPr="00E97187">
        <w:rPr>
          <w:spacing w:val="17"/>
          <w:position w:val="8"/>
        </w:rPr>
        <w:t xml:space="preserve"> </w:t>
      </w:r>
      <w:r w:rsidRPr="00E97187">
        <w:rPr>
          <w:spacing w:val="-3"/>
        </w:rPr>
        <w:t xml:space="preserve">at </w:t>
      </w:r>
      <w:r w:rsidRPr="00E97187">
        <w:rPr>
          <w:spacing w:val="-4"/>
        </w:rPr>
        <w:t>coordinates</w:t>
      </w:r>
      <w:r w:rsidR="0076278F">
        <w:rPr>
          <w:spacing w:val="-4"/>
        </w:rPr>
        <w:t xml:space="preserve"> </w:t>
      </w:r>
      <w:r w:rsidR="0076278F">
        <w:rPr>
          <w:snapToGrid/>
          <w:kern w:val="0"/>
          <w:szCs w:val="22"/>
        </w:rPr>
        <w:t>45</w:t>
      </w:r>
      <w:r w:rsidRPr="004F0BC4" w:rsidR="0076278F">
        <w:rPr>
          <w:snapToGrid/>
          <w:kern w:val="0"/>
          <w:szCs w:val="22"/>
        </w:rPr>
        <w:t xml:space="preserve">° </w:t>
      </w:r>
      <w:r w:rsidR="0076278F">
        <w:rPr>
          <w:snapToGrid/>
          <w:kern w:val="0"/>
          <w:szCs w:val="22"/>
        </w:rPr>
        <w:t>38</w:t>
      </w:r>
      <w:r w:rsidRPr="004F0BC4" w:rsidR="0076278F">
        <w:rPr>
          <w:snapToGrid/>
          <w:kern w:val="0"/>
          <w:szCs w:val="22"/>
        </w:rPr>
        <w:t xml:space="preserve">' </w:t>
      </w:r>
      <w:r w:rsidR="0076278F">
        <w:rPr>
          <w:snapToGrid/>
          <w:kern w:val="0"/>
          <w:szCs w:val="22"/>
        </w:rPr>
        <w:t>15.1</w:t>
      </w:r>
      <w:r w:rsidRPr="004F0BC4" w:rsidR="0076278F">
        <w:rPr>
          <w:snapToGrid/>
          <w:kern w:val="0"/>
          <w:szCs w:val="22"/>
        </w:rPr>
        <w:t xml:space="preserve">" N and </w:t>
      </w:r>
      <w:r w:rsidR="0076278F">
        <w:rPr>
          <w:snapToGrid/>
          <w:kern w:val="0"/>
          <w:szCs w:val="22"/>
        </w:rPr>
        <w:t>111</w:t>
      </w:r>
      <w:r w:rsidRPr="004F0BC4" w:rsidR="0076278F">
        <w:rPr>
          <w:snapToGrid/>
          <w:kern w:val="0"/>
          <w:szCs w:val="22"/>
        </w:rPr>
        <w:t xml:space="preserve">° </w:t>
      </w:r>
      <w:r w:rsidR="0076278F">
        <w:rPr>
          <w:snapToGrid/>
          <w:kern w:val="0"/>
          <w:szCs w:val="22"/>
        </w:rPr>
        <w:t>16</w:t>
      </w:r>
      <w:r w:rsidRPr="004F0BC4" w:rsidR="0076278F">
        <w:rPr>
          <w:snapToGrid/>
          <w:kern w:val="0"/>
          <w:szCs w:val="22"/>
        </w:rPr>
        <w:t xml:space="preserve">' </w:t>
      </w:r>
      <w:r w:rsidR="0076278F">
        <w:rPr>
          <w:snapToGrid/>
          <w:kern w:val="0"/>
          <w:szCs w:val="22"/>
        </w:rPr>
        <w:t>07.0</w:t>
      </w:r>
      <w:r w:rsidRPr="004F0BC4" w:rsidR="0076278F">
        <w:rPr>
          <w:snapToGrid/>
          <w:kern w:val="0"/>
          <w:szCs w:val="22"/>
        </w:rPr>
        <w:t>" W</w:t>
      </w:r>
      <w:r w:rsidR="00EA0EAE">
        <w:rPr>
          <w:snapToGrid/>
          <w:kern w:val="0"/>
          <w:szCs w:val="22"/>
        </w:rPr>
        <w:t>.</w:t>
      </w:r>
      <w:r>
        <w:rPr>
          <w:spacing w:val="-2"/>
        </w:rPr>
        <w:t xml:space="preserve"> </w:t>
      </w:r>
      <w:r w:rsidR="00146B1A">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rPr>
        <w:footnoteReference w:id="11"/>
      </w:r>
    </w:p>
    <w:p w:rsidR="00E97187" w:rsidRPr="00E97187" w:rsidP="00E97187" w14:paraId="1E73859A" w14:textId="6156F72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50D92888" w14:textId="6AAD4D25">
      <w:pPr>
        <w:pStyle w:val="BodyText"/>
        <w:tabs>
          <w:tab w:val="left" w:pos="3748"/>
          <w:tab w:val="left" w:pos="5189"/>
          <w:tab w:val="right" w:pos="7126"/>
        </w:tabs>
        <w:spacing w:after="220"/>
        <w:ind w:left="0"/>
      </w:pPr>
      <w:r>
        <w:rPr>
          <w:spacing w:val="-1"/>
        </w:rPr>
        <w:t>Bozeman</w:t>
      </w:r>
      <w:r w:rsidR="007C60E1">
        <w:rPr>
          <w:spacing w:val="-1"/>
        </w:rPr>
        <w:t xml:space="preserve">, </w:t>
      </w:r>
      <w:r>
        <w:rPr>
          <w:spacing w:val="-1"/>
        </w:rPr>
        <w:t>Montana</w:t>
      </w:r>
      <w:r w:rsidRPr="00E97187" w:rsidR="00F86933">
        <w:rPr>
          <w:spacing w:val="-1"/>
        </w:rPr>
        <w:t xml:space="preserve">       </w:t>
      </w:r>
      <w:r w:rsidR="002A5DE4">
        <w:rPr>
          <w:spacing w:val="-1"/>
        </w:rPr>
        <w:t xml:space="preserve">            </w:t>
      </w:r>
      <w:r w:rsidRPr="00E97187" w:rsidR="00F86933">
        <w:rPr>
          <w:spacing w:val="-1"/>
        </w:rPr>
        <w:t xml:space="preserve"> </w:t>
      </w:r>
      <w:r w:rsidR="00A73AA9">
        <w:rPr>
          <w:spacing w:val="-1"/>
        </w:rPr>
        <w:t>27</w:t>
      </w:r>
      <w:r w:rsidRPr="00E97187" w:rsidR="00F86933">
        <w:rPr>
          <w:spacing w:val="-1"/>
        </w:rPr>
        <w:t xml:space="preserve"> </w:t>
      </w:r>
      <w:r w:rsidRPr="00E97187" w:rsidR="00F86933">
        <w:t xml:space="preserve">               </w:t>
      </w:r>
      <w:r w:rsidR="00C671B7">
        <w:t>850</w:t>
      </w:r>
      <w:r w:rsidRPr="00E97187" w:rsidR="00F86933">
        <w:t xml:space="preserve">                </w:t>
      </w:r>
      <w:r w:rsidR="00C671B7">
        <w:t>222.5</w:t>
      </w:r>
      <w:r w:rsidRPr="00E97187" w:rsidR="00F86933">
        <w:t xml:space="preserve">                         </w:t>
      </w:r>
      <w:r w:rsidR="008A7F19">
        <w:t xml:space="preserve"> </w:t>
      </w:r>
      <w:r w:rsidR="0001580D">
        <w:t>120,718</w:t>
      </w:r>
    </w:p>
    <w:p w:rsidR="00E97187" w:rsidRPr="00E97187" w:rsidP="00E97187" w14:paraId="35F4BD1A" w14:textId="19BC973D">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2"/>
      </w:r>
      <w:r w:rsidRPr="00E97187">
        <w:t xml:space="preserve">  An expedited effective date is necessary in this case to ensure that </w:t>
      </w:r>
      <w:r w:rsidR="00C671B7">
        <w:t>KBZK</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0907642B" w14:textId="4AEAC568">
      <w:pPr>
        <w:pStyle w:val="ParaNum"/>
      </w:pPr>
      <w:r w:rsidRPr="00E97187">
        <w:t>Accordingly, pursuant to the authority contained in sections 4(</w:t>
      </w:r>
      <w:r w:rsidRPr="00E97187">
        <w:t>i</w:t>
      </w:r>
      <w:r w:rsidRPr="00E97187">
        <w:t>), 5(c)(1), 303(g)</w:t>
      </w:r>
      <w:r w:rsidR="00D139C5">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B9A714D"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6EF99334" w14:textId="3805B865">
      <w:pPr>
        <w:pStyle w:val="BodyText"/>
        <w:tabs>
          <w:tab w:val="left" w:pos="3728"/>
          <w:tab w:val="right" w:pos="6105"/>
        </w:tabs>
        <w:spacing w:after="220"/>
        <w:ind w:left="0"/>
      </w:pPr>
      <w:r>
        <w:rPr>
          <w:spacing w:val="-4"/>
        </w:rPr>
        <w:t>Bozeman</w:t>
      </w:r>
      <w:r w:rsidR="0031731D">
        <w:rPr>
          <w:spacing w:val="-4"/>
        </w:rPr>
        <w:t xml:space="preserve">, </w:t>
      </w:r>
      <w:r>
        <w:rPr>
          <w:spacing w:val="-4"/>
        </w:rPr>
        <w:t>Montana</w:t>
      </w:r>
      <w:r w:rsidRPr="00E97187" w:rsidR="00F86933">
        <w:rPr>
          <w:spacing w:val="-4"/>
        </w:rPr>
        <w:t xml:space="preserve">                        </w:t>
      </w:r>
      <w:r w:rsidR="001A6147">
        <w:rPr>
          <w:spacing w:val="-4"/>
        </w:rPr>
        <w:t xml:space="preserve">  </w:t>
      </w:r>
      <w:r w:rsidR="008521B8">
        <w:rPr>
          <w:spacing w:val="-4"/>
        </w:rPr>
        <w:t xml:space="preserve">              </w:t>
      </w:r>
      <w:r w:rsidR="00C671B7">
        <w:rPr>
          <w:spacing w:val="-4"/>
        </w:rPr>
        <w:t>*8, 27</w:t>
      </w:r>
      <w:r w:rsidR="00B701AF">
        <w:rPr>
          <w:spacing w:val="-4"/>
        </w:rPr>
        <w:t xml:space="preserve">   </w:t>
      </w:r>
    </w:p>
    <w:p w:rsidR="00E97187" w:rsidRPr="00E97187" w:rsidP="00E97187" w14:paraId="77911205" w14:textId="5C4C4119">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C671B7">
        <w:t>Scripps Broadcasting Holdings LLC</w:t>
      </w:r>
      <w:r w:rsidRPr="00E208EC" w:rsidR="00C671B7">
        <w:t xml:space="preserve"> </w:t>
      </w:r>
      <w:r w:rsidR="00691886">
        <w:t xml:space="preserve"> </w:t>
      </w:r>
      <w:r w:rsidRPr="00E97187" w:rsidR="00691886">
        <w:t>shall</w:t>
      </w:r>
      <w:r w:rsidRPr="00E97187">
        <w:t xml:space="preserve"> submit to the Commission a minor change application for a construction permit (Form 2100, Schedule A) specifying channel </w:t>
      </w:r>
      <w:r w:rsidR="00A73AA9">
        <w:t>27</w:t>
      </w:r>
      <w:r w:rsidRPr="00E97187">
        <w:t xml:space="preserve"> in lieu of channel </w:t>
      </w:r>
      <w:r w:rsidR="00A73AA9">
        <w:t>13</w:t>
      </w:r>
      <w:r w:rsidRPr="00E97187">
        <w:t>.</w:t>
      </w:r>
    </w:p>
    <w:p w:rsidR="006409B6" w:rsidRPr="00AE423E" w:rsidP="006409B6"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63027075" w14:textId="4ED8411B">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A73AA9">
        <w:t>2</w:t>
      </w:r>
      <w:r w:rsidR="0071598A">
        <w:t>-</w:t>
      </w:r>
      <w:r w:rsidR="00A73AA9">
        <w:t>114</w:t>
      </w:r>
      <w:r w:rsidR="008A7F19">
        <w:t xml:space="preserve"> and </w:t>
      </w:r>
      <w:r w:rsidR="00C802E6">
        <w:t>RM-11</w:t>
      </w:r>
      <w:r w:rsidR="00A73AA9">
        <w:t>920</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1B3643" w14:paraId="6FA1290B"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B3643" w14:paraId="14B08475" w14:textId="77777777">
      <w:pPr>
        <w:keepNext/>
        <w:keepLines/>
      </w:pPr>
      <w:r>
        <w:tab/>
      </w:r>
      <w:r>
        <w:tab/>
      </w:r>
      <w:r>
        <w:tab/>
      </w:r>
      <w:r>
        <w:tab/>
      </w:r>
      <w:r>
        <w:tab/>
      </w:r>
      <w:r>
        <w:tab/>
        <w:t>FEDERAL COMMUNICATIONS COMMISSION</w:t>
      </w:r>
    </w:p>
    <w:p w:rsidR="006409B6" w:rsidP="001B3643" w14:paraId="52D640EA" w14:textId="77777777">
      <w:pPr>
        <w:keepNext/>
        <w:keepLines/>
      </w:pPr>
    </w:p>
    <w:p w:rsidR="006409B6" w:rsidP="001B3643" w14:paraId="008524A2" w14:textId="77777777">
      <w:pPr>
        <w:keepNext/>
        <w:keepLines/>
      </w:pPr>
    </w:p>
    <w:p w:rsidR="00C43340" w:rsidP="001B3643" w14:paraId="0EDB033E" w14:textId="77777777">
      <w:pPr>
        <w:keepNext/>
        <w:keepLines/>
      </w:pPr>
    </w:p>
    <w:p w:rsidR="006409B6" w:rsidP="001B3643" w14:paraId="03181155" w14:textId="77777777">
      <w:pPr>
        <w:keepNext/>
        <w:keepLines/>
      </w:pPr>
      <w:r>
        <w:tab/>
      </w:r>
      <w:r>
        <w:tab/>
      </w:r>
      <w:r>
        <w:tab/>
      </w:r>
      <w:r>
        <w:tab/>
      </w:r>
      <w:r>
        <w:tab/>
      </w:r>
      <w:r>
        <w:tab/>
        <w:t>Barbara A. Kreisman</w:t>
      </w:r>
    </w:p>
    <w:p w:rsidR="006409B6" w:rsidP="001B3643" w14:paraId="4D5DA483" w14:textId="77777777">
      <w:pPr>
        <w:keepNext/>
        <w:keepLines/>
      </w:pPr>
      <w:r>
        <w:tab/>
      </w:r>
      <w:r>
        <w:tab/>
      </w:r>
      <w:r>
        <w:tab/>
      </w:r>
      <w:r>
        <w:tab/>
      </w:r>
      <w:r>
        <w:tab/>
      </w:r>
      <w:r>
        <w:tab/>
        <w:t>Chief, Video Division</w:t>
      </w:r>
    </w:p>
    <w:p w:rsidR="00412FC5" w:rsidP="001B3643" w14:paraId="1C7D0162" w14:textId="77777777">
      <w:pPr>
        <w:keepNext/>
        <w:keepLines/>
      </w:pPr>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rsidR="00ED7967">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737" w14:paraId="3317F56A" w14:textId="77777777">
      <w:r>
        <w:separator/>
      </w:r>
    </w:p>
  </w:footnote>
  <w:footnote w:type="continuationSeparator" w:id="1">
    <w:p w:rsidR="00DB2737" w:rsidP="00C721AC" w14:paraId="5236C496" w14:textId="77777777">
      <w:pPr>
        <w:spacing w:before="120"/>
        <w:rPr>
          <w:sz w:val="20"/>
        </w:rPr>
      </w:pPr>
      <w:r>
        <w:rPr>
          <w:sz w:val="20"/>
        </w:rPr>
        <w:t xml:space="preserve">(Continued from previous page)  </w:t>
      </w:r>
      <w:r>
        <w:rPr>
          <w:sz w:val="20"/>
        </w:rPr>
        <w:separator/>
      </w:r>
    </w:p>
  </w:footnote>
  <w:footnote w:type="continuationNotice" w:id="2">
    <w:p w:rsidR="00DB2737" w:rsidP="00C721AC" w14:paraId="70FD89CD" w14:textId="77777777">
      <w:pPr>
        <w:jc w:val="right"/>
        <w:rPr>
          <w:sz w:val="20"/>
        </w:rPr>
      </w:pPr>
      <w:r>
        <w:rPr>
          <w:sz w:val="20"/>
        </w:rPr>
        <w:t>(continued….)</w:t>
      </w:r>
    </w:p>
  </w:footnote>
  <w:footnote w:id="3">
    <w:p w:rsidR="00E97187" w:rsidP="006409B6" w14:paraId="08E961E2" w14:textId="7BFB4CD1">
      <w:pPr>
        <w:pStyle w:val="FootnoteText"/>
      </w:pPr>
      <w:r>
        <w:rPr>
          <w:rStyle w:val="FootnoteReference"/>
        </w:rPr>
        <w:footnoteRef/>
      </w:r>
      <w:r w:rsidR="00B36460">
        <w:rPr>
          <w:i/>
          <w:iCs/>
        </w:rPr>
        <w:t xml:space="preserve"> </w:t>
      </w:r>
      <w:r w:rsidRPr="00400001">
        <w:rPr>
          <w:i/>
          <w:iCs/>
        </w:rPr>
        <w:t>Amendment of Section 73.622(</w:t>
      </w:r>
      <w:r w:rsidR="004718FA">
        <w:rPr>
          <w:i/>
          <w:iCs/>
        </w:rPr>
        <w:t>i</w:t>
      </w:r>
      <w:r w:rsidRPr="00400001">
        <w:rPr>
          <w:i/>
          <w:iCs/>
        </w:rPr>
        <w:t xml:space="preserve">), </w:t>
      </w:r>
      <w:r w:rsidR="004718FA">
        <w:rPr>
          <w:i/>
          <w:iCs/>
        </w:rPr>
        <w:t xml:space="preserve">Post-Transition </w:t>
      </w:r>
      <w:r w:rsidRPr="00400001">
        <w:rPr>
          <w:i/>
          <w:iCs/>
        </w:rPr>
        <w:t xml:space="preserve">Table of </w:t>
      </w:r>
      <w:r w:rsidR="004718FA">
        <w:rPr>
          <w:i/>
          <w:iCs/>
        </w:rPr>
        <w:t xml:space="preserve">DTV </w:t>
      </w:r>
      <w:r w:rsidRPr="00400001">
        <w:rPr>
          <w:i/>
          <w:iCs/>
        </w:rPr>
        <w:t>Allotments, Television Stations (</w:t>
      </w:r>
      <w:r w:rsidR="002159C2">
        <w:rPr>
          <w:i/>
          <w:iCs/>
        </w:rPr>
        <w:t>Bozeman</w:t>
      </w:r>
      <w:r w:rsidR="00C65811">
        <w:rPr>
          <w:i/>
          <w:iCs/>
        </w:rPr>
        <w:t xml:space="preserve">, </w:t>
      </w:r>
      <w:r w:rsidR="002159C2">
        <w:rPr>
          <w:i/>
          <w:iCs/>
        </w:rPr>
        <w:t>Montana</w:t>
      </w:r>
      <w:r w:rsidRPr="00400001">
        <w:rPr>
          <w:i/>
          <w:iCs/>
        </w:rPr>
        <w:t>)</w:t>
      </w:r>
      <w:r>
        <w:t xml:space="preserve">, </w:t>
      </w:r>
      <w:r w:rsidR="006409B6">
        <w:t>MB Docket No. 2</w:t>
      </w:r>
      <w:r w:rsidR="00C671B7">
        <w:t>2</w:t>
      </w:r>
      <w:r w:rsidR="00752E7E">
        <w:t>-</w:t>
      </w:r>
      <w:r w:rsidR="00FD0E09">
        <w:t>114</w:t>
      </w:r>
      <w:r w:rsidR="006409B6">
        <w:t xml:space="preserve">, </w:t>
      </w:r>
      <w:r>
        <w:t>Notice of Proposed Rulemaking,</w:t>
      </w:r>
      <w:r w:rsidR="00C34A62">
        <w:t xml:space="preserve"> </w:t>
      </w:r>
      <w:r w:rsidR="00C65811">
        <w:t>DA 2</w:t>
      </w:r>
      <w:r w:rsidR="00FD0E09">
        <w:t>2</w:t>
      </w:r>
      <w:r w:rsidR="00C65811">
        <w:t>-</w:t>
      </w:r>
      <w:r w:rsidR="00FD0E09">
        <w:t>248</w:t>
      </w:r>
      <w:r w:rsidR="00C65811">
        <w:t xml:space="preserve"> (rel.</w:t>
      </w:r>
      <w:r w:rsidR="00FD0E09">
        <w:t xml:space="preserve"> Mar</w:t>
      </w:r>
      <w:r w:rsidR="00C671B7">
        <w:t>.</w:t>
      </w:r>
      <w:r w:rsidR="00FD0E09">
        <w:t xml:space="preserve"> 10,</w:t>
      </w:r>
      <w:r w:rsidR="00C65811">
        <w:t xml:space="preserve"> 202</w:t>
      </w:r>
      <w:r w:rsidR="00FD0E09">
        <w:t>2</w:t>
      </w:r>
      <w:r w:rsidR="00C65811">
        <w:t>)</w:t>
      </w:r>
      <w:r>
        <w:t xml:space="preserve"> (</w:t>
      </w:r>
      <w:r w:rsidRPr="00400001">
        <w:rPr>
          <w:i/>
          <w:iCs/>
        </w:rPr>
        <w:t>NPRM</w:t>
      </w:r>
      <w:r>
        <w:t>).</w:t>
      </w:r>
      <w:r w:rsidR="004718FA">
        <w:t xml:space="preserve">  </w:t>
      </w:r>
    </w:p>
  </w:footnote>
  <w:footnote w:id="4">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p>
  </w:footnote>
  <w:footnote w:id="5">
    <w:p w:rsidR="00756C1E" w14:paraId="1FC99AA7" w14:textId="76517EFA">
      <w:pPr>
        <w:pStyle w:val="FootnoteText"/>
      </w:pPr>
      <w:r>
        <w:rPr>
          <w:rStyle w:val="FootnoteReference"/>
        </w:rPr>
        <w:footnoteRef/>
      </w:r>
      <w:r>
        <w:t xml:space="preserve"> </w:t>
      </w:r>
      <w:r w:rsidRPr="00CE0F49">
        <w:rPr>
          <w:i/>
          <w:iCs/>
        </w:rPr>
        <w:t>NPRM</w:t>
      </w:r>
      <w:r>
        <w:t xml:space="preserve"> at para. 2.</w:t>
      </w:r>
    </w:p>
  </w:footnote>
  <w:footnote w:id="6">
    <w:p w:rsidR="00061E09" w:rsidP="00061E09" w14:paraId="7739261C" w14:textId="5658804F">
      <w:pPr>
        <w:pStyle w:val="FootnoteText"/>
      </w:pPr>
      <w:r>
        <w:rPr>
          <w:rStyle w:val="FootnoteReference"/>
        </w:rPr>
        <w:footnoteRef/>
      </w:r>
      <w:r>
        <w:t xml:space="preserve"> </w:t>
      </w:r>
      <w:r w:rsidRPr="00CE0F49" w:rsidR="00F23620">
        <w:rPr>
          <w:i/>
          <w:iCs/>
        </w:rPr>
        <w:t>Id</w:t>
      </w:r>
      <w:r w:rsidR="00F23620">
        <w:t>.</w:t>
      </w:r>
    </w:p>
  </w:footnote>
  <w:footnote w:id="7">
    <w:p w:rsidR="008431F5" w:rsidP="008431F5" w14:paraId="19CC2309" w14:textId="5EA86232">
      <w:pPr>
        <w:pStyle w:val="FootnoteText"/>
      </w:pPr>
      <w:r>
        <w:rPr>
          <w:rStyle w:val="FootnoteReference"/>
        </w:rPr>
        <w:footnoteRef/>
      </w:r>
      <w:r>
        <w:t xml:space="preserve"> </w:t>
      </w:r>
      <w:r w:rsidR="001E1408">
        <w:t xml:space="preserve">The Petitioner has noted that the instant </w:t>
      </w:r>
      <w:r w:rsidRPr="005A0E14" w:rsidR="001E1408">
        <w:t xml:space="preserve">channel change </w:t>
      </w:r>
      <w:r w:rsidR="001E1408">
        <w:t>has been</w:t>
      </w:r>
      <w:r w:rsidRPr="005A0E14" w:rsidR="001E1408">
        <w:t xml:space="preserve"> </w:t>
      </w:r>
      <w:r w:rsidR="001E1408">
        <w:t>submitted</w:t>
      </w:r>
      <w:r w:rsidRPr="005A0E14" w:rsidR="001E1408">
        <w:t xml:space="preserve"> contemporaneously</w:t>
      </w:r>
      <w:r w:rsidR="001E1408">
        <w:t xml:space="preserve"> with a channel change request filed by Scripps for</w:t>
      </w:r>
      <w:r w:rsidRPr="00123009" w:rsidR="001E1408">
        <w:t xml:space="preserve"> </w:t>
      </w:r>
      <w:r w:rsidRPr="00011BF4" w:rsidR="001E1408">
        <w:t>KXLF-TV</w:t>
      </w:r>
      <w:r w:rsidR="001E1408">
        <w:t xml:space="preserve">, Butte, Montana. </w:t>
      </w:r>
      <w:r w:rsidRPr="00123009" w:rsidR="001E1408">
        <w:t xml:space="preserve"> </w:t>
      </w:r>
      <w:r w:rsidRPr="00143EA6" w:rsidR="001E1408">
        <w:rPr>
          <w:i/>
          <w:iCs/>
        </w:rPr>
        <w:t>See</w:t>
      </w:r>
      <w:r w:rsidR="001E1408">
        <w:t xml:space="preserve"> </w:t>
      </w:r>
      <w:r w:rsidRPr="00143EA6" w:rsidR="001E1408">
        <w:t>LMS File No. 0000177550</w:t>
      </w:r>
      <w:r w:rsidR="001E1408">
        <w:t xml:space="preserve">; </w:t>
      </w:r>
      <w:r w:rsidRPr="000E4A55" w:rsidR="001E1408">
        <w:rPr>
          <w:i/>
          <w:iCs/>
        </w:rPr>
        <w:t>Amendment of Section 73.622(j), Table of Allotments, Television Broadcast Stations (Butte, Montana)</w:t>
      </w:r>
      <w:r w:rsidR="001E1408">
        <w:t xml:space="preserve">, MB Docket No. </w:t>
      </w:r>
      <w:r w:rsidR="008365D4">
        <w:t>22-115</w:t>
      </w:r>
      <w:r w:rsidR="001E1408">
        <w:t>, Notice of Proposed Rulemaking, DA 22-</w:t>
      </w:r>
      <w:r w:rsidR="008365D4">
        <w:t>249</w:t>
      </w:r>
      <w:r w:rsidR="001E1408">
        <w:t xml:space="preserve"> (rel. March 10, 2022).  Like KBZK, KXLF-TV is also a CBS affiliate.  </w:t>
      </w:r>
      <w:r w:rsidRPr="00123009" w:rsidR="001E1408">
        <w:t>A</w:t>
      </w:r>
      <w:r w:rsidR="001E1408">
        <w:t xml:space="preserve">ccording to Scripps, </w:t>
      </w:r>
      <w:r w:rsidRPr="00123009" w:rsidR="001E1408">
        <w:t>the loss areas created by th</w:t>
      </w:r>
      <w:r w:rsidR="001E1408">
        <w:t>e proposed KBZK</w:t>
      </w:r>
      <w:r w:rsidRPr="00123009" w:rsidR="001E1408">
        <w:t xml:space="preserve"> channel change </w:t>
      </w:r>
      <w:r w:rsidR="001E1408">
        <w:t>is</w:t>
      </w:r>
      <w:r w:rsidRPr="00123009" w:rsidR="001E1408">
        <w:t xml:space="preserve"> partially covered by </w:t>
      </w:r>
      <w:r w:rsidR="001E1408">
        <w:t xml:space="preserve">the KXLF-TV contour.  </w:t>
      </w:r>
      <w:r w:rsidR="001B731A">
        <w:t>B</w:t>
      </w:r>
      <w:r w:rsidR="001E1408">
        <w:t>ecause the</w:t>
      </w:r>
      <w:r w:rsidRPr="00123009" w:rsidR="001E1408">
        <w:t xml:space="preserve"> </w:t>
      </w:r>
      <w:r w:rsidR="001E1408">
        <w:t xml:space="preserve">KBZK loss area is so sparsely populated, the number of persons losing CBS service remains the same whether taking into account the current or proposed KXLF-TV noise limited contour.  </w:t>
      </w:r>
      <w:r w:rsidR="008365D4">
        <w:rPr>
          <w:i/>
          <w:iCs/>
        </w:rPr>
        <w:t>NPRM</w:t>
      </w:r>
      <w:r w:rsidR="001E1408">
        <w:t xml:space="preserve"> at n.1.</w:t>
      </w:r>
    </w:p>
  </w:footnote>
  <w:footnote w:id="8">
    <w:p w:rsidR="008431F5" w14:paraId="2529E9DE" w14:textId="6D7B8281">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loss of network service to</w:t>
      </w:r>
      <w:r w:rsidRPr="00586AF3">
        <w:t xml:space="preserve"> less than 500 persons is </w:t>
      </w:r>
      <w:r w:rsidRPr="00586AF3">
        <w:rPr>
          <w:i/>
          <w:iCs/>
        </w:rPr>
        <w:t>de minimi</w:t>
      </w:r>
      <w:r>
        <w:rPr>
          <w:i/>
          <w:iCs/>
        </w:rPr>
        <w:t>s).</w:t>
      </w:r>
      <w:r w:rsidR="00613106">
        <w:rPr>
          <w:i/>
          <w:iCs/>
        </w:rPr>
        <w:t xml:space="preserve">  </w:t>
      </w:r>
      <w:r w:rsidR="00613106">
        <w:t>A Commission analysis found this would result in a loss to 476 persons.</w:t>
      </w:r>
      <w:r w:rsidR="008365D4">
        <w:t xml:space="preserve">  </w:t>
      </w:r>
      <w:r w:rsidRPr="008365D4" w:rsidR="008365D4">
        <w:rPr>
          <w:i/>
          <w:iCs/>
        </w:rPr>
        <w:t>NPRM</w:t>
      </w:r>
      <w:r w:rsidR="008365D4">
        <w:t xml:space="preserve"> at n.7.</w:t>
      </w:r>
    </w:p>
  </w:footnote>
  <w:footnote w:id="9">
    <w:p w:rsidR="00613106" w:rsidRPr="001B3643" w:rsidP="00613106" w14:paraId="6045956A" w14:textId="1B7474E6">
      <w:pPr>
        <w:pStyle w:val="FootnoteText"/>
        <w:rPr>
          <w:i/>
          <w:iCs/>
        </w:rPr>
      </w:pPr>
      <w:r>
        <w:rPr>
          <w:rStyle w:val="FootnoteReference"/>
        </w:rPr>
        <w:footnoteRef/>
      </w:r>
      <w:r>
        <w:t xml:space="preserve"> </w:t>
      </w:r>
      <w:r w:rsidR="008365D4">
        <w:rPr>
          <w:szCs w:val="22"/>
        </w:rPr>
        <w:t>T</w:t>
      </w:r>
      <w:r w:rsidRPr="00BC7687" w:rsidR="008365D4">
        <w:rPr>
          <w:szCs w:val="22"/>
        </w:rPr>
        <w:t>he loss area is partially overlapped by the noise</w:t>
      </w:r>
      <w:r w:rsidR="008365D4">
        <w:rPr>
          <w:szCs w:val="22"/>
        </w:rPr>
        <w:t xml:space="preserve"> </w:t>
      </w:r>
      <w:r w:rsidRPr="00BC7687" w:rsidR="008365D4">
        <w:rPr>
          <w:szCs w:val="22"/>
        </w:rPr>
        <w:t>limited contours of</w:t>
      </w:r>
      <w:r w:rsidR="008365D4">
        <w:rPr>
          <w:szCs w:val="22"/>
        </w:rPr>
        <w:t xml:space="preserve"> </w:t>
      </w:r>
      <w:r w:rsidRPr="00BC7687" w:rsidR="008365D4">
        <w:rPr>
          <w:szCs w:val="22"/>
        </w:rPr>
        <w:t>K</w:t>
      </w:r>
      <w:r w:rsidR="008365D4">
        <w:rPr>
          <w:szCs w:val="22"/>
        </w:rPr>
        <w:t>TVM-TV</w:t>
      </w:r>
      <w:r w:rsidRPr="00BC7687" w:rsidR="008365D4">
        <w:rPr>
          <w:szCs w:val="22"/>
        </w:rPr>
        <w:t xml:space="preserve"> </w:t>
      </w:r>
      <w:r w:rsidR="008365D4">
        <w:rPr>
          <w:szCs w:val="22"/>
        </w:rPr>
        <w:t xml:space="preserve">(NBC) </w:t>
      </w:r>
      <w:r w:rsidRPr="00BC7687" w:rsidR="008365D4">
        <w:rPr>
          <w:szCs w:val="22"/>
        </w:rPr>
        <w:t>and K</w:t>
      </w:r>
      <w:r w:rsidR="008365D4">
        <w:rPr>
          <w:szCs w:val="22"/>
        </w:rPr>
        <w:t>WYB (ABC/FOX)</w:t>
      </w:r>
      <w:r w:rsidRPr="00BC7687" w:rsidR="008365D4">
        <w:rPr>
          <w:szCs w:val="22"/>
        </w:rPr>
        <w:t xml:space="preserve">, </w:t>
      </w:r>
      <w:r w:rsidR="008365D4">
        <w:rPr>
          <w:szCs w:val="22"/>
        </w:rPr>
        <w:t>Butte, Montana;</w:t>
      </w:r>
      <w:r w:rsidRPr="00BC7687" w:rsidR="008365D4">
        <w:rPr>
          <w:szCs w:val="22"/>
        </w:rPr>
        <w:t xml:space="preserve"> </w:t>
      </w:r>
      <w:r w:rsidR="008365D4">
        <w:rPr>
          <w:szCs w:val="22"/>
        </w:rPr>
        <w:t xml:space="preserve">and </w:t>
      </w:r>
      <w:r w:rsidRPr="00BC7687" w:rsidR="008365D4">
        <w:rPr>
          <w:szCs w:val="22"/>
        </w:rPr>
        <w:t>K</w:t>
      </w:r>
      <w:r w:rsidR="008365D4">
        <w:rPr>
          <w:szCs w:val="22"/>
        </w:rPr>
        <w:t>TVH-DT (NBC)</w:t>
      </w:r>
      <w:r w:rsidRPr="00BC7687" w:rsidR="008365D4">
        <w:rPr>
          <w:szCs w:val="22"/>
        </w:rPr>
        <w:t>, H</w:t>
      </w:r>
      <w:r w:rsidR="008365D4">
        <w:rPr>
          <w:szCs w:val="22"/>
        </w:rPr>
        <w:t>elena</w:t>
      </w:r>
      <w:r w:rsidRPr="00BC7687" w:rsidR="008365D4">
        <w:rPr>
          <w:szCs w:val="22"/>
        </w:rPr>
        <w:t>, Montana</w:t>
      </w:r>
      <w:r w:rsidR="008365D4">
        <w:rPr>
          <w:szCs w:val="22"/>
        </w:rPr>
        <w:t xml:space="preserve">.  </w:t>
      </w:r>
      <w:r w:rsidRPr="008D3863" w:rsidR="008365D4">
        <w:rPr>
          <w:szCs w:val="22"/>
        </w:rPr>
        <w:t xml:space="preserve">Thus, </w:t>
      </w:r>
      <w:r w:rsidR="00BC2D93">
        <w:rPr>
          <w:szCs w:val="22"/>
        </w:rPr>
        <w:t>viewers</w:t>
      </w:r>
      <w:r w:rsidR="008365D4">
        <w:rPr>
          <w:szCs w:val="22"/>
        </w:rPr>
        <w:t xml:space="preserve"> </w:t>
      </w:r>
      <w:r w:rsidRPr="008D3863" w:rsidR="008365D4">
        <w:rPr>
          <w:szCs w:val="22"/>
        </w:rPr>
        <w:t>in the loss area would continue to have access to other major network programming.</w:t>
      </w:r>
      <w:r w:rsidR="008365D4">
        <w:rPr>
          <w:szCs w:val="22"/>
        </w:rPr>
        <w:t xml:space="preserve">  </w:t>
      </w:r>
      <w:r w:rsidRPr="001B3643" w:rsidR="008365D4">
        <w:rPr>
          <w:i/>
          <w:iCs/>
          <w:szCs w:val="22"/>
        </w:rPr>
        <w:t>Id.</w:t>
      </w:r>
    </w:p>
  </w:footnote>
  <w:footnote w:id="10">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1">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2">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967" w14:paraId="1486CD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3E01FC02">
    <w:pPr>
      <w:pStyle w:val="Header"/>
      <w:rPr>
        <w:b w:val="0"/>
      </w:rPr>
    </w:pPr>
    <w:r>
      <w:tab/>
      <w:t>Federal Communications Commission</w:t>
    </w:r>
    <w:r>
      <w:tab/>
    </w:r>
    <w:r w:rsidR="00E97187">
      <w:t xml:space="preserve">DA </w:t>
    </w:r>
    <w:r w:rsidR="00502F59">
      <w:t>22-</w:t>
    </w:r>
    <w:r w:rsidR="00ED7967">
      <w:t>539</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1FCCA2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ED7967">
      <w:rPr>
        <w:spacing w:val="-2"/>
      </w:rPr>
      <w:t>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1BF4"/>
    <w:rsid w:val="000143CF"/>
    <w:rsid w:val="0001580D"/>
    <w:rsid w:val="00024DD6"/>
    <w:rsid w:val="000309C0"/>
    <w:rsid w:val="00031E32"/>
    <w:rsid w:val="00036039"/>
    <w:rsid w:val="0003658C"/>
    <w:rsid w:val="000376BF"/>
    <w:rsid w:val="00037F90"/>
    <w:rsid w:val="0005127D"/>
    <w:rsid w:val="00061E09"/>
    <w:rsid w:val="00064BDF"/>
    <w:rsid w:val="00064DF8"/>
    <w:rsid w:val="000658A4"/>
    <w:rsid w:val="000709BB"/>
    <w:rsid w:val="00072DD6"/>
    <w:rsid w:val="000875BF"/>
    <w:rsid w:val="00092AB5"/>
    <w:rsid w:val="00096D8C"/>
    <w:rsid w:val="000A5931"/>
    <w:rsid w:val="000B6166"/>
    <w:rsid w:val="000C0B65"/>
    <w:rsid w:val="000C26D1"/>
    <w:rsid w:val="000C6457"/>
    <w:rsid w:val="000E05FE"/>
    <w:rsid w:val="000E3D42"/>
    <w:rsid w:val="000E3EFF"/>
    <w:rsid w:val="000E4A55"/>
    <w:rsid w:val="000F1C60"/>
    <w:rsid w:val="001023E8"/>
    <w:rsid w:val="001030E3"/>
    <w:rsid w:val="001032F9"/>
    <w:rsid w:val="00122BD5"/>
    <w:rsid w:val="00123009"/>
    <w:rsid w:val="00133F79"/>
    <w:rsid w:val="00143EA6"/>
    <w:rsid w:val="00146B1A"/>
    <w:rsid w:val="00150D37"/>
    <w:rsid w:val="0015218A"/>
    <w:rsid w:val="00154155"/>
    <w:rsid w:val="001542A1"/>
    <w:rsid w:val="0017296B"/>
    <w:rsid w:val="00175593"/>
    <w:rsid w:val="00190580"/>
    <w:rsid w:val="0019432C"/>
    <w:rsid w:val="00194A66"/>
    <w:rsid w:val="001A0147"/>
    <w:rsid w:val="001A6147"/>
    <w:rsid w:val="001B10DB"/>
    <w:rsid w:val="001B3643"/>
    <w:rsid w:val="001B731A"/>
    <w:rsid w:val="001D4184"/>
    <w:rsid w:val="001D53A2"/>
    <w:rsid w:val="001D6BCF"/>
    <w:rsid w:val="001E0027"/>
    <w:rsid w:val="001E01CA"/>
    <w:rsid w:val="001E1408"/>
    <w:rsid w:val="001E63D8"/>
    <w:rsid w:val="001F5E8F"/>
    <w:rsid w:val="002004C8"/>
    <w:rsid w:val="00206D86"/>
    <w:rsid w:val="002159C2"/>
    <w:rsid w:val="002566E5"/>
    <w:rsid w:val="00275CF5"/>
    <w:rsid w:val="0028301F"/>
    <w:rsid w:val="00285017"/>
    <w:rsid w:val="00291754"/>
    <w:rsid w:val="002A1087"/>
    <w:rsid w:val="002A2D2E"/>
    <w:rsid w:val="002A5DE4"/>
    <w:rsid w:val="002A79DD"/>
    <w:rsid w:val="002C00E8"/>
    <w:rsid w:val="002C607F"/>
    <w:rsid w:val="002D4695"/>
    <w:rsid w:val="002F6E16"/>
    <w:rsid w:val="0031731D"/>
    <w:rsid w:val="0033517A"/>
    <w:rsid w:val="0033610A"/>
    <w:rsid w:val="00343749"/>
    <w:rsid w:val="00350C72"/>
    <w:rsid w:val="00351C35"/>
    <w:rsid w:val="003660ED"/>
    <w:rsid w:val="00367B19"/>
    <w:rsid w:val="00381DCA"/>
    <w:rsid w:val="003A688B"/>
    <w:rsid w:val="003B0550"/>
    <w:rsid w:val="003B2DD1"/>
    <w:rsid w:val="003B694F"/>
    <w:rsid w:val="003C109A"/>
    <w:rsid w:val="003C639A"/>
    <w:rsid w:val="003C78ED"/>
    <w:rsid w:val="003F171C"/>
    <w:rsid w:val="00400001"/>
    <w:rsid w:val="0040157D"/>
    <w:rsid w:val="0040460E"/>
    <w:rsid w:val="00412FC5"/>
    <w:rsid w:val="00422276"/>
    <w:rsid w:val="004242F1"/>
    <w:rsid w:val="00424EA6"/>
    <w:rsid w:val="00432B47"/>
    <w:rsid w:val="00436645"/>
    <w:rsid w:val="00445A00"/>
    <w:rsid w:val="00451B0F"/>
    <w:rsid w:val="004718FA"/>
    <w:rsid w:val="00471E93"/>
    <w:rsid w:val="00472840"/>
    <w:rsid w:val="00480BA5"/>
    <w:rsid w:val="00494BBF"/>
    <w:rsid w:val="004A57F0"/>
    <w:rsid w:val="004A63F5"/>
    <w:rsid w:val="004C2EE3"/>
    <w:rsid w:val="004D4DB7"/>
    <w:rsid w:val="004E4A22"/>
    <w:rsid w:val="004E716F"/>
    <w:rsid w:val="004F0BC4"/>
    <w:rsid w:val="004F5127"/>
    <w:rsid w:val="00502F59"/>
    <w:rsid w:val="005077A3"/>
    <w:rsid w:val="00511968"/>
    <w:rsid w:val="00511E8C"/>
    <w:rsid w:val="00516A3F"/>
    <w:rsid w:val="0055614C"/>
    <w:rsid w:val="00566D06"/>
    <w:rsid w:val="00586AF3"/>
    <w:rsid w:val="00590F45"/>
    <w:rsid w:val="005A0E14"/>
    <w:rsid w:val="005A3852"/>
    <w:rsid w:val="005E0314"/>
    <w:rsid w:val="005E14C2"/>
    <w:rsid w:val="005E1A37"/>
    <w:rsid w:val="005F2F3D"/>
    <w:rsid w:val="00601070"/>
    <w:rsid w:val="00607BA5"/>
    <w:rsid w:val="0061180A"/>
    <w:rsid w:val="00613106"/>
    <w:rsid w:val="00616F89"/>
    <w:rsid w:val="006241E4"/>
    <w:rsid w:val="00625FAE"/>
    <w:rsid w:val="00626EB6"/>
    <w:rsid w:val="006345A5"/>
    <w:rsid w:val="006409B6"/>
    <w:rsid w:val="00655D03"/>
    <w:rsid w:val="00665306"/>
    <w:rsid w:val="00665E6B"/>
    <w:rsid w:val="0067154C"/>
    <w:rsid w:val="006777C5"/>
    <w:rsid w:val="00683388"/>
    <w:rsid w:val="00683CEC"/>
    <w:rsid w:val="00683F84"/>
    <w:rsid w:val="006856D1"/>
    <w:rsid w:val="00691886"/>
    <w:rsid w:val="0069200D"/>
    <w:rsid w:val="006945ED"/>
    <w:rsid w:val="0069695A"/>
    <w:rsid w:val="006A6A81"/>
    <w:rsid w:val="006C4302"/>
    <w:rsid w:val="006C43FD"/>
    <w:rsid w:val="006D3720"/>
    <w:rsid w:val="006E0BDE"/>
    <w:rsid w:val="006E2ABD"/>
    <w:rsid w:val="006F4D4C"/>
    <w:rsid w:val="006F7393"/>
    <w:rsid w:val="0070224F"/>
    <w:rsid w:val="007115F7"/>
    <w:rsid w:val="00711A32"/>
    <w:rsid w:val="0071598A"/>
    <w:rsid w:val="00716576"/>
    <w:rsid w:val="00734172"/>
    <w:rsid w:val="00742FEA"/>
    <w:rsid w:val="007469D2"/>
    <w:rsid w:val="00752E7E"/>
    <w:rsid w:val="00755FC5"/>
    <w:rsid w:val="00756C1E"/>
    <w:rsid w:val="0076002E"/>
    <w:rsid w:val="0076278F"/>
    <w:rsid w:val="00772675"/>
    <w:rsid w:val="00785689"/>
    <w:rsid w:val="007876AA"/>
    <w:rsid w:val="00792B09"/>
    <w:rsid w:val="0079754B"/>
    <w:rsid w:val="007A1E6D"/>
    <w:rsid w:val="007A7D14"/>
    <w:rsid w:val="007B0EB2"/>
    <w:rsid w:val="007C60E1"/>
    <w:rsid w:val="007D35F6"/>
    <w:rsid w:val="007E31D4"/>
    <w:rsid w:val="007F1E82"/>
    <w:rsid w:val="007F6ED0"/>
    <w:rsid w:val="00810B6F"/>
    <w:rsid w:val="00822CE0"/>
    <w:rsid w:val="008365D4"/>
    <w:rsid w:val="00841AB1"/>
    <w:rsid w:val="008431F5"/>
    <w:rsid w:val="008521B8"/>
    <w:rsid w:val="00852F57"/>
    <w:rsid w:val="008534B2"/>
    <w:rsid w:val="0085773E"/>
    <w:rsid w:val="00866173"/>
    <w:rsid w:val="00880D1D"/>
    <w:rsid w:val="00893C37"/>
    <w:rsid w:val="008A5B1B"/>
    <w:rsid w:val="008A7F19"/>
    <w:rsid w:val="008B3E1E"/>
    <w:rsid w:val="008B4DE5"/>
    <w:rsid w:val="008B526C"/>
    <w:rsid w:val="008C68F1"/>
    <w:rsid w:val="008D3863"/>
    <w:rsid w:val="008E5616"/>
    <w:rsid w:val="008F6B08"/>
    <w:rsid w:val="008F6DAD"/>
    <w:rsid w:val="008F6F47"/>
    <w:rsid w:val="009043D2"/>
    <w:rsid w:val="009064B6"/>
    <w:rsid w:val="009078BE"/>
    <w:rsid w:val="009148A4"/>
    <w:rsid w:val="00921803"/>
    <w:rsid w:val="00924BBC"/>
    <w:rsid w:val="00924D09"/>
    <w:rsid w:val="00926503"/>
    <w:rsid w:val="00936017"/>
    <w:rsid w:val="00941655"/>
    <w:rsid w:val="00952649"/>
    <w:rsid w:val="00953030"/>
    <w:rsid w:val="009726D8"/>
    <w:rsid w:val="009803CE"/>
    <w:rsid w:val="009919F5"/>
    <w:rsid w:val="009A286F"/>
    <w:rsid w:val="009D7308"/>
    <w:rsid w:val="009F76DB"/>
    <w:rsid w:val="009F7981"/>
    <w:rsid w:val="00A10BD0"/>
    <w:rsid w:val="00A17D36"/>
    <w:rsid w:val="00A2491E"/>
    <w:rsid w:val="00A26DFA"/>
    <w:rsid w:val="00A32C3B"/>
    <w:rsid w:val="00A369E2"/>
    <w:rsid w:val="00A45F4F"/>
    <w:rsid w:val="00A600A9"/>
    <w:rsid w:val="00A60502"/>
    <w:rsid w:val="00A6058D"/>
    <w:rsid w:val="00A651AA"/>
    <w:rsid w:val="00A73AA9"/>
    <w:rsid w:val="00A755D3"/>
    <w:rsid w:val="00A85239"/>
    <w:rsid w:val="00AA55B7"/>
    <w:rsid w:val="00AA5B9E"/>
    <w:rsid w:val="00AB2407"/>
    <w:rsid w:val="00AB53DF"/>
    <w:rsid w:val="00AE01F6"/>
    <w:rsid w:val="00AE423E"/>
    <w:rsid w:val="00AE585E"/>
    <w:rsid w:val="00B07E5C"/>
    <w:rsid w:val="00B11296"/>
    <w:rsid w:val="00B2579A"/>
    <w:rsid w:val="00B36460"/>
    <w:rsid w:val="00B66A30"/>
    <w:rsid w:val="00B701AF"/>
    <w:rsid w:val="00B7763C"/>
    <w:rsid w:val="00B811F7"/>
    <w:rsid w:val="00B92E3C"/>
    <w:rsid w:val="00BA5DC6"/>
    <w:rsid w:val="00BA6196"/>
    <w:rsid w:val="00BB297B"/>
    <w:rsid w:val="00BC0F09"/>
    <w:rsid w:val="00BC2D93"/>
    <w:rsid w:val="00BC6D8C"/>
    <w:rsid w:val="00BC7687"/>
    <w:rsid w:val="00BD70E4"/>
    <w:rsid w:val="00BE6CEF"/>
    <w:rsid w:val="00BF0056"/>
    <w:rsid w:val="00BF0A68"/>
    <w:rsid w:val="00C12F3A"/>
    <w:rsid w:val="00C2185E"/>
    <w:rsid w:val="00C34006"/>
    <w:rsid w:val="00C34A62"/>
    <w:rsid w:val="00C36B4C"/>
    <w:rsid w:val="00C42076"/>
    <w:rsid w:val="00C426B1"/>
    <w:rsid w:val="00C43340"/>
    <w:rsid w:val="00C43C45"/>
    <w:rsid w:val="00C53046"/>
    <w:rsid w:val="00C65811"/>
    <w:rsid w:val="00C66160"/>
    <w:rsid w:val="00C671B7"/>
    <w:rsid w:val="00C721AC"/>
    <w:rsid w:val="00C72A6A"/>
    <w:rsid w:val="00C738D7"/>
    <w:rsid w:val="00C802E6"/>
    <w:rsid w:val="00C85E24"/>
    <w:rsid w:val="00C869ED"/>
    <w:rsid w:val="00C87108"/>
    <w:rsid w:val="00C90D6A"/>
    <w:rsid w:val="00CA247E"/>
    <w:rsid w:val="00CA4457"/>
    <w:rsid w:val="00CA6563"/>
    <w:rsid w:val="00CA6D21"/>
    <w:rsid w:val="00CA77CA"/>
    <w:rsid w:val="00CC72B6"/>
    <w:rsid w:val="00CE0F49"/>
    <w:rsid w:val="00CE61A9"/>
    <w:rsid w:val="00CF3A61"/>
    <w:rsid w:val="00CF65F3"/>
    <w:rsid w:val="00D0218D"/>
    <w:rsid w:val="00D139C5"/>
    <w:rsid w:val="00D21ECE"/>
    <w:rsid w:val="00D25FB5"/>
    <w:rsid w:val="00D3417F"/>
    <w:rsid w:val="00D4006E"/>
    <w:rsid w:val="00D44223"/>
    <w:rsid w:val="00D55227"/>
    <w:rsid w:val="00D56707"/>
    <w:rsid w:val="00D711F6"/>
    <w:rsid w:val="00D7252C"/>
    <w:rsid w:val="00D7585F"/>
    <w:rsid w:val="00D80309"/>
    <w:rsid w:val="00D84D96"/>
    <w:rsid w:val="00D867A7"/>
    <w:rsid w:val="00DA2529"/>
    <w:rsid w:val="00DA6018"/>
    <w:rsid w:val="00DB130A"/>
    <w:rsid w:val="00DB1F56"/>
    <w:rsid w:val="00DB2737"/>
    <w:rsid w:val="00DB2EBB"/>
    <w:rsid w:val="00DB6A95"/>
    <w:rsid w:val="00DC024A"/>
    <w:rsid w:val="00DC10A1"/>
    <w:rsid w:val="00DC28AB"/>
    <w:rsid w:val="00DC655F"/>
    <w:rsid w:val="00DC699B"/>
    <w:rsid w:val="00DD0B59"/>
    <w:rsid w:val="00DD2E71"/>
    <w:rsid w:val="00DD64D6"/>
    <w:rsid w:val="00DD7EBD"/>
    <w:rsid w:val="00DE27DE"/>
    <w:rsid w:val="00DE70C9"/>
    <w:rsid w:val="00DF62B6"/>
    <w:rsid w:val="00E0405C"/>
    <w:rsid w:val="00E07225"/>
    <w:rsid w:val="00E208EC"/>
    <w:rsid w:val="00E260F8"/>
    <w:rsid w:val="00E3141D"/>
    <w:rsid w:val="00E319DF"/>
    <w:rsid w:val="00E474AA"/>
    <w:rsid w:val="00E50821"/>
    <w:rsid w:val="00E5409F"/>
    <w:rsid w:val="00E8079C"/>
    <w:rsid w:val="00E819AC"/>
    <w:rsid w:val="00E91504"/>
    <w:rsid w:val="00E9514A"/>
    <w:rsid w:val="00E97187"/>
    <w:rsid w:val="00EA0A8B"/>
    <w:rsid w:val="00EA0EAE"/>
    <w:rsid w:val="00EB1177"/>
    <w:rsid w:val="00EB6D5F"/>
    <w:rsid w:val="00EC2856"/>
    <w:rsid w:val="00EC5F55"/>
    <w:rsid w:val="00ED7967"/>
    <w:rsid w:val="00EE0047"/>
    <w:rsid w:val="00EE6488"/>
    <w:rsid w:val="00EF48D8"/>
    <w:rsid w:val="00F021FA"/>
    <w:rsid w:val="00F0767B"/>
    <w:rsid w:val="00F23620"/>
    <w:rsid w:val="00F23FF8"/>
    <w:rsid w:val="00F372C7"/>
    <w:rsid w:val="00F41DC1"/>
    <w:rsid w:val="00F466AA"/>
    <w:rsid w:val="00F61B15"/>
    <w:rsid w:val="00F62E97"/>
    <w:rsid w:val="00F64209"/>
    <w:rsid w:val="00F86933"/>
    <w:rsid w:val="00F9262B"/>
    <w:rsid w:val="00F93BF5"/>
    <w:rsid w:val="00FA07F6"/>
    <w:rsid w:val="00FA4C43"/>
    <w:rsid w:val="00FB1EE4"/>
    <w:rsid w:val="00FB4302"/>
    <w:rsid w:val="00FC0606"/>
    <w:rsid w:val="00FC350D"/>
    <w:rsid w:val="00FD0E09"/>
    <w:rsid w:val="00FD3720"/>
    <w:rsid w:val="00FE7B78"/>
    <w:rsid w:val="00FF167F"/>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B46A156"/>
  <w15:docId w15:val="{A755CE1E-C7BA-4D9A-B6CC-87418658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77"/>
    <w:pPr>
      <w:widowControl w:val="0"/>
    </w:pPr>
    <w:rPr>
      <w:snapToGrid w:val="0"/>
      <w:kern w:val="28"/>
      <w:sz w:val="22"/>
    </w:rPr>
  </w:style>
  <w:style w:type="paragraph" w:styleId="Heading1">
    <w:name w:val="heading 1"/>
    <w:basedOn w:val="Normal"/>
    <w:next w:val="ParaNum"/>
    <w:qFormat/>
    <w:rsid w:val="00EB11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1177"/>
    <w:pPr>
      <w:keepNext/>
      <w:numPr>
        <w:ilvl w:val="1"/>
        <w:numId w:val="3"/>
      </w:numPr>
      <w:spacing w:after="120"/>
      <w:outlineLvl w:val="1"/>
    </w:pPr>
    <w:rPr>
      <w:b/>
    </w:rPr>
  </w:style>
  <w:style w:type="paragraph" w:styleId="Heading3">
    <w:name w:val="heading 3"/>
    <w:basedOn w:val="Normal"/>
    <w:next w:val="ParaNum"/>
    <w:qFormat/>
    <w:rsid w:val="00EB1177"/>
    <w:pPr>
      <w:keepNext/>
      <w:numPr>
        <w:ilvl w:val="2"/>
        <w:numId w:val="3"/>
      </w:numPr>
      <w:tabs>
        <w:tab w:val="left" w:pos="2160"/>
      </w:tabs>
      <w:spacing w:after="120"/>
      <w:outlineLvl w:val="2"/>
    </w:pPr>
    <w:rPr>
      <w:b/>
    </w:rPr>
  </w:style>
  <w:style w:type="paragraph" w:styleId="Heading4">
    <w:name w:val="heading 4"/>
    <w:basedOn w:val="Normal"/>
    <w:next w:val="ParaNum"/>
    <w:qFormat/>
    <w:rsid w:val="00EB1177"/>
    <w:pPr>
      <w:keepNext/>
      <w:numPr>
        <w:ilvl w:val="3"/>
        <w:numId w:val="3"/>
      </w:numPr>
      <w:tabs>
        <w:tab w:val="left" w:pos="2880"/>
      </w:tabs>
      <w:spacing w:after="120"/>
      <w:outlineLvl w:val="3"/>
    </w:pPr>
    <w:rPr>
      <w:b/>
    </w:rPr>
  </w:style>
  <w:style w:type="paragraph" w:styleId="Heading5">
    <w:name w:val="heading 5"/>
    <w:basedOn w:val="Normal"/>
    <w:next w:val="ParaNum"/>
    <w:qFormat/>
    <w:rsid w:val="00EB11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1177"/>
    <w:pPr>
      <w:numPr>
        <w:ilvl w:val="5"/>
        <w:numId w:val="3"/>
      </w:numPr>
      <w:tabs>
        <w:tab w:val="left" w:pos="4320"/>
      </w:tabs>
      <w:spacing w:after="120"/>
      <w:outlineLvl w:val="5"/>
    </w:pPr>
    <w:rPr>
      <w:b/>
    </w:rPr>
  </w:style>
  <w:style w:type="paragraph" w:styleId="Heading7">
    <w:name w:val="heading 7"/>
    <w:basedOn w:val="Normal"/>
    <w:next w:val="ParaNum"/>
    <w:qFormat/>
    <w:rsid w:val="00EB11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11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11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1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177"/>
  </w:style>
  <w:style w:type="paragraph" w:customStyle="1" w:styleId="ParaNum">
    <w:name w:val="ParaNum"/>
    <w:basedOn w:val="Normal"/>
    <w:link w:val="ParaNumChar1"/>
    <w:rsid w:val="00EB1177"/>
    <w:pPr>
      <w:numPr>
        <w:numId w:val="2"/>
      </w:numPr>
      <w:tabs>
        <w:tab w:val="clear" w:pos="1080"/>
        <w:tab w:val="num" w:pos="1440"/>
      </w:tabs>
      <w:spacing w:after="120"/>
    </w:pPr>
  </w:style>
  <w:style w:type="paragraph" w:styleId="EndnoteText">
    <w:name w:val="endnote text"/>
    <w:basedOn w:val="Normal"/>
    <w:semiHidden/>
    <w:rsid w:val="00EB1177"/>
    <w:rPr>
      <w:sz w:val="20"/>
    </w:rPr>
  </w:style>
  <w:style w:type="character" w:styleId="EndnoteReference">
    <w:name w:val="endnote reference"/>
    <w:semiHidden/>
    <w:rsid w:val="00EB1177"/>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EB117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B1177"/>
    <w:rPr>
      <w:rFonts w:ascii="Times New Roman" w:hAnsi="Times New Roman"/>
      <w:dstrike w:val="0"/>
      <w:color w:val="auto"/>
      <w:sz w:val="20"/>
      <w:vertAlign w:val="superscript"/>
    </w:rPr>
  </w:style>
  <w:style w:type="paragraph" w:styleId="TOC1">
    <w:name w:val="toc 1"/>
    <w:basedOn w:val="Normal"/>
    <w:next w:val="Normal"/>
    <w:semiHidden/>
    <w:rsid w:val="00EB11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1177"/>
    <w:pPr>
      <w:tabs>
        <w:tab w:val="left" w:pos="720"/>
        <w:tab w:val="right" w:leader="dot" w:pos="9360"/>
      </w:tabs>
      <w:suppressAutoHyphens/>
      <w:ind w:left="720" w:right="720" w:hanging="360"/>
    </w:pPr>
    <w:rPr>
      <w:noProof/>
    </w:rPr>
  </w:style>
  <w:style w:type="paragraph" w:styleId="TOC3">
    <w:name w:val="toc 3"/>
    <w:basedOn w:val="Normal"/>
    <w:next w:val="Normal"/>
    <w:semiHidden/>
    <w:rsid w:val="00EB11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11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11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11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11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11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11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1177"/>
    <w:pPr>
      <w:tabs>
        <w:tab w:val="right" w:pos="9360"/>
      </w:tabs>
      <w:suppressAutoHyphens/>
    </w:pPr>
  </w:style>
  <w:style w:type="character" w:customStyle="1" w:styleId="EquationCaption">
    <w:name w:val="_Equation Caption"/>
    <w:rsid w:val="00EB1177"/>
  </w:style>
  <w:style w:type="paragraph" w:styleId="Header">
    <w:name w:val="header"/>
    <w:basedOn w:val="Normal"/>
    <w:autoRedefine/>
    <w:rsid w:val="00EB1177"/>
    <w:pPr>
      <w:tabs>
        <w:tab w:val="center" w:pos="4680"/>
        <w:tab w:val="right" w:pos="9360"/>
      </w:tabs>
    </w:pPr>
    <w:rPr>
      <w:b/>
    </w:rPr>
  </w:style>
  <w:style w:type="paragraph" w:styleId="Footer">
    <w:name w:val="footer"/>
    <w:basedOn w:val="Normal"/>
    <w:link w:val="FooterChar"/>
    <w:uiPriority w:val="99"/>
    <w:rsid w:val="00EB1177"/>
    <w:pPr>
      <w:tabs>
        <w:tab w:val="center" w:pos="4320"/>
        <w:tab w:val="right" w:pos="8640"/>
      </w:tabs>
    </w:pPr>
  </w:style>
  <w:style w:type="character" w:styleId="PageNumber">
    <w:name w:val="page number"/>
    <w:basedOn w:val="DefaultParagraphFont"/>
    <w:rsid w:val="00EB1177"/>
  </w:style>
  <w:style w:type="paragraph" w:styleId="BlockText">
    <w:name w:val="Block Text"/>
    <w:basedOn w:val="Normal"/>
    <w:rsid w:val="00EB1177"/>
    <w:pPr>
      <w:spacing w:after="240"/>
      <w:ind w:left="1440" w:right="1440"/>
    </w:pPr>
  </w:style>
  <w:style w:type="paragraph" w:customStyle="1" w:styleId="Paratitle">
    <w:name w:val="Para title"/>
    <w:basedOn w:val="Normal"/>
    <w:rsid w:val="00EB1177"/>
    <w:pPr>
      <w:tabs>
        <w:tab w:val="center" w:pos="9270"/>
      </w:tabs>
      <w:spacing w:after="240"/>
    </w:pPr>
    <w:rPr>
      <w:spacing w:val="-2"/>
    </w:rPr>
  </w:style>
  <w:style w:type="paragraph" w:customStyle="1" w:styleId="Bullet">
    <w:name w:val="Bullet"/>
    <w:basedOn w:val="Normal"/>
    <w:rsid w:val="00EB1177"/>
    <w:pPr>
      <w:tabs>
        <w:tab w:val="left" w:pos="2160"/>
      </w:tabs>
      <w:spacing w:after="220"/>
      <w:ind w:left="2160" w:hanging="720"/>
    </w:pPr>
  </w:style>
  <w:style w:type="paragraph" w:customStyle="1" w:styleId="TableFormat">
    <w:name w:val="TableFormat"/>
    <w:basedOn w:val="Bullet"/>
    <w:rsid w:val="00EB1177"/>
    <w:pPr>
      <w:tabs>
        <w:tab w:val="clear" w:pos="2160"/>
        <w:tab w:val="left" w:pos="5040"/>
      </w:tabs>
      <w:ind w:left="5040" w:hanging="3600"/>
    </w:pPr>
  </w:style>
  <w:style w:type="paragraph" w:customStyle="1" w:styleId="TOCTitle">
    <w:name w:val="TOC Title"/>
    <w:basedOn w:val="Normal"/>
    <w:rsid w:val="00EB11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1177"/>
    <w:pPr>
      <w:jc w:val="center"/>
    </w:pPr>
    <w:rPr>
      <w:rFonts w:ascii="Times New Roman Bold" w:hAnsi="Times New Roman Bold"/>
      <w:b/>
      <w:bCs/>
      <w:caps/>
      <w:szCs w:val="22"/>
    </w:rPr>
  </w:style>
  <w:style w:type="character" w:styleId="Hyperlink">
    <w:name w:val="Hyperlink"/>
    <w:rsid w:val="00EB1177"/>
    <w:rPr>
      <w:color w:val="0000FF"/>
      <w:u w:val="single"/>
    </w:rPr>
  </w:style>
  <w:style w:type="character" w:customStyle="1" w:styleId="FooterChar">
    <w:name w:val="Footer Char"/>
    <w:link w:val="Footer"/>
    <w:uiPriority w:val="99"/>
    <w:rsid w:val="00EB1177"/>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924D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