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B03E61" w14:paraId="561C9C31" w14:textId="77777777">
      <w:pPr>
        <w:jc w:val="center"/>
        <w:rPr>
          <w:b/>
        </w:rPr>
      </w:pPr>
      <w:r w:rsidRPr="0070224F">
        <w:rPr>
          <w:rFonts w:ascii="Times New Roman Bold" w:hAnsi="Times New Roman Bold"/>
          <w:b/>
          <w:kern w:val="0"/>
          <w:szCs w:val="22"/>
        </w:rPr>
        <w:t>Before</w:t>
      </w:r>
      <w:r>
        <w:rPr>
          <w:b/>
        </w:rPr>
        <w:t xml:space="preserve"> the</w:t>
      </w:r>
    </w:p>
    <w:p w:rsidR="00921803" w:rsidP="00B03E61" w14:paraId="22A0E4C3" w14:textId="77777777">
      <w:pPr>
        <w:pStyle w:val="StyleBoldCentered"/>
      </w:pPr>
      <w:r>
        <w:t>F</w:t>
      </w:r>
      <w:r>
        <w:rPr>
          <w:caps w:val="0"/>
        </w:rPr>
        <w:t>ederal Communications Commission</w:t>
      </w:r>
    </w:p>
    <w:p w:rsidR="004C2EE3" w:rsidP="00B03E61" w14:paraId="1174C1F8" w14:textId="77777777">
      <w:pPr>
        <w:pStyle w:val="StyleBoldCentered"/>
      </w:pPr>
      <w:r>
        <w:rPr>
          <w:caps w:val="0"/>
        </w:rPr>
        <w:t>Washington, D.C. 20554</w:t>
      </w:r>
    </w:p>
    <w:p w:rsidR="004C2EE3" w:rsidP="00B03E61" w14:paraId="4741F241" w14:textId="77777777"/>
    <w:tbl>
      <w:tblPr>
        <w:tblW w:w="0" w:type="auto"/>
        <w:tblLayout w:type="fixed"/>
        <w:tblLook w:val="0000"/>
      </w:tblPr>
      <w:tblGrid>
        <w:gridCol w:w="4698"/>
        <w:gridCol w:w="630"/>
        <w:gridCol w:w="4248"/>
      </w:tblGrid>
      <w:tr w14:paraId="3E3D9145" w14:textId="77777777">
        <w:tblPrEx>
          <w:tblW w:w="0" w:type="auto"/>
          <w:tblLayout w:type="fixed"/>
          <w:tblLook w:val="0000"/>
        </w:tblPrEx>
        <w:tc>
          <w:tcPr>
            <w:tcW w:w="4698" w:type="dxa"/>
          </w:tcPr>
          <w:p w:rsidR="004C2EE3" w:rsidP="00B03E61" w14:paraId="7B0629A4" w14:textId="77777777">
            <w:pPr>
              <w:tabs>
                <w:tab w:val="center" w:pos="4680"/>
              </w:tabs>
              <w:rPr>
                <w:spacing w:val="-2"/>
              </w:rPr>
            </w:pPr>
            <w:r>
              <w:rPr>
                <w:spacing w:val="-2"/>
              </w:rPr>
              <w:t>In the Matter of</w:t>
            </w:r>
          </w:p>
          <w:p w:rsidR="004C2EE3" w:rsidP="00B03E61" w14:paraId="367869F2" w14:textId="77777777">
            <w:pPr>
              <w:tabs>
                <w:tab w:val="center" w:pos="4680"/>
              </w:tabs>
              <w:rPr>
                <w:spacing w:val="-2"/>
              </w:rPr>
            </w:pPr>
          </w:p>
          <w:p w:rsidR="004A3C48" w:rsidP="00B03E61" w14:paraId="206FACCA" w14:textId="3D0B8175">
            <w:pPr>
              <w:tabs>
                <w:tab w:val="center" w:pos="4680"/>
              </w:tabs>
              <w:rPr>
                <w:spacing w:val="-2"/>
              </w:rPr>
            </w:pPr>
            <w:r w:rsidRPr="004F0299">
              <w:rPr>
                <w:spacing w:val="-2"/>
              </w:rPr>
              <w:t>Amendment of section 73.202(b),</w:t>
            </w:r>
            <w:r>
              <w:rPr>
                <w:spacing w:val="-2"/>
              </w:rPr>
              <w:t xml:space="preserve"> </w:t>
            </w:r>
            <w:r w:rsidRPr="004A3C48">
              <w:rPr>
                <w:spacing w:val="-2"/>
              </w:rPr>
              <w:t>Table of Allotments,</w:t>
            </w:r>
            <w:r>
              <w:t xml:space="preserve"> </w:t>
            </w:r>
            <w:r>
              <w:t>FM Broadcast Stations (</w:t>
            </w:r>
            <w:r w:rsidRPr="001B575D" w:rsidR="001B575D">
              <w:t xml:space="preserve">Big </w:t>
            </w:r>
            <w:r w:rsidRPr="001B575D" w:rsidR="001B575D">
              <w:t>Coppitt</w:t>
            </w:r>
            <w:r w:rsidRPr="001B575D" w:rsidR="001B575D">
              <w:t xml:space="preserve"> Key, Florida</w:t>
            </w:r>
            <w:r>
              <w:t>)</w:t>
            </w:r>
          </w:p>
          <w:p w:rsidR="004C2EE3" w:rsidRPr="007115F7" w:rsidP="00B03E61" w14:paraId="44853C02" w14:textId="1282A029">
            <w:pPr>
              <w:tabs>
                <w:tab w:val="center" w:pos="4680"/>
              </w:tabs>
              <w:rPr>
                <w:spacing w:val="-2"/>
              </w:rPr>
            </w:pPr>
          </w:p>
        </w:tc>
        <w:tc>
          <w:tcPr>
            <w:tcW w:w="630" w:type="dxa"/>
          </w:tcPr>
          <w:p w:rsidR="004C2EE3" w:rsidP="00B03E61" w14:paraId="465C036D" w14:textId="77777777">
            <w:pPr>
              <w:tabs>
                <w:tab w:val="center" w:pos="4680"/>
              </w:tabs>
              <w:rPr>
                <w:b/>
                <w:spacing w:val="-2"/>
              </w:rPr>
            </w:pPr>
            <w:r>
              <w:rPr>
                <w:b/>
                <w:spacing w:val="-2"/>
              </w:rPr>
              <w:t>)</w:t>
            </w:r>
          </w:p>
          <w:p w:rsidR="004C2EE3" w:rsidP="00B03E61" w14:paraId="52FC3940" w14:textId="77777777">
            <w:pPr>
              <w:tabs>
                <w:tab w:val="center" w:pos="4680"/>
              </w:tabs>
              <w:rPr>
                <w:b/>
                <w:spacing w:val="-2"/>
              </w:rPr>
            </w:pPr>
            <w:r>
              <w:rPr>
                <w:b/>
                <w:spacing w:val="-2"/>
              </w:rPr>
              <w:t>)</w:t>
            </w:r>
          </w:p>
          <w:p w:rsidR="004C2EE3" w:rsidP="00B03E61" w14:paraId="312D1F1F" w14:textId="77777777">
            <w:pPr>
              <w:tabs>
                <w:tab w:val="center" w:pos="4680"/>
              </w:tabs>
              <w:rPr>
                <w:b/>
                <w:spacing w:val="-2"/>
              </w:rPr>
            </w:pPr>
            <w:r>
              <w:rPr>
                <w:b/>
                <w:spacing w:val="-2"/>
              </w:rPr>
              <w:t>)</w:t>
            </w:r>
          </w:p>
          <w:p w:rsidR="004C2EE3" w:rsidP="00B03E61" w14:paraId="2B0FBE0E" w14:textId="77777777">
            <w:pPr>
              <w:tabs>
                <w:tab w:val="center" w:pos="4680"/>
              </w:tabs>
              <w:rPr>
                <w:b/>
                <w:spacing w:val="-2"/>
              </w:rPr>
            </w:pPr>
            <w:r>
              <w:rPr>
                <w:b/>
                <w:spacing w:val="-2"/>
              </w:rPr>
              <w:t>)</w:t>
            </w:r>
          </w:p>
          <w:p w:rsidR="004A3C48" w:rsidRPr="009F2562" w:rsidP="00B03E61" w14:paraId="0F97A235" w14:textId="7E0CB274">
            <w:pPr>
              <w:tabs>
                <w:tab w:val="center" w:pos="4680"/>
              </w:tabs>
              <w:rPr>
                <w:b/>
                <w:spacing w:val="-2"/>
              </w:rPr>
            </w:pPr>
            <w:r>
              <w:rPr>
                <w:b/>
                <w:spacing w:val="-2"/>
              </w:rPr>
              <w:t>)</w:t>
            </w:r>
          </w:p>
        </w:tc>
        <w:tc>
          <w:tcPr>
            <w:tcW w:w="4248" w:type="dxa"/>
          </w:tcPr>
          <w:p w:rsidR="004C2EE3" w:rsidP="00B03E61" w14:paraId="47367464" w14:textId="77777777">
            <w:pPr>
              <w:tabs>
                <w:tab w:val="center" w:pos="4680"/>
              </w:tabs>
              <w:rPr>
                <w:spacing w:val="-2"/>
              </w:rPr>
            </w:pPr>
          </w:p>
          <w:p w:rsidR="004C2EE3" w:rsidP="00B03E61" w14:paraId="0F1BEF75" w14:textId="77777777">
            <w:pPr>
              <w:pStyle w:val="TOAHeading"/>
              <w:tabs>
                <w:tab w:val="center" w:pos="4680"/>
                <w:tab w:val="clear" w:pos="9360"/>
              </w:tabs>
              <w:suppressAutoHyphens w:val="0"/>
              <w:rPr>
                <w:spacing w:val="-2"/>
              </w:rPr>
            </w:pPr>
          </w:p>
          <w:p w:rsidR="009F2562" w:rsidRPr="009F2562" w:rsidP="00B03E61" w14:paraId="7372A6C3" w14:textId="2F3765C5">
            <w:pPr>
              <w:pStyle w:val="TOAHeading"/>
              <w:tabs>
                <w:tab w:val="center" w:pos="4680"/>
              </w:tabs>
              <w:suppressAutoHyphens w:val="0"/>
              <w:rPr>
                <w:spacing w:val="-2"/>
              </w:rPr>
            </w:pPr>
            <w:r w:rsidRPr="009F2562">
              <w:rPr>
                <w:spacing w:val="-2"/>
              </w:rPr>
              <w:t>MB Docket No. 2</w:t>
            </w:r>
            <w:r w:rsidR="00E62EF2">
              <w:rPr>
                <w:spacing w:val="-2"/>
              </w:rPr>
              <w:t>2</w:t>
            </w:r>
            <w:r w:rsidR="0095357A">
              <w:rPr>
                <w:spacing w:val="-2"/>
              </w:rPr>
              <w:t>-188</w:t>
            </w:r>
          </w:p>
          <w:p w:rsidR="00581A23" w:rsidP="00B03E61" w14:paraId="3DBE07C9" w14:textId="47DB2620">
            <w:pPr>
              <w:tabs>
                <w:tab w:val="center" w:pos="4680"/>
              </w:tabs>
              <w:rPr>
                <w:spacing w:val="-2"/>
              </w:rPr>
            </w:pPr>
            <w:r w:rsidRPr="009F2562">
              <w:rPr>
                <w:spacing w:val="-2"/>
              </w:rPr>
              <w:t>RM-</w:t>
            </w:r>
            <w:r w:rsidR="00305469">
              <w:rPr>
                <w:spacing w:val="-2"/>
              </w:rPr>
              <w:t>11928</w:t>
            </w:r>
          </w:p>
        </w:tc>
      </w:tr>
    </w:tbl>
    <w:p w:rsidR="00841AB1" w:rsidP="00B03E61" w14:paraId="66DA8B09" w14:textId="6E1F5D2D">
      <w:pPr>
        <w:pStyle w:val="StyleBoldCentered"/>
      </w:pPr>
      <w:r>
        <w:t>Notice of proposed rulemaking</w:t>
      </w:r>
    </w:p>
    <w:p w:rsidR="004C2EE3" w:rsidP="00B03E61" w14:paraId="6914C331" w14:textId="77777777">
      <w:pPr>
        <w:tabs>
          <w:tab w:val="left" w:pos="-720"/>
        </w:tabs>
        <w:spacing w:line="227" w:lineRule="auto"/>
        <w:rPr>
          <w:spacing w:val="-2"/>
        </w:rPr>
      </w:pPr>
    </w:p>
    <w:p w:rsidR="004C2EE3" w:rsidP="00B03E61" w14:paraId="5C91105B" w14:textId="6B71D038">
      <w:pPr>
        <w:tabs>
          <w:tab w:val="left" w:pos="720"/>
          <w:tab w:val="right" w:pos="9360"/>
        </w:tabs>
        <w:spacing w:line="227" w:lineRule="auto"/>
        <w:rPr>
          <w:b/>
          <w:spacing w:val="-2"/>
        </w:rPr>
      </w:pPr>
      <w:r>
        <w:rPr>
          <w:b/>
          <w:spacing w:val="-2"/>
        </w:rPr>
        <w:t xml:space="preserve">Adopted:  </w:t>
      </w:r>
      <w:r w:rsidR="00E115FA">
        <w:rPr>
          <w:b/>
          <w:spacing w:val="-2"/>
        </w:rPr>
        <w:t xml:space="preserve">May </w:t>
      </w:r>
      <w:r w:rsidR="00074DA5">
        <w:rPr>
          <w:b/>
          <w:spacing w:val="-2"/>
        </w:rPr>
        <w:t>17</w:t>
      </w:r>
      <w:r w:rsidR="00E115FA">
        <w:rPr>
          <w:b/>
          <w:spacing w:val="-2"/>
        </w:rPr>
        <w:t>, 2022</w:t>
      </w:r>
      <w:r>
        <w:rPr>
          <w:b/>
          <w:spacing w:val="-2"/>
        </w:rPr>
        <w:tab/>
      </w:r>
      <w:r w:rsidR="00822CE0">
        <w:rPr>
          <w:b/>
          <w:spacing w:val="-2"/>
        </w:rPr>
        <w:t>Released</w:t>
      </w:r>
      <w:r>
        <w:rPr>
          <w:b/>
          <w:spacing w:val="-2"/>
        </w:rPr>
        <w:t>:</w:t>
      </w:r>
      <w:r w:rsidR="00822CE0">
        <w:rPr>
          <w:b/>
          <w:spacing w:val="-2"/>
        </w:rPr>
        <w:t xml:space="preserve"> </w:t>
      </w:r>
      <w:r w:rsidR="00E115FA">
        <w:rPr>
          <w:b/>
          <w:spacing w:val="-2"/>
        </w:rPr>
        <w:t xml:space="preserve">May </w:t>
      </w:r>
      <w:r w:rsidR="00074DA5">
        <w:rPr>
          <w:b/>
          <w:spacing w:val="-2"/>
        </w:rPr>
        <w:t>18</w:t>
      </w:r>
      <w:r w:rsidR="00E115FA">
        <w:rPr>
          <w:b/>
          <w:spacing w:val="-2"/>
        </w:rPr>
        <w:t>, 2022</w:t>
      </w:r>
    </w:p>
    <w:p w:rsidR="009F2562" w:rsidP="00B03E61" w14:paraId="3E06AEA5" w14:textId="2166B8B3">
      <w:pPr>
        <w:tabs>
          <w:tab w:val="left" w:pos="720"/>
          <w:tab w:val="right" w:pos="9360"/>
        </w:tabs>
        <w:spacing w:line="227" w:lineRule="auto"/>
        <w:rPr>
          <w:b/>
          <w:spacing w:val="-2"/>
        </w:rPr>
      </w:pPr>
    </w:p>
    <w:p w:rsidR="009F2562" w:rsidRPr="001E1C45" w:rsidP="00B03E61" w14:paraId="300353D6" w14:textId="6C112A92">
      <w:pPr>
        <w:tabs>
          <w:tab w:val="left" w:pos="720"/>
          <w:tab w:val="left" w:pos="5760"/>
        </w:tabs>
        <w:jc w:val="both"/>
        <w:rPr>
          <w:b/>
          <w:spacing w:val="-3"/>
          <w:kern w:val="0"/>
          <w:szCs w:val="22"/>
        </w:rPr>
      </w:pPr>
      <w:r w:rsidRPr="001E1C45">
        <w:rPr>
          <w:b/>
          <w:spacing w:val="-3"/>
          <w:kern w:val="0"/>
          <w:szCs w:val="22"/>
        </w:rPr>
        <w:t xml:space="preserve">Comment Date:  </w:t>
      </w:r>
      <w:r w:rsidR="00EC673F">
        <w:rPr>
          <w:b/>
          <w:spacing w:val="-3"/>
          <w:kern w:val="0"/>
          <w:szCs w:val="22"/>
        </w:rPr>
        <w:t>July 11, 2022</w:t>
      </w:r>
    </w:p>
    <w:p w:rsidR="009F2562" w:rsidRPr="009F2562" w:rsidP="00B03E61" w14:paraId="7CC86CD0" w14:textId="504F31DC">
      <w:pPr>
        <w:tabs>
          <w:tab w:val="left" w:pos="720"/>
          <w:tab w:val="left" w:pos="5760"/>
        </w:tabs>
        <w:jc w:val="both"/>
        <w:rPr>
          <w:b/>
          <w:spacing w:val="-3"/>
          <w:kern w:val="0"/>
          <w:szCs w:val="22"/>
        </w:rPr>
      </w:pPr>
      <w:r w:rsidRPr="001E1C45">
        <w:rPr>
          <w:b/>
          <w:spacing w:val="-3"/>
          <w:kern w:val="0"/>
          <w:szCs w:val="22"/>
        </w:rPr>
        <w:t xml:space="preserve">Reply Comment Date:  </w:t>
      </w:r>
      <w:r w:rsidR="00EC673F">
        <w:rPr>
          <w:b/>
          <w:spacing w:val="-3"/>
          <w:kern w:val="0"/>
          <w:szCs w:val="22"/>
        </w:rPr>
        <w:t>July 26, 2022</w:t>
      </w:r>
    </w:p>
    <w:p w:rsidR="00822CE0" w:rsidP="00B03E61" w14:paraId="442D5FEE" w14:textId="77777777"/>
    <w:p w:rsidR="00412FC5" w:rsidP="00B03E61" w14:paraId="7E6CFF97" w14:textId="2F3FFE6B">
      <w:pPr>
        <w:rPr>
          <w:spacing w:val="-2"/>
        </w:rPr>
      </w:pPr>
      <w:r>
        <w:t xml:space="preserve">By </w:t>
      </w:r>
      <w:r w:rsidR="004E4A22">
        <w:t>the</w:t>
      </w:r>
      <w:r w:rsidR="002A2D2E">
        <w:t xml:space="preserve"> </w:t>
      </w:r>
      <w:r w:rsidR="004F0299">
        <w:t xml:space="preserve">Assistant </w:t>
      </w:r>
      <w:r w:rsidRPr="009F2562" w:rsidR="009F2562">
        <w:rPr>
          <w:spacing w:val="-2"/>
        </w:rPr>
        <w:t xml:space="preserve">Chief, </w:t>
      </w:r>
      <w:r w:rsidR="004F0299">
        <w:rPr>
          <w:spacing w:val="-2"/>
        </w:rPr>
        <w:t>Audio</w:t>
      </w:r>
      <w:r w:rsidRPr="009F2562" w:rsidR="009F2562">
        <w:rPr>
          <w:spacing w:val="-2"/>
        </w:rPr>
        <w:t xml:space="preserve"> Division, Media Bureau</w:t>
      </w:r>
      <w:r>
        <w:rPr>
          <w:spacing w:val="-2"/>
        </w:rPr>
        <w:t>:</w:t>
      </w:r>
    </w:p>
    <w:p w:rsidR="009F2562" w:rsidRPr="009F2562" w:rsidP="00B03E61" w14:paraId="7564BA14" w14:textId="77777777">
      <w:pPr>
        <w:rPr>
          <w:spacing w:val="-2"/>
        </w:rPr>
      </w:pPr>
    </w:p>
    <w:p w:rsidR="003B6FA0" w:rsidP="00B03E61" w14:paraId="40E0F3EC" w14:textId="1BE2D425">
      <w:pPr>
        <w:pStyle w:val="Heading1"/>
        <w:keepNext w:val="0"/>
        <w:suppressAutoHyphens w:val="0"/>
      </w:pPr>
      <w:r>
        <w:t>Introduction</w:t>
      </w:r>
    </w:p>
    <w:p w:rsidR="00FC29A0" w:rsidRPr="00690CF5" w:rsidP="00F346B2" w14:paraId="777F379E" w14:textId="03886244">
      <w:pPr>
        <w:pStyle w:val="ParaNum"/>
      </w:pPr>
      <w:r w:rsidRPr="00690CF5">
        <w:t>The Audio Divisio</w:t>
      </w:r>
      <w:r w:rsidR="004F0299">
        <w:t>n</w:t>
      </w:r>
      <w:r w:rsidRPr="00690CF5">
        <w:t xml:space="preserve"> has before it a Petition for Rulemaking (Petition) filed by </w:t>
      </w:r>
      <w:r w:rsidRPr="00E62EF2" w:rsidR="00E62EF2">
        <w:t>Spottswood Partners II, Ltd.</w:t>
      </w:r>
      <w:r w:rsidRPr="00690CF5">
        <w:t xml:space="preserve"> (Petitioner), requesting the allotment of Channel 2</w:t>
      </w:r>
      <w:r w:rsidR="00E62EF2">
        <w:t>65C3</w:t>
      </w:r>
      <w:r w:rsidRPr="00690CF5">
        <w:t xml:space="preserve"> at </w:t>
      </w:r>
      <w:r w:rsidR="00E62EF2">
        <w:t xml:space="preserve">Big </w:t>
      </w:r>
      <w:r w:rsidR="00E62EF2">
        <w:t>Coppitt</w:t>
      </w:r>
      <w:r w:rsidR="00E62EF2">
        <w:t xml:space="preserve"> Key, Florida</w:t>
      </w:r>
      <w:r w:rsidRPr="00690CF5">
        <w:t xml:space="preserve">, as the community’s first local service.  </w:t>
      </w:r>
      <w:bookmarkStart w:id="0" w:name="_Hlk61612129"/>
      <w:r w:rsidRPr="00690CF5">
        <w:t>In compliance with the Commission’s procedures,</w:t>
      </w:r>
      <w:r>
        <w:rPr>
          <w:rStyle w:val="FootnoteReference"/>
        </w:rPr>
        <w:footnoteReference w:id="3"/>
      </w:r>
      <w:r w:rsidRPr="00690CF5">
        <w:t xml:space="preserve"> </w:t>
      </w:r>
      <w:r w:rsidR="004B3AE6">
        <w:t>P</w:t>
      </w:r>
      <w:r w:rsidRPr="00690CF5">
        <w:t>etitioner concurrently filed a construction permit application and paid the necessary filing fee</w:t>
      </w:r>
      <w:r>
        <w:t>.</w:t>
      </w:r>
      <w:r>
        <w:rPr>
          <w:rStyle w:val="FootnoteReference"/>
          <w:sz w:val="22"/>
          <w:szCs w:val="22"/>
        </w:rPr>
        <w:footnoteReference w:id="4"/>
      </w:r>
      <w:r w:rsidRPr="00690CF5">
        <w:t xml:space="preserve">   </w:t>
      </w:r>
      <w:bookmarkEnd w:id="0"/>
    </w:p>
    <w:p w:rsidR="006F1759" w:rsidP="00B03E61" w14:paraId="71EF0B57" w14:textId="0B8A58A7">
      <w:pPr>
        <w:pStyle w:val="Heading1"/>
        <w:keepNext w:val="0"/>
        <w:suppressAutoHyphens w:val="0"/>
      </w:pPr>
      <w:r>
        <w:t>Background</w:t>
      </w:r>
    </w:p>
    <w:p w:rsidR="00B03E61" w:rsidRPr="0046553E" w:rsidP="00F346B2" w14:paraId="6719E9DD" w14:textId="24CF17B2">
      <w:pPr>
        <w:pStyle w:val="ParaNum"/>
      </w:pPr>
      <w:r w:rsidRPr="00FF440B">
        <w:rPr>
          <w:snapToGrid/>
        </w:rPr>
        <w:t xml:space="preserve">Petitioner </w:t>
      </w:r>
      <w:r w:rsidR="00D11CC6">
        <w:rPr>
          <w:snapToGrid/>
        </w:rPr>
        <w:t xml:space="preserve">claims that </w:t>
      </w:r>
      <w:r w:rsidRPr="00FF440B" w:rsidR="00140FD2">
        <w:rPr>
          <w:snapToGrid/>
        </w:rPr>
        <w:t xml:space="preserve">Big </w:t>
      </w:r>
      <w:r w:rsidRPr="00FF440B" w:rsidR="00140FD2">
        <w:rPr>
          <w:snapToGrid/>
        </w:rPr>
        <w:t>Coppitt</w:t>
      </w:r>
      <w:r w:rsidRPr="00FF440B" w:rsidR="00140FD2">
        <w:rPr>
          <w:snapToGrid/>
        </w:rPr>
        <w:t xml:space="preserve"> Key</w:t>
      </w:r>
      <w:r w:rsidR="00AB61EE">
        <w:rPr>
          <w:snapToGrid/>
        </w:rPr>
        <w:t>, Florida</w:t>
      </w:r>
      <w:r w:rsidRPr="00690CF5">
        <w:t xml:space="preserve"> is a community </w:t>
      </w:r>
      <w:r w:rsidR="00D11CC6">
        <w:t>for the allotment purposes</w:t>
      </w:r>
      <w:r w:rsidR="00C25CED">
        <w:t>.</w:t>
      </w:r>
      <w:r>
        <w:rPr>
          <w:rStyle w:val="FootnoteReference"/>
        </w:rPr>
        <w:footnoteReference w:id="5"/>
      </w:r>
      <w:r w:rsidRPr="00690CF5">
        <w:t xml:space="preserve">  In support of this position, Petitioner states that</w:t>
      </w:r>
      <w:r w:rsidRPr="00FF440B">
        <w:rPr>
          <w:snapToGrid/>
        </w:rPr>
        <w:t xml:space="preserve"> </w:t>
      </w:r>
      <w:r w:rsidRPr="00FF440B" w:rsidR="00140FD2">
        <w:rPr>
          <w:snapToGrid/>
          <w:szCs w:val="22"/>
        </w:rPr>
        <w:t xml:space="preserve">although </w:t>
      </w:r>
      <w:r w:rsidR="000E7CE4">
        <w:rPr>
          <w:snapToGrid/>
          <w:szCs w:val="22"/>
        </w:rPr>
        <w:t xml:space="preserve">Big </w:t>
      </w:r>
      <w:r w:rsidR="000E7CE4">
        <w:rPr>
          <w:snapToGrid/>
          <w:szCs w:val="22"/>
        </w:rPr>
        <w:t>Coppitt</w:t>
      </w:r>
      <w:r w:rsidR="000E7CE4">
        <w:rPr>
          <w:snapToGrid/>
          <w:szCs w:val="22"/>
        </w:rPr>
        <w:t xml:space="preserve"> Key</w:t>
      </w:r>
      <w:r w:rsidRPr="00FF440B" w:rsidR="00140FD2">
        <w:rPr>
          <w:snapToGrid/>
          <w:szCs w:val="22"/>
        </w:rPr>
        <w:t xml:space="preserve"> is an unincorporated community in Monroe County, it is listed in the 2020 U.S. Census with a population of 2,869 persons, and </w:t>
      </w:r>
      <w:r w:rsidR="000E7CE4">
        <w:rPr>
          <w:snapToGrid/>
          <w:szCs w:val="22"/>
        </w:rPr>
        <w:t xml:space="preserve">it grew </w:t>
      </w:r>
      <w:r w:rsidRPr="00FF440B" w:rsidR="00FF440B">
        <w:rPr>
          <w:snapToGrid/>
          <w:szCs w:val="22"/>
        </w:rPr>
        <w:t>1</w:t>
      </w:r>
      <w:r w:rsidRPr="00FF440B" w:rsidR="00140FD2">
        <w:rPr>
          <w:snapToGrid/>
          <w:szCs w:val="22"/>
        </w:rPr>
        <w:t>7 percent</w:t>
      </w:r>
      <w:r w:rsidRPr="00FF440B" w:rsidR="00FF440B">
        <w:rPr>
          <w:snapToGrid/>
          <w:szCs w:val="22"/>
        </w:rPr>
        <w:t xml:space="preserve"> fr</w:t>
      </w:r>
      <w:r w:rsidRPr="00FF440B" w:rsidR="00140FD2">
        <w:rPr>
          <w:snapToGrid/>
          <w:szCs w:val="22"/>
        </w:rPr>
        <w:t xml:space="preserve">om </w:t>
      </w:r>
      <w:r w:rsidRPr="00FF440B" w:rsidR="00FF440B">
        <w:rPr>
          <w:snapToGrid/>
          <w:szCs w:val="22"/>
        </w:rPr>
        <w:t xml:space="preserve">its 2010 U.S. Census population of </w:t>
      </w:r>
      <w:r w:rsidRPr="00FF440B" w:rsidR="00140FD2">
        <w:rPr>
          <w:snapToGrid/>
          <w:szCs w:val="22"/>
        </w:rPr>
        <w:t>2,458</w:t>
      </w:r>
      <w:r w:rsidR="000E7CE4">
        <w:rPr>
          <w:snapToGrid/>
          <w:szCs w:val="22"/>
        </w:rPr>
        <w:t xml:space="preserve"> persons</w:t>
      </w:r>
      <w:r w:rsidR="00CB5A7A">
        <w:rPr>
          <w:snapToGrid/>
          <w:szCs w:val="22"/>
        </w:rPr>
        <w:t xml:space="preserve">.  </w:t>
      </w:r>
      <w:r w:rsidRPr="00531DDE">
        <w:rPr>
          <w:snapToGrid/>
        </w:rPr>
        <w:t xml:space="preserve">Petitioner </w:t>
      </w:r>
      <w:r w:rsidRPr="00690CF5">
        <w:t>states its intention to apply for the channel, if allotted</w:t>
      </w:r>
      <w:r w:rsidR="0046553E">
        <w:t>, and participate in FM auction</w:t>
      </w:r>
      <w:r w:rsidR="00BE4C13">
        <w:t xml:space="preserve">.  </w:t>
      </w:r>
    </w:p>
    <w:p w:rsidR="00B03E61" w:rsidP="00B03E61" w14:paraId="7AD78942" w14:textId="62F4A4D0">
      <w:pPr>
        <w:pStyle w:val="Heading1"/>
      </w:pPr>
      <w:r>
        <w:t>discussion</w:t>
      </w:r>
    </w:p>
    <w:p w:rsidR="00BA0A3D" w:rsidP="00F346B2" w14:paraId="4919DAAA" w14:textId="7A80D209">
      <w:pPr>
        <w:pStyle w:val="ParaNum"/>
      </w:pPr>
      <w:r>
        <w:t xml:space="preserve">Big </w:t>
      </w:r>
      <w:r>
        <w:t>Coppitt</w:t>
      </w:r>
      <w:r>
        <w:t xml:space="preserve"> Key, Florida is</w:t>
      </w:r>
      <w:r w:rsidR="00650196">
        <w:t xml:space="preserve"> </w:t>
      </w:r>
      <w:r w:rsidR="0072707C">
        <w:t xml:space="preserve">not incorporated but </w:t>
      </w:r>
      <w:r w:rsidR="00650196">
        <w:t xml:space="preserve">listed in the U.S. Census as </w:t>
      </w:r>
      <w:r w:rsidR="008E3329">
        <w:t xml:space="preserve">a </w:t>
      </w:r>
      <w:r w:rsidR="00650196">
        <w:t>census designated place (CDP)</w:t>
      </w:r>
      <w:r>
        <w:t xml:space="preserve">.  </w:t>
      </w:r>
      <w:r w:rsidRPr="004E3772" w:rsidR="0037256A">
        <w:rPr>
          <w:szCs w:val="22"/>
        </w:rPr>
        <w:t>The Commission has defined a community as geographically identifiable population groupings, which have common local interests.</w:t>
      </w:r>
      <w:r>
        <w:rPr>
          <w:rStyle w:val="FootnoteReference"/>
          <w:szCs w:val="22"/>
        </w:rPr>
        <w:footnoteReference w:id="6"/>
      </w:r>
      <w:r w:rsidRPr="004E3772" w:rsidR="0037256A">
        <w:rPr>
          <w:szCs w:val="22"/>
        </w:rPr>
        <w:t xml:space="preserve">  The test for determining whether a locality is a community for allotment purposes is not a stringent one.</w:t>
      </w:r>
      <w:r>
        <w:rPr>
          <w:rStyle w:val="FootnoteReference"/>
          <w:szCs w:val="22"/>
        </w:rPr>
        <w:footnoteReference w:id="7"/>
      </w:r>
      <w:r w:rsidRPr="004E3772" w:rsidR="0037256A">
        <w:rPr>
          <w:szCs w:val="22"/>
        </w:rPr>
        <w:t xml:space="preserve">  This requirement is generally satisfied if the </w:t>
      </w:r>
      <w:r w:rsidRPr="004E3772" w:rsidR="0037256A">
        <w:rPr>
          <w:szCs w:val="22"/>
        </w:rPr>
        <w:t>proposed community is either incorporated or listed in the U.S. Census</w:t>
      </w:r>
      <w:r w:rsidR="004731A3">
        <w:rPr>
          <w:szCs w:val="22"/>
        </w:rPr>
        <w:t>,</w:t>
      </w:r>
      <w:r w:rsidRPr="004E3772" w:rsidR="0037256A">
        <w:rPr>
          <w:szCs w:val="22"/>
        </w:rPr>
        <w:t xml:space="preserve"> but incorporation is not a prerequisite to community status.</w:t>
      </w:r>
      <w:r w:rsidR="0037256A">
        <w:rPr>
          <w:szCs w:val="22"/>
        </w:rPr>
        <w:t xml:space="preserve">  </w:t>
      </w:r>
      <w:r w:rsidR="00346324">
        <w:t>The</w:t>
      </w:r>
      <w:r w:rsidRPr="00E814B3" w:rsidR="00E814B3">
        <w:t xml:space="preserve"> designation of an area as a CDP raises the presumption that an area is a “community” for allotment purposes, </w:t>
      </w:r>
      <w:r w:rsidR="008E3329">
        <w:t xml:space="preserve">but </w:t>
      </w:r>
      <w:r w:rsidRPr="00E814B3" w:rsidR="00E814B3">
        <w:t>that presumption is rebuttable.</w:t>
      </w:r>
      <w:r>
        <w:rPr>
          <w:rStyle w:val="FootnoteReference"/>
        </w:rPr>
        <w:footnoteReference w:id="8"/>
      </w:r>
    </w:p>
    <w:p w:rsidR="008E3329" w:rsidP="00F346B2" w14:paraId="457EA5BD" w14:textId="7476AA1C">
      <w:pPr>
        <w:pStyle w:val="ParaNum"/>
      </w:pPr>
      <w:r>
        <w:t xml:space="preserve">We request </w:t>
      </w:r>
      <w:r w:rsidR="00CB5A7A">
        <w:t xml:space="preserve">the </w:t>
      </w:r>
      <w:r w:rsidRPr="00E814B3" w:rsidR="00E814B3">
        <w:t xml:space="preserve">Petitioner </w:t>
      </w:r>
      <w:r>
        <w:t xml:space="preserve">to </w:t>
      </w:r>
      <w:r w:rsidRPr="00E814B3" w:rsidR="00E814B3">
        <w:t xml:space="preserve">submit additional information demonstrating that </w:t>
      </w:r>
      <w:r w:rsidR="00E814B3">
        <w:t xml:space="preserve">Big </w:t>
      </w:r>
      <w:r w:rsidR="00E814B3">
        <w:t>Coppitt</w:t>
      </w:r>
      <w:r w:rsidR="00E814B3">
        <w:t xml:space="preserve"> Key</w:t>
      </w:r>
      <w:r w:rsidRPr="00E814B3" w:rsidR="00E814B3">
        <w:t xml:space="preserve"> is a “community” for allotment purposes.</w:t>
      </w:r>
      <w:r w:rsidRPr="00866450" w:rsidR="00866450">
        <w:t xml:space="preserve">  </w:t>
      </w:r>
      <w:r w:rsidR="008A0FDD">
        <w:t xml:space="preserve">In </w:t>
      </w:r>
      <w:r w:rsidRPr="00890899" w:rsidR="008A0FDD">
        <w:rPr>
          <w:i/>
        </w:rPr>
        <w:t>Beacon Broadcasting</w:t>
      </w:r>
      <w:r w:rsidR="008A0FDD">
        <w:t xml:space="preserve"> and </w:t>
      </w:r>
      <w:r w:rsidRPr="00890899" w:rsidR="008A0FDD">
        <w:rPr>
          <w:i/>
        </w:rPr>
        <w:t>New South Broadcasting Corp</w:t>
      </w:r>
      <w:r w:rsidR="008A0FDD">
        <w:rPr>
          <w:iCs/>
        </w:rPr>
        <w:t xml:space="preserve">, </w:t>
      </w:r>
      <w:r w:rsidR="008A0FDD">
        <w:t>t</w:t>
      </w:r>
      <w:r w:rsidRPr="00BA0A3D" w:rsidR="00AB0DFC">
        <w:t>he key factor in determining the existence of a community is the presence of a community of interest associated with an identifiable population grouping separate and distinct from all others and that the boundaries of the location do not enclose areas or populations more logically associated with some other location.</w:t>
      </w:r>
      <w:r w:rsidR="00F567FA">
        <w:t xml:space="preserve">  </w:t>
      </w:r>
      <w:r w:rsidRPr="00BA0A3D" w:rsidR="00866450">
        <w:t>Community status may be proven by the testimony of local residents or by objective or subjective evidence indicating the existence of a community.</w:t>
      </w:r>
      <w:r>
        <w:rPr>
          <w:rStyle w:val="FootnoteReference"/>
        </w:rPr>
        <w:footnoteReference w:id="9"/>
      </w:r>
      <w:r w:rsidR="00BA0A3D">
        <w:t xml:space="preserve">  </w:t>
      </w:r>
      <w:r w:rsidRPr="00BA0A3D" w:rsidR="00866450">
        <w:t>Some examples of objective indications of community status include the existence of political, social, economic, commercial, cultural, public service, or religious organizations and services in the community.</w:t>
      </w:r>
      <w:r>
        <w:rPr>
          <w:rStyle w:val="FootnoteReference"/>
        </w:rPr>
        <w:footnoteReference w:id="10"/>
      </w:r>
      <w:r w:rsidR="00FF503E">
        <w:t xml:space="preserve">  </w:t>
      </w:r>
      <w:r w:rsidRPr="00F567FA" w:rsidR="00F567FA">
        <w:t>The principal test is whether the residents function as and conceive themselves as a community around which their interests coalesce.</w:t>
      </w:r>
    </w:p>
    <w:p w:rsidR="006830F0" w:rsidRPr="006830F0" w:rsidP="00F346B2" w14:paraId="233F59DB" w14:textId="732CCCF3">
      <w:pPr>
        <w:pStyle w:val="ParaNum"/>
        <w:spacing w:after="0"/>
      </w:pPr>
      <w:r w:rsidRPr="00E208EC">
        <w:t xml:space="preserve">We believe that </w:t>
      </w:r>
      <w:r w:rsidR="00CB5A7A">
        <w:t xml:space="preserve">the </w:t>
      </w:r>
      <w:r w:rsidR="00B01DEE">
        <w:t>Petitioner</w:t>
      </w:r>
      <w:r w:rsidR="007147FC">
        <w:t>’</w:t>
      </w:r>
      <w:r w:rsidR="00B01DEE">
        <w:t xml:space="preserve">s </w:t>
      </w:r>
      <w:r w:rsidRPr="00B03E61" w:rsidR="00B01DEE">
        <w:rPr>
          <w:snapToGrid/>
        </w:rPr>
        <w:t>proposed change in the FM Table of Allotments warrants consideration under Priority (3)</w:t>
      </w:r>
      <w:r w:rsidR="00F567FA">
        <w:rPr>
          <w:snapToGrid/>
        </w:rPr>
        <w:t>,</w:t>
      </w:r>
      <w:r w:rsidRPr="00B03E61" w:rsidR="00B01DEE">
        <w:rPr>
          <w:snapToGrid/>
        </w:rPr>
        <w:t xml:space="preserve"> because it would provide a first local service at </w:t>
      </w:r>
      <w:r w:rsidR="00260AF3">
        <w:rPr>
          <w:snapToGrid/>
        </w:rPr>
        <w:t xml:space="preserve">Big </w:t>
      </w:r>
      <w:r w:rsidR="00260AF3">
        <w:rPr>
          <w:snapToGrid/>
        </w:rPr>
        <w:t>Coppitt</w:t>
      </w:r>
      <w:r w:rsidR="00260AF3">
        <w:rPr>
          <w:snapToGrid/>
        </w:rPr>
        <w:t xml:space="preserve"> Key, Florida</w:t>
      </w:r>
      <w:r w:rsidRPr="00B03E61" w:rsidR="00B01DEE">
        <w:rPr>
          <w:snapToGrid/>
        </w:rPr>
        <w:t>.</w:t>
      </w:r>
      <w:r>
        <w:rPr>
          <w:rStyle w:val="FootnoteReference"/>
          <w:snapToGrid/>
          <w:sz w:val="22"/>
          <w:szCs w:val="22"/>
        </w:rPr>
        <w:footnoteReference w:id="11"/>
      </w:r>
      <w:r w:rsidRPr="00B03E61" w:rsidR="00B01DEE">
        <w:rPr>
          <w:snapToGrid/>
        </w:rPr>
        <w:t xml:space="preserve">  A staff engineering analysis indicates that Channel </w:t>
      </w:r>
      <w:r w:rsidR="00260AF3">
        <w:rPr>
          <w:snapToGrid/>
        </w:rPr>
        <w:t>265C3</w:t>
      </w:r>
      <w:r w:rsidRPr="00B03E61" w:rsidR="00B01DEE">
        <w:rPr>
          <w:snapToGrid/>
        </w:rPr>
        <w:t xml:space="preserve"> can be allotted to</w:t>
      </w:r>
      <w:r w:rsidR="00260AF3">
        <w:rPr>
          <w:snapToGrid/>
        </w:rPr>
        <w:t xml:space="preserve"> Big </w:t>
      </w:r>
      <w:r w:rsidR="00260AF3">
        <w:rPr>
          <w:snapToGrid/>
        </w:rPr>
        <w:t>Coppitt</w:t>
      </w:r>
      <w:r w:rsidR="00260AF3">
        <w:rPr>
          <w:snapToGrid/>
        </w:rPr>
        <w:t xml:space="preserve"> Key, Florida</w:t>
      </w:r>
      <w:r w:rsidRPr="00B03E61" w:rsidR="00B01DEE">
        <w:rPr>
          <w:snapToGrid/>
        </w:rPr>
        <w:t>, consistent with the minimum distance separation requirements of the Commission’s rules</w:t>
      </w:r>
      <w:r w:rsidRPr="00B03E61" w:rsidR="00983425">
        <w:rPr>
          <w:snapToGrid/>
        </w:rPr>
        <w:t xml:space="preserve"> (Rules)</w:t>
      </w:r>
      <w:r w:rsidRPr="00B03E61" w:rsidR="00B01DEE">
        <w:rPr>
          <w:snapToGrid/>
        </w:rPr>
        <w:t xml:space="preserve">, </w:t>
      </w:r>
      <w:r w:rsidR="00260AF3">
        <w:rPr>
          <w:snapToGrid/>
        </w:rPr>
        <w:t xml:space="preserve">with a site </w:t>
      </w:r>
      <w:r w:rsidRPr="00FC30E4" w:rsidR="00FC30E4">
        <w:rPr>
          <w:snapToGrid/>
        </w:rPr>
        <w:t>restriction of 14.5 km (9.0 miles) northeast of the community</w:t>
      </w:r>
      <w:r w:rsidRPr="00B03E61" w:rsidR="00B01DEE">
        <w:rPr>
          <w:snapToGrid/>
        </w:rPr>
        <w:t>.</w:t>
      </w:r>
      <w:r>
        <w:rPr>
          <w:rStyle w:val="FootnoteReference"/>
          <w:snapToGrid/>
        </w:rPr>
        <w:footnoteReference w:id="12"/>
      </w:r>
      <w:r w:rsidRPr="00B03E61" w:rsidR="00B01DEE">
        <w:rPr>
          <w:snapToGrid/>
        </w:rPr>
        <w:t xml:space="preserve">  The reference </w:t>
      </w:r>
    </w:p>
    <w:p w:rsidR="007147FC" w:rsidP="006830F0" w14:paraId="4066A03E" w14:textId="1970F006">
      <w:pPr>
        <w:pStyle w:val="ParaNum"/>
        <w:numPr>
          <w:ilvl w:val="0"/>
          <w:numId w:val="0"/>
        </w:numPr>
        <w:spacing w:after="0"/>
      </w:pPr>
      <w:r w:rsidRPr="00B03E61">
        <w:rPr>
          <w:snapToGrid/>
        </w:rPr>
        <w:t xml:space="preserve">coordinates are </w:t>
      </w:r>
      <w:r w:rsidRPr="00FC30E4" w:rsidR="00FC30E4">
        <w:rPr>
          <w:snapToGrid/>
        </w:rPr>
        <w:t>24-39-34 NL</w:t>
      </w:r>
      <w:r w:rsidR="00FC30E4">
        <w:rPr>
          <w:snapToGrid/>
        </w:rPr>
        <w:t xml:space="preserve"> and </w:t>
      </w:r>
      <w:r w:rsidRPr="00FC30E4" w:rsidR="00FC30E4">
        <w:rPr>
          <w:snapToGrid/>
        </w:rPr>
        <w:t>81-32-17 WL</w:t>
      </w:r>
      <w:r w:rsidRPr="00B03E61">
        <w:rPr>
          <w:snapToGrid/>
        </w:rPr>
        <w:t>.</w:t>
      </w:r>
      <w:r w:rsidR="004C0073">
        <w:rPr>
          <w:snapToGrid/>
        </w:rPr>
        <w:t xml:space="preserve">  </w:t>
      </w:r>
      <w:r w:rsidRPr="004C0073">
        <w:rPr>
          <w:snapToGrid/>
        </w:rPr>
        <w:t xml:space="preserve">Accordingly, we seek comment on the proposed amendment to the FM Table of Allotments, section 73.202(b) of the </w:t>
      </w:r>
      <w:r w:rsidRPr="004C0073" w:rsidR="00983425">
        <w:rPr>
          <w:snapToGrid/>
        </w:rPr>
        <w:t>R</w:t>
      </w:r>
      <w:r w:rsidRPr="004C0073">
        <w:rPr>
          <w:snapToGrid/>
        </w:rPr>
        <w:t>ules,</w:t>
      </w:r>
      <w:r>
        <w:rPr>
          <w:rStyle w:val="FootnoteReference"/>
          <w:snapToGrid/>
        </w:rPr>
        <w:footnoteReference w:id="13"/>
      </w:r>
      <w:r w:rsidRPr="004C0073">
        <w:rPr>
          <w:snapToGrid/>
        </w:rPr>
        <w:t xml:space="preserve"> </w:t>
      </w:r>
      <w:r w:rsidR="00F567FA">
        <w:rPr>
          <w:snapToGrid/>
        </w:rPr>
        <w:t>as follows:</w:t>
      </w:r>
      <w:r w:rsidRPr="00581A23" w:rsidR="00581A23">
        <w:t xml:space="preserve"> </w:t>
      </w:r>
      <w:r w:rsidR="004F0299">
        <w:tab/>
      </w:r>
    </w:p>
    <w:p w:rsidR="006830F0" w:rsidP="006830F0" w14:paraId="1CB4E455" w14:textId="62A855A9">
      <w:pPr>
        <w:pStyle w:val="ParaNum"/>
        <w:numPr>
          <w:ilvl w:val="0"/>
          <w:numId w:val="0"/>
        </w:numPr>
        <w:spacing w:after="0"/>
      </w:pPr>
    </w:p>
    <w:p w:rsidR="006830F0" w:rsidRPr="006830F0" w:rsidP="006830F0" w14:paraId="6EEB2ADB" w14:textId="77777777">
      <w:pPr>
        <w:pStyle w:val="ParaNum"/>
        <w:numPr>
          <w:ilvl w:val="0"/>
          <w:numId w:val="0"/>
        </w:numPr>
        <w:spacing w:after="0"/>
        <w:rPr>
          <w:snapToGrid/>
        </w:rPr>
      </w:pPr>
    </w:p>
    <w:p w:rsidR="00866450" w:rsidRPr="00B03E61" w:rsidP="00866450" w14:paraId="3735CAA2" w14:textId="77777777">
      <w:pPr>
        <w:pStyle w:val="ParaNum"/>
        <w:numPr>
          <w:ilvl w:val="0"/>
          <w:numId w:val="0"/>
        </w:numPr>
        <w:spacing w:after="0"/>
      </w:pPr>
    </w:p>
    <w:p w:rsidR="00B01DEE" w:rsidP="00B03E61" w14:paraId="70876BB0" w14:textId="56F60FC1">
      <w:pPr>
        <w:pStyle w:val="ParaNum"/>
        <w:numPr>
          <w:ilvl w:val="0"/>
          <w:numId w:val="0"/>
        </w:numPr>
        <w:ind w:left="720"/>
        <w:rPr>
          <w:b/>
          <w:snapToGrid/>
          <w:kern w:val="0"/>
          <w:szCs w:val="22"/>
          <w:u w:val="words"/>
        </w:rPr>
      </w:pPr>
      <w:r w:rsidRPr="00690CF5">
        <w:rPr>
          <w:b/>
          <w:snapToGrid/>
          <w:kern w:val="0"/>
          <w:szCs w:val="22"/>
          <w:u w:val="words"/>
        </w:rPr>
        <w:t>Community</w:t>
      </w:r>
      <w:r w:rsidRPr="00690CF5">
        <w:rPr>
          <w:b/>
          <w:snapToGrid/>
          <w:kern w:val="0"/>
          <w:szCs w:val="22"/>
          <w:u w:val="words"/>
        </w:rPr>
        <w:tab/>
      </w:r>
      <w:r w:rsidRPr="00690CF5">
        <w:rPr>
          <w:b/>
          <w:snapToGrid/>
          <w:kern w:val="0"/>
          <w:szCs w:val="22"/>
          <w:u w:val="words"/>
        </w:rPr>
        <w:tab/>
      </w:r>
      <w:r w:rsidRPr="00690CF5">
        <w:rPr>
          <w:b/>
          <w:snapToGrid/>
          <w:kern w:val="0"/>
          <w:szCs w:val="22"/>
          <w:u w:val="words"/>
        </w:rPr>
        <w:tab/>
        <w:t xml:space="preserve">      </w:t>
      </w:r>
      <w:r w:rsidRPr="00690CF5">
        <w:rPr>
          <w:b/>
          <w:snapToGrid/>
          <w:kern w:val="0"/>
          <w:szCs w:val="22"/>
          <w:u w:val="words"/>
        </w:rPr>
        <w:tab/>
        <w:t>Present</w:t>
      </w:r>
      <w:r w:rsidRPr="00690CF5">
        <w:rPr>
          <w:b/>
          <w:snapToGrid/>
          <w:kern w:val="0"/>
          <w:szCs w:val="22"/>
          <w:u w:val="words"/>
        </w:rPr>
        <w:tab/>
      </w:r>
      <w:r w:rsidRPr="00690CF5">
        <w:rPr>
          <w:b/>
          <w:snapToGrid/>
          <w:kern w:val="0"/>
          <w:szCs w:val="22"/>
          <w:u w:val="words"/>
        </w:rPr>
        <w:tab/>
        <w:t xml:space="preserve">        </w:t>
      </w:r>
      <w:r w:rsidRPr="00690CF5">
        <w:rPr>
          <w:b/>
          <w:snapToGrid/>
          <w:kern w:val="0"/>
          <w:szCs w:val="22"/>
          <w:u w:val="words"/>
        </w:rPr>
        <w:tab/>
        <w:t xml:space="preserve">Proposed </w:t>
      </w:r>
    </w:p>
    <w:p w:rsidR="00866450" w:rsidRPr="00690CF5" w:rsidP="00B03E61" w14:paraId="06827801" w14:textId="54DA3C29">
      <w:pPr>
        <w:tabs>
          <w:tab w:val="left" w:pos="-720"/>
          <w:tab w:val="left" w:pos="720"/>
        </w:tabs>
        <w:spacing w:after="240"/>
        <w:ind w:firstLine="360"/>
        <w:rPr>
          <w:snapToGrid/>
          <w:spacing w:val="-3"/>
          <w:kern w:val="0"/>
          <w:szCs w:val="22"/>
        </w:rPr>
      </w:pPr>
      <w:r w:rsidRPr="00690CF5">
        <w:rPr>
          <w:b/>
          <w:snapToGrid/>
          <w:kern w:val="0"/>
          <w:szCs w:val="22"/>
          <w:u w:val="words"/>
        </w:rPr>
        <w:tab/>
      </w:r>
      <w:r w:rsidR="00260AF3">
        <w:rPr>
          <w:snapToGrid/>
          <w:kern w:val="0"/>
          <w:szCs w:val="22"/>
        </w:rPr>
        <w:t xml:space="preserve">Big </w:t>
      </w:r>
      <w:r w:rsidR="00260AF3">
        <w:rPr>
          <w:snapToGrid/>
          <w:kern w:val="0"/>
          <w:szCs w:val="22"/>
        </w:rPr>
        <w:t>Coppitt</w:t>
      </w:r>
      <w:r w:rsidR="00260AF3">
        <w:rPr>
          <w:snapToGrid/>
          <w:kern w:val="0"/>
          <w:szCs w:val="22"/>
        </w:rPr>
        <w:t xml:space="preserve"> Key, Florida</w:t>
      </w:r>
      <w:r w:rsidRPr="00690CF5">
        <w:rPr>
          <w:snapToGrid/>
          <w:kern w:val="0"/>
          <w:szCs w:val="22"/>
        </w:rPr>
        <w:tab/>
      </w:r>
      <w:r w:rsidRPr="00690CF5">
        <w:rPr>
          <w:snapToGrid/>
          <w:kern w:val="0"/>
          <w:szCs w:val="22"/>
        </w:rPr>
        <w:tab/>
        <w:t xml:space="preserve">   </w:t>
      </w:r>
      <w:r w:rsidRPr="00690CF5">
        <w:rPr>
          <w:snapToGrid/>
          <w:spacing w:val="-3"/>
          <w:kern w:val="0"/>
          <w:szCs w:val="22"/>
        </w:rPr>
        <w:t>----</w:t>
      </w:r>
      <w:r w:rsidRPr="00690CF5">
        <w:rPr>
          <w:snapToGrid/>
          <w:spacing w:val="-3"/>
          <w:kern w:val="0"/>
          <w:szCs w:val="22"/>
        </w:rPr>
        <w:tab/>
      </w:r>
      <w:r w:rsidRPr="00690CF5">
        <w:rPr>
          <w:snapToGrid/>
          <w:spacing w:val="-3"/>
          <w:kern w:val="0"/>
          <w:szCs w:val="22"/>
        </w:rPr>
        <w:tab/>
      </w:r>
      <w:r w:rsidRPr="00690CF5">
        <w:rPr>
          <w:snapToGrid/>
          <w:spacing w:val="-3"/>
          <w:kern w:val="0"/>
          <w:szCs w:val="22"/>
        </w:rPr>
        <w:tab/>
        <w:t>2</w:t>
      </w:r>
      <w:r w:rsidR="00260AF3">
        <w:rPr>
          <w:snapToGrid/>
          <w:spacing w:val="-3"/>
          <w:kern w:val="0"/>
          <w:szCs w:val="22"/>
        </w:rPr>
        <w:t>65C3</w:t>
      </w:r>
      <w:r w:rsidRPr="00690CF5">
        <w:rPr>
          <w:snapToGrid/>
          <w:spacing w:val="-3"/>
          <w:kern w:val="0"/>
          <w:szCs w:val="22"/>
        </w:rPr>
        <w:tab/>
      </w:r>
    </w:p>
    <w:p w:rsidR="00B03E61" w:rsidRPr="00B03E61" w:rsidP="00B03E61" w14:paraId="6361B4C1" w14:textId="20223CAD">
      <w:pPr>
        <w:pStyle w:val="Heading1"/>
      </w:pPr>
      <w:r>
        <w:t>procedural matters</w:t>
      </w:r>
    </w:p>
    <w:p w:rsidR="00127459" w:rsidRPr="009F2562" w:rsidP="00F346B2" w14:paraId="0A448F8A" w14:textId="77777777">
      <w:pPr>
        <w:pStyle w:val="ParaNum"/>
      </w:pPr>
      <w:bookmarkStart w:id="5" w:name="_Ref342151565"/>
      <w:r w:rsidRPr="005706D3">
        <w:rPr>
          <w:i/>
          <w:iCs/>
        </w:rPr>
        <w:t>Showings Required</w:t>
      </w:r>
      <w:r w:rsidRPr="009F2562">
        <w:t xml:space="preserve">.  Comments are invited on the proposal discussed in </w:t>
      </w:r>
      <w:r>
        <w:t>this</w:t>
      </w:r>
      <w:r w:rsidRPr="009F2562">
        <w:t xml:space="preserve"> Notice of Proposed Rulemaking</w:t>
      </w:r>
      <w:r>
        <w:t xml:space="preserve"> (</w:t>
      </w:r>
      <w:r w:rsidRPr="005706D3">
        <w:rPr>
          <w:i/>
          <w:iCs/>
        </w:rPr>
        <w:t>NPRM</w:t>
      </w:r>
      <w:r>
        <w:t>)</w:t>
      </w:r>
      <w:r w:rsidRPr="009F2562">
        <w:t xml:space="preserve">.  </w:t>
      </w:r>
      <w:r>
        <w:t xml:space="preserve">Petitioner </w:t>
      </w:r>
      <w:bookmarkStart w:id="6" w:name="_Hlk62227634"/>
      <w:r>
        <w:t>or any party that expresses interest in the allotment</w:t>
      </w:r>
      <w:bookmarkEnd w:id="6"/>
      <w:r w:rsidRPr="009F2562">
        <w:t xml:space="preserve"> will be expected to answer whatever questions are presented in initial comments.  The </w:t>
      </w:r>
      <w:r>
        <w:t>petitioner</w:t>
      </w:r>
      <w:r w:rsidRPr="009F2562">
        <w:t xml:space="preserve"> of a proposed allotment is </w:t>
      </w:r>
      <w:r>
        <w:t>required</w:t>
      </w:r>
      <w:r w:rsidRPr="009F2562">
        <w:t xml:space="preserve"> to file comments even if it only resubmits or incorporates by reference its former pleadings.  </w:t>
      </w:r>
      <w:r>
        <w:t xml:space="preserve">The petitioner must </w:t>
      </w:r>
      <w:r w:rsidRPr="009F2562">
        <w:t>restate its present intention to apply for the channel if it is allotted and, if authorized, to build a station promptly.  Failure to file may lead to denial of the request.</w:t>
      </w:r>
      <w:r>
        <w:t xml:space="preserve">  </w:t>
      </w:r>
      <w:bookmarkStart w:id="7" w:name="_Hlk62227732"/>
      <w:bookmarkStart w:id="8" w:name="_Hlk62227448"/>
      <w:r>
        <w:t>Any requests by a proponent for withdrawal or dismissal of an allotment request must be filed with the Commission in accordance with section 1.420(j) of the Rules.</w:t>
      </w:r>
      <w:bookmarkEnd w:id="7"/>
      <w:r>
        <w:rPr>
          <w:rStyle w:val="FootnoteReference"/>
        </w:rPr>
        <w:footnoteReference w:id="14"/>
      </w:r>
    </w:p>
    <w:bookmarkEnd w:id="8"/>
    <w:p w:rsidR="00127459" w:rsidRPr="009F2562" w:rsidP="00F346B2" w14:paraId="03435A28" w14:textId="77777777">
      <w:pPr>
        <w:pStyle w:val="ParaNum"/>
      </w:pPr>
      <w:r w:rsidRPr="00202AF5">
        <w:rPr>
          <w:i/>
          <w:iCs/>
        </w:rPr>
        <w:t xml:space="preserve">Cut-off </w:t>
      </w:r>
      <w:r>
        <w:rPr>
          <w:i/>
          <w:iCs/>
        </w:rPr>
        <w:t>P</w:t>
      </w:r>
      <w:r w:rsidRPr="00202AF5">
        <w:rPr>
          <w:i/>
          <w:iCs/>
        </w:rPr>
        <w:t>rotection</w:t>
      </w:r>
      <w:r w:rsidRPr="009F2562">
        <w:t>.  The following procedures will govern the consideration of the filings in this proceeding:</w:t>
      </w:r>
    </w:p>
    <w:p w:rsidR="00127459" w:rsidRPr="009F2562" w:rsidP="00F346B2" w14:paraId="49E66CC6" w14:textId="77777777">
      <w:pPr>
        <w:numPr>
          <w:ilvl w:val="0"/>
          <w:numId w:val="8"/>
        </w:numPr>
        <w:tabs>
          <w:tab w:val="num" w:pos="1440"/>
        </w:tabs>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5"/>
      </w:r>
      <w:r w:rsidRPr="009F2562">
        <w:t xml:space="preserve">  </w:t>
      </w:r>
    </w:p>
    <w:p w:rsidR="00127459" w:rsidRPr="005706D3" w:rsidP="00F346B2" w14:paraId="27E7C345" w14:textId="77777777">
      <w:pPr>
        <w:numPr>
          <w:ilvl w:val="0"/>
          <w:numId w:val="8"/>
        </w:numPr>
        <w:tabs>
          <w:tab w:val="num" w:pos="1440"/>
        </w:tabs>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6"/>
      </w:r>
    </w:p>
    <w:p w:rsidR="00127459" w:rsidP="00F346B2" w14:paraId="013B08A9"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Pr>
          <w:szCs w:val="22"/>
        </w:rPr>
        <w:t>R</w:t>
      </w:r>
      <w:r w:rsidRPr="00CE5579">
        <w:rPr>
          <w:szCs w:val="22"/>
        </w:rPr>
        <w:t>ules</w:t>
      </w:r>
      <w:r>
        <w:rPr>
          <w:szCs w:val="22"/>
        </w:rPr>
        <w:t>,</w:t>
      </w:r>
      <w:r>
        <w:rPr>
          <w:rStyle w:val="FootnoteReference"/>
          <w:szCs w:val="22"/>
        </w:rPr>
        <w:footnoteReference w:id="17"/>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8"/>
      </w:r>
      <w:r>
        <w:t xml:space="preserve">  All filings must be addressed to Marlene H. Dortch, Secretary, Federal Communications Commission, Office of the Secretary.  Any paper filing that is not addressed to the Office of the Secretary will be treated as filed on the day it is received in the Office of the Secretary.</w:t>
      </w:r>
      <w:r>
        <w:rPr>
          <w:rStyle w:val="FootnoteReference"/>
        </w:rPr>
        <w:footnoteReference w:id="19"/>
      </w:r>
      <w:r>
        <w:t xml:space="preserve">  Accordingly, failure to follow the specified requirements may result in the treatment of a filing as untimely.</w:t>
      </w:r>
    </w:p>
    <w:p w:rsidR="00127459" w:rsidRPr="00522221" w:rsidP="00F346B2" w14:paraId="50C7DFA9" w14:textId="77777777">
      <w:pPr>
        <w:widowControl/>
        <w:numPr>
          <w:ilvl w:val="0"/>
          <w:numId w:val="10"/>
        </w:numPr>
        <w:tabs>
          <w:tab w:val="num" w:pos="1440"/>
        </w:tabs>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127459" w:rsidRPr="00331D74" w:rsidP="00F346B2" w14:paraId="1EDC2CF1" w14:textId="77777777">
      <w:pPr>
        <w:numPr>
          <w:ilvl w:val="0"/>
          <w:numId w:val="10"/>
        </w:numPr>
        <w:tabs>
          <w:tab w:val="num" w:pos="1440"/>
        </w:tabs>
        <w:spacing w:after="120"/>
        <w:ind w:left="1080"/>
        <w:rPr>
          <w:szCs w:val="22"/>
        </w:rPr>
      </w:pPr>
      <w:r w:rsidRPr="00522221">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r>
        <w:rPr>
          <w:szCs w:val="22"/>
        </w:rPr>
        <w:t xml:space="preserve">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27459" w:rsidRPr="00522221" w:rsidP="00F346B2" w14:paraId="7FB4D09F" w14:textId="77777777">
      <w:pPr>
        <w:numPr>
          <w:ilvl w:val="0"/>
          <w:numId w:val="11"/>
        </w:numPr>
        <w:spacing w:after="120"/>
        <w:rPr>
          <w:szCs w:val="22"/>
        </w:rPr>
      </w:pPr>
      <w:r w:rsidRPr="00522221">
        <w:rPr>
          <w:szCs w:val="22"/>
        </w:rPr>
        <w:t xml:space="preserve">All hand-delivered or messenger-delivered paper filings for the Commission’s Secretary must be delivered to FCC Headquarters at </w:t>
      </w:r>
      <w:r>
        <w:rPr>
          <w:szCs w:val="22"/>
        </w:rPr>
        <w:t>45 L Street, NE, W</w:t>
      </w:r>
      <w:r w:rsidRPr="00522221">
        <w:rPr>
          <w:szCs w:val="22"/>
        </w:rPr>
        <w:t xml:space="preserve">ashington, DC 20554.  The filing hours are 8:00 a.m. to 7:00 p.m.  All hand deliveries must be held together with rubber bands or fasteners.  Any envelopes and boxes must be disposed of </w:t>
      </w:r>
      <w:r w:rsidRPr="00522221">
        <w:rPr>
          <w:szCs w:val="22"/>
          <w:u w:val="single"/>
        </w:rPr>
        <w:t>before</w:t>
      </w:r>
      <w:r w:rsidRPr="00522221">
        <w:rPr>
          <w:szCs w:val="22"/>
        </w:rPr>
        <w:t xml:space="preserve"> entering </w:t>
      </w:r>
      <w:r w:rsidRPr="00522221">
        <w:rPr>
          <w:szCs w:val="22"/>
        </w:rPr>
        <w:t xml:space="preserve">the building.  </w:t>
      </w:r>
    </w:p>
    <w:p w:rsidR="00127459" w:rsidRPr="00522221" w:rsidP="00F346B2" w14:paraId="56B45102"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127459" w:rsidP="00F346B2" w14:paraId="5E948D45"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127459" w:rsidP="00F346B2" w14:paraId="03FC7E37" w14:textId="77777777">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0"/>
      </w:r>
    </w:p>
    <w:bookmarkEnd w:id="5"/>
    <w:p w:rsidR="00127459" w:rsidP="00F346B2" w14:paraId="0882B7E9" w14:textId="4CF2BA38">
      <w:pPr>
        <w:pStyle w:val="ParaNum"/>
      </w:pPr>
      <w:r w:rsidRPr="00CE5579">
        <w:rPr>
          <w:i/>
          <w:iCs/>
        </w:rPr>
        <w:t>Service</w:t>
      </w:r>
      <w:r>
        <w:rPr>
          <w:i/>
          <w:iCs/>
        </w:rPr>
        <w:t>.</w:t>
      </w:r>
      <w:r>
        <w:t xml:space="preserve">  Pursuant section </w:t>
      </w:r>
      <w:r w:rsidR="002C596A">
        <w:t>1.4</w:t>
      </w:r>
      <w:r>
        <w:t>20 of the Rules,</w:t>
      </w:r>
      <w:r>
        <w:rPr>
          <w:rStyle w:val="FootnoteReference"/>
        </w:rPr>
        <w:footnoteReference w:id="21"/>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 xml:space="preserve">The person filing the comments shall serve comments on the petitioners.  Reply comments shall be served on the person(s) who filed comments to which the reply is directed. </w:t>
      </w:r>
      <w:r>
        <w:t xml:space="preserve"> </w:t>
      </w:r>
      <w:r w:rsidRPr="001F250D">
        <w:t>A certificate of service shall accompany such comments and reply comments.</w:t>
      </w:r>
      <w:r>
        <w:rPr>
          <w:rStyle w:val="FootnoteReference"/>
        </w:rPr>
        <w:footnoteReference w:id="22"/>
      </w:r>
      <w:r>
        <w:t xml:space="preserve">  Additionally, a copy of such comments should be served on counsel for petitioner, as follows:</w:t>
      </w:r>
    </w:p>
    <w:p w:rsidR="0017514D" w:rsidP="0017514D" w14:paraId="472E7BB0" w14:textId="2BC2C723">
      <w:pPr>
        <w:pStyle w:val="ParaNum"/>
        <w:numPr>
          <w:ilvl w:val="0"/>
          <w:numId w:val="0"/>
        </w:numPr>
        <w:spacing w:after="0"/>
        <w:ind w:left="720"/>
        <w:rPr>
          <w:snapToGrid/>
          <w:kern w:val="0"/>
          <w:szCs w:val="22"/>
          <w:lang w:val="es-ES"/>
        </w:rPr>
      </w:pPr>
      <w:r w:rsidRPr="0017514D">
        <w:rPr>
          <w:snapToGrid/>
          <w:kern w:val="0"/>
          <w:szCs w:val="22"/>
          <w:lang w:val="es-ES"/>
        </w:rPr>
        <w:t xml:space="preserve">Stephen </w:t>
      </w:r>
      <w:r w:rsidRPr="0017514D">
        <w:rPr>
          <w:snapToGrid/>
          <w:kern w:val="0"/>
          <w:szCs w:val="22"/>
          <w:lang w:val="es-ES"/>
        </w:rPr>
        <w:t>Hartzell</w:t>
      </w:r>
      <w:r>
        <w:rPr>
          <w:snapToGrid/>
          <w:kern w:val="0"/>
          <w:szCs w:val="22"/>
          <w:lang w:val="es-ES"/>
        </w:rPr>
        <w:t xml:space="preserve">, </w:t>
      </w:r>
      <w:r w:rsidRPr="0017514D">
        <w:rPr>
          <w:snapToGrid/>
          <w:kern w:val="0"/>
          <w:szCs w:val="22"/>
          <w:lang w:val="es-ES"/>
        </w:rPr>
        <w:t>Patrick Cross</w:t>
      </w:r>
      <w:r>
        <w:rPr>
          <w:snapToGrid/>
          <w:kern w:val="0"/>
          <w:szCs w:val="22"/>
          <w:lang w:val="es-ES"/>
        </w:rPr>
        <w:t xml:space="preserve">, and </w:t>
      </w:r>
      <w:r w:rsidRPr="0017514D">
        <w:rPr>
          <w:snapToGrid/>
          <w:kern w:val="0"/>
          <w:szCs w:val="22"/>
          <w:lang w:val="es-ES"/>
        </w:rPr>
        <w:t>Micole</w:t>
      </w:r>
      <w:r w:rsidRPr="0017514D">
        <w:rPr>
          <w:snapToGrid/>
          <w:kern w:val="0"/>
          <w:szCs w:val="22"/>
          <w:lang w:val="es-ES"/>
        </w:rPr>
        <w:t xml:space="preserve"> Little</w:t>
      </w:r>
      <w:r>
        <w:rPr>
          <w:snapToGrid/>
          <w:kern w:val="0"/>
          <w:szCs w:val="22"/>
          <w:lang w:val="es-ES"/>
        </w:rPr>
        <w:t xml:space="preserve">, Esq. </w:t>
      </w:r>
    </w:p>
    <w:p w:rsidR="0017514D" w:rsidRPr="0017514D" w:rsidP="0017514D" w14:paraId="62F9A64B" w14:textId="09C27C45">
      <w:pPr>
        <w:pStyle w:val="ParaNum"/>
        <w:numPr>
          <w:ilvl w:val="0"/>
          <w:numId w:val="0"/>
        </w:numPr>
        <w:spacing w:after="0"/>
        <w:ind w:firstLine="720"/>
        <w:rPr>
          <w:snapToGrid/>
          <w:kern w:val="0"/>
          <w:szCs w:val="22"/>
          <w:lang w:val="es-ES"/>
        </w:rPr>
      </w:pPr>
      <w:r w:rsidRPr="0017514D">
        <w:rPr>
          <w:snapToGrid/>
          <w:kern w:val="0"/>
          <w:szCs w:val="22"/>
          <w:lang w:val="es-ES"/>
        </w:rPr>
        <w:t xml:space="preserve">BROOKS, PIERCE, </w:t>
      </w:r>
      <w:r w:rsidRPr="0017514D">
        <w:rPr>
          <w:snapToGrid/>
          <w:kern w:val="0"/>
          <w:szCs w:val="22"/>
          <w:lang w:val="es-ES"/>
        </w:rPr>
        <w:t>McLENDON</w:t>
      </w:r>
      <w:r w:rsidRPr="0017514D">
        <w:rPr>
          <w:snapToGrid/>
          <w:kern w:val="0"/>
          <w:szCs w:val="22"/>
          <w:lang w:val="es-ES"/>
        </w:rPr>
        <w:t>,</w:t>
      </w:r>
      <w:r>
        <w:rPr>
          <w:snapToGrid/>
          <w:kern w:val="0"/>
          <w:szCs w:val="22"/>
          <w:lang w:val="es-ES"/>
        </w:rPr>
        <w:t xml:space="preserve"> </w:t>
      </w:r>
      <w:r w:rsidRPr="0017514D">
        <w:rPr>
          <w:snapToGrid/>
          <w:kern w:val="0"/>
          <w:szCs w:val="22"/>
          <w:lang w:val="es-ES"/>
        </w:rPr>
        <w:t>HUMPHREY &amp; LEONARD, L.L.P.</w:t>
      </w:r>
    </w:p>
    <w:p w:rsidR="0017514D" w:rsidP="0017514D" w14:paraId="76530BF6" w14:textId="4B1C2458">
      <w:pPr>
        <w:pStyle w:val="ParaNum"/>
        <w:numPr>
          <w:ilvl w:val="0"/>
          <w:numId w:val="0"/>
        </w:numPr>
        <w:spacing w:after="0"/>
        <w:ind w:left="720"/>
        <w:rPr>
          <w:snapToGrid/>
          <w:kern w:val="0"/>
          <w:szCs w:val="22"/>
          <w:lang w:val="es-ES"/>
        </w:rPr>
      </w:pPr>
      <w:r w:rsidRPr="0017514D">
        <w:rPr>
          <w:snapToGrid/>
          <w:kern w:val="0"/>
          <w:szCs w:val="22"/>
          <w:lang w:val="es-ES"/>
        </w:rPr>
        <w:t>Wells Fargo Capitol Center</w:t>
      </w:r>
    </w:p>
    <w:p w:rsidR="0017514D" w:rsidRPr="0017514D" w:rsidP="0017514D" w14:paraId="1E6D6FCD" w14:textId="61C24EB9">
      <w:pPr>
        <w:pStyle w:val="ParaNum"/>
        <w:numPr>
          <w:ilvl w:val="0"/>
          <w:numId w:val="0"/>
        </w:numPr>
        <w:spacing w:after="0"/>
        <w:ind w:left="720"/>
        <w:rPr>
          <w:snapToGrid/>
          <w:kern w:val="0"/>
          <w:szCs w:val="22"/>
          <w:lang w:val="es-ES"/>
        </w:rPr>
      </w:pPr>
      <w:r w:rsidRPr="0017514D">
        <w:rPr>
          <w:snapToGrid/>
          <w:kern w:val="0"/>
          <w:szCs w:val="22"/>
          <w:lang w:val="es-ES"/>
        </w:rPr>
        <w:t>Suite 1700</w:t>
      </w:r>
    </w:p>
    <w:p w:rsidR="0017514D" w:rsidP="0017514D" w14:paraId="764DAB63" w14:textId="11AB2767">
      <w:pPr>
        <w:pStyle w:val="ParaNum"/>
        <w:numPr>
          <w:ilvl w:val="0"/>
          <w:numId w:val="0"/>
        </w:numPr>
        <w:spacing w:after="0"/>
        <w:ind w:left="720"/>
        <w:rPr>
          <w:snapToGrid/>
          <w:kern w:val="0"/>
          <w:szCs w:val="22"/>
          <w:lang w:val="es-ES"/>
        </w:rPr>
      </w:pPr>
      <w:r w:rsidRPr="0017514D">
        <w:rPr>
          <w:snapToGrid/>
          <w:kern w:val="0"/>
          <w:szCs w:val="22"/>
          <w:lang w:val="es-ES"/>
        </w:rPr>
        <w:t>Raleigh, North Carolina 27602</w:t>
      </w:r>
    </w:p>
    <w:p w:rsidR="0017514D" w:rsidRPr="0017514D" w:rsidP="0017514D" w14:paraId="6E134F51" w14:textId="77777777">
      <w:pPr>
        <w:pStyle w:val="ParaNum"/>
        <w:numPr>
          <w:ilvl w:val="0"/>
          <w:numId w:val="0"/>
        </w:numPr>
        <w:spacing w:after="0"/>
        <w:ind w:left="720"/>
        <w:rPr>
          <w:snapToGrid/>
          <w:kern w:val="0"/>
          <w:szCs w:val="22"/>
          <w:lang w:val="es-ES"/>
        </w:rPr>
      </w:pPr>
    </w:p>
    <w:p w:rsidR="00127459" w:rsidP="00F346B2" w14:paraId="73C1346E" w14:textId="282A355B">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3"/>
      </w:r>
      <w:r w:rsidRPr="00522221">
        <w:rPr>
          <w:szCs w:val="22"/>
        </w:rPr>
        <w:t xml:space="preserve">  </w:t>
      </w:r>
      <w:r>
        <w:t xml:space="preserve">For purposes of this restricted notice and comment rulemaking proceeding, members of the public are advised that no </w:t>
      </w:r>
      <w:r w:rsidRPr="007147FC">
        <w:rPr>
          <w:i/>
          <w:iCs/>
        </w:rPr>
        <w:t xml:space="preserve">ex </w:t>
      </w:r>
      <w:r w:rsidRPr="007147FC">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4"/>
      </w:r>
      <w:r>
        <w:t xml:space="preserve">  An </w:t>
      </w:r>
      <w:r w:rsidRPr="007147FC">
        <w:rPr>
          <w:i/>
          <w:iCs/>
        </w:rPr>
        <w:t xml:space="preserve">ex </w:t>
      </w:r>
      <w:r w:rsidRPr="007147FC">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5"/>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6"/>
      </w:r>
      <w:r>
        <w:t xml:space="preserve">  Any comment that has not been served on the petitioner constitutes an </w:t>
      </w:r>
      <w:r w:rsidRPr="00986CEC">
        <w:rPr>
          <w:i/>
          <w:iCs/>
        </w:rPr>
        <w:t xml:space="preserve">ex </w:t>
      </w:r>
      <w:r w:rsidRPr="00986CEC">
        <w:rPr>
          <w:i/>
          <w:iCs/>
        </w:rPr>
        <w:t>parte</w:t>
      </w:r>
      <w:r>
        <w:t xml:space="preserve"> presentation and shall not be considered in the proceeding.  Any reply comment which has not been served on the person(s) who filed the comment, to which the reply is directed, constitutes an </w:t>
      </w:r>
      <w:r w:rsidRPr="00986CEC">
        <w:rPr>
          <w:i/>
          <w:iCs/>
        </w:rPr>
        <w:t xml:space="preserve">ex </w:t>
      </w:r>
      <w:r w:rsidRPr="00986CEC">
        <w:rPr>
          <w:i/>
          <w:iCs/>
        </w:rPr>
        <w:t>parte</w:t>
      </w:r>
      <w:r>
        <w:t xml:space="preserve"> </w:t>
      </w:r>
      <w:r>
        <w:t xml:space="preserve">presentation and shall not be considered in the proceeding. </w:t>
      </w:r>
    </w:p>
    <w:p w:rsidR="00127459" w:rsidP="00F346B2" w14:paraId="560549C2" w14:textId="77777777">
      <w:pPr>
        <w:pStyle w:val="ParaNum"/>
      </w:pPr>
      <w:r w:rsidRPr="006F1759">
        <w:rPr>
          <w:i/>
          <w:iCs/>
        </w:rPr>
        <w:t xml:space="preserve">Availability of Documents.  </w:t>
      </w:r>
      <w:r w:rsidRPr="006F1759">
        <w:t xml:space="preserve">Comments, reply comments, and </w:t>
      </w:r>
      <w:r w:rsidRPr="00986CEC">
        <w:rPr>
          <w:i/>
          <w:iCs/>
        </w:rPr>
        <w:t xml:space="preserve">ex </w:t>
      </w:r>
      <w:r w:rsidRPr="00986CEC">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127459" w:rsidRPr="006F1759" w:rsidP="00F346B2" w14:paraId="23EB839A"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7"/>
      </w:r>
      <w:r>
        <w:t xml:space="preserve"> do not apply to a rulemaking proceeding to amend the FM Table of Allotments, section </w:t>
      </w:r>
      <w:r w:rsidRPr="005E3497">
        <w:t>73.202(b)</w:t>
      </w:r>
      <w:r>
        <w:t xml:space="preserve"> of the Rules.</w:t>
      </w:r>
      <w:r>
        <w:rPr>
          <w:rStyle w:val="FootnoteReference"/>
        </w:rPr>
        <w:footnoteReference w:id="28"/>
      </w:r>
      <w:r>
        <w:t xml:space="preserve">  This document does not contain proposed information collection requirements subject to the Paperwork Reduction Act of 1995.</w:t>
      </w:r>
      <w:r>
        <w:rPr>
          <w:rStyle w:val="FootnoteReference"/>
        </w:rPr>
        <w:footnoteReference w:id="29"/>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30"/>
      </w:r>
    </w:p>
    <w:p w:rsidR="00F632D6" w:rsidP="00F346B2" w14:paraId="6DDAE1A2"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w:t>
      </w:r>
      <w:r w:rsidRPr="005706D3">
        <w:rPr>
          <w:szCs w:val="22"/>
        </w:rPr>
        <w:t xml:space="preserve">e-mail to </w:t>
      </w:r>
      <w:hyperlink r:id="rId5" w:history="1">
        <w:r w:rsidRPr="005706D3">
          <w:rPr>
            <w:szCs w:val="22"/>
            <w:u w:val="single"/>
          </w:rPr>
          <w:t>fcc504@fcc.gov</w:t>
        </w:r>
      </w:hyperlink>
      <w:r w:rsidRPr="005706D3">
        <w:rPr>
          <w:szCs w:val="22"/>
        </w:rPr>
        <w:t xml:space="preserve"> or call the Consumer &amp; Governmental Affairs Bureau at 202-418-0530 (voice), 202-418-0432 (</w:t>
      </w:r>
      <w:r w:rsidRPr="005706D3">
        <w:rPr>
          <w:szCs w:val="22"/>
        </w:rPr>
        <w:t>tty</w:t>
      </w:r>
      <w:r w:rsidRPr="005706D3">
        <w:rPr>
          <w:szCs w:val="22"/>
        </w:rPr>
        <w:t>).</w:t>
      </w:r>
    </w:p>
    <w:p w:rsidR="00F632D6" w:rsidRPr="00F632D6" w:rsidP="00F346B2" w14:paraId="36553344" w14:textId="5E66D95F">
      <w:pPr>
        <w:pStyle w:val="ParaNum"/>
        <w:rPr>
          <w:szCs w:val="22"/>
        </w:rPr>
      </w:pPr>
      <w:r w:rsidRPr="00F632D6">
        <w:rPr>
          <w:i/>
          <w:iCs/>
        </w:rPr>
        <w:t>Additional Information</w:t>
      </w:r>
      <w:r w:rsidRPr="005706D3">
        <w:t>.  For further information concerning this proceeding</w:t>
      </w:r>
      <w:r>
        <w:t xml:space="preserve">, contact </w:t>
      </w:r>
      <w:r>
        <w:t>Rolanda F. Smith</w:t>
      </w:r>
      <w:r>
        <w:t>, Audio Division, Media Bureau, at (202) 418-</w:t>
      </w:r>
      <w:r>
        <w:t>2</w:t>
      </w:r>
      <w:r w:rsidR="00C81AA1">
        <w:t>054</w:t>
      </w:r>
      <w:r>
        <w:t xml:space="preserve">, </w:t>
      </w:r>
      <w:r>
        <w:t>Rolanda-Faye.Smith</w:t>
      </w:r>
      <w:r>
        <w:t xml:space="preserve">@fcc.gov. </w:t>
      </w:r>
    </w:p>
    <w:p w:rsidR="00127459" w:rsidRPr="00F632D6" w:rsidP="00F632D6" w14:paraId="17E53FCC" w14:textId="010EF838">
      <w:pPr>
        <w:pStyle w:val="ParaNum"/>
        <w:numPr>
          <w:ilvl w:val="0"/>
          <w:numId w:val="0"/>
        </w:numPr>
        <w:tabs>
          <w:tab w:val="left" w:pos="1080"/>
        </w:tabs>
        <w:ind w:left="720"/>
        <w:rPr>
          <w:szCs w:val="22"/>
        </w:rPr>
      </w:pPr>
      <w:r>
        <w:t xml:space="preserve"> </w:t>
      </w:r>
    </w:p>
    <w:p w:rsidR="00127459" w:rsidP="00127459" w14:paraId="6BB27FA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bookmarkStart w:id="9" w:name="_Ref342151419"/>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127459" w:rsidP="00127459" w14:paraId="39D7C252"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127459" w:rsidP="00127459" w14:paraId="2546947D"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127459" w:rsidP="00127459" w14:paraId="1FBB4AF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bookmarkEnd w:id="9"/>
    <w:p w:rsidR="00127459" w:rsidP="00127459" w14:paraId="6F36B69F" w14:textId="77777777">
      <w:pPr>
        <w:ind w:left="3600" w:firstLine="720"/>
      </w:pPr>
      <w:r>
        <w:t>Nazifa Sawez</w:t>
      </w:r>
    </w:p>
    <w:p w:rsidR="00127459" w:rsidP="00127459" w14:paraId="2108DF02" w14:textId="77777777">
      <w:pPr>
        <w:ind w:left="3600" w:firstLine="720"/>
      </w:pPr>
      <w:r>
        <w:t xml:space="preserve">Assistant Chief, Audio Division </w:t>
      </w:r>
    </w:p>
    <w:p w:rsidR="00127459" w:rsidRPr="009F2562" w:rsidP="00127459" w14:paraId="6C602345" w14:textId="77777777">
      <w:pPr>
        <w:ind w:left="3600" w:firstLine="720"/>
      </w:pPr>
      <w:r>
        <w:t>Media Bureau</w:t>
      </w:r>
    </w:p>
    <w:sectPr w:rsidSect="006F1759">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B48E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C821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19500BBF" w14:textId="09FB75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8B029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678A" w14:paraId="5DB35B21" w14:textId="77777777">
      <w:r>
        <w:separator/>
      </w:r>
    </w:p>
  </w:footnote>
  <w:footnote w:type="continuationSeparator" w:id="1">
    <w:p w:rsidR="00EF678A" w:rsidP="00C721AC" w14:paraId="765F21D5" w14:textId="77777777">
      <w:pPr>
        <w:spacing w:before="120"/>
        <w:rPr>
          <w:sz w:val="20"/>
        </w:rPr>
      </w:pPr>
      <w:r>
        <w:rPr>
          <w:sz w:val="20"/>
        </w:rPr>
        <w:t xml:space="preserve">(Continued from previous page)  </w:t>
      </w:r>
      <w:r>
        <w:rPr>
          <w:sz w:val="20"/>
        </w:rPr>
        <w:separator/>
      </w:r>
    </w:p>
  </w:footnote>
  <w:footnote w:type="continuationNotice" w:id="2">
    <w:p w:rsidR="00EF678A" w:rsidP="00C721AC" w14:paraId="6C56BCA3" w14:textId="77777777">
      <w:pPr>
        <w:jc w:val="right"/>
        <w:rPr>
          <w:sz w:val="20"/>
        </w:rPr>
      </w:pPr>
      <w:r>
        <w:rPr>
          <w:sz w:val="20"/>
        </w:rPr>
        <w:t>(continued….)</w:t>
      </w:r>
    </w:p>
  </w:footnote>
  <w:footnote w:id="3">
    <w:p w:rsidR="00986CEC" w:rsidP="00B03E61" w14:paraId="30ACD58B" w14:textId="72DE8B4B">
      <w:pPr>
        <w:pStyle w:val="FootnoteText"/>
        <w:widowControl w:val="0"/>
      </w:pPr>
      <w:r>
        <w:rPr>
          <w:rStyle w:val="FootnoteReference"/>
        </w:rPr>
        <w:footnoteRef/>
      </w:r>
      <w:r>
        <w:t xml:space="preserve"> </w:t>
      </w:r>
      <w:r w:rsidR="002C0EA0">
        <w:rPr>
          <w:i/>
          <w:iCs/>
        </w:rPr>
        <w:t xml:space="preserve">See </w:t>
      </w:r>
      <w:r w:rsidR="0052716D">
        <w:rPr>
          <w:i/>
          <w:iCs/>
        </w:rPr>
        <w:t>Revision of Procedures Governing Amendments to FM Table of Allotments and Changes of Community of License in the Radio Broadcast Services</w:t>
      </w:r>
      <w:r w:rsidR="0052716D">
        <w:t xml:space="preserve">, Report and Order, 21 FCC </w:t>
      </w:r>
      <w:r w:rsidR="0052716D">
        <w:t>Rcd</w:t>
      </w:r>
      <w:r w:rsidR="0052716D">
        <w:t xml:space="preserve"> 14212, 14223, para. 18 (2006)</w:t>
      </w:r>
      <w:r w:rsidR="003A0554">
        <w:t>.</w:t>
      </w:r>
    </w:p>
  </w:footnote>
  <w:footnote w:id="4">
    <w:p w:rsidR="00B01DEE" w:rsidP="00B03E61" w14:paraId="48223707" w14:textId="43ACE5B7">
      <w:pPr>
        <w:pStyle w:val="FootnoteText"/>
        <w:widowControl w:val="0"/>
      </w:pPr>
      <w:r>
        <w:rPr>
          <w:rStyle w:val="FootnoteReference"/>
        </w:rPr>
        <w:footnoteRef/>
      </w:r>
      <w:r>
        <w:t xml:space="preserve"> </w:t>
      </w:r>
      <w:r w:rsidRPr="00962068">
        <w:rPr>
          <w:i/>
        </w:rPr>
        <w:t>See</w:t>
      </w:r>
      <w:r>
        <w:t xml:space="preserve"> FCC File No. </w:t>
      </w:r>
      <w:r w:rsidR="00140FD2">
        <w:t>0000187154</w:t>
      </w:r>
      <w:r>
        <w:t xml:space="preserve"> (filed</w:t>
      </w:r>
      <w:r w:rsidR="00140FD2">
        <w:t xml:space="preserve"> March 24, 2022</w:t>
      </w:r>
      <w:r>
        <w:t>)</w:t>
      </w:r>
      <w:r w:rsidR="004F0299">
        <w:t xml:space="preserve"> (Application)</w:t>
      </w:r>
      <w:r>
        <w:t xml:space="preserve">.  </w:t>
      </w:r>
    </w:p>
  </w:footnote>
  <w:footnote w:id="5">
    <w:p w:rsidR="00CB5A7A" w14:paraId="46A3B250" w14:textId="26D31689">
      <w:pPr>
        <w:pStyle w:val="FootnoteText"/>
      </w:pPr>
      <w:r>
        <w:rPr>
          <w:rStyle w:val="FootnoteReference"/>
        </w:rPr>
        <w:footnoteRef/>
      </w:r>
      <w:r>
        <w:t xml:space="preserve"> </w:t>
      </w:r>
      <w:r w:rsidRPr="00CB5A7A">
        <w:t xml:space="preserve">Petitioner </w:t>
      </w:r>
      <w:r>
        <w:t>states</w:t>
      </w:r>
      <w:r w:rsidRPr="00CB5A7A">
        <w:t xml:space="preserve"> that the proposed allotment and facilities would not provide a city-grade signal over more than 50 percent of any urbanized areas</w:t>
      </w:r>
      <w:r>
        <w:t xml:space="preserve">, and </w:t>
      </w:r>
      <w:r w:rsidRPr="00CB5A7A">
        <w:t xml:space="preserve">contends that the proposal to provide a first local service at Big </w:t>
      </w:r>
      <w:r w:rsidRPr="00CB5A7A">
        <w:t>Coppitt</w:t>
      </w:r>
      <w:r w:rsidRPr="00CB5A7A">
        <w:t xml:space="preserve"> Key, Florida does not require any further analysis under the Urbanized Area Service Presumption (UASP</w:t>
      </w:r>
      <w:r>
        <w:t xml:space="preserve">).  </w:t>
      </w:r>
      <w:r>
        <w:rPr>
          <w:i/>
          <w:iCs/>
        </w:rPr>
        <w:t xml:space="preserve">See </w:t>
      </w:r>
      <w:r w:rsidRPr="00CB5A7A">
        <w:t xml:space="preserve">Policies to Promote Rural Radio Service and to Streamline Allotment and Assignment Policies, Second Report and Order, First Order on Reconsideration, and Second Further Notice of Proposed Rule Making, 26 FCC </w:t>
      </w:r>
      <w:r w:rsidRPr="00CB5A7A">
        <w:t>Rcd</w:t>
      </w:r>
      <w:r w:rsidRPr="00CB5A7A">
        <w:t xml:space="preserve"> 2556, 2575 ¶ 35 (2011) (Rural 2d R&amp;O).</w:t>
      </w:r>
      <w:r>
        <w:t xml:space="preserve"> </w:t>
      </w:r>
    </w:p>
  </w:footnote>
  <w:footnote w:id="6">
    <w:p w:rsidR="0037256A" w:rsidRPr="004965D0" w:rsidP="0037256A" w14:paraId="4D0D208A" w14:textId="14CEBECC">
      <w:pPr>
        <w:pStyle w:val="FootnoteText"/>
      </w:pPr>
      <w:r w:rsidRPr="004965D0">
        <w:rPr>
          <w:rStyle w:val="FootnoteReference"/>
        </w:rPr>
        <w:footnoteRef/>
      </w:r>
      <w:r w:rsidRPr="004965D0">
        <w:t xml:space="preserve"> </w:t>
      </w:r>
      <w:r w:rsidR="002C0EA0">
        <w:rPr>
          <w:i/>
          <w:iCs/>
        </w:rPr>
        <w:t xml:space="preserve">See </w:t>
      </w:r>
      <w:r w:rsidRPr="004965D0">
        <w:rPr>
          <w:i/>
        </w:rPr>
        <w:t xml:space="preserve">Revision of FM Assignment Policies and Procedures, </w:t>
      </w:r>
      <w:r w:rsidRPr="004965D0">
        <w:t xml:space="preserve">Second Report and Order, 90 FCC 2d 88, 98 (1982).  </w:t>
      </w:r>
    </w:p>
  </w:footnote>
  <w:footnote w:id="7">
    <w:p w:rsidR="005855D5" w:rsidP="005855D5" w14:paraId="75C1B764" w14:textId="71C4E5F2">
      <w:pPr>
        <w:rPr>
          <w:sz w:val="20"/>
        </w:rPr>
      </w:pPr>
      <w:r>
        <w:rPr>
          <w:rStyle w:val="FootnoteReference"/>
        </w:rPr>
        <w:footnoteRef/>
      </w:r>
      <w:r>
        <w:t xml:space="preserve"> </w:t>
      </w:r>
      <w:bookmarkStart w:id="1" w:name="_Hlk103182924"/>
      <w:r w:rsidRPr="00033757" w:rsidR="00033757">
        <w:rPr>
          <w:i/>
          <w:iCs/>
          <w:sz w:val="20"/>
        </w:rPr>
        <w:t xml:space="preserve">See </w:t>
      </w:r>
      <w:bookmarkStart w:id="2" w:name="_Hlk103180611"/>
      <w:r w:rsidRPr="00890899">
        <w:rPr>
          <w:i/>
          <w:sz w:val="20"/>
        </w:rPr>
        <w:t>Beacon Broadcasting</w:t>
      </w:r>
      <w:bookmarkEnd w:id="2"/>
      <w:bookmarkEnd w:id="1"/>
      <w:r w:rsidRPr="00890899">
        <w:rPr>
          <w:i/>
          <w:sz w:val="20"/>
        </w:rPr>
        <w:t xml:space="preserve">, </w:t>
      </w:r>
      <w:r w:rsidRPr="00890899">
        <w:rPr>
          <w:sz w:val="20"/>
        </w:rPr>
        <w:t xml:space="preserve">Memorandum Opinion and Order, 2 FCC </w:t>
      </w:r>
      <w:r w:rsidRPr="00890899">
        <w:rPr>
          <w:sz w:val="20"/>
        </w:rPr>
        <w:t>Rcd</w:t>
      </w:r>
      <w:r w:rsidRPr="00890899">
        <w:rPr>
          <w:sz w:val="20"/>
        </w:rPr>
        <w:t xml:space="preserve"> 3469 (1987) </w:t>
      </w:r>
      <w:r w:rsidRPr="00890899">
        <w:rPr>
          <w:i/>
          <w:sz w:val="20"/>
        </w:rPr>
        <w:t xml:space="preserve">aff’d sub nom; see also </w:t>
      </w:r>
      <w:bookmarkStart w:id="3" w:name="_Hlk103181625"/>
      <w:r w:rsidRPr="00890899">
        <w:rPr>
          <w:i/>
          <w:sz w:val="20"/>
        </w:rPr>
        <w:t>New South Broadcasting Corp</w:t>
      </w:r>
      <w:bookmarkEnd w:id="3"/>
      <w:r w:rsidRPr="00890899">
        <w:rPr>
          <w:i/>
          <w:sz w:val="20"/>
        </w:rPr>
        <w:t xml:space="preserve">. v FCC, </w:t>
      </w:r>
      <w:r w:rsidRPr="00890899">
        <w:rPr>
          <w:sz w:val="20"/>
        </w:rPr>
        <w:t xml:space="preserve">879 F. 2d 867 (D.C. Cir 1989)(stating that </w:t>
      </w:r>
      <w:bookmarkStart w:id="4" w:name="_Hlk103180832"/>
      <w:r w:rsidRPr="00890899">
        <w:rPr>
          <w:sz w:val="20"/>
        </w:rPr>
        <w:t>a specified location must be an identifiable population grouping, separate and apart from all others, and the geographic boundaries of the location must not enclose or contain areas or populations more logically identified or associated with some other location</w:t>
      </w:r>
      <w:bookmarkEnd w:id="4"/>
      <w:r w:rsidRPr="00890899">
        <w:rPr>
          <w:sz w:val="20"/>
        </w:rPr>
        <w:t>).</w:t>
      </w:r>
    </w:p>
    <w:p w:rsidR="005855D5" w:rsidP="005855D5" w14:paraId="26AED11F" w14:textId="23A56EFE">
      <w:pPr>
        <w:pStyle w:val="FootnoteText"/>
        <w:spacing w:after="0"/>
      </w:pPr>
    </w:p>
  </w:footnote>
  <w:footnote w:id="8">
    <w:p w:rsidR="00B66712" w:rsidP="005855D5" w14:paraId="47001F0E" w14:textId="40867FB0">
      <w:pPr>
        <w:pStyle w:val="FootnoteText"/>
        <w:spacing w:after="0"/>
      </w:pPr>
      <w:r>
        <w:rPr>
          <w:rStyle w:val="FootnoteReference"/>
        </w:rPr>
        <w:footnoteRef/>
      </w:r>
      <w:r>
        <w:t xml:space="preserve"> </w:t>
      </w:r>
      <w:r w:rsidR="00033757">
        <w:rPr>
          <w:i/>
          <w:iCs/>
        </w:rPr>
        <w:t xml:space="preserve">See </w:t>
      </w:r>
      <w:r w:rsidRPr="00890899">
        <w:rPr>
          <w:i/>
          <w:iCs/>
        </w:rPr>
        <w:t>Stock Island, Florida</w:t>
      </w:r>
      <w:r w:rsidRPr="00890899">
        <w:t xml:space="preserve">, 8 FCC </w:t>
      </w:r>
      <w:r w:rsidRPr="00890899">
        <w:t>Rcd</w:t>
      </w:r>
      <w:r w:rsidRPr="00890899">
        <w:t xml:space="preserve"> 343 (M</w:t>
      </w:r>
      <w:r w:rsidR="00346324">
        <w:t xml:space="preserve">MB </w:t>
      </w:r>
      <w:r w:rsidRPr="00890899">
        <w:t xml:space="preserve">1993); </w:t>
      </w:r>
      <w:r w:rsidRPr="00890899">
        <w:rPr>
          <w:i/>
          <w:iCs/>
        </w:rPr>
        <w:t>Hannahs Mill and Milledgeville, Georgia</w:t>
      </w:r>
      <w:r w:rsidRPr="00890899">
        <w:t xml:space="preserve">, 7 FCC </w:t>
      </w:r>
      <w:r w:rsidRPr="00890899">
        <w:t>Rcd</w:t>
      </w:r>
      <w:r w:rsidRPr="00890899">
        <w:t xml:space="preserve"> 3944 (M</w:t>
      </w:r>
      <w:r w:rsidR="00346324">
        <w:t>MB</w:t>
      </w:r>
      <w:r w:rsidRPr="00890899">
        <w:t>1992)</w:t>
      </w:r>
      <w:r w:rsidR="009B59E6">
        <w:t xml:space="preserve">; and </w:t>
      </w:r>
      <w:r w:rsidRPr="00890899" w:rsidR="009B59E6">
        <w:rPr>
          <w:i/>
          <w:iCs/>
        </w:rPr>
        <w:t>East Hemet, California, et al</w:t>
      </w:r>
      <w:r w:rsidRPr="00890899" w:rsidR="009B59E6">
        <w:t xml:space="preserve">., 4 FCC </w:t>
      </w:r>
      <w:r w:rsidRPr="00890899" w:rsidR="009B59E6">
        <w:t>Rcd</w:t>
      </w:r>
      <w:r w:rsidRPr="00890899" w:rsidR="009B59E6">
        <w:t xml:space="preserve"> 7895 (</w:t>
      </w:r>
      <w:r w:rsidR="009B59E6">
        <w:t xml:space="preserve">MMB </w:t>
      </w:r>
      <w:r w:rsidRPr="00890899" w:rsidR="009B59E6">
        <w:t>1989)</w:t>
      </w:r>
      <w:r w:rsidRPr="003D6CBA">
        <w:t>(denying community status because petitioner failed to identify any other businesses or political, social and commercial organizations which identify themselves with the community in question).</w:t>
      </w:r>
    </w:p>
    <w:p w:rsidR="00016D84" w:rsidP="00B66712" w14:paraId="6D41AD36" w14:textId="6AB429DC">
      <w:pPr>
        <w:pStyle w:val="FootnoteText"/>
        <w:spacing w:after="0"/>
      </w:pPr>
    </w:p>
  </w:footnote>
  <w:footnote w:id="9">
    <w:p w:rsidR="00AB61EE" w:rsidP="00AB61EE" w14:paraId="4687BBAE" w14:textId="77777777">
      <w:pPr>
        <w:pStyle w:val="FootnoteText"/>
        <w:spacing w:after="0"/>
      </w:pPr>
      <w:r>
        <w:rPr>
          <w:rStyle w:val="FootnoteReference"/>
        </w:rPr>
        <w:footnoteRef/>
      </w:r>
      <w:r>
        <w:t xml:space="preserve"> </w:t>
      </w:r>
      <w:r>
        <w:rPr>
          <w:i/>
          <w:iCs/>
        </w:rPr>
        <w:t xml:space="preserve">See </w:t>
      </w:r>
      <w:r w:rsidRPr="003D6CBA">
        <w:rPr>
          <w:i/>
          <w:iCs/>
        </w:rPr>
        <w:t>Willows and Dunnigan, California</w:t>
      </w:r>
      <w:r w:rsidRPr="003D6CBA">
        <w:t xml:space="preserve">, Report and Order, 10 FCC </w:t>
      </w:r>
      <w:r w:rsidRPr="003D6CBA">
        <w:t>Rcd</w:t>
      </w:r>
      <w:r w:rsidRPr="003D6CBA">
        <w:t xml:space="preserve"> 11522 (1995)(</w:t>
      </w:r>
      <w:r>
        <w:t xml:space="preserve">stating </w:t>
      </w:r>
      <w:r w:rsidRPr="003D6CBA">
        <w:t>that it is an “indicia of community” if local businesses and other establishments in the vicinity identify with a community by including the name of that community in their names).</w:t>
      </w:r>
    </w:p>
    <w:p w:rsidR="00AB61EE" w:rsidP="00AB61EE" w14:paraId="0981ADBE" w14:textId="6037EA36">
      <w:pPr>
        <w:pStyle w:val="FootnoteText"/>
        <w:spacing w:after="0"/>
      </w:pPr>
    </w:p>
  </w:footnote>
  <w:footnote w:id="10">
    <w:p w:rsidR="00F11365" w:rsidP="00AB61EE" w14:paraId="77B9BD6D" w14:textId="29C3BC43">
      <w:pPr>
        <w:pStyle w:val="FootnoteText"/>
        <w:spacing w:after="0"/>
      </w:pPr>
      <w:r>
        <w:rPr>
          <w:rStyle w:val="FootnoteReference"/>
        </w:rPr>
        <w:footnoteRef/>
      </w:r>
      <w:r>
        <w:t xml:space="preserve"> </w:t>
      </w:r>
      <w:r w:rsidR="00033757">
        <w:rPr>
          <w:i/>
          <w:iCs/>
        </w:rPr>
        <w:t xml:space="preserve">See </w:t>
      </w:r>
      <w:r w:rsidRPr="005855D5">
        <w:rPr>
          <w:i/>
          <w:iCs/>
        </w:rPr>
        <w:t>Hayfield, VA</w:t>
      </w:r>
      <w:r w:rsidRPr="00F11365">
        <w:t xml:space="preserve">, 12 FCC </w:t>
      </w:r>
      <w:r w:rsidRPr="00F11365">
        <w:t>Rcd</w:t>
      </w:r>
      <w:r w:rsidRPr="00F11365">
        <w:t xml:space="preserve"> 16373 (</w:t>
      </w:r>
      <w:r w:rsidR="005855D5">
        <w:t xml:space="preserve">MMB </w:t>
      </w:r>
      <w:r w:rsidRPr="00F11365">
        <w:t xml:space="preserve">1997) and </w:t>
      </w:r>
      <w:r w:rsidRPr="005855D5">
        <w:rPr>
          <w:i/>
          <w:iCs/>
        </w:rPr>
        <w:t>Kenansville, Florida</w:t>
      </w:r>
      <w:r w:rsidRPr="00F11365">
        <w:t xml:space="preserve">, 5 FCC </w:t>
      </w:r>
      <w:r w:rsidRPr="00F11365">
        <w:t>Rcd</w:t>
      </w:r>
      <w:r w:rsidRPr="00F11365">
        <w:t xml:space="preserve"> 2663 (M</w:t>
      </w:r>
      <w:r w:rsidR="005855D5">
        <w:t>MB</w:t>
      </w:r>
      <w:r w:rsidRPr="00F11365">
        <w:t xml:space="preserve"> 1990), aff'd., 10 FCC </w:t>
      </w:r>
      <w:r w:rsidRPr="00F11365">
        <w:t>Rcd</w:t>
      </w:r>
      <w:r w:rsidRPr="00F11365">
        <w:t xml:space="preserve"> 9831(1995)(stating petitioner must provide sufficient objective evidence indicating the existence of a community or any subjective evidence such as testimony of local residents indicating that they perceive themselves as belonging to a distinct geographical grouping)</w:t>
      </w:r>
      <w:r>
        <w:t>.</w:t>
      </w:r>
    </w:p>
    <w:p w:rsidR="00F567FA" w:rsidP="00AB61EE" w14:paraId="551A149B" w14:textId="77777777">
      <w:pPr>
        <w:pStyle w:val="FootnoteText"/>
        <w:spacing w:after="0"/>
      </w:pPr>
    </w:p>
  </w:footnote>
  <w:footnote w:id="11">
    <w:p w:rsidR="00B01DEE" w:rsidP="00866450" w14:paraId="179D0E4B" w14:textId="65F6A1CC">
      <w:pPr>
        <w:pStyle w:val="FootnoteText"/>
        <w:spacing w:after="0"/>
      </w:pPr>
      <w:r w:rsidRPr="00890899">
        <w:rPr>
          <w:rStyle w:val="FootnoteReference"/>
        </w:rPr>
        <w:footnoteRef/>
      </w:r>
      <w:r w:rsidRPr="00890899">
        <w:t xml:space="preserve"> </w:t>
      </w:r>
      <w:r w:rsidR="002C0EA0">
        <w:rPr>
          <w:i/>
          <w:iCs/>
        </w:rPr>
        <w:t xml:space="preserve">See </w:t>
      </w:r>
      <w:r w:rsidRPr="00890899">
        <w:rPr>
          <w:i/>
        </w:rPr>
        <w:t xml:space="preserve">Revision of FM Assignment Policies and Procedures, </w:t>
      </w:r>
      <w:r w:rsidRPr="00890899">
        <w:t xml:space="preserve">Second Report and Order, 90 FCC 2d 88 (1982).  The FM allotment priorities are: (1) First fulltime aural service, (2) Second fulltime aural service, (3) First local service and (4) Other public interest matters.  Co-equal weight is given to Priorities (2) and (3). </w:t>
      </w:r>
    </w:p>
    <w:p w:rsidR="003D6CBA" w:rsidRPr="00890899" w:rsidP="00866450" w14:paraId="75CB7D81" w14:textId="77777777">
      <w:pPr>
        <w:pStyle w:val="FootnoteText"/>
        <w:spacing w:after="0"/>
      </w:pPr>
    </w:p>
  </w:footnote>
  <w:footnote w:id="12">
    <w:p w:rsidR="00441C02" w:rsidP="00F346B2" w14:paraId="24844E8F" w14:textId="1A9ABBAC">
      <w:pPr>
        <w:pStyle w:val="FootnoteText"/>
        <w:widowControl w:val="0"/>
        <w:spacing w:after="0"/>
      </w:pPr>
      <w:r w:rsidRPr="00890899">
        <w:rPr>
          <w:rStyle w:val="FootnoteReference"/>
        </w:rPr>
        <w:footnoteRef/>
      </w:r>
      <w:r w:rsidRPr="00890899">
        <w:t xml:space="preserve"> </w:t>
      </w:r>
      <w:r w:rsidRPr="00890899" w:rsidR="00581A23">
        <w:t>47 CFR § 73.207.</w:t>
      </w:r>
    </w:p>
    <w:p w:rsidR="003D6CBA" w:rsidRPr="00890899" w:rsidP="00866450" w14:paraId="3D1E6810" w14:textId="77777777">
      <w:pPr>
        <w:pStyle w:val="FootnoteText"/>
        <w:widowControl w:val="0"/>
        <w:spacing w:after="0"/>
      </w:pPr>
    </w:p>
  </w:footnote>
  <w:footnote w:id="13">
    <w:p w:rsidR="00983425" w:rsidP="00866450" w14:paraId="53A4B72B" w14:textId="312A4D40">
      <w:pPr>
        <w:pStyle w:val="FootnoteText"/>
        <w:widowControl w:val="0"/>
        <w:spacing w:after="0"/>
      </w:pPr>
      <w:r w:rsidRPr="00890899">
        <w:rPr>
          <w:rStyle w:val="FootnoteReference"/>
        </w:rPr>
        <w:footnoteRef/>
      </w:r>
      <w:r w:rsidRPr="00890899">
        <w:t xml:space="preserve"> </w:t>
      </w:r>
      <w:r w:rsidRPr="00890899">
        <w:t>47 CFR § 73.202(b).</w:t>
      </w:r>
    </w:p>
    <w:p w:rsidR="00033757" w:rsidRPr="00890899" w:rsidP="00866450" w14:paraId="3EE24E5E" w14:textId="77777777">
      <w:pPr>
        <w:pStyle w:val="FootnoteText"/>
        <w:widowControl w:val="0"/>
        <w:spacing w:after="0"/>
      </w:pPr>
    </w:p>
  </w:footnote>
  <w:footnote w:id="14">
    <w:p w:rsidR="00127459" w:rsidRPr="00890899" w:rsidP="00127459" w14:paraId="15197E0F" w14:textId="77777777">
      <w:pPr>
        <w:pStyle w:val="FootnoteText"/>
        <w:widowControl w:val="0"/>
      </w:pPr>
      <w:r w:rsidRPr="00890899">
        <w:rPr>
          <w:rStyle w:val="FootnoteReference"/>
        </w:rPr>
        <w:footnoteRef/>
      </w:r>
      <w:r w:rsidRPr="00890899">
        <w:t xml:space="preserve"> </w:t>
      </w:r>
      <w:r w:rsidRPr="00890899">
        <w:t>47 CFR § 1.420(d).</w:t>
      </w:r>
    </w:p>
  </w:footnote>
  <w:footnote w:id="15">
    <w:p w:rsidR="00127459" w:rsidP="00127459" w14:paraId="0E05C225" w14:textId="77777777">
      <w:pPr>
        <w:pStyle w:val="FootnoteText"/>
        <w:widowControl w:val="0"/>
      </w:pPr>
      <w:r>
        <w:rPr>
          <w:rStyle w:val="FootnoteReference"/>
        </w:rPr>
        <w:footnoteRef/>
      </w:r>
      <w:r>
        <w:t xml:space="preserve"> </w:t>
      </w:r>
      <w:r w:rsidRPr="003B6FA0">
        <w:t xml:space="preserve">47 CFR </w:t>
      </w:r>
      <w:r>
        <w:t xml:space="preserve">§ </w:t>
      </w:r>
      <w:r w:rsidRPr="003B6FA0">
        <w:t>1.420(</w:t>
      </w:r>
      <w:r>
        <w:t>j</w:t>
      </w:r>
      <w:r w:rsidRPr="003B6FA0">
        <w:t>)</w:t>
      </w:r>
      <w:r>
        <w:t>.</w:t>
      </w:r>
    </w:p>
  </w:footnote>
  <w:footnote w:id="16">
    <w:p w:rsidR="00127459" w:rsidP="00127459" w14:paraId="0DF5BDDE" w14:textId="77777777">
      <w:pPr>
        <w:pStyle w:val="FootnoteText"/>
        <w:widowControl w:val="0"/>
      </w:pPr>
      <w:r>
        <w:rPr>
          <w:rStyle w:val="FootnoteReference"/>
        </w:rPr>
        <w:footnoteRef/>
      </w:r>
      <w:r>
        <w:t xml:space="preserve"> </w:t>
      </w:r>
      <w:r w:rsidRPr="005F375B">
        <w:t>47 CFR § 1.420(</w:t>
      </w:r>
      <w:r>
        <w:t>g)(2)</w:t>
      </w:r>
      <w:r w:rsidRPr="005F375B">
        <w:t>.</w:t>
      </w:r>
    </w:p>
  </w:footnote>
  <w:footnote w:id="17">
    <w:p w:rsidR="00127459" w:rsidP="00127459" w14:paraId="27819882" w14:textId="77777777">
      <w:pPr>
        <w:pStyle w:val="FootnoteText"/>
        <w:widowControl w:val="0"/>
      </w:pPr>
      <w:r>
        <w:rPr>
          <w:rStyle w:val="FootnoteReference"/>
        </w:rPr>
        <w:footnoteRef/>
      </w:r>
      <w:r>
        <w:t xml:space="preserve"> </w:t>
      </w:r>
      <w:r w:rsidRPr="003B6FA0">
        <w:t>47 CFR §§ 1.415, 1.419,</w:t>
      </w:r>
      <w:r>
        <w:t xml:space="preserve"> and 1.420.</w:t>
      </w:r>
    </w:p>
  </w:footnote>
  <w:footnote w:id="18">
    <w:p w:rsidR="00127459" w:rsidRPr="006F1759" w:rsidP="00127459" w14:paraId="31C4892C"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19">
    <w:p w:rsidR="00127459" w:rsidP="00127459" w14:paraId="5BCF1D92" w14:textId="77777777">
      <w:pPr>
        <w:pStyle w:val="FootnoteText"/>
        <w:widowControl w:val="0"/>
      </w:pPr>
      <w:r>
        <w:rPr>
          <w:rStyle w:val="FootnoteReference"/>
        </w:rPr>
        <w:footnoteRef/>
      </w:r>
      <w:r>
        <w:t xml:space="preserve"> </w:t>
      </w:r>
      <w:r>
        <w:rPr>
          <w:i/>
          <w:spacing w:val="-3"/>
          <w:szCs w:val="22"/>
        </w:rPr>
        <w:t>See</w:t>
      </w:r>
      <w:r>
        <w:rPr>
          <w:spacing w:val="-3"/>
          <w:szCs w:val="22"/>
        </w:rPr>
        <w:t xml:space="preserve"> 47 CFR § 1.7.</w:t>
      </w:r>
    </w:p>
  </w:footnote>
  <w:footnote w:id="20">
    <w:p w:rsidR="00127459" w:rsidP="00127459" w14:paraId="33AE59E8"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21">
    <w:p w:rsidR="00127459" w:rsidP="00127459" w14:paraId="42BBFA63" w14:textId="76D9C45E">
      <w:pPr>
        <w:pStyle w:val="FootnoteText"/>
        <w:widowControl w:val="0"/>
      </w:pPr>
      <w:r>
        <w:rPr>
          <w:rStyle w:val="FootnoteReference"/>
        </w:rPr>
        <w:footnoteRef/>
      </w:r>
      <w:r>
        <w:t xml:space="preserve"> </w:t>
      </w:r>
      <w:r>
        <w:t xml:space="preserve">47 CFR § </w:t>
      </w:r>
      <w:r w:rsidR="002C596A">
        <w:t>1</w:t>
      </w:r>
      <w:r>
        <w:t>.</w:t>
      </w:r>
      <w:r w:rsidR="002C596A">
        <w:t>4</w:t>
      </w:r>
      <w:r>
        <w:t>20.</w:t>
      </w:r>
    </w:p>
  </w:footnote>
  <w:footnote w:id="22">
    <w:p w:rsidR="00127459" w:rsidP="00127459" w14:paraId="40819164"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23">
    <w:p w:rsidR="00127459" w:rsidRPr="00522221" w:rsidP="00127459" w14:paraId="45B3729C" w14:textId="77777777">
      <w:pPr>
        <w:pStyle w:val="FootnoteText"/>
        <w:widowControl w:val="0"/>
        <w:rPr>
          <w:i/>
          <w:iCs/>
        </w:rPr>
      </w:pPr>
      <w:r w:rsidRPr="00522221">
        <w:rPr>
          <w:rStyle w:val="FootnoteReference"/>
        </w:rPr>
        <w:footnoteRef/>
      </w:r>
      <w:r w:rsidRPr="00522221">
        <w:t xml:space="preserve"> </w:t>
      </w:r>
      <w:r w:rsidRPr="00522221">
        <w:t>47 CFR §</w:t>
      </w:r>
      <w:r>
        <w:t>§</w:t>
      </w:r>
      <w:r w:rsidRPr="00522221">
        <w:t xml:space="preserve"> 1.1200 </w:t>
      </w:r>
      <w:r w:rsidRPr="00522221">
        <w:rPr>
          <w:i/>
          <w:iCs/>
        </w:rPr>
        <w:t>et seq.</w:t>
      </w:r>
    </w:p>
  </w:footnote>
  <w:footnote w:id="24">
    <w:p w:rsidR="00127459" w:rsidP="00127459" w14:paraId="104096E1" w14:textId="77777777">
      <w:pPr>
        <w:pStyle w:val="FootnoteText"/>
        <w:widowControl w:val="0"/>
      </w:pPr>
      <w:r>
        <w:rPr>
          <w:rStyle w:val="FootnoteReference"/>
        </w:rPr>
        <w:footnoteRef/>
      </w:r>
      <w:r>
        <w:t xml:space="preserve"> </w:t>
      </w:r>
      <w:r>
        <w:t>47 CFR § 1.1208.</w:t>
      </w:r>
    </w:p>
  </w:footnote>
  <w:footnote w:id="25">
    <w:p w:rsidR="00127459" w:rsidP="00127459" w14:paraId="18E8DECD" w14:textId="77777777">
      <w:pPr>
        <w:pStyle w:val="FootnoteText"/>
        <w:widowControl w:val="0"/>
      </w:pPr>
      <w:r>
        <w:rPr>
          <w:rStyle w:val="FootnoteReference"/>
        </w:rPr>
        <w:footnoteRef/>
      </w:r>
      <w:r>
        <w:t xml:space="preserve"> </w:t>
      </w:r>
      <w:r>
        <w:t>47 CFR § 1.1204(a)(10).</w:t>
      </w:r>
    </w:p>
  </w:footnote>
  <w:footnote w:id="26">
    <w:p w:rsidR="00127459" w:rsidP="00127459" w14:paraId="38B826A1" w14:textId="77777777">
      <w:pPr>
        <w:pStyle w:val="FootnoteText"/>
        <w:widowControl w:val="0"/>
      </w:pPr>
      <w:r>
        <w:rPr>
          <w:rStyle w:val="FootnoteReference"/>
        </w:rPr>
        <w:footnoteRef/>
      </w:r>
      <w:r>
        <w:t xml:space="preserve"> </w:t>
      </w:r>
      <w:r>
        <w:t xml:space="preserve">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986CEC">
        <w:rPr>
          <w:i/>
          <w:iCs/>
        </w:rPr>
        <w:t xml:space="preserve">ex </w:t>
      </w:r>
      <w:r w:rsidRPr="00986CEC">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7">
    <w:p w:rsidR="00127459" w:rsidP="00127459" w14:paraId="0BAEC542"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8">
    <w:p w:rsidR="00127459" w:rsidP="00127459" w14:paraId="4AD2357D" w14:textId="098D8722">
      <w:pPr>
        <w:pStyle w:val="FootnoteText"/>
        <w:widowControl w:val="0"/>
      </w:pPr>
      <w:r>
        <w:rPr>
          <w:rStyle w:val="FootnoteReference"/>
        </w:rPr>
        <w:footnoteRef/>
      </w:r>
      <w:r>
        <w:t xml:space="preserve"> </w:t>
      </w:r>
      <w:r w:rsidRPr="009F2562">
        <w:t>47 CFR § 73.</w:t>
      </w:r>
      <w:r w:rsidR="00F632D6">
        <w:t>2</w:t>
      </w:r>
      <w:r>
        <w:t>0</w:t>
      </w:r>
      <w:r w:rsidRPr="009F2562">
        <w:t>2(</w:t>
      </w:r>
      <w:r>
        <w:t>b</w:t>
      </w:r>
      <w:r w:rsidRPr="009F2562">
        <w:t>).</w:t>
      </w:r>
    </w:p>
  </w:footnote>
  <w:footnote w:id="29">
    <w:p w:rsidR="00127459" w:rsidP="00127459" w14:paraId="7D5AE54E"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30">
    <w:p w:rsidR="00127459" w:rsidP="00127459" w14:paraId="231BECEE"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CF1773" w14:textId="4D1CB6A1">
    <w:pPr>
      <w:pStyle w:val="Header"/>
      <w:rPr>
        <w:b w:val="0"/>
      </w:rPr>
    </w:pPr>
    <w:r>
      <w:tab/>
    </w:r>
    <w:r>
      <w:t>Federal Communications Commission</w:t>
    </w:r>
    <w:r>
      <w:tab/>
    </w:r>
    <w:r w:rsidR="008E3329">
      <w:t>DA 22-</w:t>
    </w:r>
    <w:r w:rsidR="00463B11">
      <w:t>540</w:t>
    </w:r>
  </w:p>
  <w:p w:rsidR="00D25FB5" w14:paraId="21C358DE" w14:textId="12ADD1F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E34F81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87EF1E" w14:textId="70211C8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8E3329">
      <w:rPr>
        <w:spacing w:val="-2"/>
      </w:rPr>
      <w:t>DA 22-</w:t>
    </w:r>
    <w:r w:rsidR="00463B11">
      <w:rPr>
        <w:spacing w:val="-2"/>
      </w:rPr>
      <w:t>540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20975D6"/>
    <w:multiLevelType w:val="hybridMultilevel"/>
    <w:tmpl w:val="14987D82"/>
    <w:lvl w:ilvl="0">
      <w:start w:val="233"/>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8"/>
    <w:lvlOverride w:ilvl="0">
      <w:startOverride w:val="1"/>
    </w:lvlOverride>
  </w:num>
  <w:num w:numId="8">
    <w:abstractNumId w:val="10"/>
  </w:num>
  <w:num w:numId="9">
    <w:abstractNumId w:val="9"/>
  </w:num>
  <w:num w:numId="10">
    <w:abstractNumId w:val="1"/>
  </w:num>
  <w:num w:numId="11">
    <w:abstractNumId w:val="11"/>
  </w:num>
  <w:num w:numId="12">
    <w:abstractNumId w:val="8"/>
    <w:lvlOverride w:ilvl="0">
      <w:startOverride w:val="1"/>
    </w:lvlOverride>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18D6"/>
    <w:rsid w:val="00003FD3"/>
    <w:rsid w:val="00016D84"/>
    <w:rsid w:val="00033757"/>
    <w:rsid w:val="00036039"/>
    <w:rsid w:val="00037F90"/>
    <w:rsid w:val="00074DA5"/>
    <w:rsid w:val="000875BF"/>
    <w:rsid w:val="00096D8C"/>
    <w:rsid w:val="000A72DA"/>
    <w:rsid w:val="000C0B65"/>
    <w:rsid w:val="000E05FE"/>
    <w:rsid w:val="000E3D42"/>
    <w:rsid w:val="000E7CE4"/>
    <w:rsid w:val="000F26BD"/>
    <w:rsid w:val="0010099B"/>
    <w:rsid w:val="00122BD5"/>
    <w:rsid w:val="00127459"/>
    <w:rsid w:val="00133F79"/>
    <w:rsid w:val="00140FD2"/>
    <w:rsid w:val="00162D0D"/>
    <w:rsid w:val="0017514D"/>
    <w:rsid w:val="00176451"/>
    <w:rsid w:val="00194A66"/>
    <w:rsid w:val="001A0909"/>
    <w:rsid w:val="001A21E3"/>
    <w:rsid w:val="001A7095"/>
    <w:rsid w:val="001B575D"/>
    <w:rsid w:val="001D6BCF"/>
    <w:rsid w:val="001E01CA"/>
    <w:rsid w:val="001E1C45"/>
    <w:rsid w:val="001F250D"/>
    <w:rsid w:val="00200130"/>
    <w:rsid w:val="00202AF5"/>
    <w:rsid w:val="002073C1"/>
    <w:rsid w:val="0021107B"/>
    <w:rsid w:val="0022695F"/>
    <w:rsid w:val="00260AF3"/>
    <w:rsid w:val="00275CF5"/>
    <w:rsid w:val="0028301F"/>
    <w:rsid w:val="00283A40"/>
    <w:rsid w:val="00285017"/>
    <w:rsid w:val="0028564E"/>
    <w:rsid w:val="002A2D2E"/>
    <w:rsid w:val="002B07BE"/>
    <w:rsid w:val="002C00E8"/>
    <w:rsid w:val="002C0EA0"/>
    <w:rsid w:val="002C596A"/>
    <w:rsid w:val="002D46BF"/>
    <w:rsid w:val="00305469"/>
    <w:rsid w:val="003176B1"/>
    <w:rsid w:val="00331D74"/>
    <w:rsid w:val="00343749"/>
    <w:rsid w:val="00346324"/>
    <w:rsid w:val="00351EF5"/>
    <w:rsid w:val="00352A67"/>
    <w:rsid w:val="00362A76"/>
    <w:rsid w:val="003660ED"/>
    <w:rsid w:val="0037256A"/>
    <w:rsid w:val="00384600"/>
    <w:rsid w:val="003A0554"/>
    <w:rsid w:val="003B0550"/>
    <w:rsid w:val="003B694F"/>
    <w:rsid w:val="003B6FA0"/>
    <w:rsid w:val="003D6CBA"/>
    <w:rsid w:val="003F171C"/>
    <w:rsid w:val="00401652"/>
    <w:rsid w:val="00406272"/>
    <w:rsid w:val="00412FC5"/>
    <w:rsid w:val="00422276"/>
    <w:rsid w:val="004242F1"/>
    <w:rsid w:val="00441C02"/>
    <w:rsid w:val="00445A00"/>
    <w:rsid w:val="00451B0F"/>
    <w:rsid w:val="00463B11"/>
    <w:rsid w:val="0046553E"/>
    <w:rsid w:val="004731A3"/>
    <w:rsid w:val="0048464E"/>
    <w:rsid w:val="004965D0"/>
    <w:rsid w:val="004A3C48"/>
    <w:rsid w:val="004B3AE6"/>
    <w:rsid w:val="004C0073"/>
    <w:rsid w:val="004C2EE3"/>
    <w:rsid w:val="004E3772"/>
    <w:rsid w:val="004E4A22"/>
    <w:rsid w:val="004F0299"/>
    <w:rsid w:val="00511968"/>
    <w:rsid w:val="00522221"/>
    <w:rsid w:val="0052716D"/>
    <w:rsid w:val="00531DDE"/>
    <w:rsid w:val="0055614C"/>
    <w:rsid w:val="00566D06"/>
    <w:rsid w:val="005706D3"/>
    <w:rsid w:val="00581A23"/>
    <w:rsid w:val="0058200E"/>
    <w:rsid w:val="005855D5"/>
    <w:rsid w:val="00585EED"/>
    <w:rsid w:val="0059653A"/>
    <w:rsid w:val="005A468A"/>
    <w:rsid w:val="005B1762"/>
    <w:rsid w:val="005D4C36"/>
    <w:rsid w:val="005E14C2"/>
    <w:rsid w:val="005E3497"/>
    <w:rsid w:val="005F375B"/>
    <w:rsid w:val="00607BA5"/>
    <w:rsid w:val="0061180A"/>
    <w:rsid w:val="00626EB6"/>
    <w:rsid w:val="00650196"/>
    <w:rsid w:val="00655D03"/>
    <w:rsid w:val="006830F0"/>
    <w:rsid w:val="00683388"/>
    <w:rsid w:val="00683F84"/>
    <w:rsid w:val="00690900"/>
    <w:rsid w:val="00690CF5"/>
    <w:rsid w:val="006A6A81"/>
    <w:rsid w:val="006F1759"/>
    <w:rsid w:val="006F7393"/>
    <w:rsid w:val="0070224F"/>
    <w:rsid w:val="007115F7"/>
    <w:rsid w:val="007147FC"/>
    <w:rsid w:val="00722D96"/>
    <w:rsid w:val="0072707C"/>
    <w:rsid w:val="00742579"/>
    <w:rsid w:val="0075166D"/>
    <w:rsid w:val="0076764F"/>
    <w:rsid w:val="00785689"/>
    <w:rsid w:val="007922CB"/>
    <w:rsid w:val="0079754B"/>
    <w:rsid w:val="007A1E6D"/>
    <w:rsid w:val="007B0EB2"/>
    <w:rsid w:val="00810B6F"/>
    <w:rsid w:val="00822CE0"/>
    <w:rsid w:val="00831A92"/>
    <w:rsid w:val="00840FF0"/>
    <w:rsid w:val="00841AB1"/>
    <w:rsid w:val="008447F7"/>
    <w:rsid w:val="008470CB"/>
    <w:rsid w:val="0085430C"/>
    <w:rsid w:val="00866450"/>
    <w:rsid w:val="00890899"/>
    <w:rsid w:val="008A0FDD"/>
    <w:rsid w:val="008C68F1"/>
    <w:rsid w:val="008E3329"/>
    <w:rsid w:val="00921803"/>
    <w:rsid w:val="00926503"/>
    <w:rsid w:val="0095357A"/>
    <w:rsid w:val="00962068"/>
    <w:rsid w:val="009726D8"/>
    <w:rsid w:val="00983425"/>
    <w:rsid w:val="00986CEC"/>
    <w:rsid w:val="009930D8"/>
    <w:rsid w:val="009B59E6"/>
    <w:rsid w:val="009D7308"/>
    <w:rsid w:val="009F11D4"/>
    <w:rsid w:val="009F2562"/>
    <w:rsid w:val="009F76DB"/>
    <w:rsid w:val="00A32C3B"/>
    <w:rsid w:val="00A44F77"/>
    <w:rsid w:val="00A45F4F"/>
    <w:rsid w:val="00A600A9"/>
    <w:rsid w:val="00AA55B7"/>
    <w:rsid w:val="00AA5B9E"/>
    <w:rsid w:val="00AB0DFC"/>
    <w:rsid w:val="00AB2407"/>
    <w:rsid w:val="00AB4896"/>
    <w:rsid w:val="00AB53DF"/>
    <w:rsid w:val="00AB61EE"/>
    <w:rsid w:val="00AF6613"/>
    <w:rsid w:val="00B01DEE"/>
    <w:rsid w:val="00B03E61"/>
    <w:rsid w:val="00B07E5C"/>
    <w:rsid w:val="00B46202"/>
    <w:rsid w:val="00B66712"/>
    <w:rsid w:val="00B7456F"/>
    <w:rsid w:val="00B811F7"/>
    <w:rsid w:val="00BA0A3D"/>
    <w:rsid w:val="00BA5DC6"/>
    <w:rsid w:val="00BA6196"/>
    <w:rsid w:val="00BC69ED"/>
    <w:rsid w:val="00BC6D8C"/>
    <w:rsid w:val="00BD7087"/>
    <w:rsid w:val="00BE4C13"/>
    <w:rsid w:val="00C25CED"/>
    <w:rsid w:val="00C34006"/>
    <w:rsid w:val="00C36B4C"/>
    <w:rsid w:val="00C4056D"/>
    <w:rsid w:val="00C426B1"/>
    <w:rsid w:val="00C66160"/>
    <w:rsid w:val="00C721AC"/>
    <w:rsid w:val="00C81AA1"/>
    <w:rsid w:val="00C90D6A"/>
    <w:rsid w:val="00CA247E"/>
    <w:rsid w:val="00CA6D21"/>
    <w:rsid w:val="00CB3110"/>
    <w:rsid w:val="00CB5A7A"/>
    <w:rsid w:val="00CC0647"/>
    <w:rsid w:val="00CC72B6"/>
    <w:rsid w:val="00CE40BC"/>
    <w:rsid w:val="00CE5579"/>
    <w:rsid w:val="00CF5D3F"/>
    <w:rsid w:val="00D0218D"/>
    <w:rsid w:val="00D11CC6"/>
    <w:rsid w:val="00D25FB5"/>
    <w:rsid w:val="00D44223"/>
    <w:rsid w:val="00D7070A"/>
    <w:rsid w:val="00DA2529"/>
    <w:rsid w:val="00DB0735"/>
    <w:rsid w:val="00DB130A"/>
    <w:rsid w:val="00DB2EBB"/>
    <w:rsid w:val="00DC10A1"/>
    <w:rsid w:val="00DC655F"/>
    <w:rsid w:val="00DD0B59"/>
    <w:rsid w:val="00DD7EBD"/>
    <w:rsid w:val="00DF62B6"/>
    <w:rsid w:val="00E07225"/>
    <w:rsid w:val="00E10278"/>
    <w:rsid w:val="00E115FA"/>
    <w:rsid w:val="00E208EC"/>
    <w:rsid w:val="00E3496E"/>
    <w:rsid w:val="00E5409F"/>
    <w:rsid w:val="00E556F0"/>
    <w:rsid w:val="00E62EF2"/>
    <w:rsid w:val="00E814B3"/>
    <w:rsid w:val="00EA23F6"/>
    <w:rsid w:val="00EC673F"/>
    <w:rsid w:val="00EE6488"/>
    <w:rsid w:val="00EF348F"/>
    <w:rsid w:val="00EF678A"/>
    <w:rsid w:val="00F021FA"/>
    <w:rsid w:val="00F11365"/>
    <w:rsid w:val="00F30797"/>
    <w:rsid w:val="00F346B2"/>
    <w:rsid w:val="00F567FA"/>
    <w:rsid w:val="00F62E97"/>
    <w:rsid w:val="00F632D6"/>
    <w:rsid w:val="00F64209"/>
    <w:rsid w:val="00F826FB"/>
    <w:rsid w:val="00F90195"/>
    <w:rsid w:val="00F93BF5"/>
    <w:rsid w:val="00FA4BB0"/>
    <w:rsid w:val="00FC29A0"/>
    <w:rsid w:val="00FC30E4"/>
    <w:rsid w:val="00FF440B"/>
    <w:rsid w:val="00FF50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E916BC"/>
  <w15:chartTrackingRefBased/>
  <w15:docId w15:val="{72B2CABC-1570-4184-8D02-4A9C57DA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63B11"/>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463B1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463B11"/>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463B11"/>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463B11"/>
    <w:pPr>
      <w:keepNext/>
      <w:numPr>
        <w:ilvl w:val="3"/>
        <w:numId w:val="3"/>
      </w:numPr>
      <w:tabs>
        <w:tab w:val="left" w:pos="2880"/>
      </w:tabs>
      <w:spacing w:after="120"/>
      <w:outlineLvl w:val="3"/>
    </w:pPr>
    <w:rPr>
      <w:b/>
    </w:rPr>
  </w:style>
  <w:style w:type="paragraph" w:styleId="Heading5">
    <w:name w:val="heading 5"/>
    <w:basedOn w:val="Normal"/>
    <w:next w:val="ParaNum"/>
    <w:qFormat/>
    <w:rsid w:val="00463B11"/>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463B11"/>
    <w:pPr>
      <w:numPr>
        <w:ilvl w:val="5"/>
        <w:numId w:val="3"/>
      </w:numPr>
      <w:tabs>
        <w:tab w:val="left" w:pos="4320"/>
      </w:tabs>
      <w:spacing w:after="120"/>
      <w:outlineLvl w:val="5"/>
    </w:pPr>
    <w:rPr>
      <w:b/>
    </w:rPr>
  </w:style>
  <w:style w:type="paragraph" w:styleId="Heading7">
    <w:name w:val="heading 7"/>
    <w:basedOn w:val="Normal"/>
    <w:next w:val="ParaNum"/>
    <w:qFormat/>
    <w:rsid w:val="00463B1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63B11"/>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463B1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63B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3B11"/>
  </w:style>
  <w:style w:type="paragraph" w:customStyle="1" w:styleId="ParaNum">
    <w:name w:val="ParaNum"/>
    <w:basedOn w:val="Normal"/>
    <w:link w:val="ParaNumChar1"/>
    <w:rsid w:val="00463B11"/>
    <w:pPr>
      <w:numPr>
        <w:numId w:val="2"/>
      </w:numPr>
      <w:tabs>
        <w:tab w:val="clear" w:pos="1080"/>
        <w:tab w:val="num" w:pos="1440"/>
      </w:tabs>
      <w:spacing w:after="120"/>
    </w:pPr>
  </w:style>
  <w:style w:type="paragraph" w:styleId="EndnoteText">
    <w:name w:val="endnote text"/>
    <w:basedOn w:val="Normal"/>
    <w:semiHidden/>
    <w:rsid w:val="00463B11"/>
    <w:rPr>
      <w:sz w:val="20"/>
    </w:rPr>
  </w:style>
  <w:style w:type="character" w:styleId="EndnoteReference">
    <w:name w:val="endnote reference"/>
    <w:semiHidden/>
    <w:rsid w:val="00463B11"/>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463B1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63B11"/>
    <w:rPr>
      <w:rFonts w:ascii="Times New Roman" w:hAnsi="Times New Roman"/>
      <w:dstrike w:val="0"/>
      <w:color w:val="auto"/>
      <w:sz w:val="20"/>
      <w:vertAlign w:val="superscript"/>
    </w:rPr>
  </w:style>
  <w:style w:type="paragraph" w:styleId="TOC1">
    <w:name w:val="toc 1"/>
    <w:basedOn w:val="Normal"/>
    <w:next w:val="Normal"/>
    <w:semiHidden/>
    <w:rsid w:val="00463B1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63B11"/>
    <w:pPr>
      <w:tabs>
        <w:tab w:val="left" w:pos="720"/>
        <w:tab w:val="right" w:leader="dot" w:pos="9360"/>
      </w:tabs>
      <w:suppressAutoHyphens/>
      <w:ind w:left="720" w:right="720" w:hanging="360"/>
    </w:pPr>
    <w:rPr>
      <w:noProof/>
    </w:rPr>
  </w:style>
  <w:style w:type="paragraph" w:styleId="TOC3">
    <w:name w:val="toc 3"/>
    <w:basedOn w:val="Normal"/>
    <w:next w:val="Normal"/>
    <w:semiHidden/>
    <w:rsid w:val="00463B1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63B1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63B1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63B1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63B1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63B1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63B1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63B11"/>
    <w:pPr>
      <w:tabs>
        <w:tab w:val="right" w:pos="9360"/>
      </w:tabs>
      <w:suppressAutoHyphens/>
    </w:pPr>
  </w:style>
  <w:style w:type="character" w:customStyle="1" w:styleId="EquationCaption">
    <w:name w:val="_Equation Caption"/>
    <w:rsid w:val="00463B11"/>
  </w:style>
  <w:style w:type="paragraph" w:styleId="Header">
    <w:name w:val="header"/>
    <w:basedOn w:val="Normal"/>
    <w:autoRedefine/>
    <w:rsid w:val="00463B11"/>
    <w:pPr>
      <w:tabs>
        <w:tab w:val="center" w:pos="4680"/>
        <w:tab w:val="right" w:pos="9360"/>
      </w:tabs>
    </w:pPr>
    <w:rPr>
      <w:b/>
    </w:rPr>
  </w:style>
  <w:style w:type="paragraph" w:styleId="Footer">
    <w:name w:val="footer"/>
    <w:basedOn w:val="Normal"/>
    <w:link w:val="FooterChar"/>
    <w:uiPriority w:val="99"/>
    <w:rsid w:val="00463B11"/>
    <w:pPr>
      <w:tabs>
        <w:tab w:val="center" w:pos="4320"/>
        <w:tab w:val="right" w:pos="8640"/>
      </w:tabs>
    </w:pPr>
  </w:style>
  <w:style w:type="character" w:styleId="PageNumber">
    <w:name w:val="page number"/>
    <w:basedOn w:val="DefaultParagraphFont"/>
    <w:rsid w:val="00463B11"/>
  </w:style>
  <w:style w:type="paragraph" w:styleId="BlockText">
    <w:name w:val="Block Text"/>
    <w:basedOn w:val="Normal"/>
    <w:rsid w:val="00463B11"/>
    <w:pPr>
      <w:spacing w:after="240"/>
      <w:ind w:left="1440" w:right="1440"/>
    </w:pPr>
  </w:style>
  <w:style w:type="paragraph" w:customStyle="1" w:styleId="Paratitle">
    <w:name w:val="Para title"/>
    <w:basedOn w:val="Normal"/>
    <w:rsid w:val="00463B11"/>
    <w:pPr>
      <w:tabs>
        <w:tab w:val="center" w:pos="9270"/>
      </w:tabs>
      <w:spacing w:after="240"/>
    </w:pPr>
    <w:rPr>
      <w:spacing w:val="-2"/>
    </w:rPr>
  </w:style>
  <w:style w:type="paragraph" w:customStyle="1" w:styleId="Bullet">
    <w:name w:val="Bullet"/>
    <w:basedOn w:val="Normal"/>
    <w:rsid w:val="00463B11"/>
    <w:pPr>
      <w:tabs>
        <w:tab w:val="left" w:pos="2160"/>
      </w:tabs>
      <w:spacing w:after="220"/>
      <w:ind w:left="2160" w:hanging="720"/>
    </w:pPr>
  </w:style>
  <w:style w:type="paragraph" w:customStyle="1" w:styleId="TableFormat">
    <w:name w:val="TableFormat"/>
    <w:basedOn w:val="Bullet"/>
    <w:rsid w:val="00463B11"/>
    <w:pPr>
      <w:tabs>
        <w:tab w:val="clear" w:pos="2160"/>
        <w:tab w:val="left" w:pos="5040"/>
      </w:tabs>
      <w:ind w:left="5040" w:hanging="3600"/>
    </w:pPr>
  </w:style>
  <w:style w:type="paragraph" w:customStyle="1" w:styleId="TOCTitle">
    <w:name w:val="TOC Title"/>
    <w:basedOn w:val="Normal"/>
    <w:rsid w:val="00463B1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63B11"/>
    <w:pPr>
      <w:jc w:val="center"/>
    </w:pPr>
    <w:rPr>
      <w:rFonts w:ascii="Times New Roman Bold" w:hAnsi="Times New Roman Bold"/>
      <w:b/>
      <w:bCs/>
      <w:caps/>
      <w:szCs w:val="22"/>
    </w:rPr>
  </w:style>
  <w:style w:type="character" w:styleId="Hyperlink">
    <w:name w:val="Hyperlink"/>
    <w:rsid w:val="00463B11"/>
    <w:rPr>
      <w:color w:val="0000FF"/>
      <w:u w:val="single"/>
    </w:rPr>
  </w:style>
  <w:style w:type="character" w:customStyle="1" w:styleId="FooterChar">
    <w:name w:val="Footer Char"/>
    <w:link w:val="Footer"/>
    <w:uiPriority w:val="99"/>
    <w:rsid w:val="00463B11"/>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
    <w:name w:val="Unresolved Mention"/>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BodyText2">
    <w:name w:val="Body Text 2"/>
    <w:basedOn w:val="Normal"/>
    <w:link w:val="BodyText2Char"/>
    <w:rsid w:val="005E3497"/>
    <w:rPr>
      <w:kern w:val="0"/>
      <w:sz w:val="24"/>
    </w:rPr>
  </w:style>
  <w:style w:type="character" w:customStyle="1" w:styleId="BodyText2Char">
    <w:name w:val="Body Text 2 Char"/>
    <w:basedOn w:val="DefaultParagraphFont"/>
    <w:link w:val="BodyText2"/>
    <w:rsid w:val="005E3497"/>
    <w:rPr>
      <w:snapToGrid w:val="0"/>
      <w:sz w:val="24"/>
    </w:rPr>
  </w:style>
  <w:style w:type="paragraph" w:styleId="ListParagraph">
    <w:name w:val="List Paragraph"/>
    <w:basedOn w:val="Normal"/>
    <w:uiPriority w:val="34"/>
    <w:qFormat/>
    <w:rsid w:val="00866450"/>
    <w:pPr>
      <w:ind w:left="720"/>
      <w:contextualSpacing/>
    </w:pPr>
  </w:style>
  <w:style w:type="paragraph" w:styleId="Revision">
    <w:name w:val="Revision"/>
    <w:hidden/>
    <w:uiPriority w:val="99"/>
    <w:semiHidden/>
    <w:rsid w:val="00D11CC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