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16A7D" w14:paraId="46C99066" w14:textId="77777777">
      <w:pPr>
        <w:jc w:val="right"/>
        <w:rPr>
          <w:sz w:val="24"/>
        </w:rPr>
      </w:pPr>
    </w:p>
    <w:p w:rsidR="00616A7D" w14:paraId="742556F3" w14:textId="27B25C98">
      <w:pPr>
        <w:jc w:val="right"/>
        <w:rPr>
          <w:b/>
          <w:sz w:val="24"/>
        </w:rPr>
      </w:pPr>
      <w:r>
        <w:rPr>
          <w:b/>
          <w:sz w:val="24"/>
        </w:rPr>
        <w:t xml:space="preserve">DA </w:t>
      </w:r>
      <w:r w:rsidR="00AD7CF4">
        <w:rPr>
          <w:b/>
          <w:sz w:val="24"/>
        </w:rPr>
        <w:t>22-543</w:t>
      </w:r>
    </w:p>
    <w:p w:rsidR="00616A7D" w14:paraId="57859034" w14:textId="0240BD56">
      <w:pPr>
        <w:spacing w:before="60"/>
        <w:jc w:val="right"/>
        <w:rPr>
          <w:b/>
          <w:sz w:val="24"/>
        </w:rPr>
      </w:pPr>
      <w:r>
        <w:rPr>
          <w:b/>
          <w:sz w:val="24"/>
        </w:rPr>
        <w:t xml:space="preserve">Released:  </w:t>
      </w:r>
      <w:r w:rsidR="00E005B1">
        <w:rPr>
          <w:b/>
          <w:sz w:val="24"/>
        </w:rPr>
        <w:t>May 17, 2022</w:t>
      </w:r>
    </w:p>
    <w:p w:rsidR="00616A7D" w14:paraId="39F9F255" w14:textId="77777777">
      <w:pPr>
        <w:jc w:val="right"/>
        <w:rPr>
          <w:sz w:val="24"/>
        </w:rPr>
      </w:pPr>
    </w:p>
    <w:p w:rsidR="00616A7D" w14:paraId="44D27FBE" w14:textId="56F751A3">
      <w:pPr>
        <w:spacing w:after="240"/>
        <w:jc w:val="center"/>
        <w:rPr>
          <w:rFonts w:ascii="Times New Roman Bold" w:hAnsi="Times New Roman Bold"/>
          <w:b/>
          <w:caps/>
          <w:sz w:val="24"/>
          <w:szCs w:val="24"/>
        </w:rPr>
      </w:pPr>
      <w:bookmarkStart w:id="0" w:name="_Hlk103683196"/>
      <w:r w:rsidRPr="30258793">
        <w:rPr>
          <w:rFonts w:ascii="Times New Roman Bold" w:hAnsi="Times New Roman Bold"/>
          <w:b/>
          <w:bCs/>
          <w:caps/>
          <w:sz w:val="24"/>
          <w:szCs w:val="24"/>
        </w:rPr>
        <w:t xml:space="preserve">BROADBAND DATA TASK FORCE, WIRELESS TELECOMMUNICATIONS BUREAU, </w:t>
      </w:r>
      <w:r w:rsidRPr="30258793" w:rsidR="7F6A6149">
        <w:rPr>
          <w:rFonts w:ascii="Times New Roman Bold" w:hAnsi="Times New Roman Bold"/>
          <w:b/>
          <w:bCs/>
          <w:caps/>
          <w:sz w:val="24"/>
          <w:szCs w:val="24"/>
        </w:rPr>
        <w:t>WIRELINE C</w:t>
      </w:r>
      <w:r w:rsidR="00155D85">
        <w:rPr>
          <w:rFonts w:ascii="Times New Roman Bold" w:hAnsi="Times New Roman Bold"/>
          <w:b/>
          <w:bCs/>
          <w:caps/>
          <w:sz w:val="24"/>
          <w:szCs w:val="24"/>
        </w:rPr>
        <w:t>OMPETITION</w:t>
      </w:r>
      <w:r w:rsidRPr="30258793" w:rsidR="7F6A6149">
        <w:rPr>
          <w:rFonts w:ascii="Times New Roman Bold" w:hAnsi="Times New Roman Bold"/>
          <w:b/>
          <w:bCs/>
          <w:caps/>
          <w:sz w:val="24"/>
          <w:szCs w:val="24"/>
        </w:rPr>
        <w:t xml:space="preserve"> BUREAU</w:t>
      </w:r>
      <w:r w:rsidRPr="30258793" w:rsidR="00CC75D3">
        <w:rPr>
          <w:rFonts w:ascii="Times New Roman Bold" w:hAnsi="Times New Roman Bold"/>
          <w:b/>
          <w:caps/>
          <w:sz w:val="24"/>
          <w:szCs w:val="24"/>
        </w:rPr>
        <w:t xml:space="preserve">, </w:t>
      </w:r>
      <w:r w:rsidRPr="30258793" w:rsidR="009E39FF">
        <w:rPr>
          <w:rFonts w:ascii="Times New Roman Bold" w:hAnsi="Times New Roman Bold"/>
          <w:b/>
          <w:caps/>
          <w:sz w:val="24"/>
          <w:szCs w:val="24"/>
        </w:rPr>
        <w:t xml:space="preserve">and </w:t>
      </w:r>
      <w:r w:rsidRPr="30258793" w:rsidR="5D2F581C">
        <w:rPr>
          <w:rFonts w:ascii="Times New Roman Bold" w:hAnsi="Times New Roman Bold"/>
          <w:b/>
          <w:bCs/>
          <w:caps/>
          <w:sz w:val="24"/>
          <w:szCs w:val="24"/>
        </w:rPr>
        <w:t xml:space="preserve">OFFICE OF ECONOMICS AND ANALYTICS </w:t>
      </w:r>
      <w:r w:rsidRPr="30258793" w:rsidR="009E39FF">
        <w:rPr>
          <w:rFonts w:ascii="Times New Roman Bold" w:hAnsi="Times New Roman Bold"/>
          <w:b/>
          <w:caps/>
          <w:sz w:val="24"/>
          <w:szCs w:val="24"/>
        </w:rPr>
        <w:t xml:space="preserve">seek </w:t>
      </w:r>
      <w:r w:rsidRPr="30258793" w:rsidR="00D202EE">
        <w:rPr>
          <w:rFonts w:ascii="Times New Roman Bold" w:hAnsi="Times New Roman Bold"/>
          <w:b/>
          <w:caps/>
          <w:sz w:val="24"/>
          <w:szCs w:val="24"/>
        </w:rPr>
        <w:t>COMMENT ON cOMPETITIVE cARRIERS aSSOCIATION PETITION FOR DECLARATORY RULING</w:t>
      </w:r>
      <w:r w:rsidRPr="30258793" w:rsidR="008F20AF">
        <w:rPr>
          <w:rFonts w:ascii="Times New Roman Bold" w:hAnsi="Times New Roman Bold"/>
          <w:b/>
          <w:caps/>
          <w:sz w:val="24"/>
          <w:szCs w:val="24"/>
        </w:rPr>
        <w:t xml:space="preserve"> OR </w:t>
      </w:r>
      <w:r w:rsidRPr="30258793" w:rsidR="006F77AB">
        <w:rPr>
          <w:rFonts w:ascii="Times New Roman Bold" w:hAnsi="Times New Roman Bold"/>
          <w:b/>
          <w:caps/>
          <w:sz w:val="24"/>
          <w:szCs w:val="24"/>
        </w:rPr>
        <w:t xml:space="preserve">limited </w:t>
      </w:r>
      <w:r w:rsidRPr="30258793" w:rsidR="008F20AF">
        <w:rPr>
          <w:rFonts w:ascii="Times New Roman Bold" w:hAnsi="Times New Roman Bold"/>
          <w:b/>
          <w:caps/>
          <w:sz w:val="24"/>
          <w:szCs w:val="24"/>
        </w:rPr>
        <w:t xml:space="preserve">WAIVER REGARDING </w:t>
      </w:r>
      <w:r w:rsidRPr="30258793" w:rsidR="009B57F6">
        <w:rPr>
          <w:rFonts w:ascii="Times New Roman Bold" w:hAnsi="Times New Roman Bold"/>
          <w:b/>
          <w:caps/>
          <w:sz w:val="24"/>
          <w:szCs w:val="24"/>
        </w:rPr>
        <w:t xml:space="preserve">the requirement for a certified professional engineer to certify broadband </w:t>
      </w:r>
      <w:r w:rsidRPr="30258793" w:rsidR="008F20AF">
        <w:rPr>
          <w:rFonts w:ascii="Times New Roman Bold" w:hAnsi="Times New Roman Bold"/>
          <w:b/>
          <w:caps/>
          <w:sz w:val="24"/>
          <w:szCs w:val="24"/>
        </w:rPr>
        <w:t>DATA COLLECTION</w:t>
      </w:r>
      <w:r w:rsidRPr="30258793" w:rsidR="009B57F6">
        <w:rPr>
          <w:rFonts w:ascii="Times New Roman Bold" w:hAnsi="Times New Roman Bold"/>
          <w:b/>
          <w:caps/>
          <w:sz w:val="24"/>
          <w:szCs w:val="24"/>
        </w:rPr>
        <w:t xml:space="preserve"> maps</w:t>
      </w:r>
    </w:p>
    <w:bookmarkEnd w:id="0"/>
    <w:p w:rsidR="009B57F6" w:rsidP="0057686D" w14:paraId="7E69064E" w14:textId="4443F47E">
      <w:pPr>
        <w:jc w:val="center"/>
        <w:rPr>
          <w:b/>
          <w:sz w:val="24"/>
        </w:rPr>
      </w:pPr>
      <w:r>
        <w:rPr>
          <w:b/>
          <w:sz w:val="24"/>
        </w:rPr>
        <w:t>WC Docket No. 19-195</w:t>
      </w:r>
    </w:p>
    <w:p w:rsidR="009E728A" w14:paraId="1DDC8728" w14:textId="77777777">
      <w:pPr>
        <w:jc w:val="center"/>
        <w:rPr>
          <w:b/>
          <w:sz w:val="24"/>
        </w:rPr>
      </w:pPr>
    </w:p>
    <w:p w:rsidR="009B57F6" w:rsidP="009B57F6" w14:paraId="78C8E306" w14:textId="02D5A056">
      <w:pPr>
        <w:rPr>
          <w:b/>
          <w:sz w:val="24"/>
          <w:szCs w:val="24"/>
        </w:rPr>
      </w:pPr>
      <w:r w:rsidRPr="15C3B04F">
        <w:rPr>
          <w:b/>
          <w:sz w:val="24"/>
          <w:szCs w:val="24"/>
        </w:rPr>
        <w:t>Comment</w:t>
      </w:r>
      <w:r w:rsidRPr="15C3B04F" w:rsidR="00A06B1A">
        <w:rPr>
          <w:b/>
          <w:sz w:val="24"/>
          <w:szCs w:val="24"/>
        </w:rPr>
        <w:t xml:space="preserve"> Date</w:t>
      </w:r>
      <w:r w:rsidRPr="15C3B04F">
        <w:rPr>
          <w:b/>
          <w:sz w:val="24"/>
          <w:szCs w:val="24"/>
        </w:rPr>
        <w:t xml:space="preserve">: </w:t>
      </w:r>
      <w:r w:rsidR="0057686D">
        <w:rPr>
          <w:b/>
          <w:sz w:val="24"/>
          <w:szCs w:val="24"/>
        </w:rPr>
        <w:t>14 days after publication in the Federal Register</w:t>
      </w:r>
    </w:p>
    <w:p w:rsidR="00062E93" w:rsidRPr="00062E93" w:rsidP="009B57F6" w14:paraId="1C5CE254" w14:textId="5874B152">
      <w:pPr>
        <w:rPr>
          <w:b/>
          <w:sz w:val="24"/>
        </w:rPr>
      </w:pPr>
      <w:r>
        <w:rPr>
          <w:b/>
          <w:sz w:val="24"/>
        </w:rPr>
        <w:t>Reply Comment</w:t>
      </w:r>
      <w:r w:rsidR="00A06B1A">
        <w:rPr>
          <w:b/>
          <w:sz w:val="24"/>
        </w:rPr>
        <w:t xml:space="preserve"> Date</w:t>
      </w:r>
      <w:r>
        <w:rPr>
          <w:b/>
          <w:sz w:val="24"/>
        </w:rPr>
        <w:t xml:space="preserve">: </w:t>
      </w:r>
      <w:r w:rsidR="0057686D">
        <w:rPr>
          <w:b/>
          <w:sz w:val="24"/>
        </w:rPr>
        <w:t>21 days after publication in the Federal Register</w:t>
      </w:r>
    </w:p>
    <w:p w:rsidR="00B36C4E" w14:paraId="3E8358C1" w14:textId="34ABFDDD">
      <w:pPr>
        <w:rPr>
          <w:b/>
          <w:bCs/>
        </w:rPr>
      </w:pPr>
      <w:bookmarkStart w:id="1" w:name="TOChere"/>
    </w:p>
    <w:p w:rsidR="001518E2" w:rsidP="00D14ADE" w14:paraId="1EF98DBF" w14:textId="0AC98E76">
      <w:pPr>
        <w:pStyle w:val="ParaNum"/>
        <w:numPr>
          <w:ilvl w:val="0"/>
          <w:numId w:val="0"/>
        </w:numPr>
        <w:spacing w:after="0"/>
        <w:ind w:firstLine="720"/>
      </w:pPr>
      <w:r>
        <w:t xml:space="preserve">The </w:t>
      </w:r>
      <w:r w:rsidR="09E44BF4">
        <w:t>Broadband Data Task Force, Wireless</w:t>
      </w:r>
      <w:r>
        <w:t xml:space="preserve"> </w:t>
      </w:r>
      <w:r w:rsidR="008C2C16">
        <w:t>Telecommunications</w:t>
      </w:r>
      <w:r>
        <w:t xml:space="preserve"> Bureau, Wireline Competition Bureau, </w:t>
      </w:r>
      <w:r w:rsidR="09E44BF4">
        <w:t xml:space="preserve">and </w:t>
      </w:r>
      <w:r>
        <w:t>the Office of Economics and Analytics</w:t>
      </w:r>
      <w:r w:rsidR="09E44BF4">
        <w:t xml:space="preserve"> </w:t>
      </w:r>
      <w:r>
        <w:t>seek</w:t>
      </w:r>
      <w:r w:rsidR="00B36C4E">
        <w:t xml:space="preserve"> comment on </w:t>
      </w:r>
      <w:r w:rsidR="00A06B1A">
        <w:t>a</w:t>
      </w:r>
      <w:r w:rsidR="00B36C4E">
        <w:t xml:space="preserve"> </w:t>
      </w:r>
      <w:r w:rsidR="716C2127">
        <w:t>P</w:t>
      </w:r>
      <w:r w:rsidR="00B36C4E">
        <w:t xml:space="preserve">etition for </w:t>
      </w:r>
      <w:r w:rsidR="716C2127">
        <w:t>D</w:t>
      </w:r>
      <w:r w:rsidR="00776F43">
        <w:t xml:space="preserve">eclaratory </w:t>
      </w:r>
      <w:r w:rsidR="5BAACA59">
        <w:t>R</w:t>
      </w:r>
      <w:r w:rsidR="00776F43">
        <w:t xml:space="preserve">uling or </w:t>
      </w:r>
      <w:r w:rsidR="5BAACA59">
        <w:t>Limited W</w:t>
      </w:r>
      <w:r w:rsidR="00776F43">
        <w:t>aiver</w:t>
      </w:r>
      <w:r w:rsidR="00B36C4E">
        <w:t xml:space="preserve"> </w:t>
      </w:r>
      <w:r w:rsidR="716C2127">
        <w:t xml:space="preserve">(Petition) </w:t>
      </w:r>
      <w:r w:rsidR="00B36C4E">
        <w:t xml:space="preserve">filed by the Competitive Carriers Association (CCA) </w:t>
      </w:r>
      <w:r w:rsidR="001F72A6">
        <w:t xml:space="preserve">requesting that the Commission </w:t>
      </w:r>
      <w:r>
        <w:t xml:space="preserve">issue a declaratory ruling to clarify that </w:t>
      </w:r>
      <w:r w:rsidR="009B608D">
        <w:t>Broadband Data Collection (BDC) filings may be certified by a</w:t>
      </w:r>
      <w:r w:rsidR="00820335">
        <w:t xml:space="preserve"> qualified professional engineer or an otherwise-qualified engineer </w:t>
      </w:r>
      <w:r w:rsidR="00102BC0">
        <w:t xml:space="preserve">that is not a </w:t>
      </w:r>
      <w:r w:rsidR="00435D40">
        <w:t xml:space="preserve">licensed </w:t>
      </w:r>
      <w:r w:rsidR="00102BC0">
        <w:t>professional engineer</w:t>
      </w:r>
      <w:r w:rsidR="00435D40">
        <w:t xml:space="preserve"> accredited by a </w:t>
      </w:r>
      <w:r w:rsidR="00D11F27">
        <w:t>state licensure board</w:t>
      </w:r>
      <w:r w:rsidR="00102BC0">
        <w:t>.</w:t>
      </w:r>
      <w:r>
        <w:rPr>
          <w:rStyle w:val="FootnoteReference"/>
        </w:rPr>
        <w:footnoteReference w:id="3"/>
      </w:r>
      <w:r w:rsidR="00102BC0">
        <w:t xml:space="preserve"> </w:t>
      </w:r>
    </w:p>
    <w:p w:rsidR="003243B7" w:rsidP="00D14ADE" w14:paraId="2E2E3775" w14:textId="77777777">
      <w:pPr>
        <w:pStyle w:val="ParaNum"/>
        <w:numPr>
          <w:ilvl w:val="0"/>
          <w:numId w:val="0"/>
        </w:numPr>
        <w:spacing w:after="0"/>
        <w:ind w:firstLine="720"/>
      </w:pPr>
    </w:p>
    <w:p w:rsidR="003243B7" w:rsidP="00D16FB1" w14:paraId="36E2524D" w14:textId="002B6401">
      <w:pPr>
        <w:pStyle w:val="ParaNum"/>
        <w:numPr>
          <w:ilvl w:val="0"/>
          <w:numId w:val="0"/>
        </w:numPr>
        <w:spacing w:after="0"/>
        <w:ind w:firstLine="720"/>
      </w:pPr>
      <w:r>
        <w:t>The</w:t>
      </w:r>
      <w:r w:rsidR="00EB3CE0">
        <w:t xml:space="preserve"> </w:t>
      </w:r>
      <w:r>
        <w:t xml:space="preserve">Commission’s rules </w:t>
      </w:r>
      <w:r w:rsidR="00EA5157">
        <w:t>require</w:t>
      </w:r>
      <w:r w:rsidR="00CF4F27">
        <w:t xml:space="preserve"> that an engineer</w:t>
      </w:r>
      <w:r w:rsidR="001B07AF">
        <w:t xml:space="preserve"> </w:t>
      </w:r>
      <w:r w:rsidR="00CF4F27">
        <w:t>review and certify the accuracy</w:t>
      </w:r>
      <w:r w:rsidR="000E6AC2">
        <w:t xml:space="preserve"> </w:t>
      </w:r>
      <w:r w:rsidR="003852E0">
        <w:t>of</w:t>
      </w:r>
      <w:r w:rsidR="5666B527">
        <w:t xml:space="preserve"> the</w:t>
      </w:r>
      <w:r w:rsidR="003852E0">
        <w:t xml:space="preserve"> </w:t>
      </w:r>
      <w:r w:rsidR="5666B527">
        <w:t xml:space="preserve">broadband availability data submitted by </w:t>
      </w:r>
      <w:r w:rsidR="003852E0">
        <w:t xml:space="preserve">mobile and fixed providers </w:t>
      </w:r>
      <w:r w:rsidR="5666B527">
        <w:t>as part of the BDC.</w:t>
      </w:r>
      <w:r>
        <w:rPr>
          <w:rStyle w:val="FootnoteReference"/>
        </w:rPr>
        <w:footnoteReference w:id="4"/>
      </w:r>
      <w:r w:rsidR="5666B527">
        <w:t xml:space="preserve">  This requirement was adopted </w:t>
      </w:r>
      <w:r w:rsidR="00AF73B9">
        <w:t>to ensure that filers have engaged in the analysis necessary to meet Congress’s objective of developing more accurate broadband cover</w:t>
      </w:r>
      <w:r w:rsidR="0087446D">
        <w:t>age data.</w:t>
      </w:r>
      <w:r>
        <w:rPr>
          <w:rStyle w:val="FootnoteReference"/>
        </w:rPr>
        <w:footnoteReference w:id="5"/>
      </w:r>
      <w:r w:rsidR="00AC1A21">
        <w:t xml:space="preserve">  </w:t>
      </w:r>
      <w:r w:rsidR="00AC41B4">
        <w:t xml:space="preserve">In particular, </w:t>
      </w:r>
      <w:r w:rsidR="00167C0D">
        <w:t>t</w:t>
      </w:r>
      <w:r w:rsidRPr="00A633F9">
        <w:t>he Commission require</w:t>
      </w:r>
      <w:r w:rsidR="00CF78DF">
        <w:t>s</w:t>
      </w:r>
      <w:r w:rsidRPr="00A633F9">
        <w:t xml:space="preserve"> each mobile and fixed service provider to </w:t>
      </w:r>
      <w:r w:rsidR="005F5FC8">
        <w:t>include</w:t>
      </w:r>
      <w:r w:rsidRPr="00A633F9" w:rsidR="005F5FC8">
        <w:t xml:space="preserve"> </w:t>
      </w:r>
      <w:r w:rsidRPr="00A633F9">
        <w:t xml:space="preserve">certifications </w:t>
      </w:r>
      <w:r w:rsidR="005F5FC8">
        <w:t>as to</w:t>
      </w:r>
      <w:r w:rsidRPr="00A633F9">
        <w:t xml:space="preserve"> the accuracy of its </w:t>
      </w:r>
      <w:r w:rsidR="00FE443A">
        <w:t xml:space="preserve">data </w:t>
      </w:r>
      <w:r w:rsidRPr="00A633F9">
        <w:t xml:space="preserve">submissions by a </w:t>
      </w:r>
      <w:r w:rsidR="009171EF">
        <w:t>certified</w:t>
      </w:r>
      <w:r w:rsidR="001E309F">
        <w:t xml:space="preserve"> professional engineer or corporate engineer</w:t>
      </w:r>
      <w:r w:rsidR="006F0FD3">
        <w:t>ing officer</w:t>
      </w:r>
      <w:r w:rsidR="00FE443A">
        <w:t>, in which the engineer certifies</w:t>
      </w:r>
      <w:r w:rsidR="002B0028">
        <w:t xml:space="preserve"> “that </w:t>
      </w:r>
      <w:r w:rsidR="00E0679E">
        <w:t xml:space="preserve">he or she has examined the information contained in the </w:t>
      </w:r>
      <w:r w:rsidR="00393E04">
        <w:t xml:space="preserve">submission and that, to the best of the engineer’s actual knowledge, information, and belief, all statements of fact contained in the submission are true </w:t>
      </w:r>
      <w:r w:rsidR="00B96DB5">
        <w:t>and correct and in accordance with the service provider’s ordinary course of network design and engineering</w:t>
      </w:r>
      <w:r w:rsidRPr="00A633F9">
        <w:t>.</w:t>
      </w:r>
      <w:r w:rsidR="00EC52A4">
        <w:t>”</w:t>
      </w:r>
      <w:r>
        <w:rPr>
          <w:rStyle w:val="FootnoteReference"/>
        </w:rPr>
        <w:footnoteReference w:id="6"/>
      </w:r>
      <w:r w:rsidRPr="00A633F9">
        <w:t xml:space="preserve">  </w:t>
      </w:r>
      <w:r w:rsidR="5D58F8A0">
        <w:t>This</w:t>
      </w:r>
      <w:r>
        <w:t xml:space="preserve"> </w:t>
      </w:r>
      <w:r w:rsidRPr="00A633F9" w:rsidR="5D58F8A0">
        <w:t>certification is</w:t>
      </w:r>
      <w:r w:rsidRPr="00A633F9">
        <w:t xml:space="preserve"> in addition to the corporate officer certification required by the </w:t>
      </w:r>
      <w:r w:rsidR="00502BDC">
        <w:t xml:space="preserve">Broadband DATA Act and the </w:t>
      </w:r>
      <w:r>
        <w:t xml:space="preserve">Commission in the </w:t>
      </w:r>
      <w:r w:rsidRPr="00A633F9">
        <w:rPr>
          <w:i/>
        </w:rPr>
        <w:t>Second Order and Third Further Notice</w:t>
      </w:r>
      <w:r w:rsidRPr="00A633F9">
        <w:t>.</w:t>
      </w:r>
      <w:r>
        <w:rPr>
          <w:rStyle w:val="FootnoteReference"/>
        </w:rPr>
        <w:footnoteReference w:id="7"/>
      </w:r>
      <w:r>
        <w:t xml:space="preserve">  For </w:t>
      </w:r>
      <w:r w:rsidRPr="00D47F5E">
        <w:t>government and other third-party entities that submit verified broadband availability data</w:t>
      </w:r>
      <w:r>
        <w:t>, t</w:t>
      </w:r>
      <w:r w:rsidRPr="00A633F9">
        <w:t>h</w:t>
      </w:r>
      <w:r>
        <w:t>e engineering certification</w:t>
      </w:r>
      <w:r w:rsidRPr="00A633F9">
        <w:t xml:space="preserve"> </w:t>
      </w:r>
      <w:r w:rsidRPr="00A633F9" w:rsidR="5D58F8A0">
        <w:t>must also include</w:t>
      </w:r>
      <w:r w:rsidRPr="00A633F9">
        <w:t xml:space="preserve"> a certification by a certified professional engineer that he or she is employed by the government or other third-party entity submitting </w:t>
      </w:r>
      <w:r>
        <w:t xml:space="preserve">the </w:t>
      </w:r>
      <w:r w:rsidRPr="00A633F9">
        <w:t>verified broadband availability data and has direct knowledge of, or responsibility for, the generation of the government or other entity’s Broadband Data Collection coverage maps.</w:t>
      </w:r>
      <w:r>
        <w:rPr>
          <w:rStyle w:val="FootnoteReference"/>
        </w:rPr>
        <w:footnoteReference w:id="8"/>
      </w:r>
    </w:p>
    <w:p w:rsidR="001518E2" w:rsidP="00D14ADE" w14:paraId="61760024" w14:textId="77777777">
      <w:pPr>
        <w:pStyle w:val="ParaNum"/>
        <w:numPr>
          <w:ilvl w:val="0"/>
          <w:numId w:val="0"/>
        </w:numPr>
        <w:spacing w:after="0"/>
        <w:ind w:firstLine="720"/>
      </w:pPr>
    </w:p>
    <w:p w:rsidR="00C10CD5" w:rsidP="004F497B" w14:paraId="36401DC6" w14:textId="655C324C">
      <w:pPr>
        <w:pStyle w:val="ParaNum"/>
        <w:numPr>
          <w:ilvl w:val="0"/>
          <w:numId w:val="0"/>
        </w:numPr>
        <w:spacing w:after="0"/>
        <w:ind w:firstLine="720"/>
      </w:pPr>
      <w:r>
        <w:t xml:space="preserve">In </w:t>
      </w:r>
      <w:r w:rsidR="00F91B7B">
        <w:t>its</w:t>
      </w:r>
      <w:r>
        <w:t xml:space="preserve"> petition, CCA asserts that the “experience and expertise developed by </w:t>
      </w:r>
      <w:r w:rsidR="00FB1ED8">
        <w:t>[</w:t>
      </w:r>
      <w:r>
        <w:t>Radio Frequency (RF)</w:t>
      </w:r>
      <w:r w:rsidR="00FB1ED8">
        <w:t>]</w:t>
      </w:r>
      <w:r>
        <w:t xml:space="preserve"> engineers through their work provides comprehensive skills relevant to broadband deployment [and] provides skills comparable to, and perhaps more relevant than, general licensure </w:t>
      </w:r>
      <w:r w:rsidR="00E17211">
        <w:t>through the PE</w:t>
      </w:r>
      <w:r w:rsidR="007716F2">
        <w:t xml:space="preserve"> </w:t>
      </w:r>
      <w:r>
        <w:t>.</w:t>
      </w:r>
      <w:r w:rsidR="00A258A1">
        <w:t xml:space="preserve"> </w:t>
      </w:r>
      <w:r>
        <w:t>.</w:t>
      </w:r>
      <w:r w:rsidR="00A258A1">
        <w:t xml:space="preserve"> </w:t>
      </w:r>
      <w:r>
        <w:t>.</w:t>
      </w:r>
      <w:r w:rsidR="002B63E3">
        <w:t xml:space="preserve"> </w:t>
      </w:r>
      <w:r w:rsidR="007716F2">
        <w:t>exam process</w:t>
      </w:r>
      <w:r>
        <w:t>.”</w:t>
      </w:r>
      <w:r>
        <w:rPr>
          <w:rStyle w:val="FootnoteReference"/>
        </w:rPr>
        <w:footnoteReference w:id="9"/>
      </w:r>
      <w:r>
        <w:t xml:space="preserve">  CCA therefore </w:t>
      </w:r>
      <w:r w:rsidR="005023A0">
        <w:t>requests</w:t>
      </w:r>
      <w:r>
        <w:t xml:space="preserve"> that the Commission </w:t>
      </w:r>
      <w:r w:rsidR="001F72A6">
        <w:t xml:space="preserve">clarify </w:t>
      </w:r>
      <w:r w:rsidR="005D7502">
        <w:t xml:space="preserve">that </w:t>
      </w:r>
      <w:r w:rsidR="00B36C4E">
        <w:t xml:space="preserve">the requirement in 47 CFR </w:t>
      </w:r>
      <w:r w:rsidR="00B22263">
        <w:t>section </w:t>
      </w:r>
      <w:r w:rsidR="00B36C4E">
        <w:t>1.7004(d)</w:t>
      </w:r>
      <w:r w:rsidR="002941A8">
        <w:t xml:space="preserve"> that </w:t>
      </w:r>
      <w:r w:rsidR="0065595A">
        <w:t>all</w:t>
      </w:r>
      <w:r w:rsidR="00B36C4E">
        <w:t xml:space="preserve"> providers </w:t>
      </w:r>
      <w:r w:rsidR="008A1148">
        <w:t>must</w:t>
      </w:r>
      <w:r w:rsidR="00B36C4E">
        <w:t xml:space="preserve"> </w:t>
      </w:r>
      <w:r w:rsidR="002941A8">
        <w:t>include</w:t>
      </w:r>
      <w:r w:rsidR="0063427C">
        <w:t xml:space="preserve"> </w:t>
      </w:r>
      <w:r w:rsidR="00B36C4E">
        <w:t xml:space="preserve">as part of their BDC filing a certification </w:t>
      </w:r>
      <w:r w:rsidR="00D63532">
        <w:t>of the accuracy of its submissions by a certified professional engineer</w:t>
      </w:r>
      <w:r w:rsidR="005D7502">
        <w:t xml:space="preserve"> </w:t>
      </w:r>
      <w:r w:rsidR="008A1148">
        <w:t>may be</w:t>
      </w:r>
      <w:r w:rsidR="005D7502">
        <w:t xml:space="preserve"> </w:t>
      </w:r>
      <w:r w:rsidR="008A1148">
        <w:t>completed</w:t>
      </w:r>
      <w:r w:rsidR="005D7502">
        <w:t xml:space="preserve"> by either </w:t>
      </w:r>
      <w:r w:rsidR="00E1647A">
        <w:t xml:space="preserve">a </w:t>
      </w:r>
      <w:r w:rsidR="005D7502">
        <w:t xml:space="preserve">licensed professional engineer </w:t>
      </w:r>
      <w:r w:rsidR="004D2D8B">
        <w:t xml:space="preserve">or </w:t>
      </w:r>
      <w:r w:rsidR="00E1647A">
        <w:t xml:space="preserve">an </w:t>
      </w:r>
      <w:r w:rsidR="004D2D8B">
        <w:t>otherwise qualified engineer who possesses the appropriate engineering expertise but do</w:t>
      </w:r>
      <w:r w:rsidR="00E1647A">
        <w:t>es</w:t>
      </w:r>
      <w:r w:rsidR="004D2D8B">
        <w:t xml:space="preserve"> not hold a professional engineer license.</w:t>
      </w:r>
      <w:r>
        <w:rPr>
          <w:rStyle w:val="FootnoteReference"/>
        </w:rPr>
        <w:footnoteReference w:id="10"/>
      </w:r>
      <w:r w:rsidR="00D63532">
        <w:t xml:space="preserve">  </w:t>
      </w:r>
      <w:r w:rsidR="00AF0F4D">
        <w:t>Additionally</w:t>
      </w:r>
      <w:r>
        <w:t xml:space="preserve">, </w:t>
      </w:r>
      <w:r w:rsidR="00D608C0">
        <w:t>CCA</w:t>
      </w:r>
      <w:r>
        <w:t xml:space="preserve"> request</w:t>
      </w:r>
      <w:r w:rsidR="00D608C0">
        <w:t>s</w:t>
      </w:r>
      <w:r>
        <w:t xml:space="preserve"> tha</w:t>
      </w:r>
      <w:r w:rsidR="00CC71A1">
        <w:t xml:space="preserve">t </w:t>
      </w:r>
      <w:r w:rsidR="00D13012">
        <w:t xml:space="preserve">the </w:t>
      </w:r>
      <w:r w:rsidR="002052A8">
        <w:t xml:space="preserve">Commission clarify that the </w:t>
      </w:r>
      <w:r w:rsidR="00D13012">
        <w:t>term “</w:t>
      </w:r>
      <w:r w:rsidR="00CC71A1">
        <w:t>corporate engineering officer</w:t>
      </w:r>
      <w:r w:rsidR="00D13012">
        <w:t>”</w:t>
      </w:r>
      <w:r w:rsidR="00CC71A1">
        <w:t xml:space="preserve"> </w:t>
      </w:r>
      <w:r w:rsidR="74F23E03">
        <w:t>may</w:t>
      </w:r>
      <w:r w:rsidR="00C547BE">
        <w:t xml:space="preserve"> be any employee</w:t>
      </w:r>
      <w:r w:rsidR="00FB6B0A">
        <w:t xml:space="preserve"> who has “direct knowledge” and is “responsible for” the carrier’s network design and construction and who possesses a </w:t>
      </w:r>
      <w:r w:rsidR="00730899">
        <w:t>B</w:t>
      </w:r>
      <w:r w:rsidR="00FB6B0A">
        <w:t xml:space="preserve">achelor of </w:t>
      </w:r>
      <w:r w:rsidR="00730899">
        <w:t>S</w:t>
      </w:r>
      <w:r w:rsidR="003267A1">
        <w:t xml:space="preserve">cience degree in </w:t>
      </w:r>
      <w:r w:rsidR="00F35944">
        <w:t>E</w:t>
      </w:r>
      <w:r w:rsidR="00FB6B0A">
        <w:t>ngineering</w:t>
      </w:r>
      <w:r w:rsidR="00CC71A1">
        <w:t>.</w:t>
      </w:r>
      <w:r>
        <w:rPr>
          <w:rStyle w:val="FootnoteReference"/>
        </w:rPr>
        <w:footnoteReference w:id="11"/>
      </w:r>
      <w:r w:rsidR="00FB6B0A">
        <w:t xml:space="preserve"> </w:t>
      </w:r>
      <w:r w:rsidR="00CC71A1">
        <w:t xml:space="preserve"> </w:t>
      </w:r>
      <w:r w:rsidR="00C17928">
        <w:t xml:space="preserve">Alternatively, CCA </w:t>
      </w:r>
      <w:r w:rsidR="00CC71A1">
        <w:t>request</w:t>
      </w:r>
      <w:r w:rsidR="00C17928">
        <w:t>s</w:t>
      </w:r>
      <w:r w:rsidR="00CC71A1">
        <w:t xml:space="preserve"> a limited waiver of the requirement</w:t>
      </w:r>
      <w:r w:rsidR="002C468C">
        <w:t xml:space="preserve"> that BDC data be certified by a licensed professional engineer</w:t>
      </w:r>
      <w:r w:rsidR="00E03B98">
        <w:t>, and instead allow mobile providers to certify their data with an RF engineering professional with specified qualifications</w:t>
      </w:r>
      <w:r w:rsidR="00C31334">
        <w:t xml:space="preserve"> that are directly relevant to broadband availability assessment.</w:t>
      </w:r>
      <w:r>
        <w:rPr>
          <w:rStyle w:val="FootnoteReference"/>
        </w:rPr>
        <w:footnoteReference w:id="12"/>
      </w:r>
      <w:r w:rsidR="003A61C3">
        <w:t xml:space="preserve"> </w:t>
      </w:r>
      <w:r w:rsidR="00C028B7">
        <w:t xml:space="preserve"> </w:t>
      </w:r>
      <w:r w:rsidR="003A61C3">
        <w:t xml:space="preserve">CCA recommends that </w:t>
      </w:r>
      <w:r w:rsidR="001815F3">
        <w:t xml:space="preserve">if the Commission seeks to specify qualification standards or requirements for engineers to certify broadband availability, it should adopt </w:t>
      </w:r>
      <w:r w:rsidR="00A427E4">
        <w:t>standards that specifically relate to broadband availability assessment</w:t>
      </w:r>
      <w:r w:rsidR="00C75711">
        <w:t>, such as academic and employment experience, RF and propagation modeling experience, and knowledge relevant to wireless carriers’ networks.</w:t>
      </w:r>
      <w:r>
        <w:rPr>
          <w:rStyle w:val="FootnoteReference"/>
        </w:rPr>
        <w:footnoteReference w:id="13"/>
      </w:r>
      <w:r w:rsidR="0025000F">
        <w:t xml:space="preserve"> </w:t>
      </w:r>
      <w:r w:rsidR="00EA5676">
        <w:t xml:space="preserve"> </w:t>
      </w:r>
    </w:p>
    <w:p w:rsidR="000C17A0" w:rsidP="00D14ADE" w14:paraId="256F370A" w14:textId="77777777">
      <w:pPr>
        <w:pStyle w:val="ParaNum"/>
        <w:numPr>
          <w:ilvl w:val="0"/>
          <w:numId w:val="0"/>
        </w:numPr>
        <w:spacing w:after="0"/>
        <w:ind w:firstLine="720"/>
      </w:pPr>
    </w:p>
    <w:p w:rsidR="00B36C4E" w:rsidP="00D14ADE" w14:paraId="4536DF2D" w14:textId="1EC785F7">
      <w:pPr>
        <w:pStyle w:val="ParaNum"/>
        <w:numPr>
          <w:ilvl w:val="0"/>
          <w:numId w:val="0"/>
        </w:numPr>
        <w:spacing w:after="0"/>
        <w:ind w:firstLine="720"/>
      </w:pPr>
      <w:r>
        <w:t>We seek comment on these and</w:t>
      </w:r>
      <w:r w:rsidR="00421ADD">
        <w:t xml:space="preserve"> </w:t>
      </w:r>
      <w:r>
        <w:t xml:space="preserve">other issues raised </w:t>
      </w:r>
      <w:r w:rsidR="00421ADD">
        <w:t xml:space="preserve">by the </w:t>
      </w:r>
      <w:r w:rsidRPr="00846342" w:rsidR="00421ADD">
        <w:t>Petition</w:t>
      </w:r>
      <w:r w:rsidR="009B4582">
        <w:t xml:space="preserve"> as they may impact both fixed and mobile broadband service providers.</w:t>
      </w:r>
      <w:r w:rsidR="00421ADD">
        <w:t xml:space="preserve"> </w:t>
      </w:r>
    </w:p>
    <w:p w:rsidR="002C0F47" w:rsidP="00D14ADE" w14:paraId="25FB7E70" w14:textId="77777777">
      <w:pPr>
        <w:pStyle w:val="ParaNum"/>
        <w:numPr>
          <w:ilvl w:val="0"/>
          <w:numId w:val="0"/>
        </w:numPr>
        <w:spacing w:after="0"/>
        <w:ind w:firstLine="720"/>
      </w:pPr>
    </w:p>
    <w:p w:rsidR="006B2ED4" w:rsidP="006B2ED4" w14:paraId="268FAB50" w14:textId="1DCACCBA">
      <w:pPr>
        <w:pStyle w:val="ParaNum"/>
        <w:numPr>
          <w:ilvl w:val="0"/>
          <w:numId w:val="0"/>
        </w:numPr>
        <w:spacing w:after="0"/>
        <w:ind w:firstLine="720"/>
        <w:jc w:val="center"/>
      </w:pPr>
      <w:r>
        <w:t>***</w:t>
      </w:r>
    </w:p>
    <w:p w:rsidR="0093418C" w:rsidRPr="00C9551A" w:rsidP="0093418C" w14:paraId="6D029444" w14:textId="51F709C8">
      <w:pPr>
        <w:widowControl/>
        <w:autoSpaceDE w:val="0"/>
        <w:autoSpaceDN w:val="0"/>
        <w:adjustRightInd w:val="0"/>
        <w:spacing w:after="120"/>
        <w:ind w:firstLine="720"/>
        <w:rPr>
          <w:snapToGrid/>
          <w:color w:val="010101"/>
          <w:kern w:val="0"/>
          <w:szCs w:val="22"/>
        </w:rPr>
      </w:pPr>
      <w:r>
        <w:rPr>
          <w:i/>
          <w:iCs/>
        </w:rPr>
        <w:t>Filing Requirements</w:t>
      </w:r>
      <w:r>
        <w:t xml:space="preserve">. </w:t>
      </w:r>
      <w:r w:rsidRPr="4D9EE9AA">
        <w:t>Interested parties may file comments on or before the date indicated on the first page of this document.</w:t>
      </w:r>
      <w:r>
        <w:rPr>
          <w:rStyle w:val="FootnoteReference"/>
        </w:rPr>
        <w:footnoteReference w:id="14"/>
      </w:r>
      <w:r>
        <w:rPr>
          <w:iCs/>
          <w:szCs w:val="22"/>
        </w:rPr>
        <w:t xml:space="preserve">  </w:t>
      </w:r>
      <w:r w:rsidRPr="4D9EE9AA">
        <w:t>All filings must refer to</w:t>
      </w:r>
      <w:r w:rsidRPr="00C9551A">
        <w:rPr>
          <w:szCs w:val="22"/>
        </w:rPr>
        <w:t xml:space="preserve"> </w:t>
      </w:r>
      <w:r w:rsidRPr="4D9EE9AA">
        <w:rPr>
          <w:b/>
        </w:rPr>
        <w:t>WC Docket No. 19-195</w:t>
      </w:r>
      <w:r w:rsidRPr="00C9551A">
        <w:rPr>
          <w:iCs/>
          <w:szCs w:val="22"/>
        </w:rPr>
        <w:t xml:space="preserve">.  </w:t>
      </w:r>
      <w:r w:rsidRPr="4D9EE9AA">
        <w:t>Comments may be filed using the Commission’s Electronic Comment Filing System (ECFS).</w:t>
      </w:r>
      <w:r>
        <w:rPr>
          <w:vertAlign w:val="superscript"/>
        </w:rPr>
        <w:footnoteReference w:id="15"/>
      </w:r>
    </w:p>
    <w:p w:rsidR="0093418C" w:rsidRPr="00C9551A" w:rsidP="0093418C" w14:paraId="16FEEACB" w14:textId="77777777">
      <w:pPr>
        <w:pStyle w:val="ListParagraph"/>
        <w:numPr>
          <w:ilvl w:val="0"/>
          <w:numId w:val="7"/>
        </w:numPr>
        <w:rPr>
          <w:szCs w:val="22"/>
        </w:rPr>
      </w:pPr>
      <w:r w:rsidRPr="00C9551A">
        <w:rPr>
          <w:szCs w:val="22"/>
        </w:rPr>
        <w:t xml:space="preserve">Electronic Filers:  Comments may be filed electronically using the Internet by accessing ECFS:   </w:t>
      </w:r>
      <w:hyperlink r:id="rId5" w:history="1">
        <w:r w:rsidRPr="00C9551A">
          <w:rPr>
            <w:rStyle w:val="Hyperlink"/>
            <w:szCs w:val="22"/>
          </w:rPr>
          <w:t>https://www.fcc.gov/ecfs/</w:t>
        </w:r>
      </w:hyperlink>
      <w:r w:rsidRPr="00C9551A">
        <w:rPr>
          <w:szCs w:val="22"/>
        </w:rPr>
        <w:t xml:space="preserve">.    </w:t>
      </w:r>
    </w:p>
    <w:p w:rsidR="0093418C" w:rsidRPr="00C9551A" w:rsidP="0093418C" w14:paraId="4C822B69" w14:textId="77777777">
      <w:pPr>
        <w:pStyle w:val="ListParagraph"/>
        <w:rPr>
          <w:szCs w:val="22"/>
        </w:rPr>
      </w:pPr>
    </w:p>
    <w:p w:rsidR="0093418C" w:rsidRPr="00C9551A" w:rsidP="00846342" w14:paraId="38C847CB" w14:textId="77777777">
      <w:pPr>
        <w:pStyle w:val="ListParagraph"/>
        <w:widowControl/>
        <w:numPr>
          <w:ilvl w:val="0"/>
          <w:numId w:val="7"/>
        </w:numPr>
        <w:spacing w:after="120"/>
        <w:rPr>
          <w:szCs w:val="22"/>
        </w:rPr>
      </w:pPr>
      <w:r w:rsidRPr="00C9551A">
        <w:rPr>
          <w:szCs w:val="22"/>
        </w:rPr>
        <w:t xml:space="preserve">Paper Filers:  Parties who choose to file by paper must file an original and one copy of each filing.  </w:t>
      </w:r>
    </w:p>
    <w:p w:rsidR="0093418C" w:rsidRPr="00C9551A" w:rsidP="0093418C" w14:paraId="7676F8C1" w14:textId="77777777">
      <w:pPr>
        <w:pStyle w:val="ListParagraph"/>
        <w:widowControl/>
        <w:numPr>
          <w:ilvl w:val="0"/>
          <w:numId w:val="7"/>
        </w:numPr>
        <w:spacing w:after="120"/>
        <w:ind w:left="1080"/>
        <w:rPr>
          <w:szCs w:val="22"/>
        </w:rPr>
      </w:pPr>
      <w:r w:rsidRPr="00C9551A">
        <w:rPr>
          <w:szCs w:val="22"/>
        </w:rPr>
        <w:t>Filings can be sent by commercial overnight courier, or by first-class or overnight U.S</w:t>
      </w:r>
      <w:r>
        <w:rPr>
          <w:szCs w:val="22"/>
        </w:rPr>
        <w:t>-</w:t>
      </w:r>
      <w:r w:rsidRPr="00C9551A">
        <w:rPr>
          <w:szCs w:val="22"/>
        </w:rPr>
        <w:t>. Postal Service mail.  All filings must be addressed to the Commission’s Secretary, Office of the Secretary, Federal Communications Commission.</w:t>
      </w:r>
    </w:p>
    <w:p w:rsidR="0093418C" w:rsidRPr="00C9551A" w:rsidP="0093418C" w14:paraId="4D32054A" w14:textId="77777777">
      <w:pPr>
        <w:pStyle w:val="ListParagraph"/>
        <w:numPr>
          <w:ilvl w:val="0"/>
          <w:numId w:val="7"/>
        </w:numPr>
        <w:spacing w:after="120"/>
        <w:ind w:left="1080"/>
        <w:rPr>
          <w:szCs w:val="22"/>
        </w:rPr>
      </w:pPr>
      <w:r w:rsidRPr="00C9551A">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93418C" w:rsidRPr="00C9551A" w:rsidP="00846342" w14:paraId="1301C76B" w14:textId="77777777">
      <w:pPr>
        <w:pStyle w:val="ListParagraph"/>
        <w:widowControl/>
        <w:numPr>
          <w:ilvl w:val="0"/>
          <w:numId w:val="7"/>
        </w:numPr>
        <w:ind w:left="1080"/>
      </w:pPr>
      <w:r w:rsidRPr="4D9EE9AA">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16"/>
      </w:r>
      <w:r w:rsidRPr="00C9551A">
        <w:rPr>
          <w:szCs w:val="22"/>
        </w:rPr>
        <w:t xml:space="preserve">  </w:t>
      </w:r>
    </w:p>
    <w:p w:rsidR="00A07024" w:rsidP="00A07024" w14:paraId="5BE579D0" w14:textId="77777777">
      <w:pPr>
        <w:pStyle w:val="ListParagraph"/>
        <w:ind w:left="0" w:firstLine="720"/>
        <w:rPr>
          <w:szCs w:val="22"/>
        </w:rPr>
      </w:pPr>
    </w:p>
    <w:p w:rsidR="0093418C" w:rsidP="00A07024" w14:paraId="464C1E0D" w14:textId="57B528A7">
      <w:pPr>
        <w:pStyle w:val="ListParagraph"/>
        <w:ind w:left="0" w:firstLine="720"/>
        <w:rPr>
          <w:szCs w:val="22"/>
        </w:rPr>
      </w:pPr>
      <w:r w:rsidRPr="00C9551A">
        <w:rPr>
          <w:szCs w:val="22"/>
        </w:rPr>
        <w:t xml:space="preserve">People with Disabilities:  To request materials in accessible formats for people with disabilities (braille, large print, electronic files, audio format), send an e-mail to </w:t>
      </w:r>
      <w:hyperlink r:id="rId6" w:history="1">
        <w:r w:rsidRPr="00C9551A">
          <w:rPr>
            <w:rStyle w:val="Hyperlink"/>
            <w:szCs w:val="22"/>
          </w:rPr>
          <w:t>fcc504@fcc.gov</w:t>
        </w:r>
      </w:hyperlink>
      <w:r w:rsidRPr="00C9551A">
        <w:rPr>
          <w:szCs w:val="22"/>
        </w:rPr>
        <w:t xml:space="preserve"> or call the Consumer &amp; Government Affairs Bureau at (202) 418-0530. </w:t>
      </w:r>
    </w:p>
    <w:p w:rsidR="00A07024" w:rsidP="00846342" w14:paraId="4EF5F526" w14:textId="77777777">
      <w:pPr>
        <w:pStyle w:val="ListParagraph"/>
        <w:ind w:left="0" w:firstLine="720"/>
        <w:rPr>
          <w:szCs w:val="22"/>
        </w:rPr>
      </w:pPr>
    </w:p>
    <w:p w:rsidR="005F0A14" w:rsidP="00A07024" w14:paraId="25FB35B3" w14:textId="77777777">
      <w:pPr>
        <w:widowControl/>
        <w:autoSpaceDE w:val="0"/>
        <w:autoSpaceDN w:val="0"/>
        <w:adjustRightInd w:val="0"/>
        <w:ind w:firstLine="720"/>
      </w:pPr>
      <w:r w:rsidRPr="4D9EE9AA">
        <w:rPr>
          <w:i/>
        </w:rPr>
        <w:t xml:space="preserve">Ex </w:t>
      </w:r>
      <w:r w:rsidRPr="4D9EE9AA">
        <w:rPr>
          <w:i/>
        </w:rPr>
        <w:t>Parte</w:t>
      </w:r>
      <w:r w:rsidRPr="4D9EE9AA">
        <w:rPr>
          <w:i/>
        </w:rPr>
        <w:t xml:space="preserve"> Rules</w:t>
      </w:r>
      <w:r w:rsidRPr="4D9EE9AA">
        <w:t xml:space="preserve">.  This proceeding shall be treated as a “permit-but-disclose” proceeding in accordance with the Commission’s </w:t>
      </w:r>
      <w:r w:rsidRPr="4D9EE9AA">
        <w:rPr>
          <w:i/>
        </w:rPr>
        <w:t xml:space="preserve">ex </w:t>
      </w:r>
      <w:r w:rsidRPr="4D9EE9AA">
        <w:rPr>
          <w:i/>
        </w:rPr>
        <w:t>parte</w:t>
      </w:r>
      <w:r w:rsidRPr="4D9EE9AA">
        <w:t xml:space="preserve"> rules.</w:t>
      </w:r>
      <w:r>
        <w:rPr>
          <w:rStyle w:val="FootnoteReference"/>
        </w:rPr>
        <w:footnoteReference w:id="17"/>
      </w:r>
      <w:r w:rsidRPr="4D9EE9AA">
        <w:t xml:space="preserve">  Persons making </w:t>
      </w:r>
      <w:r w:rsidRPr="4D9EE9AA">
        <w:rPr>
          <w:i/>
        </w:rPr>
        <w:t xml:space="preserve">ex </w:t>
      </w:r>
      <w:r w:rsidRPr="4D9EE9AA">
        <w:rPr>
          <w:i/>
        </w:rPr>
        <w:t>parte</w:t>
      </w:r>
      <w:r w:rsidRPr="4D9EE9AA">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4D9EE9AA">
        <w:rPr>
          <w:i/>
        </w:rPr>
        <w:t xml:space="preserve">ex </w:t>
      </w:r>
      <w:r w:rsidRPr="4D9EE9AA">
        <w:rPr>
          <w:i/>
        </w:rPr>
        <w:t>parte</w:t>
      </w:r>
      <w:r w:rsidRPr="4D9EE9AA">
        <w:t xml:space="preserve"> presentations are reminded that memoranda summarizing the presentation must: (1) list all persons attending or otherwise participating in the meeting at which the </w:t>
      </w:r>
      <w:r w:rsidRPr="4D9EE9AA">
        <w:rPr>
          <w:i/>
        </w:rPr>
        <w:t xml:space="preserve">ex </w:t>
      </w:r>
      <w:r w:rsidRPr="4D9EE9AA">
        <w:rPr>
          <w:i/>
        </w:rPr>
        <w:t>parte</w:t>
      </w:r>
      <w:r w:rsidRPr="4D9EE9AA">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4D9EE9AA">
        <w:rPr>
          <w:i/>
        </w:rPr>
        <w:t xml:space="preserve">ex </w:t>
      </w:r>
      <w:r w:rsidRPr="4D9EE9AA">
        <w:rPr>
          <w:i/>
        </w:rPr>
        <w:t>parte</w:t>
      </w:r>
      <w:r w:rsidRPr="4D9EE9AA">
        <w:t xml:space="preserve"> meetings are deemed to be written </w:t>
      </w:r>
      <w:r w:rsidRPr="4D9EE9AA">
        <w:rPr>
          <w:i/>
        </w:rPr>
        <w:t xml:space="preserve">ex </w:t>
      </w:r>
      <w:r w:rsidRPr="4D9EE9AA">
        <w:rPr>
          <w:i/>
        </w:rPr>
        <w:t>parte</w:t>
      </w:r>
      <w:r w:rsidRPr="4D9EE9AA">
        <w:t xml:space="preserve"> presentations and must be filed consistent with section 1.1206(b) of the Commission’s rules.  In proceedings governed by section 1.49(f) of the rules or for which the Commission has made available a method of electronic filing, written </w:t>
      </w:r>
      <w:r w:rsidRPr="4D9EE9AA">
        <w:rPr>
          <w:i/>
        </w:rPr>
        <w:t xml:space="preserve">ex </w:t>
      </w:r>
      <w:r w:rsidRPr="4D9EE9AA">
        <w:rPr>
          <w:i/>
        </w:rPr>
        <w:t>parte</w:t>
      </w:r>
      <w:r w:rsidRPr="4D9EE9AA">
        <w:t xml:space="preserve"> presentations and memoranda summarizing oral </w:t>
      </w:r>
      <w:r w:rsidRPr="4D9EE9AA">
        <w:rPr>
          <w:i/>
        </w:rPr>
        <w:t xml:space="preserve">ex </w:t>
      </w:r>
      <w:r w:rsidRPr="4D9EE9AA">
        <w:rPr>
          <w:i/>
        </w:rPr>
        <w:t>parte</w:t>
      </w:r>
      <w:r w:rsidRPr="4D9EE9AA">
        <w:rPr>
          <w:i/>
        </w:rPr>
        <w:t xml:space="preserve"> </w:t>
      </w:r>
      <w:r w:rsidRPr="4D9EE9AA">
        <w:t>presentations, and all attachments thereto, must be filed through the electronic comment filing system available for that proceeding, and must be filed in their native format (</w:t>
      </w:r>
      <w:r w:rsidRPr="4D9EE9AA">
        <w:rPr>
          <w:i/>
        </w:rPr>
        <w:t>e.g.</w:t>
      </w:r>
      <w:r w:rsidRPr="4D9EE9AA">
        <w:t>, .doc, .xml., .ppt, searchable .pdf).</w:t>
      </w:r>
      <w:r>
        <w:rPr>
          <w:rStyle w:val="FootnoteReference"/>
        </w:rPr>
        <w:footnoteReference w:id="18"/>
      </w:r>
      <w:r w:rsidRPr="4D9EE9AA">
        <w:t xml:space="preserve">  Participants in this proceeding should familiarize themselves with the Commission’s </w:t>
      </w:r>
      <w:r w:rsidRPr="4D9EE9AA">
        <w:rPr>
          <w:i/>
        </w:rPr>
        <w:t xml:space="preserve">ex </w:t>
      </w:r>
      <w:r w:rsidRPr="4D9EE9AA">
        <w:rPr>
          <w:i/>
        </w:rPr>
        <w:t>parte</w:t>
      </w:r>
      <w:r w:rsidRPr="4D9EE9AA">
        <w:t xml:space="preserve"> rules.</w:t>
      </w:r>
    </w:p>
    <w:p w:rsidR="00A07024" w:rsidRPr="00C9551A" w:rsidP="00846342" w14:paraId="5FE1353F" w14:textId="77777777">
      <w:pPr>
        <w:widowControl/>
        <w:autoSpaceDE w:val="0"/>
        <w:autoSpaceDN w:val="0"/>
        <w:adjustRightInd w:val="0"/>
        <w:ind w:firstLine="720"/>
        <w:rPr>
          <w:snapToGrid/>
          <w:color w:val="010101"/>
          <w:kern w:val="0"/>
          <w:szCs w:val="22"/>
        </w:rPr>
      </w:pPr>
    </w:p>
    <w:p w:rsidR="005F0A14" w:rsidRPr="00C9551A" w:rsidP="00846342" w14:paraId="3147E8EC" w14:textId="13802071">
      <w:pPr>
        <w:widowControl/>
        <w:autoSpaceDE w:val="0"/>
        <w:autoSpaceDN w:val="0"/>
        <w:adjustRightInd w:val="0"/>
        <w:ind w:firstLine="720"/>
        <w:rPr>
          <w:snapToGrid/>
          <w:color w:val="010101"/>
          <w:kern w:val="0"/>
          <w:szCs w:val="22"/>
        </w:rPr>
      </w:pPr>
      <w:r w:rsidRPr="00C9551A">
        <w:rPr>
          <w:snapToGrid/>
          <w:color w:val="010101"/>
          <w:kern w:val="0"/>
          <w:szCs w:val="22"/>
        </w:rPr>
        <w:t xml:space="preserve">For further information regarding this proceeding, please contact </w:t>
      </w:r>
      <w:r w:rsidR="00AD5EC7">
        <w:rPr>
          <w:snapToGrid/>
          <w:color w:val="010101"/>
          <w:kern w:val="0"/>
          <w:szCs w:val="22"/>
        </w:rPr>
        <w:t>Will Holloway</w:t>
      </w:r>
      <w:r w:rsidRPr="00C9551A">
        <w:rPr>
          <w:snapToGrid/>
          <w:color w:val="010101"/>
          <w:kern w:val="0"/>
          <w:szCs w:val="22"/>
        </w:rPr>
        <w:t xml:space="preserve">, </w:t>
      </w:r>
      <w:r w:rsidR="00A20DB5">
        <w:rPr>
          <w:snapToGrid/>
          <w:color w:val="010101"/>
          <w:kern w:val="0"/>
          <w:szCs w:val="22"/>
        </w:rPr>
        <w:t>Wireless Telecommunications Bureau</w:t>
      </w:r>
      <w:r w:rsidR="00AD5EC7">
        <w:rPr>
          <w:snapToGrid/>
          <w:color w:val="010101"/>
          <w:kern w:val="0"/>
          <w:szCs w:val="22"/>
        </w:rPr>
        <w:t xml:space="preserve">, </w:t>
      </w:r>
      <w:r w:rsidRPr="00C9551A">
        <w:rPr>
          <w:snapToGrid/>
          <w:color w:val="010101"/>
          <w:kern w:val="0"/>
          <w:szCs w:val="22"/>
        </w:rPr>
        <w:t xml:space="preserve">at </w:t>
      </w:r>
      <w:hyperlink r:id="rId7" w:history="1">
        <w:r w:rsidRPr="005357C5" w:rsidR="00AD5EC7">
          <w:rPr>
            <w:rStyle w:val="Hyperlink"/>
            <w:snapToGrid/>
            <w:kern w:val="0"/>
            <w:szCs w:val="22"/>
          </w:rPr>
          <w:t>william.holloway@fcc.gov</w:t>
        </w:r>
      </w:hyperlink>
      <w:r w:rsidR="00EC5613">
        <w:rPr>
          <w:snapToGrid/>
          <w:kern w:val="0"/>
          <w:szCs w:val="22"/>
        </w:rPr>
        <w:t xml:space="preserve"> or </w:t>
      </w:r>
      <w:r w:rsidR="0012482A">
        <w:rPr>
          <w:snapToGrid/>
          <w:kern w:val="0"/>
          <w:szCs w:val="22"/>
        </w:rPr>
        <w:t xml:space="preserve">Kirk Burgee, </w:t>
      </w:r>
      <w:r w:rsidR="00A20DB5">
        <w:rPr>
          <w:snapToGrid/>
          <w:kern w:val="0"/>
          <w:szCs w:val="22"/>
        </w:rPr>
        <w:t xml:space="preserve">Wireline Competition Bureau, at </w:t>
      </w:r>
      <w:hyperlink r:id="rId8" w:history="1">
        <w:r w:rsidRPr="005357C5" w:rsidR="002A0D06">
          <w:rPr>
            <w:rStyle w:val="Hyperlink"/>
            <w:snapToGrid/>
            <w:kern w:val="0"/>
            <w:szCs w:val="22"/>
          </w:rPr>
          <w:t>kirk.burgee@fcc.gov</w:t>
        </w:r>
      </w:hyperlink>
      <w:r w:rsidR="002A0D06">
        <w:rPr>
          <w:snapToGrid/>
          <w:kern w:val="0"/>
          <w:szCs w:val="22"/>
        </w:rPr>
        <w:t xml:space="preserve">. </w:t>
      </w:r>
    </w:p>
    <w:p w:rsidR="00616A7D" w14:paraId="32A2D991" w14:textId="77777777"/>
    <w:bookmarkEnd w:id="1"/>
    <w:p w:rsidR="009B57F6" w:rsidRPr="008801E1" w:rsidP="008801E1" w14:paraId="2C815835" w14:textId="29B094BA">
      <w:pPr>
        <w:jc w:val="center"/>
        <w:rPr>
          <w:b/>
          <w:bCs/>
        </w:rPr>
      </w:pPr>
      <w:r w:rsidRPr="008801E1">
        <w:rPr>
          <w:b/>
          <w:bCs/>
        </w:rPr>
        <w:t>-FCC-</w:t>
      </w:r>
    </w:p>
    <w:sectPr>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6A7D" w14:paraId="66940133" w14:textId="77777777">
    <w:pPr>
      <w:pStyle w:val="Footer"/>
      <w:framePr w:wrap="around" w:vAnchor="text" w:hAnchor="margin" w:xAlign="center" w:y="1"/>
    </w:pPr>
    <w:r>
      <w:fldChar w:fldCharType="begin"/>
    </w:r>
    <w:r>
      <w:instrText xml:space="preserve">PAGE  </w:instrText>
    </w:r>
    <w:r>
      <w:fldChar w:fldCharType="separate"/>
    </w:r>
    <w:r>
      <w:fldChar w:fldCharType="end"/>
    </w:r>
  </w:p>
  <w:p w:rsidR="00616A7D" w14:paraId="56FEEC7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6A7D" w14:paraId="03BB7EC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6A7D" w14:paraId="3B43F7A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97F40" w14:paraId="6A950E75" w14:textId="77777777">
      <w:r>
        <w:separator/>
      </w:r>
    </w:p>
  </w:footnote>
  <w:footnote w:type="continuationSeparator" w:id="1">
    <w:p w:rsidR="00497F40" w14:paraId="26C53A58" w14:textId="77777777">
      <w:pPr>
        <w:rPr>
          <w:sz w:val="20"/>
        </w:rPr>
      </w:pPr>
      <w:r>
        <w:rPr>
          <w:sz w:val="20"/>
        </w:rPr>
        <w:t xml:space="preserve">(Continued from previous page)  </w:t>
      </w:r>
      <w:r>
        <w:rPr>
          <w:sz w:val="20"/>
        </w:rPr>
        <w:separator/>
      </w:r>
    </w:p>
  </w:footnote>
  <w:footnote w:type="continuationNotice" w:id="2">
    <w:p w:rsidR="00497F40" w14:paraId="23982664" w14:textId="77777777">
      <w:pPr>
        <w:jc w:val="right"/>
        <w:rPr>
          <w:sz w:val="20"/>
        </w:rPr>
      </w:pPr>
      <w:r>
        <w:rPr>
          <w:sz w:val="20"/>
        </w:rPr>
        <w:t>(continued….)</w:t>
      </w:r>
    </w:p>
  </w:footnote>
  <w:footnote w:id="3">
    <w:p w:rsidR="00465893" w14:paraId="221B60EA" w14:textId="13C72128">
      <w:pPr>
        <w:pStyle w:val="FootnoteText"/>
      </w:pPr>
      <w:r>
        <w:rPr>
          <w:rStyle w:val="FootnoteReference"/>
        </w:rPr>
        <w:footnoteRef/>
      </w:r>
      <w:r>
        <w:t xml:space="preserve"> Petition of </w:t>
      </w:r>
      <w:r w:rsidR="0056333C">
        <w:t>Competitive Carriers Association (CCA)</w:t>
      </w:r>
      <w:r w:rsidR="00B558B6">
        <w:t xml:space="preserve"> for Declaratory Ruling or Limited Waiver</w:t>
      </w:r>
      <w:r w:rsidR="00BD2C4E">
        <w:t>, WC Docket No. 19-195</w:t>
      </w:r>
      <w:r w:rsidR="00B558B6">
        <w:t xml:space="preserve"> (filed </w:t>
      </w:r>
      <w:r w:rsidR="00F50990">
        <w:t>May 1</w:t>
      </w:r>
      <w:r w:rsidR="00164A7F">
        <w:t>3</w:t>
      </w:r>
      <w:r w:rsidR="00F50990">
        <w:t xml:space="preserve">, 2022), </w:t>
      </w:r>
      <w:hyperlink r:id="rId1" w:history="1">
        <w:r w:rsidRPr="005357C5" w:rsidR="00885016">
          <w:rPr>
            <w:rStyle w:val="Hyperlink"/>
          </w:rPr>
          <w:t>https://www.fcc.gov/ecfs/search/search-filings/filing/1051393345823</w:t>
        </w:r>
      </w:hyperlink>
      <w:r w:rsidR="00141E5B">
        <w:t>.</w:t>
      </w:r>
      <w:r w:rsidR="00885016">
        <w:t xml:space="preserve"> </w:t>
      </w:r>
    </w:p>
  </w:footnote>
  <w:footnote w:id="4">
    <w:p w:rsidR="4D9EE9AA" w:rsidRPr="00846342" w:rsidP="00846342" w14:paraId="417A5601" w14:textId="298762EB">
      <w:pPr>
        <w:spacing w:after="120"/>
        <w:rPr>
          <w:sz w:val="20"/>
        </w:rPr>
      </w:pPr>
      <w:r w:rsidRPr="4D9EE9AA">
        <w:rPr>
          <w:rStyle w:val="FootnoteReference"/>
        </w:rPr>
        <w:footnoteRef/>
      </w:r>
      <w:r w:rsidR="11EFC280">
        <w:t xml:space="preserve"> </w:t>
      </w:r>
      <w:r w:rsidRPr="00846342" w:rsidR="11EFC280">
        <w:rPr>
          <w:sz w:val="20"/>
        </w:rPr>
        <w:t xml:space="preserve">47 </w:t>
      </w:r>
      <w:r w:rsidRPr="00846342" w:rsidR="007E087D">
        <w:rPr>
          <w:sz w:val="20"/>
        </w:rPr>
        <w:t>CFR</w:t>
      </w:r>
      <w:r w:rsidRPr="00846342" w:rsidR="00223BE9">
        <w:rPr>
          <w:sz w:val="20"/>
        </w:rPr>
        <w:t xml:space="preserve"> §</w:t>
      </w:r>
      <w:r w:rsidRPr="00846342" w:rsidR="11EFC280">
        <w:rPr>
          <w:sz w:val="20"/>
        </w:rPr>
        <w:t xml:space="preserve"> </w:t>
      </w:r>
      <w:r w:rsidRPr="00846342" w:rsidR="1092901A">
        <w:rPr>
          <w:sz w:val="20"/>
        </w:rPr>
        <w:t>1.7004(</w:t>
      </w:r>
      <w:r w:rsidRPr="00846342" w:rsidR="56BD3FD3">
        <w:rPr>
          <w:sz w:val="20"/>
        </w:rPr>
        <w:t>d).</w:t>
      </w:r>
    </w:p>
  </w:footnote>
  <w:footnote w:id="5">
    <w:p w:rsidR="00D21012" w:rsidRPr="002A0D06" w:rsidP="00DF1175" w14:paraId="05F43EA0" w14:textId="49EA9674">
      <w:pPr>
        <w:pStyle w:val="FootnoteText"/>
        <w:rPr>
          <w:i/>
          <w:iCs/>
        </w:rPr>
      </w:pPr>
      <w:r>
        <w:rPr>
          <w:rStyle w:val="FootnoteReference"/>
        </w:rPr>
        <w:footnoteRef/>
      </w:r>
      <w:r>
        <w:t xml:space="preserve"> </w:t>
      </w:r>
      <w:r w:rsidRPr="00D437FC">
        <w:rPr>
          <w:i/>
          <w:iCs/>
        </w:rPr>
        <w:t>Establishing the Digital Opportunity Data Collection; Modernizing the FCC Form 477 Data Program</w:t>
      </w:r>
      <w:r w:rsidRPr="00C7716D">
        <w:t>, WC Docket Nos. 19-195</w:t>
      </w:r>
      <w:r>
        <w:t xml:space="preserve">, </w:t>
      </w:r>
      <w:r w:rsidRPr="00C7716D">
        <w:t>11-10</w:t>
      </w:r>
      <w:r>
        <w:t xml:space="preserve">, Third Report and Order, 36 FCC </w:t>
      </w:r>
      <w:r>
        <w:t>Rcd</w:t>
      </w:r>
      <w:r>
        <w:t xml:space="preserve"> 1126, 1145, para. 4</w:t>
      </w:r>
      <w:r w:rsidR="00BE1BD4">
        <w:t>5</w:t>
      </w:r>
      <w:r>
        <w:t xml:space="preserve"> (2021) (</w:t>
      </w:r>
      <w:r w:rsidRPr="00D437FC">
        <w:rPr>
          <w:i/>
          <w:iCs/>
        </w:rPr>
        <w:t>Third</w:t>
      </w:r>
      <w:r>
        <w:rPr>
          <w:i/>
          <w:iCs/>
        </w:rPr>
        <w:t xml:space="preserve"> </w:t>
      </w:r>
      <w:r w:rsidRPr="00D437FC">
        <w:rPr>
          <w:i/>
          <w:iCs/>
        </w:rPr>
        <w:t>Order</w:t>
      </w:r>
      <w:r>
        <w:t xml:space="preserve">).   </w:t>
      </w:r>
    </w:p>
  </w:footnote>
  <w:footnote w:id="6">
    <w:p w:rsidR="003243B7" w:rsidRPr="002A0D06" w:rsidP="003243B7" w14:paraId="5161C8B0" w14:textId="355458F0">
      <w:pPr>
        <w:pStyle w:val="FootnoteText"/>
        <w:rPr>
          <w:i/>
        </w:rPr>
      </w:pPr>
      <w:r>
        <w:rPr>
          <w:rStyle w:val="FootnoteReference"/>
        </w:rPr>
        <w:footnoteRef/>
      </w:r>
      <w:r>
        <w:t xml:space="preserve"> </w:t>
      </w:r>
      <w:r w:rsidRPr="00A633F9" w:rsidR="00826472">
        <w:t>47 CFR § 1.7004(d)</w:t>
      </w:r>
      <w:r w:rsidR="002E000B">
        <w:t xml:space="preserve">; </w:t>
      </w:r>
      <w:r w:rsidRPr="00605B2B" w:rsidR="00AF62B6">
        <w:rPr>
          <w:snapToGrid w:val="0"/>
          <w:kern w:val="28"/>
        </w:rPr>
        <w:t xml:space="preserve">Broadband Deployment Accuracy and Technological Availability Act, Pub. L. No. 116-130, 134 Stat. 228 (2020) (codified at 47 U.S.C. §§ 641-646) (Broadband DATA Act); </w:t>
      </w:r>
      <w:r w:rsidRPr="00605B2B" w:rsidR="00AF62B6">
        <w:t>47 U.S.C. § 642(b)(4)</w:t>
      </w:r>
      <w:r w:rsidR="00AF62B6">
        <w:t xml:space="preserve">; </w:t>
      </w:r>
      <w:r w:rsidRPr="00CE08BF" w:rsidR="003041B3">
        <w:rPr>
          <w:i/>
          <w:iCs/>
          <w:snapToGrid w:val="0"/>
          <w:kern w:val="28"/>
        </w:rPr>
        <w:t>Establishing the</w:t>
      </w:r>
      <w:r w:rsidRPr="00CE08BF" w:rsidR="003041B3">
        <w:rPr>
          <w:i/>
          <w:snapToGrid w:val="0"/>
          <w:kern w:val="28"/>
        </w:rPr>
        <w:t xml:space="preserve"> </w:t>
      </w:r>
      <w:r w:rsidRPr="00CE08BF" w:rsidR="003041B3">
        <w:rPr>
          <w:i/>
          <w:iCs/>
          <w:snapToGrid w:val="0"/>
          <w:kern w:val="28"/>
        </w:rPr>
        <w:t>Digital Opportunity Data Collection; Modernizing the FCC Form 477 Data Program</w:t>
      </w:r>
      <w:r w:rsidRPr="00CE08BF" w:rsidR="003041B3">
        <w:rPr>
          <w:snapToGrid w:val="0"/>
          <w:kern w:val="28"/>
        </w:rPr>
        <w:t xml:space="preserve">, WC Docket Nos. 19-195, 11-10, Second Report and Order and Third Further Notice of Proposed Rulemaking, 35 FCC </w:t>
      </w:r>
      <w:r w:rsidRPr="00CE08BF" w:rsidR="003041B3">
        <w:rPr>
          <w:snapToGrid w:val="0"/>
          <w:kern w:val="28"/>
        </w:rPr>
        <w:t>Rcd</w:t>
      </w:r>
      <w:r w:rsidRPr="00CE08BF" w:rsidR="003041B3">
        <w:rPr>
          <w:snapToGrid w:val="0"/>
          <w:kern w:val="28"/>
        </w:rPr>
        <w:t xml:space="preserve"> 7460, 7</w:t>
      </w:r>
      <w:r w:rsidR="007C0A29">
        <w:rPr>
          <w:snapToGrid w:val="0"/>
          <w:kern w:val="28"/>
        </w:rPr>
        <w:t>486</w:t>
      </w:r>
      <w:r w:rsidRPr="00CE08BF" w:rsidR="003041B3">
        <w:rPr>
          <w:snapToGrid w:val="0"/>
          <w:kern w:val="28"/>
        </w:rPr>
        <w:t>, para</w:t>
      </w:r>
      <w:r w:rsidR="007C0A29">
        <w:rPr>
          <w:snapToGrid w:val="0"/>
          <w:kern w:val="28"/>
        </w:rPr>
        <w:t xml:space="preserve">. </w:t>
      </w:r>
      <w:r w:rsidR="00C82C20">
        <w:rPr>
          <w:snapToGrid w:val="0"/>
          <w:kern w:val="28"/>
        </w:rPr>
        <w:t>61</w:t>
      </w:r>
      <w:r w:rsidRPr="00CE08BF" w:rsidR="003041B3">
        <w:rPr>
          <w:snapToGrid w:val="0"/>
          <w:kern w:val="28"/>
        </w:rPr>
        <w:t xml:space="preserve"> (2020).</w:t>
      </w:r>
      <w:r w:rsidRPr="00CE08BF" w:rsidR="003041B3">
        <w:t xml:space="preserve">  </w:t>
      </w:r>
    </w:p>
  </w:footnote>
  <w:footnote w:id="7">
    <w:p w:rsidR="003243B7" w:rsidRPr="00D80B5F" w:rsidP="003243B7" w14:paraId="2F5CFB2E" w14:textId="479ACC1D">
      <w:pPr>
        <w:pStyle w:val="FootnoteText"/>
        <w:rPr>
          <w:i/>
          <w:iCs/>
        </w:rPr>
      </w:pPr>
      <w:r>
        <w:rPr>
          <w:rStyle w:val="FootnoteReference"/>
        </w:rPr>
        <w:footnoteRef/>
      </w:r>
      <w:r>
        <w:t xml:space="preserve"> </w:t>
      </w:r>
      <w:r w:rsidR="00E22496">
        <w:rPr>
          <w:i/>
          <w:iCs/>
        </w:rPr>
        <w:t xml:space="preserve">Third Order, </w:t>
      </w:r>
      <w:r w:rsidR="00646C95">
        <w:t xml:space="preserve">36 FCC </w:t>
      </w:r>
      <w:r w:rsidR="00646C95">
        <w:t>Rcd</w:t>
      </w:r>
      <w:r w:rsidR="00646C95">
        <w:t xml:space="preserve"> at </w:t>
      </w:r>
      <w:r w:rsidR="00CA046A">
        <w:t>1144-45</w:t>
      </w:r>
      <w:r w:rsidR="00182C8B">
        <w:t>, para. 43</w:t>
      </w:r>
      <w:r w:rsidR="009D1446">
        <w:t>; 47 U.S.C. § 642</w:t>
      </w:r>
      <w:r w:rsidR="00306712">
        <w:t>(b)(4).</w:t>
      </w:r>
      <w:r>
        <w:rPr>
          <w:i/>
          <w:iCs/>
        </w:rPr>
        <w:t xml:space="preserve">  </w:t>
      </w:r>
    </w:p>
  </w:footnote>
  <w:footnote w:id="8">
    <w:p w:rsidR="003243B7" w:rsidRPr="00A633F9" w:rsidP="003243B7" w14:paraId="1D1CD520" w14:textId="1E575B64">
      <w:pPr>
        <w:pStyle w:val="FootnoteText"/>
        <w:rPr>
          <w:i/>
          <w:iCs/>
        </w:rPr>
      </w:pPr>
      <w:r>
        <w:rPr>
          <w:rStyle w:val="FootnoteReference"/>
        </w:rPr>
        <w:footnoteRef/>
      </w:r>
      <w:r>
        <w:t xml:space="preserve"> </w:t>
      </w:r>
      <w:r w:rsidR="00A85407">
        <w:rPr>
          <w:i/>
          <w:iCs/>
        </w:rPr>
        <w:t xml:space="preserve">Third Order, </w:t>
      </w:r>
      <w:r w:rsidR="00A85407">
        <w:t xml:space="preserve">36 FCC </w:t>
      </w:r>
      <w:r w:rsidR="00A85407">
        <w:t>Rcd</w:t>
      </w:r>
      <w:r w:rsidR="00A85407">
        <w:t xml:space="preserve"> at 1152, para. 63</w:t>
      </w:r>
      <w:r w:rsidRPr="00A633F9">
        <w:t>;</w:t>
      </w:r>
      <w:r>
        <w:t xml:space="preserve"> </w:t>
      </w:r>
      <w:r>
        <w:rPr>
          <w:i/>
          <w:iCs/>
        </w:rPr>
        <w:t>see also</w:t>
      </w:r>
      <w:r w:rsidRPr="00A633F9">
        <w:rPr>
          <w:i/>
          <w:iCs/>
        </w:rPr>
        <w:t xml:space="preserve"> </w:t>
      </w:r>
      <w:r w:rsidRPr="00A633F9">
        <w:t>47 CFR § 1.7004(d).</w:t>
      </w:r>
    </w:p>
  </w:footnote>
  <w:footnote w:id="9">
    <w:p w:rsidR="15C3B04F" w:rsidRPr="00846342" w:rsidP="00846342" w14:paraId="70FD86D6" w14:textId="45E87749">
      <w:pPr>
        <w:spacing w:after="120"/>
        <w:rPr>
          <w:sz w:val="20"/>
        </w:rPr>
      </w:pPr>
      <w:r w:rsidRPr="00846342">
        <w:rPr>
          <w:rStyle w:val="FootnoteReference"/>
          <w:sz w:val="20"/>
        </w:rPr>
        <w:footnoteRef/>
      </w:r>
      <w:r w:rsidRPr="00846342">
        <w:rPr>
          <w:sz w:val="20"/>
        </w:rPr>
        <w:t xml:space="preserve"> Petition at 6-7.</w:t>
      </w:r>
    </w:p>
  </w:footnote>
  <w:footnote w:id="10">
    <w:p w:rsidR="00D13012" w:rsidRPr="002156D9" w14:paraId="31F7AE31" w14:textId="44FF0468">
      <w:pPr>
        <w:pStyle w:val="FootnoteText"/>
      </w:pPr>
      <w:r>
        <w:rPr>
          <w:rStyle w:val="FootnoteReference"/>
        </w:rPr>
        <w:footnoteRef/>
      </w:r>
      <w:r>
        <w:t xml:space="preserve"> </w:t>
      </w:r>
      <w:r w:rsidR="00CB2974">
        <w:t xml:space="preserve">Petition at </w:t>
      </w:r>
      <w:r w:rsidR="000C3D5A">
        <w:t xml:space="preserve">8; </w:t>
      </w:r>
      <w:r w:rsidR="000C3D5A">
        <w:rPr>
          <w:i/>
          <w:iCs/>
        </w:rPr>
        <w:t xml:space="preserve">see also </w:t>
      </w:r>
      <w:r w:rsidRPr="00D437FC" w:rsidR="002156D9">
        <w:rPr>
          <w:i/>
          <w:iCs/>
        </w:rPr>
        <w:t xml:space="preserve">Third </w:t>
      </w:r>
      <w:r w:rsidR="00035DDF">
        <w:rPr>
          <w:i/>
          <w:iCs/>
        </w:rPr>
        <w:t>Order</w:t>
      </w:r>
      <w:r w:rsidR="00AE3300">
        <w:t xml:space="preserve">, </w:t>
      </w:r>
      <w:r w:rsidR="00B93DDB">
        <w:t xml:space="preserve">36 FCC </w:t>
      </w:r>
      <w:r w:rsidR="00B93DDB">
        <w:t>Rcd</w:t>
      </w:r>
      <w:r w:rsidR="00B93DDB">
        <w:t xml:space="preserve"> at</w:t>
      </w:r>
      <w:r w:rsidR="00900528">
        <w:t xml:space="preserve"> 1144-45</w:t>
      </w:r>
      <w:r w:rsidR="00D12B58">
        <w:t>, para. 43</w:t>
      </w:r>
      <w:r w:rsidR="002156D9">
        <w:t xml:space="preserve">. </w:t>
      </w:r>
    </w:p>
  </w:footnote>
  <w:footnote w:id="11">
    <w:p w:rsidR="00FB6B0A" w14:paraId="31A2CBB9" w14:textId="69624FFB">
      <w:pPr>
        <w:pStyle w:val="FootnoteText"/>
      </w:pPr>
      <w:r>
        <w:rPr>
          <w:rStyle w:val="FootnoteReference"/>
        </w:rPr>
        <w:footnoteRef/>
      </w:r>
      <w:r>
        <w:t xml:space="preserve"> Petition at </w:t>
      </w:r>
      <w:r w:rsidR="00C17928">
        <w:t xml:space="preserve">9. </w:t>
      </w:r>
    </w:p>
  </w:footnote>
  <w:footnote w:id="12">
    <w:p w:rsidR="00C31334" w14:paraId="2FEA84B2" w14:textId="2F78B49D">
      <w:pPr>
        <w:pStyle w:val="FootnoteText"/>
      </w:pPr>
      <w:r>
        <w:rPr>
          <w:rStyle w:val="FootnoteReference"/>
        </w:rPr>
        <w:footnoteRef/>
      </w:r>
      <w:r>
        <w:t xml:space="preserve"> Petition at 9</w:t>
      </w:r>
      <w:r w:rsidR="00D01FFB">
        <w:t>-10</w:t>
      </w:r>
      <w:r>
        <w:t xml:space="preserve">. </w:t>
      </w:r>
    </w:p>
  </w:footnote>
  <w:footnote w:id="13">
    <w:p w:rsidR="00890802" w14:paraId="0F175E70" w14:textId="1DBAC795">
      <w:pPr>
        <w:pStyle w:val="FootnoteText"/>
      </w:pPr>
      <w:r>
        <w:rPr>
          <w:rStyle w:val="FootnoteReference"/>
        </w:rPr>
        <w:footnoteRef/>
      </w:r>
      <w:r>
        <w:t xml:space="preserve"> </w:t>
      </w:r>
      <w:r w:rsidR="00D01FFB">
        <w:t xml:space="preserve">Petition at 9-10. </w:t>
      </w:r>
    </w:p>
  </w:footnote>
  <w:footnote w:id="14">
    <w:p w:rsidR="0093418C" w:rsidP="0093418C" w14:paraId="66B15B9F" w14:textId="77777777">
      <w:pPr>
        <w:pStyle w:val="FootnoteText"/>
      </w:pPr>
      <w:r>
        <w:rPr>
          <w:rStyle w:val="FootnoteReference"/>
        </w:rPr>
        <w:footnoteRef/>
      </w:r>
      <w:r>
        <w:t xml:space="preserve"> </w:t>
      </w:r>
      <w:r>
        <w:rPr>
          <w:i/>
          <w:iCs/>
        </w:rPr>
        <w:t xml:space="preserve">See </w:t>
      </w:r>
      <w:r w:rsidRPr="0087057A">
        <w:t>47 CFR §§ 1.2, 1.405, and 1.419.</w:t>
      </w:r>
    </w:p>
  </w:footnote>
  <w:footnote w:id="15">
    <w:p w:rsidR="0093418C" w:rsidRPr="001212ED" w:rsidP="0093418C" w14:paraId="3D14D5C7" w14:textId="77777777">
      <w:pPr>
        <w:pStyle w:val="FootnoteText"/>
      </w:pPr>
      <w:r w:rsidRPr="001212ED">
        <w:rPr>
          <w:rStyle w:val="FootnoteReference"/>
          <w:sz w:val="20"/>
        </w:rPr>
        <w:footnoteRef/>
      </w:r>
      <w:r w:rsidRPr="001212ED">
        <w:t xml:space="preserve"> </w:t>
      </w:r>
      <w:r w:rsidRPr="001212ED">
        <w:rPr>
          <w:i/>
        </w:rPr>
        <w:t>See Electronic Filing of Documents in Rulemaking Proceedings</w:t>
      </w:r>
      <w:r w:rsidRPr="001212ED">
        <w:t>, 63 F</w:t>
      </w:r>
      <w:r>
        <w:t xml:space="preserve">ed. </w:t>
      </w:r>
      <w:r w:rsidRPr="001212ED">
        <w:t>R</w:t>
      </w:r>
      <w:r>
        <w:t>eg.</w:t>
      </w:r>
      <w:r w:rsidRPr="001212ED">
        <w:t xml:space="preserve"> 24121 (1998).</w:t>
      </w:r>
    </w:p>
  </w:footnote>
  <w:footnote w:id="16">
    <w:p w:rsidR="0093418C" w:rsidRPr="0038566F" w:rsidP="0093418C" w14:paraId="635A0629" w14:textId="77777777">
      <w:pPr>
        <w:pStyle w:val="FootnoteText"/>
      </w:pPr>
      <w:r w:rsidRPr="00C92AF9">
        <w:rPr>
          <w:rStyle w:val="FootnoteReference"/>
          <w:sz w:val="20"/>
        </w:rPr>
        <w:footnoteRef/>
      </w:r>
      <w:r w:rsidRPr="001212ED">
        <w:t xml:space="preserve"> </w:t>
      </w:r>
      <w:r w:rsidRPr="0038566F">
        <w:rPr>
          <w:i/>
          <w:iCs/>
        </w:rPr>
        <w:t>See</w:t>
      </w:r>
      <w:r w:rsidRPr="00631564">
        <w:t xml:space="preserve"> </w:t>
      </w:r>
      <w:r w:rsidRPr="00631564">
        <w:rPr>
          <w:i/>
          <w:iCs/>
        </w:rPr>
        <w:t>FCC Announces Closure of FCC Headquarters Open Window and Change in Hand-Delivery Policy</w:t>
      </w:r>
      <w:r w:rsidRPr="00631564">
        <w:t xml:space="preserve">, Public Notice, 35 FCC </w:t>
      </w:r>
      <w:r w:rsidRPr="00631564">
        <w:t>Rcd</w:t>
      </w:r>
      <w:r w:rsidRPr="00631564">
        <w:t xml:space="preserve"> 2788 (Mar.</w:t>
      </w:r>
      <w:r w:rsidRPr="007F7B6A">
        <w:t xml:space="preserve"> 19, 2020), </w:t>
      </w:r>
      <w:hyperlink r:id="rId2" w:history="1">
        <w:r w:rsidRPr="0038566F">
          <w:rPr>
            <w:rStyle w:val="Hyperlink"/>
          </w:rPr>
          <w:t>https://www.fcc.gov/document/fcc-closes-headquarters-open-window-and-changes-hand-delivery-policy</w:t>
        </w:r>
      </w:hyperlink>
      <w:r w:rsidRPr="001212ED">
        <w:rPr>
          <w:rStyle w:val="Hyperlink"/>
          <w:u w:val="none"/>
        </w:rPr>
        <w:t>.</w:t>
      </w:r>
    </w:p>
  </w:footnote>
  <w:footnote w:id="17">
    <w:p w:rsidR="005F0A14" w:rsidRPr="00526349" w:rsidP="005F0A14" w14:paraId="2EBF77DB" w14:textId="77777777">
      <w:pPr>
        <w:pStyle w:val="FootnoteText"/>
        <w:rPr>
          <w:i/>
          <w:iCs/>
        </w:rPr>
      </w:pPr>
      <w:r>
        <w:rPr>
          <w:rStyle w:val="FootnoteReference"/>
        </w:rPr>
        <w:footnoteRef/>
      </w:r>
      <w:r>
        <w:t xml:space="preserve"> </w:t>
      </w:r>
      <w:r>
        <w:rPr>
          <w:i/>
          <w:iCs/>
        </w:rPr>
        <w:t xml:space="preserve">See </w:t>
      </w:r>
      <w:r>
        <w:t xml:space="preserve">47 CFR §§ 1.1200 </w:t>
      </w:r>
      <w:r>
        <w:rPr>
          <w:i/>
          <w:iCs/>
        </w:rPr>
        <w:t>et seq.</w:t>
      </w:r>
    </w:p>
  </w:footnote>
  <w:footnote w:id="18">
    <w:p w:rsidR="005F0A14" w:rsidRPr="0014668A" w:rsidP="005F0A14" w14:paraId="0265E966" w14:textId="77777777">
      <w:pPr>
        <w:pStyle w:val="FootnoteText"/>
      </w:pPr>
      <w:r>
        <w:rPr>
          <w:rStyle w:val="FootnoteReference"/>
        </w:rPr>
        <w:footnoteRef/>
      </w:r>
      <w:r>
        <w:t xml:space="preserve"> </w:t>
      </w:r>
      <w:r>
        <w:rPr>
          <w:i/>
          <w:iCs/>
        </w:rPr>
        <w:t>Id.</w:t>
      </w:r>
      <w:r>
        <w:t xml:space="preserve"> § 1.1206(b).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6A7D" w14:paraId="24194A08" w14:textId="31F32D86">
    <w:pPr>
      <w:tabs>
        <w:tab w:val="center" w:pos="4680"/>
        <w:tab w:val="right" w:pos="9360"/>
      </w:tabs>
    </w:pPr>
    <w:r>
      <w:rPr>
        <w:b/>
      </w:rPr>
      <w:tab/>
      <w:t>Federal Communications Commission</w:t>
    </w:r>
    <w:r>
      <w:rPr>
        <w:b/>
      </w:rPr>
      <w:tab/>
    </w:r>
    <w:r w:rsidR="00C30DC5">
      <w:rPr>
        <w:b/>
      </w:rPr>
      <w:t>DA 22-543</w:t>
    </w:r>
  </w:p>
  <w:p w:rsidR="00616A7D" w14:paraId="7939DE7C" w14:textId="05E1622B">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616A7D" w14:paraId="3C19231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6A7D" w14:paraId="02A80893" w14:textId="4EBE682A">
    <w:pPr>
      <w:pStyle w:val="Header"/>
    </w:pPr>
    <w:r>
      <w:rPr>
        <w:noProof/>
        <w:snapToGrid/>
      </w:rPr>
      <w:drawing>
        <wp:inline distT="0" distB="0" distL="0" distR="0">
          <wp:extent cx="5949315" cy="1424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315" cy="1424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4733A2"/>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C8037C3"/>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7CB75063"/>
    <w:multiLevelType w:val="hybridMultilevel"/>
    <w:tmpl w:val="423A1B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7F6"/>
    <w:rsid w:val="000021A4"/>
    <w:rsid w:val="0000253D"/>
    <w:rsid w:val="000050FA"/>
    <w:rsid w:val="00010BA0"/>
    <w:rsid w:val="00013C87"/>
    <w:rsid w:val="00021F89"/>
    <w:rsid w:val="0002383E"/>
    <w:rsid w:val="00031B8C"/>
    <w:rsid w:val="00033E55"/>
    <w:rsid w:val="00035DDF"/>
    <w:rsid w:val="00043A06"/>
    <w:rsid w:val="00045646"/>
    <w:rsid w:val="00050164"/>
    <w:rsid w:val="00054283"/>
    <w:rsid w:val="00062E93"/>
    <w:rsid w:val="000658CB"/>
    <w:rsid w:val="000701C7"/>
    <w:rsid w:val="00071BC9"/>
    <w:rsid w:val="000745B0"/>
    <w:rsid w:val="00075D75"/>
    <w:rsid w:val="00081AEC"/>
    <w:rsid w:val="0008627E"/>
    <w:rsid w:val="00086945"/>
    <w:rsid w:val="000902D8"/>
    <w:rsid w:val="00097B68"/>
    <w:rsid w:val="00097C62"/>
    <w:rsid w:val="000A3A2A"/>
    <w:rsid w:val="000A426F"/>
    <w:rsid w:val="000B3D46"/>
    <w:rsid w:val="000B7C9F"/>
    <w:rsid w:val="000C14D7"/>
    <w:rsid w:val="000C17A0"/>
    <w:rsid w:val="000C1DD8"/>
    <w:rsid w:val="000C3BC0"/>
    <w:rsid w:val="000C3D5A"/>
    <w:rsid w:val="000C7BDC"/>
    <w:rsid w:val="000D0888"/>
    <w:rsid w:val="000D580C"/>
    <w:rsid w:val="000D5B67"/>
    <w:rsid w:val="000E333E"/>
    <w:rsid w:val="000E35F3"/>
    <w:rsid w:val="000E63BF"/>
    <w:rsid w:val="000E6AC2"/>
    <w:rsid w:val="000E7F45"/>
    <w:rsid w:val="00102BC0"/>
    <w:rsid w:val="00103C86"/>
    <w:rsid w:val="00104EFA"/>
    <w:rsid w:val="00110127"/>
    <w:rsid w:val="001212ED"/>
    <w:rsid w:val="001226CD"/>
    <w:rsid w:val="00122E8F"/>
    <w:rsid w:val="0012482A"/>
    <w:rsid w:val="00125DAE"/>
    <w:rsid w:val="00131D00"/>
    <w:rsid w:val="00141E5B"/>
    <w:rsid w:val="001420EA"/>
    <w:rsid w:val="00142B15"/>
    <w:rsid w:val="0014668A"/>
    <w:rsid w:val="001518E2"/>
    <w:rsid w:val="00155D85"/>
    <w:rsid w:val="00164A7F"/>
    <w:rsid w:val="00165694"/>
    <w:rsid w:val="0016651C"/>
    <w:rsid w:val="00166D74"/>
    <w:rsid w:val="00167C0D"/>
    <w:rsid w:val="001815F3"/>
    <w:rsid w:val="00181BB3"/>
    <w:rsid w:val="00182C8B"/>
    <w:rsid w:val="00192896"/>
    <w:rsid w:val="00193BA1"/>
    <w:rsid w:val="00194A95"/>
    <w:rsid w:val="00194BDE"/>
    <w:rsid w:val="00196144"/>
    <w:rsid w:val="001B07AF"/>
    <w:rsid w:val="001B2CE8"/>
    <w:rsid w:val="001C4FCC"/>
    <w:rsid w:val="001D4E22"/>
    <w:rsid w:val="001D7C72"/>
    <w:rsid w:val="001E309F"/>
    <w:rsid w:val="001E6E33"/>
    <w:rsid w:val="001F47A5"/>
    <w:rsid w:val="001F70C2"/>
    <w:rsid w:val="001F72A6"/>
    <w:rsid w:val="002052A8"/>
    <w:rsid w:val="00214F22"/>
    <w:rsid w:val="002156D9"/>
    <w:rsid w:val="002237BA"/>
    <w:rsid w:val="00223BE9"/>
    <w:rsid w:val="00230598"/>
    <w:rsid w:val="00234B24"/>
    <w:rsid w:val="00242E00"/>
    <w:rsid w:val="002468EF"/>
    <w:rsid w:val="0025000F"/>
    <w:rsid w:val="00251398"/>
    <w:rsid w:val="00255D04"/>
    <w:rsid w:val="0025684F"/>
    <w:rsid w:val="0026047F"/>
    <w:rsid w:val="00266874"/>
    <w:rsid w:val="0027321A"/>
    <w:rsid w:val="00282A99"/>
    <w:rsid w:val="00290EDF"/>
    <w:rsid w:val="002941A8"/>
    <w:rsid w:val="002958EA"/>
    <w:rsid w:val="002A0D06"/>
    <w:rsid w:val="002B0028"/>
    <w:rsid w:val="002B400C"/>
    <w:rsid w:val="002B410A"/>
    <w:rsid w:val="002B63E3"/>
    <w:rsid w:val="002B6BA0"/>
    <w:rsid w:val="002B7BF0"/>
    <w:rsid w:val="002C0834"/>
    <w:rsid w:val="002C0E55"/>
    <w:rsid w:val="002C0F47"/>
    <w:rsid w:val="002C468C"/>
    <w:rsid w:val="002C4EEE"/>
    <w:rsid w:val="002D2984"/>
    <w:rsid w:val="002D6F7A"/>
    <w:rsid w:val="002E000B"/>
    <w:rsid w:val="002E077C"/>
    <w:rsid w:val="002E2759"/>
    <w:rsid w:val="002E4818"/>
    <w:rsid w:val="002E74EC"/>
    <w:rsid w:val="002F745B"/>
    <w:rsid w:val="0030058B"/>
    <w:rsid w:val="00303AAF"/>
    <w:rsid w:val="003041B3"/>
    <w:rsid w:val="0030423E"/>
    <w:rsid w:val="00306712"/>
    <w:rsid w:val="00310BC9"/>
    <w:rsid w:val="003243B7"/>
    <w:rsid w:val="0032618C"/>
    <w:rsid w:val="003267A1"/>
    <w:rsid w:val="003301DD"/>
    <w:rsid w:val="00334C2A"/>
    <w:rsid w:val="003556BE"/>
    <w:rsid w:val="00363E25"/>
    <w:rsid w:val="003648A8"/>
    <w:rsid w:val="00372C0F"/>
    <w:rsid w:val="00373C04"/>
    <w:rsid w:val="0038252A"/>
    <w:rsid w:val="003852E0"/>
    <w:rsid w:val="0038566F"/>
    <w:rsid w:val="003870D7"/>
    <w:rsid w:val="00393E04"/>
    <w:rsid w:val="0039570E"/>
    <w:rsid w:val="003A61C3"/>
    <w:rsid w:val="003B535E"/>
    <w:rsid w:val="003B5D5A"/>
    <w:rsid w:val="003B68E9"/>
    <w:rsid w:val="003C3CC2"/>
    <w:rsid w:val="003C4A8B"/>
    <w:rsid w:val="003C6599"/>
    <w:rsid w:val="003D35AA"/>
    <w:rsid w:val="003E461C"/>
    <w:rsid w:val="003E70A8"/>
    <w:rsid w:val="004018AA"/>
    <w:rsid w:val="00405BA6"/>
    <w:rsid w:val="00411AFB"/>
    <w:rsid w:val="00414F0A"/>
    <w:rsid w:val="00421ADD"/>
    <w:rsid w:val="00426D0F"/>
    <w:rsid w:val="00430480"/>
    <w:rsid w:val="004309F9"/>
    <w:rsid w:val="00433E5B"/>
    <w:rsid w:val="00435D40"/>
    <w:rsid w:val="0043775E"/>
    <w:rsid w:val="00440C55"/>
    <w:rsid w:val="004416CA"/>
    <w:rsid w:val="00442B71"/>
    <w:rsid w:val="00447BD0"/>
    <w:rsid w:val="00447DD3"/>
    <w:rsid w:val="004519F6"/>
    <w:rsid w:val="00452C13"/>
    <w:rsid w:val="0045694F"/>
    <w:rsid w:val="00457866"/>
    <w:rsid w:val="004632F0"/>
    <w:rsid w:val="00465893"/>
    <w:rsid w:val="00476821"/>
    <w:rsid w:val="00481D5E"/>
    <w:rsid w:val="00483570"/>
    <w:rsid w:val="00483D54"/>
    <w:rsid w:val="0048795C"/>
    <w:rsid w:val="0049337C"/>
    <w:rsid w:val="00497DB6"/>
    <w:rsid w:val="00497F40"/>
    <w:rsid w:val="004A1CFD"/>
    <w:rsid w:val="004C503A"/>
    <w:rsid w:val="004C6411"/>
    <w:rsid w:val="004C6853"/>
    <w:rsid w:val="004D1B2A"/>
    <w:rsid w:val="004D2D8B"/>
    <w:rsid w:val="004D56C9"/>
    <w:rsid w:val="004F34AF"/>
    <w:rsid w:val="004F497B"/>
    <w:rsid w:val="005023A0"/>
    <w:rsid w:val="00502BDC"/>
    <w:rsid w:val="005032FC"/>
    <w:rsid w:val="005112E0"/>
    <w:rsid w:val="0051215F"/>
    <w:rsid w:val="00521396"/>
    <w:rsid w:val="00525396"/>
    <w:rsid w:val="00526349"/>
    <w:rsid w:val="00532306"/>
    <w:rsid w:val="005357C5"/>
    <w:rsid w:val="00542FD8"/>
    <w:rsid w:val="00544869"/>
    <w:rsid w:val="00555220"/>
    <w:rsid w:val="0055624E"/>
    <w:rsid w:val="005595A2"/>
    <w:rsid w:val="00560461"/>
    <w:rsid w:val="0056103F"/>
    <w:rsid w:val="00561B0C"/>
    <w:rsid w:val="00561E92"/>
    <w:rsid w:val="00562F82"/>
    <w:rsid w:val="0056333C"/>
    <w:rsid w:val="00566EE4"/>
    <w:rsid w:val="00566FF2"/>
    <w:rsid w:val="00575C11"/>
    <w:rsid w:val="0057686D"/>
    <w:rsid w:val="005803F0"/>
    <w:rsid w:val="005909B9"/>
    <w:rsid w:val="005A2409"/>
    <w:rsid w:val="005A5199"/>
    <w:rsid w:val="005B05F1"/>
    <w:rsid w:val="005B0EE6"/>
    <w:rsid w:val="005B0FDD"/>
    <w:rsid w:val="005B4BB4"/>
    <w:rsid w:val="005B5900"/>
    <w:rsid w:val="005D005D"/>
    <w:rsid w:val="005D07D0"/>
    <w:rsid w:val="005D0CCF"/>
    <w:rsid w:val="005D7502"/>
    <w:rsid w:val="005E17FC"/>
    <w:rsid w:val="005E4D2F"/>
    <w:rsid w:val="005E65ED"/>
    <w:rsid w:val="005F0A14"/>
    <w:rsid w:val="005F17AE"/>
    <w:rsid w:val="005F4F8C"/>
    <w:rsid w:val="005F536B"/>
    <w:rsid w:val="005F5FC8"/>
    <w:rsid w:val="00603D2C"/>
    <w:rsid w:val="00605B2B"/>
    <w:rsid w:val="00610FEE"/>
    <w:rsid w:val="00611C42"/>
    <w:rsid w:val="00616A7D"/>
    <w:rsid w:val="0062503A"/>
    <w:rsid w:val="00631564"/>
    <w:rsid w:val="0063427C"/>
    <w:rsid w:val="00634593"/>
    <w:rsid w:val="00635501"/>
    <w:rsid w:val="00644894"/>
    <w:rsid w:val="00646C95"/>
    <w:rsid w:val="00647931"/>
    <w:rsid w:val="0065545E"/>
    <w:rsid w:val="0065595A"/>
    <w:rsid w:val="0066462B"/>
    <w:rsid w:val="00665255"/>
    <w:rsid w:val="00674CE5"/>
    <w:rsid w:val="00675095"/>
    <w:rsid w:val="00677F64"/>
    <w:rsid w:val="00682A4C"/>
    <w:rsid w:val="00692815"/>
    <w:rsid w:val="00696083"/>
    <w:rsid w:val="00696BC0"/>
    <w:rsid w:val="006A5DE7"/>
    <w:rsid w:val="006A7799"/>
    <w:rsid w:val="006B2ED4"/>
    <w:rsid w:val="006C2F91"/>
    <w:rsid w:val="006D2DBA"/>
    <w:rsid w:val="006D52CE"/>
    <w:rsid w:val="006D5404"/>
    <w:rsid w:val="006D7415"/>
    <w:rsid w:val="006E5C2E"/>
    <w:rsid w:val="006F0FD3"/>
    <w:rsid w:val="006F2FA9"/>
    <w:rsid w:val="006F77AB"/>
    <w:rsid w:val="00717065"/>
    <w:rsid w:val="00730899"/>
    <w:rsid w:val="007311BC"/>
    <w:rsid w:val="00731425"/>
    <w:rsid w:val="007531BC"/>
    <w:rsid w:val="00765E39"/>
    <w:rsid w:val="00766D48"/>
    <w:rsid w:val="007716F2"/>
    <w:rsid w:val="00772546"/>
    <w:rsid w:val="00773EB2"/>
    <w:rsid w:val="00776F43"/>
    <w:rsid w:val="00777D8A"/>
    <w:rsid w:val="00781ED3"/>
    <w:rsid w:val="00786E46"/>
    <w:rsid w:val="00790C5D"/>
    <w:rsid w:val="007A1A71"/>
    <w:rsid w:val="007B7B92"/>
    <w:rsid w:val="007C0A29"/>
    <w:rsid w:val="007D0727"/>
    <w:rsid w:val="007D73C5"/>
    <w:rsid w:val="007D7614"/>
    <w:rsid w:val="007E087D"/>
    <w:rsid w:val="007F1076"/>
    <w:rsid w:val="007F7B6A"/>
    <w:rsid w:val="0080151C"/>
    <w:rsid w:val="00803D89"/>
    <w:rsid w:val="00805D97"/>
    <w:rsid w:val="008067F1"/>
    <w:rsid w:val="008135E4"/>
    <w:rsid w:val="0081578A"/>
    <w:rsid w:val="00817D0C"/>
    <w:rsid w:val="00820335"/>
    <w:rsid w:val="008224DE"/>
    <w:rsid w:val="0082355B"/>
    <w:rsid w:val="00823F9E"/>
    <w:rsid w:val="00826472"/>
    <w:rsid w:val="00826CB6"/>
    <w:rsid w:val="0083019E"/>
    <w:rsid w:val="0083628A"/>
    <w:rsid w:val="00843CB6"/>
    <w:rsid w:val="00846342"/>
    <w:rsid w:val="008552BE"/>
    <w:rsid w:val="00864FEA"/>
    <w:rsid w:val="008657CA"/>
    <w:rsid w:val="0087057A"/>
    <w:rsid w:val="0087384C"/>
    <w:rsid w:val="0087446D"/>
    <w:rsid w:val="008801E1"/>
    <w:rsid w:val="0088412A"/>
    <w:rsid w:val="00885016"/>
    <w:rsid w:val="00890802"/>
    <w:rsid w:val="008A0629"/>
    <w:rsid w:val="008A1148"/>
    <w:rsid w:val="008A3098"/>
    <w:rsid w:val="008A4B17"/>
    <w:rsid w:val="008A751D"/>
    <w:rsid w:val="008B3F00"/>
    <w:rsid w:val="008B5180"/>
    <w:rsid w:val="008C008E"/>
    <w:rsid w:val="008C2330"/>
    <w:rsid w:val="008C2C16"/>
    <w:rsid w:val="008C3501"/>
    <w:rsid w:val="008C5600"/>
    <w:rsid w:val="008E3136"/>
    <w:rsid w:val="008F20AF"/>
    <w:rsid w:val="00900528"/>
    <w:rsid w:val="00904142"/>
    <w:rsid w:val="00910F2A"/>
    <w:rsid w:val="00916A03"/>
    <w:rsid w:val="009171EF"/>
    <w:rsid w:val="00920A66"/>
    <w:rsid w:val="009264A2"/>
    <w:rsid w:val="00930D05"/>
    <w:rsid w:val="0093418C"/>
    <w:rsid w:val="009345AF"/>
    <w:rsid w:val="0094317A"/>
    <w:rsid w:val="0094386E"/>
    <w:rsid w:val="009442A8"/>
    <w:rsid w:val="00952F40"/>
    <w:rsid w:val="00961C18"/>
    <w:rsid w:val="00971ADF"/>
    <w:rsid w:val="009A236C"/>
    <w:rsid w:val="009B23BA"/>
    <w:rsid w:val="009B2B3A"/>
    <w:rsid w:val="009B4582"/>
    <w:rsid w:val="009B57AF"/>
    <w:rsid w:val="009B57F6"/>
    <w:rsid w:val="009B608D"/>
    <w:rsid w:val="009B6CC8"/>
    <w:rsid w:val="009C1E06"/>
    <w:rsid w:val="009C6353"/>
    <w:rsid w:val="009D0E7A"/>
    <w:rsid w:val="009D1446"/>
    <w:rsid w:val="009D264B"/>
    <w:rsid w:val="009D7445"/>
    <w:rsid w:val="009E24FA"/>
    <w:rsid w:val="009E39FF"/>
    <w:rsid w:val="009E6CDB"/>
    <w:rsid w:val="009E728A"/>
    <w:rsid w:val="009F2F8F"/>
    <w:rsid w:val="009F5BCF"/>
    <w:rsid w:val="009F672D"/>
    <w:rsid w:val="00A01D48"/>
    <w:rsid w:val="00A01E42"/>
    <w:rsid w:val="00A052AA"/>
    <w:rsid w:val="00A06B1A"/>
    <w:rsid w:val="00A07024"/>
    <w:rsid w:val="00A13629"/>
    <w:rsid w:val="00A20DB5"/>
    <w:rsid w:val="00A25879"/>
    <w:rsid w:val="00A258A1"/>
    <w:rsid w:val="00A30483"/>
    <w:rsid w:val="00A427E4"/>
    <w:rsid w:val="00A432F5"/>
    <w:rsid w:val="00A4602D"/>
    <w:rsid w:val="00A522C6"/>
    <w:rsid w:val="00A53281"/>
    <w:rsid w:val="00A5335F"/>
    <w:rsid w:val="00A57908"/>
    <w:rsid w:val="00A633F9"/>
    <w:rsid w:val="00A72005"/>
    <w:rsid w:val="00A811BF"/>
    <w:rsid w:val="00A85193"/>
    <w:rsid w:val="00A85407"/>
    <w:rsid w:val="00A8669D"/>
    <w:rsid w:val="00A94CB5"/>
    <w:rsid w:val="00AA5672"/>
    <w:rsid w:val="00AB2E8F"/>
    <w:rsid w:val="00AB35DE"/>
    <w:rsid w:val="00AB7FAF"/>
    <w:rsid w:val="00AC00A5"/>
    <w:rsid w:val="00AC1A21"/>
    <w:rsid w:val="00AC28A6"/>
    <w:rsid w:val="00AC41B4"/>
    <w:rsid w:val="00AC46A6"/>
    <w:rsid w:val="00AD222D"/>
    <w:rsid w:val="00AD455E"/>
    <w:rsid w:val="00AD5549"/>
    <w:rsid w:val="00AD5EC7"/>
    <w:rsid w:val="00AD7CF4"/>
    <w:rsid w:val="00AE3300"/>
    <w:rsid w:val="00AE4620"/>
    <w:rsid w:val="00AE588A"/>
    <w:rsid w:val="00AF0D77"/>
    <w:rsid w:val="00AF0F4D"/>
    <w:rsid w:val="00AF122C"/>
    <w:rsid w:val="00AF62B6"/>
    <w:rsid w:val="00AF73B9"/>
    <w:rsid w:val="00AF73FD"/>
    <w:rsid w:val="00B0140C"/>
    <w:rsid w:val="00B037BF"/>
    <w:rsid w:val="00B04288"/>
    <w:rsid w:val="00B06276"/>
    <w:rsid w:val="00B11622"/>
    <w:rsid w:val="00B143E4"/>
    <w:rsid w:val="00B16A63"/>
    <w:rsid w:val="00B16C63"/>
    <w:rsid w:val="00B22263"/>
    <w:rsid w:val="00B234D3"/>
    <w:rsid w:val="00B24EB5"/>
    <w:rsid w:val="00B26400"/>
    <w:rsid w:val="00B344C4"/>
    <w:rsid w:val="00B36C4E"/>
    <w:rsid w:val="00B414AD"/>
    <w:rsid w:val="00B41646"/>
    <w:rsid w:val="00B43433"/>
    <w:rsid w:val="00B558B6"/>
    <w:rsid w:val="00B70201"/>
    <w:rsid w:val="00B75794"/>
    <w:rsid w:val="00B75C46"/>
    <w:rsid w:val="00B838EB"/>
    <w:rsid w:val="00B876BA"/>
    <w:rsid w:val="00B93DDB"/>
    <w:rsid w:val="00B96DB5"/>
    <w:rsid w:val="00BA40D6"/>
    <w:rsid w:val="00BA4EB2"/>
    <w:rsid w:val="00BB176A"/>
    <w:rsid w:val="00BC522B"/>
    <w:rsid w:val="00BD0C76"/>
    <w:rsid w:val="00BD2C4E"/>
    <w:rsid w:val="00BE1BD4"/>
    <w:rsid w:val="00BF3056"/>
    <w:rsid w:val="00BF584D"/>
    <w:rsid w:val="00BF6CE4"/>
    <w:rsid w:val="00C01180"/>
    <w:rsid w:val="00C028B7"/>
    <w:rsid w:val="00C10CD5"/>
    <w:rsid w:val="00C127F7"/>
    <w:rsid w:val="00C13D3D"/>
    <w:rsid w:val="00C17928"/>
    <w:rsid w:val="00C21B45"/>
    <w:rsid w:val="00C24634"/>
    <w:rsid w:val="00C30DC5"/>
    <w:rsid w:val="00C31334"/>
    <w:rsid w:val="00C33F33"/>
    <w:rsid w:val="00C411B1"/>
    <w:rsid w:val="00C419B1"/>
    <w:rsid w:val="00C53AD7"/>
    <w:rsid w:val="00C5439A"/>
    <w:rsid w:val="00C547BE"/>
    <w:rsid w:val="00C561BE"/>
    <w:rsid w:val="00C62D1F"/>
    <w:rsid w:val="00C63E22"/>
    <w:rsid w:val="00C75711"/>
    <w:rsid w:val="00C7716D"/>
    <w:rsid w:val="00C82C20"/>
    <w:rsid w:val="00C951CF"/>
    <w:rsid w:val="00C9551A"/>
    <w:rsid w:val="00CA046A"/>
    <w:rsid w:val="00CA4EB3"/>
    <w:rsid w:val="00CA5F69"/>
    <w:rsid w:val="00CA6CA8"/>
    <w:rsid w:val="00CB2974"/>
    <w:rsid w:val="00CB3C9C"/>
    <w:rsid w:val="00CC3BDB"/>
    <w:rsid w:val="00CC71A1"/>
    <w:rsid w:val="00CC75D3"/>
    <w:rsid w:val="00CD24EB"/>
    <w:rsid w:val="00CD300A"/>
    <w:rsid w:val="00CD5DBD"/>
    <w:rsid w:val="00CE08BF"/>
    <w:rsid w:val="00CE472B"/>
    <w:rsid w:val="00CF4F27"/>
    <w:rsid w:val="00CF69FE"/>
    <w:rsid w:val="00CF78DF"/>
    <w:rsid w:val="00D01FFB"/>
    <w:rsid w:val="00D02B3B"/>
    <w:rsid w:val="00D11318"/>
    <w:rsid w:val="00D11F27"/>
    <w:rsid w:val="00D12B58"/>
    <w:rsid w:val="00D13012"/>
    <w:rsid w:val="00D14ADE"/>
    <w:rsid w:val="00D16FB1"/>
    <w:rsid w:val="00D17A4F"/>
    <w:rsid w:val="00D202EE"/>
    <w:rsid w:val="00D21012"/>
    <w:rsid w:val="00D2333F"/>
    <w:rsid w:val="00D3329C"/>
    <w:rsid w:val="00D36627"/>
    <w:rsid w:val="00D429D2"/>
    <w:rsid w:val="00D437FC"/>
    <w:rsid w:val="00D44BC7"/>
    <w:rsid w:val="00D46BDB"/>
    <w:rsid w:val="00D47F5E"/>
    <w:rsid w:val="00D608C0"/>
    <w:rsid w:val="00D62247"/>
    <w:rsid w:val="00D63532"/>
    <w:rsid w:val="00D64129"/>
    <w:rsid w:val="00D66D67"/>
    <w:rsid w:val="00D75E39"/>
    <w:rsid w:val="00D77E1F"/>
    <w:rsid w:val="00D80B5F"/>
    <w:rsid w:val="00D86AD7"/>
    <w:rsid w:val="00D91FCF"/>
    <w:rsid w:val="00D929FF"/>
    <w:rsid w:val="00D92A27"/>
    <w:rsid w:val="00D97A29"/>
    <w:rsid w:val="00DA18EA"/>
    <w:rsid w:val="00DA3724"/>
    <w:rsid w:val="00DB0F77"/>
    <w:rsid w:val="00DB116A"/>
    <w:rsid w:val="00DB1324"/>
    <w:rsid w:val="00DB20E2"/>
    <w:rsid w:val="00DB3B50"/>
    <w:rsid w:val="00DC3821"/>
    <w:rsid w:val="00DC52AA"/>
    <w:rsid w:val="00DD5DBD"/>
    <w:rsid w:val="00DE7633"/>
    <w:rsid w:val="00DF1175"/>
    <w:rsid w:val="00E005B1"/>
    <w:rsid w:val="00E03B98"/>
    <w:rsid w:val="00E05877"/>
    <w:rsid w:val="00E0679E"/>
    <w:rsid w:val="00E1647A"/>
    <w:rsid w:val="00E16B79"/>
    <w:rsid w:val="00E17211"/>
    <w:rsid w:val="00E176DB"/>
    <w:rsid w:val="00E21330"/>
    <w:rsid w:val="00E213FE"/>
    <w:rsid w:val="00E21947"/>
    <w:rsid w:val="00E22496"/>
    <w:rsid w:val="00E24750"/>
    <w:rsid w:val="00E26837"/>
    <w:rsid w:val="00E331AB"/>
    <w:rsid w:val="00E35869"/>
    <w:rsid w:val="00E412C0"/>
    <w:rsid w:val="00E43A16"/>
    <w:rsid w:val="00E43BAF"/>
    <w:rsid w:val="00E52744"/>
    <w:rsid w:val="00E60BE3"/>
    <w:rsid w:val="00E70C6B"/>
    <w:rsid w:val="00E73A54"/>
    <w:rsid w:val="00E822EB"/>
    <w:rsid w:val="00E83409"/>
    <w:rsid w:val="00E85432"/>
    <w:rsid w:val="00E879F4"/>
    <w:rsid w:val="00E955A2"/>
    <w:rsid w:val="00E9566F"/>
    <w:rsid w:val="00E95F88"/>
    <w:rsid w:val="00EA20C0"/>
    <w:rsid w:val="00EA5157"/>
    <w:rsid w:val="00EA5326"/>
    <w:rsid w:val="00EA5676"/>
    <w:rsid w:val="00EB3CE0"/>
    <w:rsid w:val="00EC52A4"/>
    <w:rsid w:val="00EC5613"/>
    <w:rsid w:val="00ED0ABB"/>
    <w:rsid w:val="00ED1D6B"/>
    <w:rsid w:val="00F12C10"/>
    <w:rsid w:val="00F14A1C"/>
    <w:rsid w:val="00F24A2A"/>
    <w:rsid w:val="00F311EE"/>
    <w:rsid w:val="00F314B4"/>
    <w:rsid w:val="00F33686"/>
    <w:rsid w:val="00F35944"/>
    <w:rsid w:val="00F35F51"/>
    <w:rsid w:val="00F42078"/>
    <w:rsid w:val="00F423ED"/>
    <w:rsid w:val="00F47996"/>
    <w:rsid w:val="00F50990"/>
    <w:rsid w:val="00F57026"/>
    <w:rsid w:val="00F65FD4"/>
    <w:rsid w:val="00F66225"/>
    <w:rsid w:val="00F82D37"/>
    <w:rsid w:val="00F850FF"/>
    <w:rsid w:val="00F91B7B"/>
    <w:rsid w:val="00F93330"/>
    <w:rsid w:val="00F933AD"/>
    <w:rsid w:val="00F96C4D"/>
    <w:rsid w:val="00F96CA6"/>
    <w:rsid w:val="00FA646D"/>
    <w:rsid w:val="00FA7135"/>
    <w:rsid w:val="00FA7E80"/>
    <w:rsid w:val="00FB1ED8"/>
    <w:rsid w:val="00FB6B0A"/>
    <w:rsid w:val="00FD7E67"/>
    <w:rsid w:val="00FE443A"/>
    <w:rsid w:val="00FF2589"/>
    <w:rsid w:val="00FF53C8"/>
    <w:rsid w:val="00FF5D85"/>
    <w:rsid w:val="00FF6276"/>
    <w:rsid w:val="028340B6"/>
    <w:rsid w:val="02DD121A"/>
    <w:rsid w:val="0335FD36"/>
    <w:rsid w:val="034EF2C2"/>
    <w:rsid w:val="0366EC2F"/>
    <w:rsid w:val="03F539C8"/>
    <w:rsid w:val="0429F1FF"/>
    <w:rsid w:val="04F8A3FB"/>
    <w:rsid w:val="051D1327"/>
    <w:rsid w:val="053D9AEA"/>
    <w:rsid w:val="05A1EBEC"/>
    <w:rsid w:val="06BE4018"/>
    <w:rsid w:val="06D27ADF"/>
    <w:rsid w:val="07B7CB01"/>
    <w:rsid w:val="07CDF78C"/>
    <w:rsid w:val="07F0640E"/>
    <w:rsid w:val="0805E284"/>
    <w:rsid w:val="0816213C"/>
    <w:rsid w:val="088EAB40"/>
    <w:rsid w:val="0893FE47"/>
    <w:rsid w:val="096B5B84"/>
    <w:rsid w:val="09E44BF4"/>
    <w:rsid w:val="0A6DD52B"/>
    <w:rsid w:val="0BAAA272"/>
    <w:rsid w:val="0BC6A6DB"/>
    <w:rsid w:val="0BD821D1"/>
    <w:rsid w:val="0BDECD17"/>
    <w:rsid w:val="0C13587F"/>
    <w:rsid w:val="0C99E0CB"/>
    <w:rsid w:val="0CB69F95"/>
    <w:rsid w:val="0CEB57CC"/>
    <w:rsid w:val="0CEF1672"/>
    <w:rsid w:val="0D78459A"/>
    <w:rsid w:val="0DA53884"/>
    <w:rsid w:val="0DB581D4"/>
    <w:rsid w:val="0DC3E382"/>
    <w:rsid w:val="0DFF00B7"/>
    <w:rsid w:val="1092901A"/>
    <w:rsid w:val="109EDD5B"/>
    <w:rsid w:val="10D78709"/>
    <w:rsid w:val="11362824"/>
    <w:rsid w:val="114DD09D"/>
    <w:rsid w:val="114F57BE"/>
    <w:rsid w:val="118288D4"/>
    <w:rsid w:val="11C219D4"/>
    <w:rsid w:val="11D7A335"/>
    <w:rsid w:val="11EAF28B"/>
    <w:rsid w:val="11EFC280"/>
    <w:rsid w:val="11F77D35"/>
    <w:rsid w:val="12055116"/>
    <w:rsid w:val="12EA4409"/>
    <w:rsid w:val="12FAE768"/>
    <w:rsid w:val="13D60EDE"/>
    <w:rsid w:val="14069835"/>
    <w:rsid w:val="140CB611"/>
    <w:rsid w:val="141E91A2"/>
    <w:rsid w:val="143A91B6"/>
    <w:rsid w:val="1474C713"/>
    <w:rsid w:val="14E984F8"/>
    <w:rsid w:val="15C3B04F"/>
    <w:rsid w:val="15C53248"/>
    <w:rsid w:val="15DC5664"/>
    <w:rsid w:val="161531E8"/>
    <w:rsid w:val="166F96F1"/>
    <w:rsid w:val="166FA510"/>
    <w:rsid w:val="167B6F95"/>
    <w:rsid w:val="170CE557"/>
    <w:rsid w:val="17351D7C"/>
    <w:rsid w:val="17C3840C"/>
    <w:rsid w:val="18710924"/>
    <w:rsid w:val="1902B23D"/>
    <w:rsid w:val="19074443"/>
    <w:rsid w:val="192BB32A"/>
    <w:rsid w:val="1935BCA6"/>
    <w:rsid w:val="1A1723F0"/>
    <w:rsid w:val="1A272FD7"/>
    <w:rsid w:val="1A75B7EB"/>
    <w:rsid w:val="1B6ACB9C"/>
    <w:rsid w:val="1BA4165F"/>
    <w:rsid w:val="1BD8CE96"/>
    <w:rsid w:val="1BE8567B"/>
    <w:rsid w:val="1C058A06"/>
    <w:rsid w:val="1C05CC18"/>
    <w:rsid w:val="1CDC38C9"/>
    <w:rsid w:val="1D13F0F0"/>
    <w:rsid w:val="1D14BA3E"/>
    <w:rsid w:val="1DD7B576"/>
    <w:rsid w:val="1E656C92"/>
    <w:rsid w:val="1E79A759"/>
    <w:rsid w:val="1EB60FAD"/>
    <w:rsid w:val="1EBA9F6B"/>
    <w:rsid w:val="1EF31916"/>
    <w:rsid w:val="1FF1BDEC"/>
    <w:rsid w:val="204CEDE9"/>
    <w:rsid w:val="20580631"/>
    <w:rsid w:val="20D1B557"/>
    <w:rsid w:val="20DCFBE1"/>
    <w:rsid w:val="227BEE3A"/>
    <w:rsid w:val="22AB8C3B"/>
    <w:rsid w:val="2396CA30"/>
    <w:rsid w:val="24557045"/>
    <w:rsid w:val="247BFA51"/>
    <w:rsid w:val="2485F99C"/>
    <w:rsid w:val="24AE3C59"/>
    <w:rsid w:val="24D2786F"/>
    <w:rsid w:val="24F8E329"/>
    <w:rsid w:val="253BE8DD"/>
    <w:rsid w:val="25B954BD"/>
    <w:rsid w:val="25BA1AB7"/>
    <w:rsid w:val="25BDE935"/>
    <w:rsid w:val="2603FE46"/>
    <w:rsid w:val="27468681"/>
    <w:rsid w:val="27A4402B"/>
    <w:rsid w:val="27AF7B4B"/>
    <w:rsid w:val="27C52DD5"/>
    <w:rsid w:val="27F9806A"/>
    <w:rsid w:val="28013B1F"/>
    <w:rsid w:val="284ABA02"/>
    <w:rsid w:val="28BBB254"/>
    <w:rsid w:val="28D4750F"/>
    <w:rsid w:val="28ECA14D"/>
    <w:rsid w:val="298E55C7"/>
    <w:rsid w:val="29A5C995"/>
    <w:rsid w:val="29CB5F30"/>
    <w:rsid w:val="29D34CB6"/>
    <w:rsid w:val="29DED0A9"/>
    <w:rsid w:val="2A27155E"/>
    <w:rsid w:val="2A619A4F"/>
    <w:rsid w:val="2A71D907"/>
    <w:rsid w:val="2AA6913E"/>
    <w:rsid w:val="2BB1C0BE"/>
    <w:rsid w:val="2C13390E"/>
    <w:rsid w:val="2C86C958"/>
    <w:rsid w:val="2C9D26EC"/>
    <w:rsid w:val="2D01A370"/>
    <w:rsid w:val="2D5B9A30"/>
    <w:rsid w:val="2DEDD940"/>
    <w:rsid w:val="2E40E377"/>
    <w:rsid w:val="2E460ED7"/>
    <w:rsid w:val="2E5A499E"/>
    <w:rsid w:val="2F3D157D"/>
    <w:rsid w:val="2F55BBB3"/>
    <w:rsid w:val="2FDBEAEB"/>
    <w:rsid w:val="30258793"/>
    <w:rsid w:val="304CE33D"/>
    <w:rsid w:val="305B1A4E"/>
    <w:rsid w:val="3065A5F8"/>
    <w:rsid w:val="30D76798"/>
    <w:rsid w:val="30EAD911"/>
    <w:rsid w:val="310C1FCF"/>
    <w:rsid w:val="325780E1"/>
    <w:rsid w:val="32B507BA"/>
    <w:rsid w:val="32E791DD"/>
    <w:rsid w:val="3307BE65"/>
    <w:rsid w:val="3322CC6B"/>
    <w:rsid w:val="336FB1C0"/>
    <w:rsid w:val="3408CCC0"/>
    <w:rsid w:val="342E2F9C"/>
    <w:rsid w:val="3435EA51"/>
    <w:rsid w:val="3462832C"/>
    <w:rsid w:val="3541D887"/>
    <w:rsid w:val="35CAD338"/>
    <w:rsid w:val="3679BD88"/>
    <w:rsid w:val="36AE75BF"/>
    <w:rsid w:val="372824E5"/>
    <w:rsid w:val="37681721"/>
    <w:rsid w:val="37D22A91"/>
    <w:rsid w:val="37DE8365"/>
    <w:rsid w:val="381BD6AF"/>
    <w:rsid w:val="3867251C"/>
    <w:rsid w:val="38705336"/>
    <w:rsid w:val="38B54A25"/>
    <w:rsid w:val="393F0FCA"/>
    <w:rsid w:val="396BC15D"/>
    <w:rsid w:val="3A05C9A8"/>
    <w:rsid w:val="3B214715"/>
    <w:rsid w:val="3B2DAD5A"/>
    <w:rsid w:val="3B317698"/>
    <w:rsid w:val="3C595A4A"/>
    <w:rsid w:val="3C9D87EB"/>
    <w:rsid w:val="3D1F7DAB"/>
    <w:rsid w:val="3D913F4B"/>
    <w:rsid w:val="3DDFADEF"/>
    <w:rsid w:val="3E996EDB"/>
    <w:rsid w:val="3F2AE49D"/>
    <w:rsid w:val="3F53275A"/>
    <w:rsid w:val="3FA85269"/>
    <w:rsid w:val="3FD10465"/>
    <w:rsid w:val="4015FB54"/>
    <w:rsid w:val="4093905E"/>
    <w:rsid w:val="4181F67C"/>
    <w:rsid w:val="41A37AA3"/>
    <w:rsid w:val="41BB7EA8"/>
    <w:rsid w:val="426EBF9D"/>
    <w:rsid w:val="4395558C"/>
    <w:rsid w:val="43970817"/>
    <w:rsid w:val="43AA1C38"/>
    <w:rsid w:val="43E138CD"/>
    <w:rsid w:val="440C4D00"/>
    <w:rsid w:val="441755E4"/>
    <w:rsid w:val="445C0F6A"/>
    <w:rsid w:val="447054C9"/>
    <w:rsid w:val="44B573F1"/>
    <w:rsid w:val="44D4FFDA"/>
    <w:rsid w:val="45013364"/>
    <w:rsid w:val="4543E2FD"/>
    <w:rsid w:val="45F5B4BC"/>
    <w:rsid w:val="4635E64E"/>
    <w:rsid w:val="4671BB11"/>
    <w:rsid w:val="47010C75"/>
    <w:rsid w:val="476C340D"/>
    <w:rsid w:val="4800E44C"/>
    <w:rsid w:val="4824C147"/>
    <w:rsid w:val="48613ECB"/>
    <w:rsid w:val="4865F990"/>
    <w:rsid w:val="4883C1A3"/>
    <w:rsid w:val="48EFB49D"/>
    <w:rsid w:val="490FFF3C"/>
    <w:rsid w:val="4964D9B6"/>
    <w:rsid w:val="4A2B62DC"/>
    <w:rsid w:val="4A6C4116"/>
    <w:rsid w:val="4A825B39"/>
    <w:rsid w:val="4B0694EA"/>
    <w:rsid w:val="4B53468E"/>
    <w:rsid w:val="4B570109"/>
    <w:rsid w:val="4B80113F"/>
    <w:rsid w:val="4B9CD009"/>
    <w:rsid w:val="4C0DC85B"/>
    <w:rsid w:val="4C523C84"/>
    <w:rsid w:val="4D4E146E"/>
    <w:rsid w:val="4D9EE9AA"/>
    <w:rsid w:val="4DA4ED67"/>
    <w:rsid w:val="4DCC8249"/>
    <w:rsid w:val="4E4A1E46"/>
    <w:rsid w:val="4EB29295"/>
    <w:rsid w:val="4F382A55"/>
    <w:rsid w:val="4F48CDB4"/>
    <w:rsid w:val="4F8D873A"/>
    <w:rsid w:val="4FE2BCE1"/>
    <w:rsid w:val="50395AA8"/>
    <w:rsid w:val="50887802"/>
    <w:rsid w:val="50E5685E"/>
    <w:rsid w:val="5122A498"/>
    <w:rsid w:val="517EE160"/>
    <w:rsid w:val="519824DE"/>
    <w:rsid w:val="51B8A3A8"/>
    <w:rsid w:val="520788F4"/>
    <w:rsid w:val="521D57F7"/>
    <w:rsid w:val="52631834"/>
    <w:rsid w:val="526AC851"/>
    <w:rsid w:val="53150B66"/>
    <w:rsid w:val="53160785"/>
    <w:rsid w:val="5319C62B"/>
    <w:rsid w:val="5408456A"/>
    <w:rsid w:val="54496492"/>
    <w:rsid w:val="5458869B"/>
    <w:rsid w:val="545E35D6"/>
    <w:rsid w:val="5515E3C6"/>
    <w:rsid w:val="555CDAAC"/>
    <w:rsid w:val="557AB884"/>
    <w:rsid w:val="55A996E8"/>
    <w:rsid w:val="56455011"/>
    <w:rsid w:val="5666B527"/>
    <w:rsid w:val="56910B9F"/>
    <w:rsid w:val="56BD3FD3"/>
    <w:rsid w:val="56C1D25F"/>
    <w:rsid w:val="57234AAF"/>
    <w:rsid w:val="576AC8D6"/>
    <w:rsid w:val="57830B6D"/>
    <w:rsid w:val="57981343"/>
    <w:rsid w:val="58276F8A"/>
    <w:rsid w:val="584D54AF"/>
    <w:rsid w:val="58A91ADC"/>
    <w:rsid w:val="59DD1541"/>
    <w:rsid w:val="5A5D86BA"/>
    <w:rsid w:val="5A7A3AEC"/>
    <w:rsid w:val="5A9126AB"/>
    <w:rsid w:val="5B17FDEF"/>
    <w:rsid w:val="5B276145"/>
    <w:rsid w:val="5B693787"/>
    <w:rsid w:val="5BAACA59"/>
    <w:rsid w:val="5C3FE1A1"/>
    <w:rsid w:val="5D0AA226"/>
    <w:rsid w:val="5D2F581C"/>
    <w:rsid w:val="5D4F9915"/>
    <w:rsid w:val="5D58F8A0"/>
    <w:rsid w:val="5E25FB2E"/>
    <w:rsid w:val="5E2AC08B"/>
    <w:rsid w:val="5E2DC07B"/>
    <w:rsid w:val="5E2E7F31"/>
    <w:rsid w:val="5E838C9F"/>
    <w:rsid w:val="5F312AAE"/>
    <w:rsid w:val="5F83382C"/>
    <w:rsid w:val="60650654"/>
    <w:rsid w:val="607DEB8B"/>
    <w:rsid w:val="60CB5BE5"/>
    <w:rsid w:val="60D7DBF7"/>
    <w:rsid w:val="60F3940A"/>
    <w:rsid w:val="61284C41"/>
    <w:rsid w:val="61A68DF3"/>
    <w:rsid w:val="61B6FF7C"/>
    <w:rsid w:val="627CFAA4"/>
    <w:rsid w:val="6349DBD2"/>
    <w:rsid w:val="64032193"/>
    <w:rsid w:val="64AE0594"/>
    <w:rsid w:val="64C40B34"/>
    <w:rsid w:val="64C8C5F9"/>
    <w:rsid w:val="6518BE18"/>
    <w:rsid w:val="653A54C8"/>
    <w:rsid w:val="656F0CFF"/>
    <w:rsid w:val="65974524"/>
    <w:rsid w:val="659C0A81"/>
    <w:rsid w:val="66EF2648"/>
    <w:rsid w:val="673AF327"/>
    <w:rsid w:val="6775E165"/>
    <w:rsid w:val="678127EF"/>
    <w:rsid w:val="67AE2571"/>
    <w:rsid w:val="68C14277"/>
    <w:rsid w:val="6964898D"/>
    <w:rsid w:val="6A6A9EA6"/>
    <w:rsid w:val="6B66A32E"/>
    <w:rsid w:val="6B6FF560"/>
    <w:rsid w:val="6B76D74E"/>
    <w:rsid w:val="6CD34AFE"/>
    <w:rsid w:val="6D00CAEC"/>
    <w:rsid w:val="6D957250"/>
    <w:rsid w:val="6E165039"/>
    <w:rsid w:val="6E1BA188"/>
    <w:rsid w:val="6FADE606"/>
    <w:rsid w:val="6FBC4D66"/>
    <w:rsid w:val="716C2127"/>
    <w:rsid w:val="716EDCBC"/>
    <w:rsid w:val="7183F795"/>
    <w:rsid w:val="71C3B2EA"/>
    <w:rsid w:val="72A1895E"/>
    <w:rsid w:val="72FB92BD"/>
    <w:rsid w:val="73142E3A"/>
    <w:rsid w:val="73E772C2"/>
    <w:rsid w:val="74F23E03"/>
    <w:rsid w:val="7555F227"/>
    <w:rsid w:val="7576475E"/>
    <w:rsid w:val="76026BC4"/>
    <w:rsid w:val="7611E12E"/>
    <w:rsid w:val="7623269D"/>
    <w:rsid w:val="767B519C"/>
    <w:rsid w:val="76AC8609"/>
    <w:rsid w:val="76ED133C"/>
    <w:rsid w:val="77C8454A"/>
    <w:rsid w:val="7885EF40"/>
    <w:rsid w:val="78A74096"/>
    <w:rsid w:val="79A21C2E"/>
    <w:rsid w:val="7AD0CF1B"/>
    <w:rsid w:val="7ADA165F"/>
    <w:rsid w:val="7B279151"/>
    <w:rsid w:val="7BA5C86B"/>
    <w:rsid w:val="7BC5227E"/>
    <w:rsid w:val="7C373E2D"/>
    <w:rsid w:val="7C4E220F"/>
    <w:rsid w:val="7CF1297D"/>
    <w:rsid w:val="7E5A3A84"/>
    <w:rsid w:val="7E6A13F6"/>
    <w:rsid w:val="7E7E4425"/>
    <w:rsid w:val="7F6A614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50D9404"/>
  <w15:docId w15:val="{E815BD0E-9ACF-424C-AA6A-F6AE81B1E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uiPriority w:val="99"/>
    <w:pPr>
      <w:spacing w:after="120"/>
    </w:pPr>
  </w:style>
  <w:style w:type="character" w:styleId="FootnoteReference">
    <w:name w:val="footnote reference"/>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unhideWhenUsed/>
    <w:rPr>
      <w:color w:val="605E5C"/>
      <w:shd w:val="clear" w:color="auto" w:fill="E1DFDD"/>
    </w:rPr>
  </w:style>
  <w:style w:type="character" w:styleId="CommentReference">
    <w:name w:val="annotation reference"/>
    <w:basedOn w:val="DefaultParagraphFont"/>
    <w:uiPriority w:val="99"/>
    <w:semiHidden/>
    <w:unhideWhenUsed/>
    <w:rsid w:val="00F14A1C"/>
    <w:rPr>
      <w:sz w:val="16"/>
      <w:szCs w:val="16"/>
    </w:rPr>
  </w:style>
  <w:style w:type="paragraph" w:styleId="CommentText">
    <w:name w:val="annotation text"/>
    <w:basedOn w:val="Normal"/>
    <w:link w:val="CommentTextChar"/>
    <w:uiPriority w:val="99"/>
    <w:unhideWhenUsed/>
    <w:rsid w:val="00F14A1C"/>
    <w:rPr>
      <w:sz w:val="20"/>
    </w:rPr>
  </w:style>
  <w:style w:type="character" w:customStyle="1" w:styleId="CommentTextChar">
    <w:name w:val="Comment Text Char"/>
    <w:basedOn w:val="DefaultParagraphFont"/>
    <w:link w:val="CommentText"/>
    <w:uiPriority w:val="99"/>
    <w:rsid w:val="00F14A1C"/>
    <w:rPr>
      <w:snapToGrid w:val="0"/>
      <w:kern w:val="28"/>
    </w:rPr>
  </w:style>
  <w:style w:type="paragraph" w:styleId="CommentSubject">
    <w:name w:val="annotation subject"/>
    <w:basedOn w:val="CommentText"/>
    <w:next w:val="CommentText"/>
    <w:link w:val="CommentSubjectChar"/>
    <w:uiPriority w:val="99"/>
    <w:semiHidden/>
    <w:unhideWhenUsed/>
    <w:rsid w:val="00F14A1C"/>
    <w:rPr>
      <w:b/>
      <w:bCs/>
    </w:rPr>
  </w:style>
  <w:style w:type="character" w:customStyle="1" w:styleId="CommentSubjectChar">
    <w:name w:val="Comment Subject Char"/>
    <w:basedOn w:val="CommentTextChar"/>
    <w:link w:val="CommentSubject"/>
    <w:uiPriority w:val="99"/>
    <w:semiHidden/>
    <w:rsid w:val="00F14A1C"/>
    <w:rPr>
      <w:b/>
      <w:bCs/>
      <w:snapToGrid w:val="0"/>
      <w:kern w:val="28"/>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93418C"/>
  </w:style>
  <w:style w:type="paragraph" w:styleId="ListParagraph">
    <w:name w:val="List Paragraph"/>
    <w:basedOn w:val="Normal"/>
    <w:uiPriority w:val="34"/>
    <w:qFormat/>
    <w:rsid w:val="0093418C"/>
    <w:pPr>
      <w:ind w:left="720"/>
    </w:pPr>
  </w:style>
  <w:style w:type="paragraph" w:styleId="Revision">
    <w:name w:val="Revision"/>
    <w:hidden/>
    <w:uiPriority w:val="99"/>
    <w:semiHidden/>
    <w:rsid w:val="00165694"/>
    <w:rPr>
      <w:snapToGrid w:val="0"/>
      <w:kern w:val="28"/>
      <w:sz w:val="22"/>
    </w:rPr>
  </w:style>
  <w:style w:type="character" w:styleId="FollowedHyperlink">
    <w:name w:val="FollowedHyperlink"/>
    <w:basedOn w:val="DefaultParagraphFont"/>
    <w:uiPriority w:val="99"/>
    <w:semiHidden/>
    <w:unhideWhenUsed/>
    <w:rsid w:val="00EA20C0"/>
    <w:rPr>
      <w:color w:val="954F72" w:themeColor="followedHyperlink"/>
      <w:u w:val="single"/>
    </w:rPr>
  </w:style>
  <w:style w:type="character" w:customStyle="1" w:styleId="Mention">
    <w:name w:val="Mention"/>
    <w:basedOn w:val="DefaultParagraphFont"/>
    <w:uiPriority w:val="99"/>
    <w:unhideWhenUsed/>
    <w:rsid w:val="007311B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mailto:fcc504@fcc.gov" TargetMode="External" /><Relationship Id="rId7" Type="http://schemas.openxmlformats.org/officeDocument/2006/relationships/hyperlink" Target="mailto:william.holloway@fcc.gov" TargetMode="External" /><Relationship Id="rId8" Type="http://schemas.openxmlformats.org/officeDocument/2006/relationships/hyperlink" Target="mailto:kirk.burgee@fcc.gov"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search/search-filings/filing/1051393345823" TargetMode="External" /><Relationship Id="rId2"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