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C11997" w14:paraId="3C8FD656" w14:textId="77777777">
      <w:pPr>
        <w:jc w:val="center"/>
        <w:rPr>
          <w:b/>
          <w:szCs w:val="22"/>
        </w:rPr>
      </w:pPr>
      <w:r w:rsidRPr="00C11997">
        <w:rPr>
          <w:b/>
          <w:kern w:val="0"/>
          <w:szCs w:val="22"/>
        </w:rPr>
        <w:t>Before</w:t>
      </w:r>
      <w:r w:rsidRPr="00C11997">
        <w:rPr>
          <w:b/>
          <w:szCs w:val="22"/>
        </w:rPr>
        <w:t xml:space="preserve"> the</w:t>
      </w:r>
    </w:p>
    <w:p w:rsidR="00921803" w:rsidRPr="00C11997" w:rsidP="00921803" w14:paraId="3C8FD657" w14:textId="77777777">
      <w:pPr>
        <w:pStyle w:val="StyleBoldCentered"/>
        <w:rPr>
          <w:rFonts w:ascii="Times New Roman" w:hAnsi="Times New Roman"/>
        </w:rPr>
      </w:pPr>
      <w:r w:rsidRPr="00C11997">
        <w:rPr>
          <w:rFonts w:ascii="Times New Roman" w:hAnsi="Times New Roman"/>
        </w:rPr>
        <w:t>F</w:t>
      </w:r>
      <w:r w:rsidRPr="00C11997">
        <w:rPr>
          <w:rFonts w:ascii="Times New Roman" w:hAnsi="Times New Roman"/>
          <w:caps w:val="0"/>
        </w:rPr>
        <w:t>ederal Communications Commission</w:t>
      </w:r>
    </w:p>
    <w:p w:rsidR="004C2EE3" w:rsidRPr="00C11997" w:rsidP="00096D8C" w14:paraId="3C8FD658" w14:textId="77777777">
      <w:pPr>
        <w:pStyle w:val="StyleBoldCentered"/>
        <w:rPr>
          <w:rFonts w:ascii="Times New Roman" w:hAnsi="Times New Roman"/>
        </w:rPr>
      </w:pPr>
      <w:r w:rsidRPr="00C11997">
        <w:rPr>
          <w:rFonts w:ascii="Times New Roman" w:hAnsi="Times New Roman"/>
          <w:caps w:val="0"/>
        </w:rPr>
        <w:t>Washington, D.C. 20554</w:t>
      </w:r>
    </w:p>
    <w:p w:rsidR="004C2EE3" w:rsidRPr="00C11997" w:rsidP="0070224F" w14:paraId="3C8FD659" w14:textId="77777777">
      <w:pPr>
        <w:rPr>
          <w:szCs w:val="22"/>
        </w:rPr>
      </w:pPr>
    </w:p>
    <w:tbl>
      <w:tblPr>
        <w:tblW w:w="0" w:type="auto"/>
        <w:tblLayout w:type="fixed"/>
        <w:tblLook w:val="0000"/>
      </w:tblPr>
      <w:tblGrid>
        <w:gridCol w:w="4698"/>
        <w:gridCol w:w="630"/>
        <w:gridCol w:w="4248"/>
      </w:tblGrid>
      <w:tr w14:paraId="3C8FD66E" w14:textId="77777777">
        <w:tblPrEx>
          <w:tblW w:w="0" w:type="auto"/>
          <w:tblLayout w:type="fixed"/>
          <w:tblLook w:val="0000"/>
        </w:tblPrEx>
        <w:tc>
          <w:tcPr>
            <w:tcW w:w="4698" w:type="dxa"/>
          </w:tcPr>
          <w:p w:rsidR="00474268" w:rsidRPr="00C11997" w:rsidP="00474268" w14:paraId="3C8FD65A" w14:textId="09A08639">
            <w:pPr>
              <w:tabs>
                <w:tab w:val="center" w:pos="4680"/>
              </w:tabs>
              <w:suppressAutoHyphens/>
              <w:rPr>
                <w:spacing w:val="-2"/>
                <w:szCs w:val="22"/>
              </w:rPr>
            </w:pPr>
            <w:r w:rsidRPr="00C11997">
              <w:rPr>
                <w:spacing w:val="-2"/>
                <w:szCs w:val="22"/>
              </w:rPr>
              <w:t xml:space="preserve">In </w:t>
            </w:r>
            <w:r w:rsidRPr="00C11997" w:rsidR="00897F62">
              <w:rPr>
                <w:spacing w:val="-2"/>
                <w:szCs w:val="22"/>
              </w:rPr>
              <w:t>the</w:t>
            </w:r>
            <w:r w:rsidRPr="00C11997" w:rsidR="00E56A44">
              <w:rPr>
                <w:spacing w:val="-2"/>
                <w:szCs w:val="22"/>
              </w:rPr>
              <w:t xml:space="preserve"> Matter</w:t>
            </w:r>
            <w:r w:rsidRPr="00C11997">
              <w:rPr>
                <w:spacing w:val="-2"/>
                <w:szCs w:val="22"/>
              </w:rPr>
              <w:t xml:space="preserve"> of  </w:t>
            </w:r>
          </w:p>
          <w:p w:rsidR="00474268" w:rsidRPr="00C11997" w:rsidP="00474268" w14:paraId="3C8FD65B" w14:textId="77777777">
            <w:pPr>
              <w:tabs>
                <w:tab w:val="center" w:pos="4680"/>
              </w:tabs>
              <w:suppressAutoHyphens/>
              <w:rPr>
                <w:spacing w:val="-2"/>
                <w:szCs w:val="22"/>
              </w:rPr>
            </w:pPr>
          </w:p>
          <w:p w:rsidR="00D4296A" w:rsidRPr="00C11997" w:rsidP="00D4296A" w14:paraId="3D302341" w14:textId="77777777">
            <w:pPr>
              <w:tabs>
                <w:tab w:val="left" w:pos="0"/>
              </w:tabs>
              <w:suppressAutoHyphens/>
              <w:ind w:left="5040" w:hanging="5040"/>
              <w:rPr>
                <w:b/>
                <w:bCs/>
                <w:szCs w:val="22"/>
              </w:rPr>
            </w:pPr>
            <w:r w:rsidRPr="00C11997">
              <w:rPr>
                <w:b/>
                <w:bCs/>
                <w:szCs w:val="22"/>
              </w:rPr>
              <w:t>Windy City Broadcasting, LLC</w:t>
            </w:r>
          </w:p>
          <w:p w:rsidR="00474268" w:rsidRPr="00C11997" w:rsidP="00474268" w14:paraId="3C8FD65D" w14:textId="77777777">
            <w:pPr>
              <w:tabs>
                <w:tab w:val="center" w:pos="4680"/>
              </w:tabs>
              <w:suppressAutoHyphens/>
              <w:rPr>
                <w:spacing w:val="-2"/>
                <w:szCs w:val="22"/>
              </w:rPr>
            </w:pPr>
          </w:p>
          <w:p w:rsidR="004C2EE3" w:rsidRPr="00C11997" w:rsidP="00474268" w14:paraId="3C8FD660" w14:textId="3B626A02">
            <w:pPr>
              <w:tabs>
                <w:tab w:val="center" w:pos="4680"/>
              </w:tabs>
              <w:suppressAutoHyphens/>
              <w:rPr>
                <w:spacing w:val="-2"/>
                <w:szCs w:val="22"/>
              </w:rPr>
            </w:pPr>
            <w:r w:rsidRPr="00C11997">
              <w:rPr>
                <w:spacing w:val="-2"/>
                <w:szCs w:val="22"/>
              </w:rPr>
              <w:t>To R</w:t>
            </w:r>
            <w:r w:rsidRPr="00C11997" w:rsidR="00E023CC">
              <w:rPr>
                <w:spacing w:val="-2"/>
                <w:szCs w:val="22"/>
              </w:rPr>
              <w:t xml:space="preserve">enew </w:t>
            </w:r>
            <w:r w:rsidRPr="00C11997" w:rsidR="00264785">
              <w:rPr>
                <w:spacing w:val="-2"/>
                <w:szCs w:val="22"/>
              </w:rPr>
              <w:t xml:space="preserve">Station </w:t>
            </w:r>
            <w:r w:rsidRPr="00C11997" w:rsidR="00CB6F67">
              <w:rPr>
                <w:spacing w:val="-2"/>
                <w:szCs w:val="22"/>
              </w:rPr>
              <w:t>W280EM</w:t>
            </w:r>
            <w:r w:rsidRPr="00C11997" w:rsidR="00E023CC">
              <w:rPr>
                <w:spacing w:val="-2"/>
                <w:szCs w:val="22"/>
              </w:rPr>
              <w:t xml:space="preserve">, </w:t>
            </w:r>
            <w:r w:rsidRPr="00C11997" w:rsidR="00A94C43">
              <w:rPr>
                <w:spacing w:val="-2"/>
                <w:szCs w:val="22"/>
              </w:rPr>
              <w:t>Chicago, Illinois</w:t>
            </w:r>
          </w:p>
        </w:tc>
        <w:tc>
          <w:tcPr>
            <w:tcW w:w="630" w:type="dxa"/>
          </w:tcPr>
          <w:p w:rsidR="004C2EE3" w:rsidRPr="00C11997" w14:paraId="3C8FD661" w14:textId="77777777">
            <w:pPr>
              <w:tabs>
                <w:tab w:val="center" w:pos="4680"/>
              </w:tabs>
              <w:suppressAutoHyphens/>
              <w:rPr>
                <w:b/>
                <w:spacing w:val="-2"/>
                <w:szCs w:val="22"/>
              </w:rPr>
            </w:pPr>
            <w:r w:rsidRPr="00C11997">
              <w:rPr>
                <w:b/>
                <w:spacing w:val="-2"/>
                <w:szCs w:val="22"/>
              </w:rPr>
              <w:t>)</w:t>
            </w:r>
          </w:p>
          <w:p w:rsidR="004C2EE3" w:rsidRPr="00C11997" w14:paraId="3C8FD662" w14:textId="77777777">
            <w:pPr>
              <w:tabs>
                <w:tab w:val="center" w:pos="4680"/>
              </w:tabs>
              <w:suppressAutoHyphens/>
              <w:rPr>
                <w:b/>
                <w:spacing w:val="-2"/>
                <w:szCs w:val="22"/>
              </w:rPr>
            </w:pPr>
            <w:r w:rsidRPr="00C11997">
              <w:rPr>
                <w:b/>
                <w:spacing w:val="-2"/>
                <w:szCs w:val="22"/>
              </w:rPr>
              <w:t>)</w:t>
            </w:r>
          </w:p>
          <w:p w:rsidR="004C2EE3" w:rsidRPr="00C11997" w14:paraId="3C8FD663" w14:textId="77777777">
            <w:pPr>
              <w:tabs>
                <w:tab w:val="center" w:pos="4680"/>
              </w:tabs>
              <w:suppressAutoHyphens/>
              <w:rPr>
                <w:b/>
                <w:spacing w:val="-2"/>
                <w:szCs w:val="22"/>
              </w:rPr>
            </w:pPr>
            <w:r w:rsidRPr="00C11997">
              <w:rPr>
                <w:b/>
                <w:spacing w:val="-2"/>
                <w:szCs w:val="22"/>
              </w:rPr>
              <w:t>)</w:t>
            </w:r>
          </w:p>
          <w:p w:rsidR="004C2EE3" w:rsidRPr="00C11997" w14:paraId="3C8FD664" w14:textId="77777777">
            <w:pPr>
              <w:tabs>
                <w:tab w:val="center" w:pos="4680"/>
              </w:tabs>
              <w:suppressAutoHyphens/>
              <w:rPr>
                <w:b/>
                <w:spacing w:val="-2"/>
                <w:szCs w:val="22"/>
              </w:rPr>
            </w:pPr>
            <w:r w:rsidRPr="00C11997">
              <w:rPr>
                <w:b/>
                <w:spacing w:val="-2"/>
                <w:szCs w:val="22"/>
              </w:rPr>
              <w:t>)</w:t>
            </w:r>
          </w:p>
          <w:p w:rsidR="004C2EE3" w:rsidRPr="00C11997" w14:paraId="3C8FD665" w14:textId="77777777">
            <w:pPr>
              <w:tabs>
                <w:tab w:val="center" w:pos="4680"/>
              </w:tabs>
              <w:suppressAutoHyphens/>
              <w:rPr>
                <w:b/>
                <w:spacing w:val="-2"/>
                <w:szCs w:val="22"/>
              </w:rPr>
            </w:pPr>
            <w:r w:rsidRPr="00C11997">
              <w:rPr>
                <w:b/>
                <w:spacing w:val="-2"/>
                <w:szCs w:val="22"/>
              </w:rPr>
              <w:t>)</w:t>
            </w:r>
          </w:p>
          <w:p w:rsidR="004C2EE3" w:rsidRPr="00C11997" w14:paraId="3C8FD667" w14:textId="3CABD33D">
            <w:pPr>
              <w:tabs>
                <w:tab w:val="center" w:pos="4680"/>
              </w:tabs>
              <w:suppressAutoHyphens/>
              <w:rPr>
                <w:b/>
                <w:spacing w:val="-2"/>
                <w:szCs w:val="22"/>
              </w:rPr>
            </w:pPr>
            <w:r w:rsidRPr="00C11997">
              <w:rPr>
                <w:b/>
                <w:spacing w:val="-2"/>
                <w:szCs w:val="22"/>
              </w:rPr>
              <w:t>)</w:t>
            </w:r>
          </w:p>
        </w:tc>
        <w:tc>
          <w:tcPr>
            <w:tcW w:w="4248" w:type="dxa"/>
          </w:tcPr>
          <w:p w:rsidR="004C2EE3" w:rsidRPr="00C11997" w14:paraId="3C8FD668" w14:textId="77777777">
            <w:pPr>
              <w:tabs>
                <w:tab w:val="center" w:pos="4680"/>
              </w:tabs>
              <w:suppressAutoHyphens/>
              <w:rPr>
                <w:spacing w:val="-2"/>
                <w:szCs w:val="22"/>
              </w:rPr>
            </w:pPr>
          </w:p>
          <w:p w:rsidR="00474268" w:rsidRPr="00C11997" w:rsidP="00474268" w14:paraId="3C8FD66A" w14:textId="58ACFCAD">
            <w:pPr>
              <w:pStyle w:val="TOAHeading"/>
              <w:tabs>
                <w:tab w:val="clear" w:pos="9360"/>
              </w:tabs>
              <w:rPr>
                <w:spacing w:val="-2"/>
                <w:szCs w:val="22"/>
              </w:rPr>
            </w:pPr>
            <w:r w:rsidRPr="00C11997">
              <w:rPr>
                <w:spacing w:val="-2"/>
                <w:szCs w:val="22"/>
              </w:rPr>
              <w:t xml:space="preserve">Facility ID No. </w:t>
            </w:r>
            <w:r w:rsidRPr="00C11997" w:rsidR="00740764">
              <w:rPr>
                <w:szCs w:val="22"/>
              </w:rPr>
              <w:t>140763</w:t>
            </w:r>
          </w:p>
          <w:p w:rsidR="00474268" w:rsidRPr="00C11997" w:rsidP="00474268" w14:paraId="3C8FD66B" w14:textId="070B5E93">
            <w:pPr>
              <w:pStyle w:val="TOAHeading"/>
              <w:tabs>
                <w:tab w:val="clear" w:pos="9360"/>
              </w:tabs>
              <w:rPr>
                <w:spacing w:val="-2"/>
                <w:szCs w:val="22"/>
              </w:rPr>
            </w:pPr>
            <w:r w:rsidRPr="00C11997">
              <w:rPr>
                <w:spacing w:val="-2"/>
                <w:szCs w:val="22"/>
              </w:rPr>
              <w:t>NAL/Acct. No. MB-20</w:t>
            </w:r>
            <w:r w:rsidRPr="00C11997" w:rsidR="00740764">
              <w:rPr>
                <w:spacing w:val="-2"/>
                <w:szCs w:val="22"/>
              </w:rPr>
              <w:t>224141</w:t>
            </w:r>
            <w:r w:rsidRPr="00C11997" w:rsidR="000654EE">
              <w:rPr>
                <w:spacing w:val="-2"/>
                <w:szCs w:val="22"/>
              </w:rPr>
              <w:t>0008</w:t>
            </w:r>
          </w:p>
          <w:p w:rsidR="00474268" w:rsidRPr="00C11997" w:rsidP="00474268" w14:paraId="3C8FD66C" w14:textId="71A57FB0">
            <w:pPr>
              <w:pStyle w:val="TOAHeading"/>
              <w:tabs>
                <w:tab w:val="clear" w:pos="9360"/>
              </w:tabs>
              <w:rPr>
                <w:spacing w:val="-2"/>
                <w:szCs w:val="22"/>
              </w:rPr>
            </w:pPr>
            <w:r w:rsidRPr="00C11997">
              <w:rPr>
                <w:spacing w:val="-2"/>
                <w:szCs w:val="22"/>
              </w:rPr>
              <w:t xml:space="preserve">FRN:  </w:t>
            </w:r>
            <w:r w:rsidRPr="00C11997" w:rsidR="00B815CB">
              <w:rPr>
                <w:szCs w:val="22"/>
              </w:rPr>
              <w:t>0023928856</w:t>
            </w:r>
          </w:p>
          <w:p w:rsidR="004C2EE3" w:rsidRPr="00C11997" w:rsidP="00474268" w14:paraId="3C8FD66D" w14:textId="6E21384F">
            <w:pPr>
              <w:tabs>
                <w:tab w:val="center" w:pos="4680"/>
              </w:tabs>
              <w:suppressAutoHyphens/>
              <w:rPr>
                <w:spacing w:val="-2"/>
                <w:szCs w:val="22"/>
              </w:rPr>
            </w:pPr>
            <w:r w:rsidRPr="00C11997">
              <w:rPr>
                <w:spacing w:val="-2"/>
                <w:szCs w:val="22"/>
              </w:rPr>
              <w:t xml:space="preserve">File No. </w:t>
            </w:r>
            <w:r w:rsidRPr="00C11997" w:rsidR="005034CF">
              <w:rPr>
                <w:szCs w:val="22"/>
              </w:rPr>
              <w:t>0000119009</w:t>
            </w:r>
          </w:p>
        </w:tc>
      </w:tr>
    </w:tbl>
    <w:p w:rsidR="004C2EE3" w:rsidRPr="00C11997" w:rsidP="0070224F" w14:paraId="3C8FD66F" w14:textId="77777777">
      <w:pPr>
        <w:rPr>
          <w:szCs w:val="22"/>
        </w:rPr>
      </w:pPr>
    </w:p>
    <w:p w:rsidR="00841AB1" w:rsidRPr="00C11997" w:rsidP="00F021FA" w14:paraId="3C8FD670" w14:textId="07319F79">
      <w:pPr>
        <w:pStyle w:val="StyleBoldCentered"/>
        <w:rPr>
          <w:rFonts w:ascii="Times New Roman" w:hAnsi="Times New Roman"/>
        </w:rPr>
      </w:pPr>
      <w:r w:rsidRPr="00C11997">
        <w:rPr>
          <w:rFonts w:ascii="Times New Roman" w:hAnsi="Times New Roman"/>
        </w:rPr>
        <w:t xml:space="preserve">Forfeiture </w:t>
      </w:r>
      <w:r w:rsidRPr="00C11997" w:rsidR="00264785">
        <w:rPr>
          <w:rFonts w:ascii="Times New Roman" w:hAnsi="Times New Roman"/>
        </w:rPr>
        <w:t>ORDER</w:t>
      </w:r>
    </w:p>
    <w:p w:rsidR="004C2EE3" w:rsidRPr="00C11997" w14:paraId="3C8FD671" w14:textId="77777777">
      <w:pPr>
        <w:tabs>
          <w:tab w:val="left" w:pos="-720"/>
        </w:tabs>
        <w:suppressAutoHyphens/>
        <w:spacing w:line="227" w:lineRule="auto"/>
        <w:rPr>
          <w:spacing w:val="-2"/>
          <w:szCs w:val="22"/>
        </w:rPr>
      </w:pPr>
    </w:p>
    <w:p w:rsidR="004C2EE3" w:rsidRPr="00C11997" w:rsidP="00133F79" w14:paraId="3C8FD672" w14:textId="715F8FFB">
      <w:pPr>
        <w:tabs>
          <w:tab w:val="left" w:pos="720"/>
          <w:tab w:val="right" w:pos="9360"/>
        </w:tabs>
        <w:suppressAutoHyphens/>
        <w:spacing w:line="227" w:lineRule="auto"/>
        <w:rPr>
          <w:spacing w:val="-2"/>
          <w:szCs w:val="22"/>
        </w:rPr>
      </w:pPr>
      <w:r w:rsidRPr="00241692">
        <w:rPr>
          <w:b/>
          <w:spacing w:val="-2"/>
          <w:szCs w:val="22"/>
        </w:rPr>
        <w:t xml:space="preserve">Adopted:  </w:t>
      </w:r>
      <w:r w:rsidRPr="00241692" w:rsidR="00241692">
        <w:rPr>
          <w:b/>
          <w:spacing w:val="-2"/>
          <w:szCs w:val="22"/>
        </w:rPr>
        <w:t>May 23, 2022</w:t>
      </w:r>
      <w:r w:rsidRPr="00241692">
        <w:rPr>
          <w:b/>
          <w:spacing w:val="-2"/>
          <w:szCs w:val="22"/>
        </w:rPr>
        <w:tab/>
      </w:r>
      <w:r w:rsidRPr="00241692" w:rsidR="00822CE0">
        <w:rPr>
          <w:b/>
          <w:spacing w:val="-2"/>
          <w:szCs w:val="22"/>
        </w:rPr>
        <w:t>Released</w:t>
      </w:r>
      <w:r w:rsidRPr="00241692">
        <w:rPr>
          <w:b/>
          <w:spacing w:val="-2"/>
          <w:szCs w:val="22"/>
        </w:rPr>
        <w:t>:</w:t>
      </w:r>
      <w:r w:rsidRPr="00241692" w:rsidR="00822CE0">
        <w:rPr>
          <w:b/>
          <w:spacing w:val="-2"/>
          <w:szCs w:val="22"/>
        </w:rPr>
        <w:t xml:space="preserve"> </w:t>
      </w:r>
      <w:r w:rsidRPr="00241692">
        <w:rPr>
          <w:b/>
          <w:spacing w:val="-2"/>
          <w:szCs w:val="22"/>
        </w:rPr>
        <w:t xml:space="preserve"> </w:t>
      </w:r>
      <w:r w:rsidRPr="00241692" w:rsidR="00241692">
        <w:rPr>
          <w:b/>
          <w:spacing w:val="-2"/>
          <w:szCs w:val="22"/>
        </w:rPr>
        <w:t>May 2</w:t>
      </w:r>
      <w:r w:rsidR="00241692">
        <w:rPr>
          <w:b/>
          <w:spacing w:val="-2"/>
          <w:szCs w:val="22"/>
        </w:rPr>
        <w:t>3, 2022</w:t>
      </w:r>
    </w:p>
    <w:p w:rsidR="00822CE0" w:rsidRPr="00C11997" w14:paraId="3C8FD673" w14:textId="77777777">
      <w:pPr>
        <w:rPr>
          <w:szCs w:val="22"/>
        </w:rPr>
      </w:pPr>
    </w:p>
    <w:p w:rsidR="004C2EE3" w:rsidRPr="00C11997" w14:paraId="3C8FD674" w14:textId="77777777">
      <w:pPr>
        <w:rPr>
          <w:spacing w:val="-2"/>
          <w:szCs w:val="22"/>
        </w:rPr>
      </w:pPr>
      <w:r w:rsidRPr="00C11997">
        <w:rPr>
          <w:szCs w:val="22"/>
        </w:rPr>
        <w:t xml:space="preserve">By </w:t>
      </w:r>
      <w:r w:rsidRPr="00C11997" w:rsidR="004E4A22">
        <w:rPr>
          <w:szCs w:val="22"/>
        </w:rPr>
        <w:t>the</w:t>
      </w:r>
      <w:r w:rsidRPr="00C11997" w:rsidR="002A2D2E">
        <w:rPr>
          <w:szCs w:val="22"/>
        </w:rPr>
        <w:t xml:space="preserve"> </w:t>
      </w:r>
      <w:r w:rsidRPr="00C11997" w:rsidR="00474268">
        <w:rPr>
          <w:spacing w:val="-2"/>
          <w:szCs w:val="22"/>
        </w:rPr>
        <w:t>Chief, Audio Division, Media Bureau</w:t>
      </w:r>
      <w:r w:rsidRPr="00C11997">
        <w:rPr>
          <w:spacing w:val="-2"/>
          <w:szCs w:val="22"/>
        </w:rPr>
        <w:t>:</w:t>
      </w:r>
    </w:p>
    <w:p w:rsidR="00822CE0" w:rsidRPr="00C11997" w14:paraId="3C8FD675" w14:textId="77777777">
      <w:pPr>
        <w:rPr>
          <w:spacing w:val="-2"/>
          <w:szCs w:val="22"/>
        </w:rPr>
      </w:pPr>
    </w:p>
    <w:p w:rsidR="00474268" w:rsidRPr="00C11997" w:rsidP="00474268" w14:paraId="3C8FD676" w14:textId="77777777">
      <w:pPr>
        <w:pStyle w:val="Heading1"/>
        <w:rPr>
          <w:rFonts w:ascii="Times New Roman" w:hAnsi="Times New Roman"/>
          <w:szCs w:val="22"/>
        </w:rPr>
      </w:pPr>
      <w:r w:rsidRPr="00C11997">
        <w:rPr>
          <w:rFonts w:ascii="Times New Roman" w:hAnsi="Times New Roman"/>
          <w:szCs w:val="22"/>
        </w:rPr>
        <w:t>INTRODUCTION</w:t>
      </w:r>
    </w:p>
    <w:p w:rsidR="00E56A44" w:rsidRPr="00C11997" w:rsidP="008A7897" w14:paraId="0B23181F" w14:textId="404F9433">
      <w:pPr>
        <w:pStyle w:val="ParaNum"/>
        <w:numPr>
          <w:ilvl w:val="0"/>
          <w:numId w:val="9"/>
        </w:numPr>
        <w:tabs>
          <w:tab w:val="clear" w:pos="1080"/>
          <w:tab w:val="left" w:pos="1440"/>
        </w:tabs>
        <w:spacing w:after="220"/>
        <w:rPr>
          <w:szCs w:val="22"/>
        </w:rPr>
      </w:pPr>
      <w:r w:rsidRPr="00C11997">
        <w:rPr>
          <w:szCs w:val="22"/>
        </w:rPr>
        <w:t xml:space="preserve">In this </w:t>
      </w:r>
      <w:r w:rsidRPr="00C11997">
        <w:rPr>
          <w:i/>
          <w:szCs w:val="22"/>
        </w:rPr>
        <w:t>Forfeiture Order</w:t>
      </w:r>
      <w:r w:rsidRPr="00C11997">
        <w:rPr>
          <w:szCs w:val="22"/>
        </w:rPr>
        <w:t>,</w:t>
      </w:r>
      <w:r w:rsidRPr="00C11997">
        <w:rPr>
          <w:i/>
          <w:szCs w:val="22"/>
        </w:rPr>
        <w:t xml:space="preserve"> </w:t>
      </w:r>
      <w:r w:rsidRPr="00C11997">
        <w:rPr>
          <w:szCs w:val="22"/>
        </w:rPr>
        <w:t xml:space="preserve">we issue a monetary forfeiture in the amount of four thousand dollars ($4,000) to </w:t>
      </w:r>
      <w:r w:rsidRPr="00C11997" w:rsidR="004D0B01">
        <w:rPr>
          <w:szCs w:val="22"/>
        </w:rPr>
        <w:t>Windy City Broadcasting, LLC (Licensee)</w:t>
      </w:r>
      <w:r w:rsidRPr="00C11997">
        <w:rPr>
          <w:szCs w:val="22"/>
        </w:rPr>
        <w:t xml:space="preserve">, </w:t>
      </w:r>
      <w:r w:rsidRPr="00C11997" w:rsidR="004D0B01">
        <w:rPr>
          <w:szCs w:val="22"/>
        </w:rPr>
        <w:t xml:space="preserve">licensee of FM </w:t>
      </w:r>
      <w:r w:rsidRPr="00C11997" w:rsidR="00623E30">
        <w:rPr>
          <w:szCs w:val="22"/>
        </w:rPr>
        <w:t>t</w:t>
      </w:r>
      <w:r w:rsidRPr="00C11997" w:rsidR="004D0B01">
        <w:rPr>
          <w:szCs w:val="22"/>
        </w:rPr>
        <w:t xml:space="preserve">ranslator </w:t>
      </w:r>
      <w:r w:rsidRPr="00C11997" w:rsidR="00AC51C7">
        <w:rPr>
          <w:szCs w:val="22"/>
        </w:rPr>
        <w:t>s</w:t>
      </w:r>
      <w:r w:rsidRPr="00C11997" w:rsidR="004D0B01">
        <w:rPr>
          <w:szCs w:val="22"/>
        </w:rPr>
        <w:t xml:space="preserve">tation </w:t>
      </w:r>
      <w:r w:rsidRPr="00C11997" w:rsidR="004D0B01">
        <w:rPr>
          <w:spacing w:val="-2"/>
          <w:szCs w:val="22"/>
        </w:rPr>
        <w:t>W280EM</w:t>
      </w:r>
      <w:r w:rsidRPr="00C11997" w:rsidR="004D0B01">
        <w:rPr>
          <w:szCs w:val="22"/>
        </w:rPr>
        <w:t xml:space="preserve">, </w:t>
      </w:r>
      <w:r w:rsidRPr="00C11997" w:rsidR="004D0B01">
        <w:rPr>
          <w:spacing w:val="-2"/>
          <w:szCs w:val="22"/>
        </w:rPr>
        <w:t>Chicago, Illinois</w:t>
      </w:r>
      <w:r w:rsidRPr="00C11997" w:rsidR="004D0B01">
        <w:rPr>
          <w:szCs w:val="22"/>
        </w:rPr>
        <w:t xml:space="preserve"> (Station)</w:t>
      </w:r>
      <w:r w:rsidRPr="00C11997" w:rsidR="007C21B5">
        <w:rPr>
          <w:szCs w:val="22"/>
        </w:rPr>
        <w:t>.</w:t>
      </w:r>
      <w:r w:rsidRPr="00C11997" w:rsidR="00FF7C91">
        <w:rPr>
          <w:szCs w:val="22"/>
        </w:rPr>
        <w:t xml:space="preserve">  We find that Licensee</w:t>
      </w:r>
      <w:r w:rsidRPr="00C11997" w:rsidR="004D0B01">
        <w:rPr>
          <w:szCs w:val="22"/>
        </w:rPr>
        <w:t xml:space="preserve"> willfully</w:t>
      </w:r>
      <w:r w:rsidRPr="00C11997" w:rsidR="00623E30">
        <w:rPr>
          <w:szCs w:val="22"/>
        </w:rPr>
        <w:t xml:space="preserve"> and repeatedly</w:t>
      </w:r>
      <w:r w:rsidRPr="00C11997" w:rsidR="00A30F82">
        <w:rPr>
          <w:szCs w:val="22"/>
        </w:rPr>
        <w:t xml:space="preserve"> </w:t>
      </w:r>
      <w:r w:rsidRPr="00C11997" w:rsidR="004D0B01">
        <w:rPr>
          <w:szCs w:val="22"/>
        </w:rPr>
        <w:t>violat</w:t>
      </w:r>
      <w:r w:rsidRPr="00C11997" w:rsidR="007C7079">
        <w:rPr>
          <w:szCs w:val="22"/>
        </w:rPr>
        <w:t>ed</w:t>
      </w:r>
      <w:r w:rsidRPr="00C11997" w:rsidR="004D0B01">
        <w:rPr>
          <w:szCs w:val="22"/>
        </w:rPr>
        <w:t xml:space="preserve"> sections 74.1263(c) and (e) of the Commission’s rules by discontinuing operation of the Station without timely requesting special temporary authority (STA),</w:t>
      </w:r>
      <w:r>
        <w:rPr>
          <w:rStyle w:val="FootnoteReference"/>
          <w:sz w:val="22"/>
          <w:szCs w:val="22"/>
        </w:rPr>
        <w:footnoteReference w:id="3"/>
      </w:r>
      <w:r w:rsidRPr="00C11997" w:rsidR="004D0B01">
        <w:rPr>
          <w:szCs w:val="22"/>
        </w:rPr>
        <w:t xml:space="preserve"> willfully and repeatedly violat</w:t>
      </w:r>
      <w:r w:rsidRPr="00C11997" w:rsidR="007C7079">
        <w:rPr>
          <w:szCs w:val="22"/>
        </w:rPr>
        <w:t>ed</w:t>
      </w:r>
      <w:r w:rsidRPr="00C11997" w:rsidR="004D0B01">
        <w:rPr>
          <w:szCs w:val="22"/>
        </w:rPr>
        <w:t xml:space="preserve"> section 74.1251(c) of the Commission’s rules by failing to notify the Commission of the Station’s change in primary station,</w:t>
      </w:r>
      <w:r>
        <w:rPr>
          <w:rStyle w:val="FootnoteReference"/>
          <w:sz w:val="22"/>
          <w:szCs w:val="22"/>
        </w:rPr>
        <w:footnoteReference w:id="4"/>
      </w:r>
      <w:r w:rsidRPr="00C11997" w:rsidR="004D0B01">
        <w:rPr>
          <w:szCs w:val="22"/>
        </w:rPr>
        <w:t xml:space="preserve"> and willfully violat</w:t>
      </w:r>
      <w:r w:rsidRPr="00C11997" w:rsidR="007C7079">
        <w:rPr>
          <w:szCs w:val="22"/>
        </w:rPr>
        <w:t>ed</w:t>
      </w:r>
      <w:r w:rsidRPr="00C11997" w:rsidR="004D0B01">
        <w:rPr>
          <w:szCs w:val="22"/>
        </w:rPr>
        <w:t xml:space="preserve"> section 1.65 of the Commission’s rules by failing to maintain completeness and accuracy of the pending </w:t>
      </w:r>
      <w:r w:rsidRPr="00C11997" w:rsidR="00410459">
        <w:rPr>
          <w:szCs w:val="22"/>
        </w:rPr>
        <w:t>renewal a</w:t>
      </w:r>
      <w:r w:rsidRPr="00C11997" w:rsidR="004D0B01">
        <w:rPr>
          <w:szCs w:val="22"/>
        </w:rPr>
        <w:t>pplication.</w:t>
      </w:r>
      <w:r>
        <w:rPr>
          <w:rStyle w:val="FootnoteReference"/>
          <w:sz w:val="22"/>
          <w:szCs w:val="22"/>
        </w:rPr>
        <w:footnoteReference w:id="5"/>
      </w:r>
    </w:p>
    <w:p w:rsidR="00474268" w:rsidRPr="00C11997" w:rsidP="00474268" w14:paraId="3C8FD678" w14:textId="77777777">
      <w:pPr>
        <w:pStyle w:val="Heading1"/>
        <w:rPr>
          <w:rFonts w:ascii="Times New Roman" w:hAnsi="Times New Roman"/>
          <w:szCs w:val="22"/>
        </w:rPr>
      </w:pPr>
      <w:r w:rsidRPr="00C11997">
        <w:rPr>
          <w:rFonts w:ascii="Times New Roman" w:hAnsi="Times New Roman"/>
          <w:szCs w:val="22"/>
        </w:rPr>
        <w:t>BACKGROUND</w:t>
      </w:r>
    </w:p>
    <w:p w:rsidR="007B0F67" w:rsidRPr="00C11997" w:rsidP="007B0F67" w14:paraId="674E5C33" w14:textId="77777777">
      <w:pPr>
        <w:pStyle w:val="ParaNum"/>
        <w:numPr>
          <w:ilvl w:val="0"/>
          <w:numId w:val="20"/>
        </w:numPr>
        <w:tabs>
          <w:tab w:val="clear" w:pos="1080"/>
          <w:tab w:val="left" w:pos="1440"/>
        </w:tabs>
        <w:spacing w:after="220"/>
        <w:rPr>
          <w:szCs w:val="22"/>
        </w:rPr>
      </w:pPr>
      <w:r w:rsidRPr="00C11997">
        <w:rPr>
          <w:szCs w:val="22"/>
        </w:rPr>
        <w:t xml:space="preserve">On March 15, 2022, the Media Bureau (Bureau) issued a </w:t>
      </w:r>
      <w:r w:rsidRPr="00C11997">
        <w:rPr>
          <w:i/>
          <w:iCs/>
          <w:szCs w:val="22"/>
        </w:rPr>
        <w:t xml:space="preserve">Notice of Apparent Liability for Forfeiture </w:t>
      </w:r>
      <w:r w:rsidRPr="00C11997">
        <w:rPr>
          <w:szCs w:val="22"/>
        </w:rPr>
        <w:t>(</w:t>
      </w:r>
      <w:r w:rsidRPr="00C11997">
        <w:rPr>
          <w:i/>
          <w:iCs/>
          <w:szCs w:val="22"/>
        </w:rPr>
        <w:t>NAL</w:t>
      </w:r>
      <w:r w:rsidRPr="00C11997">
        <w:rPr>
          <w:szCs w:val="22"/>
        </w:rPr>
        <w:t xml:space="preserve">) in the amount </w:t>
      </w:r>
      <w:r w:rsidRPr="00C11997">
        <w:rPr>
          <w:spacing w:val="-2"/>
          <w:szCs w:val="22"/>
        </w:rPr>
        <w:t>of</w:t>
      </w:r>
      <w:r w:rsidRPr="00C11997">
        <w:rPr>
          <w:szCs w:val="22"/>
        </w:rPr>
        <w:t xml:space="preserve"> eight thousand dollars ($8,000) to Licensee for these violations.</w:t>
      </w:r>
      <w:r>
        <w:rPr>
          <w:rStyle w:val="FootnoteReference"/>
          <w:sz w:val="22"/>
          <w:szCs w:val="22"/>
        </w:rPr>
        <w:footnoteReference w:id="6"/>
      </w:r>
      <w:r w:rsidRPr="00C11997">
        <w:rPr>
          <w:szCs w:val="22"/>
        </w:rPr>
        <w:t xml:space="preserve">  </w:t>
      </w:r>
      <w:r w:rsidRPr="00C11997">
        <w:rPr>
          <w:spacing w:val="-2"/>
          <w:szCs w:val="22"/>
        </w:rPr>
        <w:t>The</w:t>
      </w:r>
      <w:r w:rsidRPr="00C11997">
        <w:rPr>
          <w:szCs w:val="22"/>
        </w:rPr>
        <w:t xml:space="preserve"> </w:t>
      </w:r>
      <w:r w:rsidRPr="00C11997">
        <w:rPr>
          <w:i/>
          <w:szCs w:val="22"/>
        </w:rPr>
        <w:t>NAL</w:t>
      </w:r>
      <w:r w:rsidRPr="00C11997">
        <w:rPr>
          <w:szCs w:val="22"/>
        </w:rPr>
        <w:t xml:space="preserve"> gave the Licensee thirty days to pay the full amount of the proposed forfeiture or file a written statement seeking reduction or cancellation of the proposed forfeiture.</w:t>
      </w:r>
      <w:r>
        <w:rPr>
          <w:rStyle w:val="FootnoteReference"/>
          <w:sz w:val="22"/>
          <w:szCs w:val="22"/>
        </w:rPr>
        <w:footnoteReference w:id="7"/>
      </w:r>
      <w:r w:rsidRPr="00C11997">
        <w:rPr>
          <w:szCs w:val="22"/>
        </w:rPr>
        <w:t xml:space="preserve">  </w:t>
      </w:r>
    </w:p>
    <w:p w:rsidR="002061F7" w:rsidRPr="00C11997" w:rsidP="007B0F67" w14:paraId="0C158A91" w14:textId="6373160E">
      <w:pPr>
        <w:pStyle w:val="ParaNum"/>
        <w:numPr>
          <w:ilvl w:val="0"/>
          <w:numId w:val="20"/>
        </w:numPr>
        <w:tabs>
          <w:tab w:val="clear" w:pos="1080"/>
          <w:tab w:val="left" w:pos="1440"/>
        </w:tabs>
        <w:spacing w:after="220"/>
        <w:rPr>
          <w:szCs w:val="22"/>
        </w:rPr>
      </w:pPr>
      <w:r w:rsidRPr="00C11997">
        <w:rPr>
          <w:szCs w:val="22"/>
        </w:rPr>
        <w:t xml:space="preserve">  </w:t>
      </w:r>
      <w:r w:rsidRPr="00C11997" w:rsidR="00721969">
        <w:rPr>
          <w:szCs w:val="22"/>
        </w:rPr>
        <w:t xml:space="preserve">As noted in the </w:t>
      </w:r>
      <w:r w:rsidRPr="00C11997" w:rsidR="00721969">
        <w:rPr>
          <w:i/>
          <w:iCs/>
          <w:szCs w:val="22"/>
        </w:rPr>
        <w:t>NAL</w:t>
      </w:r>
      <w:r w:rsidRPr="00C11997" w:rsidR="00721969">
        <w:rPr>
          <w:szCs w:val="22"/>
        </w:rPr>
        <w:t xml:space="preserve">, </w:t>
      </w:r>
      <w:r w:rsidRPr="00C11997" w:rsidR="00C733D7">
        <w:rPr>
          <w:szCs w:val="22"/>
        </w:rPr>
        <w:t>s</w:t>
      </w:r>
      <w:r w:rsidRPr="00C11997">
        <w:rPr>
          <w:szCs w:val="22"/>
        </w:rPr>
        <w:t xml:space="preserve">ection 74.1263(c) of the rules requires an FM translator licensee to notify the Commission of its intent to discontinue </w:t>
      </w:r>
      <w:r w:rsidRPr="00C11997">
        <w:rPr>
          <w:spacing w:val="-2"/>
          <w:szCs w:val="22"/>
        </w:rPr>
        <w:t>operations</w:t>
      </w:r>
      <w:r w:rsidRPr="00C11997">
        <w:rPr>
          <w:szCs w:val="22"/>
        </w:rPr>
        <w:t xml:space="preserve"> for 10 or more consecutive days, and Commission approval is required for such discontinued operation to continue beyond 30 days.</w:t>
      </w:r>
      <w:r>
        <w:rPr>
          <w:rStyle w:val="FootnoteReference"/>
          <w:sz w:val="22"/>
          <w:szCs w:val="22"/>
        </w:rPr>
        <w:footnoteReference w:id="8"/>
      </w:r>
      <w:r w:rsidRPr="00C11997">
        <w:rPr>
          <w:szCs w:val="22"/>
        </w:rPr>
        <w:t xml:space="preserve">  </w:t>
      </w:r>
      <w:r w:rsidRPr="00C11997" w:rsidR="000C7413">
        <w:rPr>
          <w:szCs w:val="22"/>
        </w:rPr>
        <w:t>Here, t</w:t>
      </w:r>
      <w:r w:rsidRPr="00C11997" w:rsidR="00276A0A">
        <w:rPr>
          <w:szCs w:val="22"/>
        </w:rPr>
        <w:t>he record evidence indicate</w:t>
      </w:r>
      <w:r w:rsidRPr="00C11997" w:rsidR="008E13B0">
        <w:rPr>
          <w:szCs w:val="22"/>
        </w:rPr>
        <w:t>s</w:t>
      </w:r>
      <w:r w:rsidRPr="00C11997" w:rsidR="00276A0A">
        <w:rPr>
          <w:szCs w:val="22"/>
        </w:rPr>
        <w:t xml:space="preserve"> that the </w:t>
      </w:r>
      <w:r w:rsidRPr="00C11997" w:rsidR="000C7413">
        <w:rPr>
          <w:szCs w:val="22"/>
        </w:rPr>
        <w:t>Station was silent for over 11 months.</w:t>
      </w:r>
      <w:r>
        <w:rPr>
          <w:rStyle w:val="FootnoteReference"/>
          <w:sz w:val="22"/>
          <w:szCs w:val="22"/>
        </w:rPr>
        <w:footnoteReference w:id="9"/>
      </w:r>
      <w:r w:rsidRPr="00C11997" w:rsidR="00ED25F4">
        <w:rPr>
          <w:szCs w:val="22"/>
        </w:rPr>
        <w:t xml:space="preserve">  Licensee failed to notify the FCC of the Station’s discontinued operation by the deadline</w:t>
      </w:r>
      <w:r w:rsidRPr="00C11997" w:rsidR="00231F60">
        <w:rPr>
          <w:szCs w:val="22"/>
        </w:rPr>
        <w:t>.</w:t>
      </w:r>
      <w:r w:rsidRPr="00C11997" w:rsidR="00ED25F4">
        <w:rPr>
          <w:szCs w:val="22"/>
        </w:rPr>
        <w:t xml:space="preserve"> </w:t>
      </w:r>
      <w:r w:rsidRPr="00C11997" w:rsidR="00A82BD2">
        <w:rPr>
          <w:szCs w:val="22"/>
        </w:rPr>
        <w:t xml:space="preserve"> </w:t>
      </w:r>
      <w:r w:rsidRPr="00C11997" w:rsidR="00ED25F4">
        <w:rPr>
          <w:szCs w:val="22"/>
        </w:rPr>
        <w:t>Licensee</w:t>
      </w:r>
      <w:r w:rsidRPr="00C11997" w:rsidR="00231F60">
        <w:rPr>
          <w:szCs w:val="22"/>
        </w:rPr>
        <w:t xml:space="preserve"> also</w:t>
      </w:r>
      <w:r w:rsidRPr="00C11997" w:rsidR="00ED25F4">
        <w:rPr>
          <w:szCs w:val="22"/>
        </w:rPr>
        <w:t xml:space="preserve"> failed to request an STA for </w:t>
      </w:r>
      <w:r w:rsidRPr="00C11997" w:rsidR="00ED25F4">
        <w:rPr>
          <w:szCs w:val="22"/>
        </w:rPr>
        <w:t>the Station to remain silent within 30 days</w:t>
      </w:r>
      <w:r w:rsidRPr="00C11997" w:rsidR="00231F60">
        <w:rPr>
          <w:szCs w:val="22"/>
        </w:rPr>
        <w:t>,</w:t>
      </w:r>
      <w:r>
        <w:rPr>
          <w:rStyle w:val="FootnoteReference"/>
          <w:sz w:val="22"/>
          <w:szCs w:val="22"/>
        </w:rPr>
        <w:footnoteReference w:id="10"/>
      </w:r>
      <w:r w:rsidRPr="00C11997" w:rsidR="00231F60">
        <w:rPr>
          <w:szCs w:val="22"/>
        </w:rPr>
        <w:t xml:space="preserve"> in violation of section 74.1263(e) of the rules.</w:t>
      </w:r>
      <w:r>
        <w:rPr>
          <w:rStyle w:val="FootnoteReference"/>
          <w:sz w:val="22"/>
          <w:szCs w:val="22"/>
        </w:rPr>
        <w:footnoteReference w:id="11"/>
      </w:r>
      <w:r w:rsidRPr="00C11997" w:rsidR="00ED25F4">
        <w:rPr>
          <w:szCs w:val="22"/>
        </w:rPr>
        <w:t xml:space="preserve">  </w:t>
      </w:r>
    </w:p>
    <w:p w:rsidR="002061F7" w:rsidRPr="00C11997" w:rsidP="007B0F67" w14:paraId="7CD4D5A8" w14:textId="43797A8A">
      <w:pPr>
        <w:pStyle w:val="ParaNum"/>
        <w:numPr>
          <w:ilvl w:val="0"/>
          <w:numId w:val="20"/>
        </w:numPr>
        <w:tabs>
          <w:tab w:val="clear" w:pos="1080"/>
          <w:tab w:val="left" w:pos="1440"/>
        </w:tabs>
        <w:spacing w:after="220"/>
        <w:rPr>
          <w:szCs w:val="22"/>
        </w:rPr>
      </w:pPr>
      <w:r w:rsidRPr="00C11997">
        <w:rPr>
          <w:szCs w:val="22"/>
        </w:rPr>
        <w:t>S</w:t>
      </w:r>
      <w:r w:rsidRPr="00C11997" w:rsidR="0013711B">
        <w:rPr>
          <w:szCs w:val="22"/>
        </w:rPr>
        <w:t>ection 74.</w:t>
      </w:r>
      <w:r w:rsidRPr="00C11997" w:rsidR="0013711B">
        <w:rPr>
          <w:spacing w:val="-2"/>
          <w:szCs w:val="22"/>
        </w:rPr>
        <w:t>1251</w:t>
      </w:r>
      <w:r w:rsidRPr="00C11997" w:rsidR="0013711B">
        <w:rPr>
          <w:szCs w:val="22"/>
        </w:rPr>
        <w:t>(c) of the rules requires that changes in the primary FM station being retransmitted</w:t>
      </w:r>
      <w:r w:rsidRPr="00C11997" w:rsidR="007C615C">
        <w:rPr>
          <w:szCs w:val="22"/>
        </w:rPr>
        <w:t xml:space="preserve"> by a translator</w:t>
      </w:r>
      <w:r w:rsidRPr="00C11997" w:rsidR="0013711B">
        <w:rPr>
          <w:szCs w:val="22"/>
        </w:rPr>
        <w:t xml:space="preserve"> must be submitted to the FCC in writing.</w:t>
      </w:r>
      <w:r>
        <w:rPr>
          <w:rStyle w:val="FootnoteReference"/>
          <w:sz w:val="22"/>
          <w:szCs w:val="22"/>
        </w:rPr>
        <w:footnoteReference w:id="12"/>
      </w:r>
      <w:r w:rsidRPr="00C11997" w:rsidR="0013711B">
        <w:rPr>
          <w:szCs w:val="22"/>
        </w:rPr>
        <w:t xml:space="preserve">  Licensee</w:t>
      </w:r>
      <w:r w:rsidRPr="00C11997" w:rsidR="007C615C">
        <w:rPr>
          <w:szCs w:val="22"/>
        </w:rPr>
        <w:t xml:space="preserve"> </w:t>
      </w:r>
      <w:r w:rsidRPr="00C11997" w:rsidR="00036411">
        <w:rPr>
          <w:szCs w:val="22"/>
        </w:rPr>
        <w:t xml:space="preserve">did not rebroadcast its authorized primary station </w:t>
      </w:r>
      <w:r w:rsidR="00DE156A">
        <w:rPr>
          <w:szCs w:val="22"/>
        </w:rPr>
        <w:t>f</w:t>
      </w:r>
      <w:r w:rsidRPr="00C11997" w:rsidR="00036411">
        <w:rPr>
          <w:szCs w:val="22"/>
        </w:rPr>
        <w:t>or some period of time, and</w:t>
      </w:r>
      <w:r w:rsidRPr="00C11997" w:rsidR="0013711B">
        <w:rPr>
          <w:szCs w:val="22"/>
        </w:rPr>
        <w:t xml:space="preserve"> did not notify the Commission of this change in the Station’s primary station.  </w:t>
      </w:r>
    </w:p>
    <w:p w:rsidR="00822A61" w:rsidRPr="00C11997" w:rsidP="00822A61" w14:paraId="6CF25558" w14:textId="1A12D3D7">
      <w:pPr>
        <w:pStyle w:val="ParaNum"/>
        <w:numPr>
          <w:ilvl w:val="0"/>
          <w:numId w:val="20"/>
        </w:numPr>
        <w:tabs>
          <w:tab w:val="clear" w:pos="1080"/>
          <w:tab w:val="left" w:pos="1440"/>
        </w:tabs>
        <w:spacing w:after="220"/>
        <w:rPr>
          <w:szCs w:val="22"/>
        </w:rPr>
      </w:pPr>
      <w:r w:rsidRPr="00C11997">
        <w:rPr>
          <w:szCs w:val="22"/>
        </w:rPr>
        <w:t xml:space="preserve">Finally, </w:t>
      </w:r>
      <w:r w:rsidRPr="00C11997">
        <w:rPr>
          <w:szCs w:val="22"/>
          <w:shd w:val="clear" w:color="auto" w:fill="FFFFFF"/>
        </w:rPr>
        <w:t>under section 1.65 of the rules, an applicant is responsible for the continuing accuracy and completeness of the information furnished in a pending application or in Commission proceedings involving a pending application.</w:t>
      </w:r>
      <w:r>
        <w:rPr>
          <w:rStyle w:val="FootnoteReference"/>
          <w:sz w:val="22"/>
          <w:szCs w:val="22"/>
          <w:shd w:val="clear" w:color="auto" w:fill="FFFFFF"/>
        </w:rPr>
        <w:footnoteReference w:id="13"/>
      </w:r>
      <w:r w:rsidRPr="00C11997">
        <w:rPr>
          <w:szCs w:val="22"/>
          <w:shd w:val="clear" w:color="auto" w:fill="FFFFFF"/>
        </w:rPr>
        <w:t xml:space="preserve">  Whenever the information furnished in a pending application is no longer substantially accurate and complete in all significant respects, the applicant must, as promptly as possible and in any event within 30 days, amend the application so as to furnish the additional or correct information.</w:t>
      </w:r>
      <w:r>
        <w:rPr>
          <w:rStyle w:val="FootnoteReference"/>
          <w:sz w:val="22"/>
          <w:szCs w:val="22"/>
          <w:shd w:val="clear" w:color="auto" w:fill="FFFFFF"/>
        </w:rPr>
        <w:footnoteReference w:id="14"/>
      </w:r>
      <w:r w:rsidRPr="00C11997">
        <w:rPr>
          <w:szCs w:val="22"/>
          <w:shd w:val="clear" w:color="auto" w:fill="FFFFFF"/>
        </w:rPr>
        <w:t xml:space="preserve">  Licensee failed to timely amend the renewal application after the information furnished on it was no longer substantially accurate.</w:t>
      </w:r>
      <w:r w:rsidRPr="00C11997" w:rsidR="002E733C">
        <w:rPr>
          <w:szCs w:val="22"/>
          <w:shd w:val="clear" w:color="auto" w:fill="FFFFFF"/>
        </w:rPr>
        <w:t xml:space="preserve">  Accordingly, we issued the </w:t>
      </w:r>
      <w:r w:rsidRPr="00C11997" w:rsidR="002E733C">
        <w:rPr>
          <w:i/>
          <w:iCs/>
          <w:szCs w:val="22"/>
          <w:shd w:val="clear" w:color="auto" w:fill="FFFFFF"/>
        </w:rPr>
        <w:t>NAL</w:t>
      </w:r>
      <w:r w:rsidRPr="00C11997" w:rsidR="002E733C">
        <w:rPr>
          <w:szCs w:val="22"/>
          <w:shd w:val="clear" w:color="auto" w:fill="FFFFFF"/>
        </w:rPr>
        <w:t>.</w:t>
      </w:r>
    </w:p>
    <w:p w:rsidR="00A35A37" w:rsidRPr="00C11997" w:rsidP="007B0F67" w14:paraId="3C8FD67B" w14:textId="1EB7E213">
      <w:pPr>
        <w:pStyle w:val="ParaNum"/>
        <w:numPr>
          <w:ilvl w:val="0"/>
          <w:numId w:val="20"/>
        </w:numPr>
        <w:tabs>
          <w:tab w:val="clear" w:pos="1080"/>
          <w:tab w:val="left" w:pos="1440"/>
        </w:tabs>
        <w:spacing w:after="220"/>
        <w:rPr>
          <w:szCs w:val="22"/>
        </w:rPr>
      </w:pPr>
      <w:r w:rsidRPr="00C11997">
        <w:rPr>
          <w:szCs w:val="22"/>
        </w:rPr>
        <w:t xml:space="preserve">On </w:t>
      </w:r>
      <w:r w:rsidRPr="00C11997" w:rsidR="00196E45">
        <w:rPr>
          <w:szCs w:val="22"/>
        </w:rPr>
        <w:t>April 13</w:t>
      </w:r>
      <w:r w:rsidRPr="00C11997">
        <w:rPr>
          <w:szCs w:val="22"/>
        </w:rPr>
        <w:t xml:space="preserve">, </w:t>
      </w:r>
      <w:r w:rsidRPr="00C11997">
        <w:rPr>
          <w:spacing w:val="-2"/>
          <w:szCs w:val="22"/>
        </w:rPr>
        <w:t>202</w:t>
      </w:r>
      <w:r w:rsidRPr="00C11997" w:rsidR="00196E45">
        <w:rPr>
          <w:spacing w:val="-2"/>
          <w:szCs w:val="22"/>
        </w:rPr>
        <w:t>2</w:t>
      </w:r>
      <w:r w:rsidRPr="00C11997">
        <w:rPr>
          <w:szCs w:val="22"/>
        </w:rPr>
        <w:t xml:space="preserve">, the Licensee submitted a written response in which it did not dispute that it had violated </w:t>
      </w:r>
      <w:r w:rsidRPr="00C11997" w:rsidR="001D4BEC">
        <w:rPr>
          <w:szCs w:val="22"/>
        </w:rPr>
        <w:t>the rules</w:t>
      </w:r>
      <w:r w:rsidRPr="00C11997">
        <w:rPr>
          <w:szCs w:val="22"/>
        </w:rPr>
        <w:t xml:space="preserve"> but requested that we</w:t>
      </w:r>
      <w:r w:rsidRPr="00C11997" w:rsidR="001D4BEC">
        <w:rPr>
          <w:szCs w:val="22"/>
        </w:rPr>
        <w:t xml:space="preserve"> reduce or</w:t>
      </w:r>
      <w:r w:rsidRPr="00C11997">
        <w:rPr>
          <w:szCs w:val="22"/>
        </w:rPr>
        <w:t xml:space="preserve"> cancel the proposed forfeiture based on the Licensee’s </w:t>
      </w:r>
      <w:r w:rsidRPr="00C11997" w:rsidR="00D7256D">
        <w:rPr>
          <w:szCs w:val="22"/>
        </w:rPr>
        <w:t xml:space="preserve">claimed </w:t>
      </w:r>
      <w:r w:rsidRPr="00C11997">
        <w:rPr>
          <w:szCs w:val="22"/>
        </w:rPr>
        <w:t>inability to pay it.</w:t>
      </w:r>
      <w:r w:rsidRPr="00C11997" w:rsidR="00CB34AF">
        <w:rPr>
          <w:szCs w:val="22"/>
          <w:vertAlign w:val="superscript"/>
        </w:rPr>
        <w:t xml:space="preserve"> </w:t>
      </w:r>
      <w:r>
        <w:rPr>
          <w:szCs w:val="22"/>
          <w:vertAlign w:val="superscript"/>
        </w:rPr>
        <w:footnoteReference w:id="15"/>
      </w:r>
      <w:r w:rsidRPr="00C11997">
        <w:rPr>
          <w:szCs w:val="22"/>
        </w:rPr>
        <w:t xml:space="preserve">  </w:t>
      </w:r>
      <w:r w:rsidRPr="00C11997" w:rsidR="00474268">
        <w:rPr>
          <w:szCs w:val="22"/>
        </w:rPr>
        <w:t>The Response included copies of Licensee’s federal tax returns for 201</w:t>
      </w:r>
      <w:r w:rsidRPr="00C11997" w:rsidR="00252C1A">
        <w:rPr>
          <w:szCs w:val="22"/>
        </w:rPr>
        <w:t>8</w:t>
      </w:r>
      <w:r w:rsidRPr="00C11997" w:rsidR="00474268">
        <w:rPr>
          <w:szCs w:val="22"/>
        </w:rPr>
        <w:t>, 201</w:t>
      </w:r>
      <w:r w:rsidRPr="00C11997" w:rsidR="00252C1A">
        <w:rPr>
          <w:szCs w:val="22"/>
        </w:rPr>
        <w:t>9</w:t>
      </w:r>
      <w:r w:rsidRPr="00C11997" w:rsidR="00474268">
        <w:rPr>
          <w:szCs w:val="22"/>
        </w:rPr>
        <w:t>, and 20</w:t>
      </w:r>
      <w:r w:rsidRPr="00C11997" w:rsidR="00252C1A">
        <w:rPr>
          <w:szCs w:val="22"/>
        </w:rPr>
        <w:t>20</w:t>
      </w:r>
      <w:r w:rsidRPr="00C11997" w:rsidR="00474268">
        <w:rPr>
          <w:szCs w:val="22"/>
        </w:rPr>
        <w:t xml:space="preserve"> in support of this request.</w:t>
      </w:r>
    </w:p>
    <w:p w:rsidR="00474268" w:rsidRPr="00C11997" w:rsidP="00474268" w14:paraId="3C8FD67C" w14:textId="77777777">
      <w:pPr>
        <w:pStyle w:val="Heading1"/>
        <w:rPr>
          <w:rFonts w:ascii="Times New Roman" w:hAnsi="Times New Roman"/>
          <w:szCs w:val="22"/>
        </w:rPr>
      </w:pPr>
      <w:r w:rsidRPr="00C11997">
        <w:rPr>
          <w:rFonts w:ascii="Times New Roman" w:hAnsi="Times New Roman"/>
          <w:szCs w:val="22"/>
        </w:rPr>
        <w:t>DISCUSSION</w:t>
      </w:r>
    </w:p>
    <w:p w:rsidR="007F3488" w:rsidRPr="00C11997" w:rsidP="007B0F67" w14:paraId="3EB048EE" w14:textId="663A0C5B">
      <w:pPr>
        <w:pStyle w:val="ParaNum"/>
        <w:numPr>
          <w:ilvl w:val="0"/>
          <w:numId w:val="20"/>
        </w:numPr>
        <w:tabs>
          <w:tab w:val="clear" w:pos="1080"/>
          <w:tab w:val="left" w:pos="1440"/>
        </w:tabs>
        <w:spacing w:after="220"/>
        <w:rPr>
          <w:szCs w:val="22"/>
        </w:rPr>
      </w:pPr>
      <w:r w:rsidRPr="00C11997">
        <w:rPr>
          <w:szCs w:val="22"/>
        </w:rPr>
        <w:t xml:space="preserve">The forfeiture amount proposed in this case was assessed in accordance with </w:t>
      </w:r>
      <w:r w:rsidRPr="00C11997" w:rsidR="0089279E">
        <w:rPr>
          <w:szCs w:val="22"/>
        </w:rPr>
        <w:t>s</w:t>
      </w:r>
      <w:r w:rsidRPr="00C11997">
        <w:rPr>
          <w:szCs w:val="22"/>
        </w:rPr>
        <w:t xml:space="preserve">ection 503(b) of the </w:t>
      </w:r>
      <w:r w:rsidRPr="00C11997" w:rsidR="00F17133">
        <w:rPr>
          <w:szCs w:val="22"/>
        </w:rPr>
        <w:t>Communications Act of 1934, as amended</w:t>
      </w:r>
      <w:r w:rsidRPr="00C11997" w:rsidR="007D14F1">
        <w:rPr>
          <w:szCs w:val="22"/>
        </w:rPr>
        <w:t xml:space="preserve"> (Act)</w:t>
      </w:r>
      <w:r w:rsidRPr="00C11997">
        <w:rPr>
          <w:szCs w:val="22"/>
        </w:rPr>
        <w:t>,</w:t>
      </w:r>
      <w:r>
        <w:rPr>
          <w:rStyle w:val="FootnoteReference"/>
          <w:sz w:val="22"/>
          <w:szCs w:val="22"/>
        </w:rPr>
        <w:footnoteReference w:id="16"/>
      </w:r>
      <w:r w:rsidRPr="00C11997">
        <w:rPr>
          <w:szCs w:val="22"/>
        </w:rPr>
        <w:t xml:space="preserve"> </w:t>
      </w:r>
      <w:r w:rsidRPr="00C11997" w:rsidR="00BF1525">
        <w:rPr>
          <w:szCs w:val="22"/>
        </w:rPr>
        <w:t>s</w:t>
      </w:r>
      <w:r w:rsidRPr="00C11997">
        <w:rPr>
          <w:szCs w:val="22"/>
        </w:rPr>
        <w:t xml:space="preserve">ection 1.80 of the </w:t>
      </w:r>
      <w:r w:rsidRPr="00C11997" w:rsidR="0089279E">
        <w:rPr>
          <w:szCs w:val="22"/>
        </w:rPr>
        <w:t>r</w:t>
      </w:r>
      <w:r w:rsidRPr="00C11997">
        <w:rPr>
          <w:szCs w:val="22"/>
        </w:rPr>
        <w:t>ules,</w:t>
      </w:r>
      <w:r>
        <w:rPr>
          <w:rStyle w:val="FootnoteReference"/>
          <w:sz w:val="22"/>
          <w:szCs w:val="22"/>
        </w:rPr>
        <w:footnoteReference w:id="17"/>
      </w:r>
      <w:r w:rsidRPr="00C11997">
        <w:rPr>
          <w:szCs w:val="22"/>
        </w:rPr>
        <w:t xml:space="preserve"> and the Commission’s </w:t>
      </w:r>
      <w:r w:rsidRPr="00C11997">
        <w:rPr>
          <w:i/>
          <w:szCs w:val="22"/>
        </w:rPr>
        <w:t>Forfeiture Policy Statement</w:t>
      </w:r>
      <w:r w:rsidRPr="00C11997">
        <w:rPr>
          <w:szCs w:val="22"/>
        </w:rPr>
        <w:t>.</w:t>
      </w:r>
      <w:r>
        <w:rPr>
          <w:rStyle w:val="FootnoteReference"/>
          <w:sz w:val="22"/>
          <w:szCs w:val="22"/>
        </w:rPr>
        <w:footnoteReference w:id="18"/>
      </w:r>
      <w:r w:rsidRPr="00C11997">
        <w:rPr>
          <w:szCs w:val="22"/>
        </w:rPr>
        <w:t xml:space="preserve">  In assessing forfeitures, </w:t>
      </w:r>
      <w:r w:rsidRPr="00C11997" w:rsidR="00A87645">
        <w:rPr>
          <w:szCs w:val="22"/>
        </w:rPr>
        <w:t>s</w:t>
      </w:r>
      <w:r w:rsidRPr="00C11997">
        <w:rPr>
          <w:szCs w:val="22"/>
        </w:rPr>
        <w:t>ection 503(b)(2)(E) of the Act requires that we take into account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19"/>
      </w:r>
      <w:r w:rsidRPr="00C11997">
        <w:rPr>
          <w:szCs w:val="22"/>
        </w:rPr>
        <w:t xml:space="preserve">  </w:t>
      </w:r>
    </w:p>
    <w:p w:rsidR="00474268" w:rsidRPr="00C11997" w:rsidP="007B0F67" w14:paraId="3C8FD67D" w14:textId="243B031B">
      <w:pPr>
        <w:pStyle w:val="ParaNum"/>
        <w:numPr>
          <w:ilvl w:val="0"/>
          <w:numId w:val="20"/>
        </w:numPr>
        <w:tabs>
          <w:tab w:val="left" w:pos="1440"/>
        </w:tabs>
        <w:spacing w:after="220"/>
        <w:rPr>
          <w:szCs w:val="22"/>
        </w:rPr>
      </w:pPr>
      <w:r w:rsidRPr="00C11997">
        <w:rPr>
          <w:szCs w:val="22"/>
        </w:rPr>
        <w:t xml:space="preserve">As noted in the </w:t>
      </w:r>
      <w:r w:rsidRPr="00C11997">
        <w:rPr>
          <w:i/>
          <w:iCs/>
          <w:szCs w:val="22"/>
        </w:rPr>
        <w:t>NAL</w:t>
      </w:r>
      <w:r w:rsidRPr="00C11997">
        <w:rPr>
          <w:szCs w:val="22"/>
        </w:rPr>
        <w:t xml:space="preserve">, the Commission will not consider reducing or canceling a forfeiture in response to claimed inability to pay unless the respondent submits: </w:t>
      </w:r>
      <w:r w:rsidRPr="00C11997" w:rsidR="00872C28">
        <w:rPr>
          <w:szCs w:val="22"/>
        </w:rPr>
        <w:t xml:space="preserve"> </w:t>
      </w:r>
      <w:r w:rsidRPr="00C11997">
        <w:rPr>
          <w:szCs w:val="22"/>
        </w:rPr>
        <w:t xml:space="preserve">(1) federal tax returns for the most recent three-year period; (2) financial statements prepared according to generally accepted accounting practices; or (3) some other reliable and objective documentation that accurately reflects the respondent's </w:t>
      </w:r>
      <w:r w:rsidRPr="00C11997">
        <w:rPr>
          <w:szCs w:val="22"/>
        </w:rPr>
        <w:t>current financial status.</w:t>
      </w:r>
      <w:r>
        <w:rPr>
          <w:szCs w:val="22"/>
          <w:vertAlign w:val="superscript"/>
        </w:rPr>
        <w:footnoteReference w:id="20"/>
      </w:r>
      <w:r w:rsidRPr="00C11997">
        <w:rPr>
          <w:szCs w:val="22"/>
        </w:rPr>
        <w:t xml:space="preserve">  </w:t>
      </w:r>
      <w:r w:rsidRPr="00C11997" w:rsidR="004303B8">
        <w:rPr>
          <w:szCs w:val="22"/>
        </w:rPr>
        <w:t>Any claim of inability to pay must specifically identify the basis for the claim by reference to the financial documentation submitted.</w:t>
      </w:r>
      <w:r>
        <w:rPr>
          <w:rStyle w:val="FootnoteReference"/>
          <w:sz w:val="22"/>
          <w:szCs w:val="22"/>
        </w:rPr>
        <w:footnoteReference w:id="21"/>
      </w:r>
      <w:r w:rsidRPr="00C11997" w:rsidR="004303B8">
        <w:rPr>
          <w:szCs w:val="22"/>
        </w:rPr>
        <w:t xml:space="preserve">  In general, a licensee’s gross revenues are the best indicator of its ability to pay a forfeiture.  We recognize that, in some cases, other financial indicators, such as net losses, may also be relevant.</w:t>
      </w:r>
      <w:r>
        <w:rPr>
          <w:rStyle w:val="FootnoteReference"/>
          <w:sz w:val="22"/>
          <w:szCs w:val="22"/>
        </w:rPr>
        <w:footnoteReference w:id="22"/>
      </w:r>
      <w:r w:rsidRPr="00C11997" w:rsidR="004303B8">
        <w:rPr>
          <w:szCs w:val="22"/>
        </w:rPr>
        <w:t xml:space="preserve">  If gross revenues are sufficiently great, however, the mere fact that a business is operating at a loss does not by itself mean that it cannot afford to pay.</w:t>
      </w:r>
      <w:r>
        <w:rPr>
          <w:rStyle w:val="FootnoteReference"/>
          <w:sz w:val="22"/>
          <w:szCs w:val="22"/>
        </w:rPr>
        <w:footnoteReference w:id="23"/>
      </w:r>
      <w:r w:rsidRPr="00C11997" w:rsidR="004303B8">
        <w:rPr>
          <w:szCs w:val="22"/>
        </w:rPr>
        <w:t xml:space="preserve"> </w:t>
      </w:r>
    </w:p>
    <w:p w:rsidR="00555C06" w:rsidRPr="00C11997" w:rsidP="00800212" w14:paraId="25E83D4D" w14:textId="018DB5D4">
      <w:pPr>
        <w:pStyle w:val="ParaNum"/>
        <w:numPr>
          <w:ilvl w:val="0"/>
          <w:numId w:val="20"/>
        </w:numPr>
        <w:tabs>
          <w:tab w:val="clear" w:pos="1080"/>
          <w:tab w:val="left" w:pos="1440"/>
        </w:tabs>
        <w:spacing w:after="220"/>
        <w:rPr>
          <w:szCs w:val="22"/>
        </w:rPr>
      </w:pPr>
      <w:r w:rsidRPr="00C11997">
        <w:rPr>
          <w:szCs w:val="22"/>
        </w:rPr>
        <w:t xml:space="preserve">Here, the Licensee has provided </w:t>
      </w:r>
      <w:r w:rsidRPr="00C11997" w:rsidR="00611C6A">
        <w:rPr>
          <w:szCs w:val="22"/>
        </w:rPr>
        <w:t xml:space="preserve">us with federal tax return schedules for </w:t>
      </w:r>
      <w:r w:rsidRPr="00C11997" w:rsidR="006F5704">
        <w:rPr>
          <w:szCs w:val="22"/>
        </w:rPr>
        <w:t>the years 2018, 2019, and 2020.</w:t>
      </w:r>
      <w:r>
        <w:rPr>
          <w:rStyle w:val="FootnoteReference"/>
          <w:sz w:val="22"/>
          <w:szCs w:val="22"/>
        </w:rPr>
        <w:footnoteReference w:id="24"/>
      </w:r>
      <w:r w:rsidRPr="00C11997" w:rsidR="00975D6A">
        <w:rPr>
          <w:szCs w:val="22"/>
        </w:rPr>
        <w:t xml:space="preserve">  These returns show gross revenues of </w:t>
      </w:r>
      <w:r w:rsidRPr="00C11997" w:rsidR="000F0BCB">
        <w:rPr>
          <w:szCs w:val="22"/>
        </w:rPr>
        <w:t xml:space="preserve">$50,000, </w:t>
      </w:r>
      <w:r w:rsidRPr="00C11997" w:rsidR="00904263">
        <w:rPr>
          <w:szCs w:val="22"/>
        </w:rPr>
        <w:t>$150,000, and $115,000, respectively, while the Station operated at a loss of $68,</w:t>
      </w:r>
      <w:r w:rsidRPr="00C11997" w:rsidR="008A7B15">
        <w:rPr>
          <w:szCs w:val="22"/>
        </w:rPr>
        <w:t>803 in 2019 and a loss of $96,</w:t>
      </w:r>
      <w:r w:rsidRPr="00C11997" w:rsidR="00B33D26">
        <w:rPr>
          <w:szCs w:val="22"/>
        </w:rPr>
        <w:t>462 in 2020</w:t>
      </w:r>
      <w:r w:rsidRPr="00C11997">
        <w:rPr>
          <w:szCs w:val="22"/>
        </w:rPr>
        <w:t xml:space="preserve">.  The forfeiture in this case ($8,000), would constitute approximately </w:t>
      </w:r>
      <w:r w:rsidRPr="00C11997" w:rsidR="003066D8">
        <w:rPr>
          <w:szCs w:val="22"/>
        </w:rPr>
        <w:t>7.6%</w:t>
      </w:r>
      <w:r w:rsidRPr="00C11997" w:rsidR="008D7833">
        <w:rPr>
          <w:szCs w:val="22"/>
        </w:rPr>
        <w:t xml:space="preserve"> percent of Licensee’s average gross revenues.</w:t>
      </w:r>
      <w:r w:rsidRPr="00C11997" w:rsidR="00800212">
        <w:rPr>
          <w:szCs w:val="22"/>
        </w:rPr>
        <w:t xml:space="preserve">  </w:t>
      </w:r>
      <w:r w:rsidRPr="00C11997">
        <w:rPr>
          <w:szCs w:val="22"/>
        </w:rPr>
        <w:t>In considering claims of financial hardship,</w:t>
      </w:r>
      <w:r w:rsidRPr="00C11997" w:rsidR="00462660">
        <w:rPr>
          <w:szCs w:val="22"/>
        </w:rPr>
        <w:t xml:space="preserve"> the range of forfeitures that the Commission has deemed reasonable </w:t>
      </w:r>
      <w:r w:rsidRPr="00C11997" w:rsidR="00FD3076">
        <w:rPr>
          <w:szCs w:val="22"/>
        </w:rPr>
        <w:t>generally average about five percent of the violator’s gross annual income and have not exceeded eight percent thereof</w:t>
      </w:r>
      <w:r w:rsidRPr="00C11997" w:rsidR="00E442F4">
        <w:rPr>
          <w:szCs w:val="22"/>
        </w:rPr>
        <w:t>,</w:t>
      </w:r>
      <w:r>
        <w:rPr>
          <w:rStyle w:val="FootnoteReference"/>
          <w:sz w:val="22"/>
          <w:szCs w:val="22"/>
        </w:rPr>
        <w:footnoteReference w:id="25"/>
      </w:r>
      <w:r w:rsidRPr="00C11997">
        <w:rPr>
          <w:szCs w:val="22"/>
        </w:rPr>
        <w:t xml:space="preserve"> although a forfeiture equal to </w:t>
      </w:r>
      <w:r w:rsidRPr="00C11997" w:rsidR="00A41574">
        <w:rPr>
          <w:szCs w:val="22"/>
        </w:rPr>
        <w:t>five</w:t>
      </w:r>
      <w:r w:rsidRPr="00C11997">
        <w:rPr>
          <w:szCs w:val="22"/>
        </w:rPr>
        <w:t xml:space="preserve"> percent of gross revenues has been found to be excessive where a licensee operated at a significant loss.</w:t>
      </w:r>
      <w:r>
        <w:rPr>
          <w:rStyle w:val="FootnoteReference"/>
          <w:sz w:val="22"/>
          <w:szCs w:val="22"/>
        </w:rPr>
        <w:footnoteReference w:id="26"/>
      </w:r>
      <w:r w:rsidRPr="00C11997">
        <w:rPr>
          <w:szCs w:val="22"/>
        </w:rPr>
        <w:t xml:space="preserve">  </w:t>
      </w:r>
      <w:r w:rsidR="00E93516">
        <w:rPr>
          <w:szCs w:val="22"/>
        </w:rPr>
        <w:t>Consistent with these cases,</w:t>
      </w:r>
      <w:r w:rsidRPr="00C11997" w:rsidR="00E93516">
        <w:rPr>
          <w:szCs w:val="22"/>
        </w:rPr>
        <w:t xml:space="preserve"> </w:t>
      </w:r>
      <w:r w:rsidRPr="00C11997">
        <w:rPr>
          <w:szCs w:val="22"/>
        </w:rPr>
        <w:t>we are unwilling to cancel the forfeiture altogether</w:t>
      </w:r>
      <w:r w:rsidR="00E93516">
        <w:rPr>
          <w:szCs w:val="22"/>
        </w:rPr>
        <w:t>.  Instead we find</w:t>
      </w:r>
      <w:r w:rsidRPr="00C11997">
        <w:rPr>
          <w:szCs w:val="22"/>
        </w:rPr>
        <w:t xml:space="preserve"> that given </w:t>
      </w:r>
      <w:r w:rsidRPr="00C11997" w:rsidR="00800212">
        <w:rPr>
          <w:szCs w:val="22"/>
        </w:rPr>
        <w:t>Licensee’s</w:t>
      </w:r>
      <w:r w:rsidRPr="00C11997">
        <w:rPr>
          <w:szCs w:val="22"/>
        </w:rPr>
        <w:t xml:space="preserve"> average gross revenue and operating losses, a reduction in the total forfeiture amount to $4,000, approximately </w:t>
      </w:r>
      <w:r w:rsidRPr="00C11997" w:rsidR="00A41574">
        <w:rPr>
          <w:szCs w:val="22"/>
        </w:rPr>
        <w:t>four</w:t>
      </w:r>
      <w:r w:rsidRPr="00C11997">
        <w:rPr>
          <w:szCs w:val="22"/>
        </w:rPr>
        <w:t xml:space="preserve"> percent of </w:t>
      </w:r>
      <w:r w:rsidRPr="00C11997" w:rsidR="00CB2C01">
        <w:rPr>
          <w:szCs w:val="22"/>
        </w:rPr>
        <w:t>Licensee’s</w:t>
      </w:r>
      <w:r w:rsidRPr="00C11997">
        <w:rPr>
          <w:szCs w:val="22"/>
        </w:rPr>
        <w:t xml:space="preserve"> average annual gross revenue, is appropriate for the violations involved in this case.</w:t>
      </w:r>
      <w:r>
        <w:rPr>
          <w:rStyle w:val="FootnoteReference"/>
          <w:sz w:val="22"/>
          <w:szCs w:val="22"/>
        </w:rPr>
        <w:footnoteReference w:id="27"/>
      </w:r>
    </w:p>
    <w:p w:rsidR="00555C06" w:rsidRPr="00C11997" w:rsidP="00F9447E" w14:paraId="32028655" w14:textId="6C706DED">
      <w:pPr>
        <w:pStyle w:val="ParaNum"/>
        <w:numPr>
          <w:ilvl w:val="0"/>
          <w:numId w:val="20"/>
        </w:numPr>
        <w:tabs>
          <w:tab w:val="clear" w:pos="1080"/>
          <w:tab w:val="left" w:pos="1440"/>
        </w:tabs>
        <w:spacing w:after="220"/>
        <w:rPr>
          <w:szCs w:val="22"/>
        </w:rPr>
      </w:pPr>
      <w:r w:rsidRPr="00C11997">
        <w:rPr>
          <w:szCs w:val="22"/>
        </w:rPr>
        <w:t xml:space="preserve">We have considered Licensee’s Response and the record of this case in light of the above statutory factors, our rules, and the </w:t>
      </w:r>
      <w:r w:rsidRPr="00C11997">
        <w:rPr>
          <w:i/>
          <w:iCs/>
          <w:szCs w:val="22"/>
        </w:rPr>
        <w:t>Forfeiture Policy Statement</w:t>
      </w:r>
      <w:r w:rsidRPr="00C11997">
        <w:rPr>
          <w:szCs w:val="22"/>
        </w:rPr>
        <w:t>.  We conclude that Lic</w:t>
      </w:r>
      <w:r w:rsidRPr="00C11997" w:rsidR="005626C9">
        <w:rPr>
          <w:szCs w:val="22"/>
        </w:rPr>
        <w:t>e</w:t>
      </w:r>
      <w:r w:rsidRPr="00C11997">
        <w:rPr>
          <w:szCs w:val="22"/>
        </w:rPr>
        <w:t>nsee willfully</w:t>
      </w:r>
      <w:r>
        <w:rPr>
          <w:rStyle w:val="FootnoteReference"/>
          <w:sz w:val="22"/>
          <w:szCs w:val="22"/>
        </w:rPr>
        <w:footnoteReference w:id="28"/>
      </w:r>
      <w:r w:rsidRPr="00C11997">
        <w:rPr>
          <w:szCs w:val="22"/>
        </w:rPr>
        <w:t xml:space="preserve"> </w:t>
      </w:r>
      <w:r w:rsidRPr="00C11997" w:rsidR="00D7716E">
        <w:rPr>
          <w:szCs w:val="22"/>
        </w:rPr>
        <w:t>and repeatedly</w:t>
      </w:r>
      <w:r>
        <w:rPr>
          <w:rStyle w:val="FootnoteReference"/>
          <w:sz w:val="22"/>
          <w:szCs w:val="22"/>
        </w:rPr>
        <w:footnoteReference w:id="29"/>
      </w:r>
      <w:r w:rsidRPr="00C11997" w:rsidR="00D7716E">
        <w:rPr>
          <w:szCs w:val="22"/>
        </w:rPr>
        <w:t xml:space="preserve"> </w:t>
      </w:r>
      <w:r w:rsidRPr="00C11997">
        <w:rPr>
          <w:szCs w:val="22"/>
        </w:rPr>
        <w:t>violated</w:t>
      </w:r>
      <w:r w:rsidRPr="00C11997" w:rsidR="005626C9">
        <w:rPr>
          <w:szCs w:val="22"/>
        </w:rPr>
        <w:t xml:space="preserve"> sections 74.1263(c) and (e), 74.1251(c), and 1.65 of the Commission’s rules.</w:t>
      </w:r>
      <w:r>
        <w:rPr>
          <w:rStyle w:val="FootnoteReference"/>
          <w:sz w:val="22"/>
          <w:szCs w:val="22"/>
        </w:rPr>
        <w:footnoteReference w:id="30"/>
      </w:r>
      <w:r w:rsidRPr="00C11997" w:rsidR="00691A6F">
        <w:rPr>
          <w:szCs w:val="22"/>
        </w:rPr>
        <w:t xml:space="preserve">  However, for the reasons set forth above, we find that reducing the forfeiture to four thousand dollars ($4,000) is warranted.     </w:t>
      </w:r>
    </w:p>
    <w:p w:rsidR="00474268" w:rsidRPr="00C11997" w:rsidP="00474268" w14:paraId="3C8FD67E" w14:textId="77777777">
      <w:pPr>
        <w:pStyle w:val="Heading1"/>
        <w:rPr>
          <w:rFonts w:ascii="Times New Roman" w:hAnsi="Times New Roman"/>
          <w:szCs w:val="22"/>
        </w:rPr>
      </w:pPr>
      <w:r w:rsidRPr="00C11997">
        <w:rPr>
          <w:rFonts w:ascii="Times New Roman" w:hAnsi="Times New Roman"/>
          <w:szCs w:val="22"/>
        </w:rPr>
        <w:t>ORDERING CLAUSES</w:t>
      </w:r>
    </w:p>
    <w:p w:rsidR="00FC463C" w:rsidRPr="00C11997" w:rsidP="00FC463C" w14:paraId="6E6DD1BF" w14:textId="77777777">
      <w:pPr>
        <w:pStyle w:val="ParaNum"/>
        <w:numPr>
          <w:ilvl w:val="0"/>
          <w:numId w:val="20"/>
        </w:numPr>
        <w:tabs>
          <w:tab w:val="clear" w:pos="1080"/>
          <w:tab w:val="left" w:pos="1440"/>
        </w:tabs>
        <w:spacing w:after="220"/>
        <w:rPr>
          <w:szCs w:val="22"/>
        </w:rPr>
      </w:pPr>
      <w:r w:rsidRPr="00C11997">
        <w:rPr>
          <w:szCs w:val="22"/>
        </w:rPr>
        <w:t xml:space="preserve">Accordingly, </w:t>
      </w:r>
      <w:r w:rsidRPr="00C11997">
        <w:rPr>
          <w:b/>
          <w:bCs/>
          <w:szCs w:val="22"/>
        </w:rPr>
        <w:t>IT IS ORDERED</w:t>
      </w:r>
      <w:r w:rsidRPr="00C11997">
        <w:rPr>
          <w:szCs w:val="22"/>
        </w:rPr>
        <w:t>, pursuant to section 503(b) of the Communications Act of 1934, as amended, and sections 0.283 and 1.80 of the Commission’s rules,</w:t>
      </w:r>
      <w:r>
        <w:rPr>
          <w:rStyle w:val="FootnoteReference"/>
          <w:sz w:val="22"/>
          <w:szCs w:val="22"/>
        </w:rPr>
        <w:footnoteReference w:id="31"/>
      </w:r>
      <w:r w:rsidRPr="00C11997">
        <w:rPr>
          <w:szCs w:val="22"/>
        </w:rPr>
        <w:t xml:space="preserve"> that Windy City Broadcasting, LLC </w:t>
      </w:r>
      <w:r w:rsidRPr="00C11997">
        <w:rPr>
          <w:b/>
          <w:bCs/>
          <w:szCs w:val="22"/>
        </w:rPr>
        <w:t>SHALL FORFEIT</w:t>
      </w:r>
      <w:r w:rsidRPr="00C11997">
        <w:rPr>
          <w:szCs w:val="22"/>
        </w:rPr>
        <w:t xml:space="preserve"> to the United States the sum of four thousand dollars ($4,000) for willfully and repeatedly violating sections 74.1263(c) and (e), 74.1251(c), and 1.65 of the Commission’s rules.</w:t>
      </w:r>
    </w:p>
    <w:p w:rsidR="00FC463C" w:rsidRPr="00C11997" w:rsidP="00FC463C" w14:paraId="0CBE18B1" w14:textId="16D7C358">
      <w:pPr>
        <w:pStyle w:val="ParaNum"/>
        <w:numPr>
          <w:ilvl w:val="0"/>
          <w:numId w:val="20"/>
        </w:numPr>
        <w:tabs>
          <w:tab w:val="clear" w:pos="1080"/>
          <w:tab w:val="left" w:pos="1440"/>
        </w:tabs>
        <w:spacing w:after="220"/>
        <w:rPr>
          <w:szCs w:val="22"/>
        </w:rPr>
      </w:pPr>
      <w:r w:rsidRPr="00C11997">
        <w:rPr>
          <w:szCs w:val="22"/>
        </w:rPr>
        <w:t>Payment of the forfeiture must be made by credit card, ACH (Automated Clearing House) debit from a bank account using CORES (the Commission’s online payment system),</w:t>
      </w:r>
      <w:r>
        <w:rPr>
          <w:rStyle w:val="FootnoteReference"/>
          <w:sz w:val="22"/>
          <w:szCs w:val="22"/>
        </w:rPr>
        <w:footnoteReference w:id="32"/>
      </w:r>
      <w:r w:rsidRPr="00C11997">
        <w:rPr>
          <w:szCs w:val="22"/>
        </w:rPr>
        <w:t xml:space="preserve"> or by wire transfer.  Payments by check or money order to pay a forfeiture are no longer accepted.  Below are instructions that payors should follow based on the form of payment selected:</w:t>
      </w:r>
      <w:r>
        <w:rPr>
          <w:rStyle w:val="FootnoteReference"/>
          <w:sz w:val="22"/>
          <w:szCs w:val="22"/>
        </w:rPr>
        <w:footnoteReference w:id="33"/>
      </w:r>
      <w:r w:rsidRPr="00C11997">
        <w:rPr>
          <w:szCs w:val="22"/>
        </w:rPr>
        <w:t xml:space="preserve"> </w:t>
      </w:r>
    </w:p>
    <w:p w:rsidR="00FC463C" w:rsidRPr="00C11997" w:rsidP="00FC463C" w14:paraId="73C60927" w14:textId="77777777">
      <w:pPr>
        <w:widowControl/>
        <w:numPr>
          <w:ilvl w:val="0"/>
          <w:numId w:val="21"/>
        </w:numPr>
        <w:spacing w:after="120"/>
        <w:rPr>
          <w:b/>
          <w:szCs w:val="22"/>
        </w:rPr>
      </w:pPr>
      <w:r w:rsidRPr="00C11997">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C11997">
          <w:rPr>
            <w:rStyle w:val="Hyperlink"/>
            <w:szCs w:val="22"/>
          </w:rPr>
          <w:t>RROGWireFaxes@fcc.gov</w:t>
        </w:r>
      </w:hyperlink>
      <w:r w:rsidRPr="00C11997">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4"/>
      </w:r>
      <w:r w:rsidRPr="00C11997">
        <w:rPr>
          <w:szCs w:val="22"/>
        </w:rPr>
        <w:t xml:space="preserve">  For additional detail and wire transfer instructions, go to </w:t>
      </w:r>
      <w:hyperlink r:id="rId6" w:history="1">
        <w:r w:rsidRPr="00C11997">
          <w:rPr>
            <w:rStyle w:val="Hyperlink"/>
            <w:szCs w:val="22"/>
          </w:rPr>
          <w:t>https://www.fcc.gov/licensing-databases/fees/wire-transfer</w:t>
        </w:r>
      </w:hyperlink>
      <w:r w:rsidRPr="00C11997">
        <w:rPr>
          <w:szCs w:val="22"/>
        </w:rPr>
        <w:t>.</w:t>
      </w:r>
    </w:p>
    <w:p w:rsidR="00FC463C" w:rsidRPr="00C11997" w:rsidP="00FC463C" w14:paraId="0F5A089E" w14:textId="77777777">
      <w:pPr>
        <w:pStyle w:val="ParaNum"/>
        <w:widowControl/>
        <w:numPr>
          <w:ilvl w:val="0"/>
          <w:numId w:val="21"/>
        </w:numPr>
        <w:rPr>
          <w:szCs w:val="22"/>
        </w:rPr>
      </w:pPr>
      <w:r w:rsidRPr="00C11997">
        <w:rPr>
          <w:szCs w:val="22"/>
        </w:rPr>
        <w:t xml:space="preserve">Payment by credit card must be made by using the Commission’s Registration System (CORES) at </w:t>
      </w:r>
      <w:hyperlink r:id="rId7" w:history="1">
        <w:r w:rsidRPr="00C11997">
          <w:rPr>
            <w:rStyle w:val="Hyperlink"/>
            <w:szCs w:val="22"/>
          </w:rPr>
          <w:t>https://apps.fcc.gov/cores/userLogin.do</w:t>
        </w:r>
      </w:hyperlink>
      <w:r w:rsidRPr="00C11997">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FC463C" w:rsidRPr="00C11997" w:rsidP="00FC463C" w14:paraId="0C095B29" w14:textId="77777777">
      <w:pPr>
        <w:pStyle w:val="ParaNum"/>
        <w:widowControl/>
        <w:numPr>
          <w:ilvl w:val="0"/>
          <w:numId w:val="21"/>
        </w:numPr>
        <w:rPr>
          <w:szCs w:val="22"/>
        </w:rPr>
      </w:pPr>
      <w:r w:rsidRPr="00C11997">
        <w:rPr>
          <w:szCs w:val="22"/>
        </w:rPr>
        <w:t xml:space="preserve">Payment by ACH must be made by using the Commission’s Registration System (CORES) at </w:t>
      </w:r>
      <w:hyperlink r:id="rId8" w:history="1">
        <w:r w:rsidRPr="00C11997">
          <w:rPr>
            <w:rStyle w:val="Hyperlink"/>
            <w:szCs w:val="22"/>
          </w:rPr>
          <w:t>https://apps.fcc.gov/cores/paymentFrnLogin.do</w:t>
        </w:r>
      </w:hyperlink>
      <w:r w:rsidRPr="00C11997">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C4AB3" w:rsidRPr="00C11997" w:rsidP="007B0F67" w14:paraId="758C3D1A" w14:textId="77777777">
      <w:pPr>
        <w:pStyle w:val="ParaNum"/>
        <w:numPr>
          <w:ilvl w:val="0"/>
          <w:numId w:val="20"/>
        </w:numPr>
        <w:tabs>
          <w:tab w:val="clear" w:pos="1080"/>
          <w:tab w:val="left" w:pos="1440"/>
        </w:tabs>
        <w:spacing w:after="220"/>
        <w:rPr>
          <w:szCs w:val="22"/>
        </w:rPr>
      </w:pPr>
      <w:r w:rsidRPr="00C11997">
        <w:rPr>
          <w:b/>
          <w:szCs w:val="22"/>
        </w:rPr>
        <w:t>IT IS FURTHER ORDERED</w:t>
      </w:r>
      <w:r w:rsidRPr="00C11997">
        <w:rPr>
          <w:szCs w:val="22"/>
        </w:rPr>
        <w:t xml:space="preserve"> that a copy of this </w:t>
      </w:r>
      <w:r w:rsidRPr="00C11997">
        <w:rPr>
          <w:i/>
          <w:szCs w:val="22"/>
        </w:rPr>
        <w:t>Order</w:t>
      </w:r>
      <w:r w:rsidRPr="00C11997">
        <w:rPr>
          <w:szCs w:val="22"/>
        </w:rPr>
        <w:t xml:space="preserve"> shall be sent by First Class and Certified Mail, Return </w:t>
      </w:r>
      <w:r w:rsidRPr="00C11997">
        <w:rPr>
          <w:spacing w:val="-2"/>
          <w:szCs w:val="22"/>
        </w:rPr>
        <w:t>Receipt</w:t>
      </w:r>
      <w:r w:rsidRPr="00C11997">
        <w:rPr>
          <w:szCs w:val="22"/>
        </w:rPr>
        <w:t xml:space="preserve"> Requested, to </w:t>
      </w:r>
      <w:r w:rsidRPr="00C11997">
        <w:rPr>
          <w:szCs w:val="22"/>
        </w:rPr>
        <w:t>Windy City Broadcasting, LLC, and its counsel, Shainis &amp; Peltzman, Chartered, c/o Aaron P. Shainis, 1850 M Street, Suite 240, Washington, DC 20036, as well as emailed to aaron@s-plaw.com.</w:t>
      </w:r>
    </w:p>
    <w:p w:rsidR="00474268" w:rsidRPr="00C11997" w:rsidP="00FC4AB3" w14:paraId="3C8FD682" w14:textId="109029D3">
      <w:pPr>
        <w:pStyle w:val="ParaNum"/>
        <w:keepNext/>
        <w:keepLines/>
        <w:numPr>
          <w:ilvl w:val="0"/>
          <w:numId w:val="0"/>
        </w:num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t>FEDERAL COMMUNICATIONS COMMISSION</w:t>
      </w:r>
    </w:p>
    <w:p w:rsidR="00474268" w:rsidRPr="00C11997" w:rsidP="00474268" w14:paraId="3C8FD683" w14:textId="77777777">
      <w:pPr>
        <w:rPr>
          <w:szCs w:val="22"/>
        </w:rPr>
      </w:pPr>
    </w:p>
    <w:p w:rsidR="00474268" w:rsidRPr="00C11997" w:rsidP="00474268" w14:paraId="3C8FD684" w14:textId="77777777">
      <w:pPr>
        <w:rPr>
          <w:szCs w:val="22"/>
        </w:rPr>
      </w:pPr>
    </w:p>
    <w:p w:rsidR="00474268" w:rsidRPr="00C11997" w:rsidP="00474268" w14:paraId="3C8FD685" w14:textId="77777777">
      <w:pPr>
        <w:rPr>
          <w:szCs w:val="22"/>
        </w:rPr>
      </w:pPr>
    </w:p>
    <w:p w:rsidR="00474268" w:rsidRPr="00C11997" w:rsidP="00474268" w14:paraId="3C8FD686" w14:textId="77777777">
      <w:pPr>
        <w:rPr>
          <w:szCs w:val="22"/>
        </w:rPr>
      </w:pPr>
    </w:p>
    <w:p w:rsidR="00474268" w:rsidRPr="00C11997" w:rsidP="00474268" w14:paraId="3C8FD687" w14:textId="77777777">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Albert Shuldiner</w:t>
      </w:r>
    </w:p>
    <w:p w:rsidR="00474268" w:rsidRPr="00C11997" w:rsidP="00474268" w14:paraId="3C8FD688" w14:textId="77777777">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Chief, Audio Division</w:t>
      </w:r>
    </w:p>
    <w:p w:rsidR="00474268" w:rsidRPr="00C11997" w:rsidP="00474268" w14:paraId="3C8FD689" w14:textId="77777777">
      <w:pPr>
        <w:rPr>
          <w:szCs w:val="22"/>
        </w:rPr>
      </w:pPr>
      <w:r w:rsidRPr="00C11997">
        <w:rPr>
          <w:szCs w:val="22"/>
        </w:rPr>
        <w:tab/>
      </w:r>
      <w:r w:rsidRPr="00C11997">
        <w:rPr>
          <w:szCs w:val="22"/>
        </w:rPr>
        <w:tab/>
      </w:r>
      <w:r w:rsidRPr="00C11997">
        <w:rPr>
          <w:szCs w:val="22"/>
        </w:rPr>
        <w:tab/>
      </w:r>
      <w:r w:rsidRPr="00C11997">
        <w:rPr>
          <w:szCs w:val="22"/>
        </w:rPr>
        <w:tab/>
      </w:r>
      <w:r w:rsidRPr="00C11997">
        <w:rPr>
          <w:szCs w:val="22"/>
        </w:rPr>
        <w:tab/>
      </w:r>
      <w:r w:rsidRPr="00C11997">
        <w:rPr>
          <w:szCs w:val="22"/>
        </w:rPr>
        <w:tab/>
        <w:t>Media Bureau</w:t>
      </w:r>
    </w:p>
    <w:p w:rsidR="00412FC5" w:rsidP="00474268" w14:paraId="3C8FD68A" w14:textId="77777777"/>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3C8FD691" w14:textId="77777777">
    <w:pPr>
      <w:pStyle w:val="Footer"/>
      <w:framePr w:wrap="around" w:vAnchor="text" w:hAnchor="margin" w:xAlign="center" w:y="1"/>
    </w:pPr>
    <w:r>
      <w:fldChar w:fldCharType="begin"/>
    </w:r>
    <w:r>
      <w:instrText xml:space="preserve">PAGE  </w:instrText>
    </w:r>
    <w:r w:rsidR="00241692">
      <w:fldChar w:fldCharType="separate"/>
    </w:r>
    <w:r>
      <w:fldChar w:fldCharType="end"/>
    </w:r>
  </w:p>
  <w:p w:rsidR="00A35A37" w14:paraId="3C8FD6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3C8FD6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3C8FD6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BD6" w14:paraId="2403DB0E" w14:textId="77777777">
      <w:r>
        <w:separator/>
      </w:r>
    </w:p>
  </w:footnote>
  <w:footnote w:type="continuationSeparator" w:id="1">
    <w:p w:rsidR="008B7BD6" w:rsidP="00C721AC" w14:paraId="297752D8" w14:textId="77777777">
      <w:pPr>
        <w:spacing w:before="120"/>
        <w:rPr>
          <w:sz w:val="20"/>
        </w:rPr>
      </w:pPr>
      <w:r>
        <w:rPr>
          <w:sz w:val="20"/>
        </w:rPr>
        <w:t xml:space="preserve">(Continued from previous page)  </w:t>
      </w:r>
      <w:r>
        <w:rPr>
          <w:sz w:val="20"/>
        </w:rPr>
        <w:separator/>
      </w:r>
    </w:p>
  </w:footnote>
  <w:footnote w:type="continuationNotice" w:id="2">
    <w:p w:rsidR="008B7BD6" w:rsidP="00C721AC" w14:paraId="02ED3AF2" w14:textId="77777777">
      <w:pPr>
        <w:jc w:val="right"/>
        <w:rPr>
          <w:sz w:val="20"/>
        </w:rPr>
      </w:pPr>
      <w:r>
        <w:rPr>
          <w:sz w:val="20"/>
        </w:rPr>
        <w:t>(continued….)</w:t>
      </w:r>
    </w:p>
  </w:footnote>
  <w:footnote w:id="3">
    <w:p w:rsidR="004D0B01" w:rsidP="004D0B01" w14:paraId="1CC4E5F5" w14:textId="77777777">
      <w:pPr>
        <w:pStyle w:val="FootnoteText"/>
      </w:pPr>
      <w:r>
        <w:rPr>
          <w:rStyle w:val="FootnoteReference"/>
        </w:rPr>
        <w:footnoteRef/>
      </w:r>
      <w:r>
        <w:t xml:space="preserve"> </w:t>
      </w:r>
      <w:r>
        <w:rPr>
          <w:i/>
        </w:rPr>
        <w:t xml:space="preserve">See </w:t>
      </w:r>
      <w:r>
        <w:t>47 CFR §§ 74.1263(c), 74.1263(e).</w:t>
      </w:r>
    </w:p>
  </w:footnote>
  <w:footnote w:id="4">
    <w:p w:rsidR="004D0B01" w:rsidP="004D0B01" w14:paraId="48B6A479" w14:textId="77777777">
      <w:pPr>
        <w:pStyle w:val="FootnoteText"/>
      </w:pPr>
      <w:r>
        <w:rPr>
          <w:rStyle w:val="FootnoteReference"/>
        </w:rPr>
        <w:footnoteRef/>
      </w:r>
      <w:r>
        <w:t xml:space="preserve"> </w:t>
      </w:r>
      <w:r>
        <w:rPr>
          <w:i/>
          <w:iCs/>
        </w:rPr>
        <w:t>See</w:t>
      </w:r>
      <w:r>
        <w:t xml:space="preserve"> 47 CFR § 74.1251(c).</w:t>
      </w:r>
    </w:p>
  </w:footnote>
  <w:footnote w:id="5">
    <w:p w:rsidR="004D0B01" w:rsidRPr="00B749BC" w:rsidP="004D0B01" w14:paraId="21D07FD7" w14:textId="77777777">
      <w:pPr>
        <w:pStyle w:val="FootnoteText"/>
      </w:pPr>
      <w:r>
        <w:rPr>
          <w:rStyle w:val="FootnoteReference"/>
        </w:rPr>
        <w:footnoteRef/>
      </w:r>
      <w:r>
        <w:t xml:space="preserve"> </w:t>
      </w:r>
      <w:r>
        <w:rPr>
          <w:i/>
          <w:iCs/>
        </w:rPr>
        <w:t xml:space="preserve">See </w:t>
      </w:r>
      <w:r>
        <w:t>47 CFR § 1.65.</w:t>
      </w:r>
    </w:p>
  </w:footnote>
  <w:footnote w:id="6">
    <w:p w:rsidR="00176F14" w:rsidP="00176F14" w14:paraId="77FC86CB" w14:textId="655A1A75">
      <w:pPr>
        <w:pStyle w:val="FootnoteText"/>
      </w:pPr>
      <w:r>
        <w:rPr>
          <w:rStyle w:val="FootnoteReference"/>
        </w:rPr>
        <w:footnoteRef/>
      </w:r>
      <w:r>
        <w:t xml:space="preserve"> </w:t>
      </w:r>
      <w:r>
        <w:rPr>
          <w:i/>
          <w:iCs/>
        </w:rPr>
        <w:t>Windy City Broadcasting, LLC</w:t>
      </w:r>
      <w:r w:rsidRPr="00474268">
        <w:rPr>
          <w:i/>
          <w:iCs/>
        </w:rPr>
        <w:t xml:space="preserve">, </w:t>
      </w:r>
      <w:r w:rsidRPr="00474268">
        <w:t>Memorandum Opinion and Order and Notice of Apparent Liability for Forfeiture, DA 2</w:t>
      </w:r>
      <w:r>
        <w:t>2</w:t>
      </w:r>
      <w:r w:rsidRPr="00474268">
        <w:t>-</w:t>
      </w:r>
      <w:r>
        <w:t>276</w:t>
      </w:r>
      <w:r w:rsidRPr="00474268">
        <w:t xml:space="preserve"> (MB </w:t>
      </w:r>
      <w:r>
        <w:t>Mar</w:t>
      </w:r>
      <w:r w:rsidRPr="00474268">
        <w:t xml:space="preserve">. </w:t>
      </w:r>
      <w:r>
        <w:t>1</w:t>
      </w:r>
      <w:r w:rsidRPr="00474268">
        <w:t>5, 202</w:t>
      </w:r>
      <w:r>
        <w:t>2)</w:t>
      </w:r>
      <w:r w:rsidR="007B0F67">
        <w:t xml:space="preserve"> (</w:t>
      </w:r>
      <w:r w:rsidR="007B0F67">
        <w:rPr>
          <w:i/>
          <w:iCs/>
        </w:rPr>
        <w:t>NAL</w:t>
      </w:r>
      <w:r w:rsidR="007B0F67">
        <w:t>)</w:t>
      </w:r>
      <w:r>
        <w:t>.</w:t>
      </w:r>
    </w:p>
  </w:footnote>
  <w:footnote w:id="7">
    <w:p w:rsidR="007B0F67" w:rsidP="007B0F67" w14:paraId="18483797" w14:textId="5F764C14">
      <w:pPr>
        <w:pStyle w:val="FootnoteText"/>
      </w:pPr>
      <w:r>
        <w:rPr>
          <w:rStyle w:val="FootnoteReference"/>
        </w:rPr>
        <w:footnoteRef/>
      </w:r>
      <w:r>
        <w:t xml:space="preserve"> </w:t>
      </w:r>
      <w:r>
        <w:rPr>
          <w:i/>
          <w:iCs/>
        </w:rPr>
        <w:t>Id.</w:t>
      </w:r>
      <w:r>
        <w:t xml:space="preserve"> at 6, para. 18.</w:t>
      </w:r>
    </w:p>
  </w:footnote>
  <w:footnote w:id="8">
    <w:p w:rsidR="002061F7" w:rsidP="002061F7" w14:paraId="31718BF5" w14:textId="0D66D20F">
      <w:pPr>
        <w:pStyle w:val="FootnoteText"/>
      </w:pPr>
      <w:r>
        <w:rPr>
          <w:rStyle w:val="FootnoteReference"/>
        </w:rPr>
        <w:footnoteRef/>
      </w:r>
      <w:r>
        <w:t xml:space="preserve"> </w:t>
      </w:r>
      <w:r>
        <w:t>47 CFR § 74.1263(c)</w:t>
      </w:r>
      <w:r w:rsidR="00F7571E">
        <w:t>.</w:t>
      </w:r>
    </w:p>
  </w:footnote>
  <w:footnote w:id="9">
    <w:p w:rsidR="000C7413" w:rsidRPr="008569C1" w14:paraId="265E76C4" w14:textId="59BA8452">
      <w:pPr>
        <w:pStyle w:val="FootnoteText"/>
      </w:pPr>
      <w:r>
        <w:rPr>
          <w:rStyle w:val="FootnoteReference"/>
        </w:rPr>
        <w:footnoteRef/>
      </w:r>
      <w:r>
        <w:t xml:space="preserve"> </w:t>
      </w:r>
      <w:r w:rsidR="008569C1">
        <w:rPr>
          <w:i/>
          <w:iCs/>
        </w:rPr>
        <w:t xml:space="preserve">See </w:t>
      </w:r>
      <w:r w:rsidRPr="00C733D7" w:rsidR="008569C1">
        <w:rPr>
          <w:i/>
          <w:iCs/>
        </w:rPr>
        <w:t>NAL</w:t>
      </w:r>
      <w:r w:rsidR="008569C1">
        <w:t xml:space="preserve"> at 3</w:t>
      </w:r>
      <w:r w:rsidR="00A82BD2">
        <w:t>, para. 10</w:t>
      </w:r>
      <w:r w:rsidR="008569C1">
        <w:t>.</w:t>
      </w:r>
    </w:p>
  </w:footnote>
  <w:footnote w:id="10">
    <w:p w:rsidR="006B3281" w:rsidRPr="00231F60" w14:paraId="31144D5C" w14:textId="3F1AE9E0">
      <w:pPr>
        <w:pStyle w:val="FootnoteText"/>
        <w:rPr>
          <w:i/>
          <w:iCs/>
        </w:rPr>
      </w:pPr>
      <w:r>
        <w:rPr>
          <w:rStyle w:val="FootnoteReference"/>
        </w:rPr>
        <w:footnoteRef/>
      </w:r>
      <w:r>
        <w:t xml:space="preserve"> </w:t>
      </w:r>
      <w:r>
        <w:t xml:space="preserve">In the </w:t>
      </w:r>
      <w:r w:rsidRPr="00C733D7">
        <w:rPr>
          <w:i/>
          <w:iCs/>
        </w:rPr>
        <w:t>NAL</w:t>
      </w:r>
      <w:r>
        <w:t xml:space="preserve">, we found that Licensee </w:t>
      </w:r>
      <w:r w:rsidR="00231F60">
        <w:t xml:space="preserve">requested </w:t>
      </w:r>
      <w:r w:rsidR="00647EF0">
        <w:t xml:space="preserve">an </w:t>
      </w:r>
      <w:r w:rsidR="00231F60">
        <w:t xml:space="preserve">STA over 3 months late.  </w:t>
      </w:r>
      <w:r w:rsidR="00231F60">
        <w:rPr>
          <w:i/>
          <w:iCs/>
        </w:rPr>
        <w:t>See Id.</w:t>
      </w:r>
    </w:p>
  </w:footnote>
  <w:footnote w:id="11">
    <w:p w:rsidR="00F7571E" w14:paraId="44C7DC56" w14:textId="0813423A">
      <w:pPr>
        <w:pStyle w:val="FootnoteText"/>
      </w:pPr>
      <w:r>
        <w:rPr>
          <w:rStyle w:val="FootnoteReference"/>
        </w:rPr>
        <w:footnoteRef/>
      </w:r>
      <w:r>
        <w:t xml:space="preserve"> </w:t>
      </w:r>
      <w:r>
        <w:t>47 CFR § 74.1263(e).</w:t>
      </w:r>
    </w:p>
  </w:footnote>
  <w:footnote w:id="12">
    <w:p w:rsidR="0013711B" w:rsidP="0013711B" w14:paraId="6A8FF7E6" w14:textId="48AD7B86">
      <w:pPr>
        <w:pStyle w:val="FootnoteText"/>
      </w:pPr>
      <w:r>
        <w:rPr>
          <w:rStyle w:val="FootnoteReference"/>
        </w:rPr>
        <w:footnoteRef/>
      </w:r>
      <w:r>
        <w:t xml:space="preserve"> </w:t>
      </w:r>
      <w:r>
        <w:t xml:space="preserve">47 CFR </w:t>
      </w:r>
      <w:r w:rsidRPr="007B26A7">
        <w:t>§</w:t>
      </w:r>
      <w:r>
        <w:t xml:space="preserve"> 74.1251(c).</w:t>
      </w:r>
    </w:p>
  </w:footnote>
  <w:footnote w:id="13">
    <w:p w:rsidR="00822A61" w:rsidP="00822A61" w14:paraId="09854B3F" w14:textId="77777777">
      <w:pPr>
        <w:pStyle w:val="FootnoteText"/>
      </w:pPr>
      <w:r>
        <w:rPr>
          <w:rStyle w:val="FootnoteReference"/>
        </w:rPr>
        <w:footnoteRef/>
      </w:r>
      <w:r>
        <w:t xml:space="preserve"> </w:t>
      </w:r>
      <w:r>
        <w:t>47 CFR § 1.65.</w:t>
      </w:r>
    </w:p>
  </w:footnote>
  <w:footnote w:id="14">
    <w:p w:rsidR="00822A61" w:rsidP="00822A61" w14:paraId="59A46A7B" w14:textId="77777777">
      <w:pPr>
        <w:pStyle w:val="FootnoteText"/>
      </w:pPr>
      <w:r>
        <w:rPr>
          <w:rStyle w:val="FootnoteReference"/>
        </w:rPr>
        <w:footnoteRef/>
      </w:r>
      <w:r>
        <w:t xml:space="preserve"> </w:t>
      </w:r>
      <w:r w:rsidRPr="00796C43">
        <w:rPr>
          <w:i/>
          <w:iCs/>
        </w:rPr>
        <w:t>Id</w:t>
      </w:r>
      <w:r>
        <w:t>.</w:t>
      </w:r>
    </w:p>
  </w:footnote>
  <w:footnote w:id="15">
    <w:p w:rsidR="00CB34AF" w:rsidRPr="0072332E" w:rsidP="00CB34AF" w14:paraId="3C8FD69D" w14:textId="6303EFEA">
      <w:pPr>
        <w:pStyle w:val="FootnoteText"/>
      </w:pPr>
      <w:r>
        <w:rPr>
          <w:rStyle w:val="FootnoteReference"/>
        </w:rPr>
        <w:footnoteRef/>
      </w:r>
      <w:r>
        <w:t xml:space="preserve"> </w:t>
      </w:r>
      <w:r w:rsidRPr="00CC03DE">
        <w:t>Response</w:t>
      </w:r>
      <w:r>
        <w:t xml:space="preserve"> to Notice of Apparent Liability for Forfeiture of</w:t>
      </w:r>
      <w:r w:rsidR="001D4BEC">
        <w:t xml:space="preserve"> Windy City Broadcasting, LLC</w:t>
      </w:r>
      <w:r>
        <w:t xml:space="preserve"> (dated </w:t>
      </w:r>
      <w:r w:rsidR="00A77AB0">
        <w:t>Apr</w:t>
      </w:r>
      <w:r>
        <w:t xml:space="preserve">. </w:t>
      </w:r>
      <w:r w:rsidR="00A77AB0">
        <w:t>13</w:t>
      </w:r>
      <w:r>
        <w:t>, 202</w:t>
      </w:r>
      <w:r w:rsidR="00A77AB0">
        <w:t>2</w:t>
      </w:r>
      <w:r>
        <w:t>) (</w:t>
      </w:r>
      <w:r w:rsidRPr="0072332E">
        <w:t>Response).</w:t>
      </w:r>
      <w:r>
        <w:t xml:space="preserve"> </w:t>
      </w:r>
    </w:p>
  </w:footnote>
  <w:footnote w:id="16">
    <w:p w:rsidR="00AB0C6F" w:rsidP="00AB0C6F" w14:paraId="1AD59C64" w14:textId="77777777">
      <w:pPr>
        <w:pStyle w:val="FootnoteText"/>
      </w:pPr>
      <w:r>
        <w:rPr>
          <w:rStyle w:val="FootnoteReference"/>
        </w:rPr>
        <w:footnoteRef/>
      </w:r>
      <w:r>
        <w:t xml:space="preserve"> </w:t>
      </w:r>
      <w:r>
        <w:t>47 U.S.C. § 503(b).</w:t>
      </w:r>
    </w:p>
  </w:footnote>
  <w:footnote w:id="17">
    <w:p w:rsidR="00AB0C6F" w:rsidP="00AB0C6F" w14:paraId="0FDD585C" w14:textId="2876DBB0">
      <w:pPr>
        <w:pStyle w:val="FootnoteText"/>
      </w:pPr>
      <w:r>
        <w:rPr>
          <w:rStyle w:val="FootnoteReference"/>
        </w:rPr>
        <w:footnoteRef/>
      </w:r>
      <w:r>
        <w:t xml:space="preserve"> </w:t>
      </w:r>
      <w:r>
        <w:t xml:space="preserve">47 CFR § 1.80. </w:t>
      </w:r>
    </w:p>
  </w:footnote>
  <w:footnote w:id="18">
    <w:p w:rsidR="00AB0C6F" w:rsidP="00AB0C6F" w14:paraId="39938575" w14:textId="7374F549">
      <w:pPr>
        <w:pStyle w:val="FootnoteText"/>
      </w:pPr>
      <w:r>
        <w:rPr>
          <w:rStyle w:val="FootnoteReference"/>
        </w:rPr>
        <w:footnoteRef/>
      </w:r>
      <w:r>
        <w:t xml:space="preserve"> </w:t>
      </w:r>
      <w:r w:rsidR="00BF1525">
        <w:rPr>
          <w:i/>
        </w:rPr>
        <w:t>See</w:t>
      </w:r>
      <w:r>
        <w:rPr>
          <w:i/>
        </w:rPr>
        <w:t xml:space="preserve"> </w:t>
      </w:r>
      <w:r w:rsidR="004146E1">
        <w:rPr>
          <w:i/>
        </w:rPr>
        <w:t>Forfeiture Policy Statement and Amendment of Section 1.80(b) of the Rules to Incorporate the Forfeiture Guidelines</w:t>
      </w:r>
      <w:r w:rsidR="004146E1">
        <w:t xml:space="preserve">, Report and Order, 12 FCC </w:t>
      </w:r>
      <w:r w:rsidR="004146E1">
        <w:t>Rcd</w:t>
      </w:r>
      <w:r w:rsidR="004146E1">
        <w:t xml:space="preserve"> 17087, 17113-15 (1997) </w:t>
      </w:r>
      <w:r w:rsidR="004146E1">
        <w:rPr>
          <w:i/>
        </w:rPr>
        <w:t>(Forfeiture Policy Statement),</w:t>
      </w:r>
      <w:r w:rsidR="004146E1">
        <w:t xml:space="preserve"> </w:t>
      </w:r>
      <w:r w:rsidR="004146E1">
        <w:rPr>
          <w:i/>
        </w:rPr>
        <w:t>recon. denied</w:t>
      </w:r>
      <w:r w:rsidR="004146E1">
        <w:t xml:space="preserve">, 15 FCC </w:t>
      </w:r>
      <w:r w:rsidR="004146E1">
        <w:t>Rcd</w:t>
      </w:r>
      <w:r w:rsidR="004146E1">
        <w:t xml:space="preserve"> 303 (1999)</w:t>
      </w:r>
      <w:r w:rsidR="00BF1525">
        <w:t>.</w:t>
      </w:r>
    </w:p>
  </w:footnote>
  <w:footnote w:id="19">
    <w:p w:rsidR="00AB0C6F" w:rsidP="00AB0C6F" w14:paraId="6B73B0A5" w14:textId="77777777">
      <w:pPr>
        <w:pStyle w:val="FootnoteText"/>
      </w:pPr>
      <w:r>
        <w:rPr>
          <w:rStyle w:val="FootnoteReference"/>
        </w:rPr>
        <w:footnoteRef/>
      </w:r>
      <w:r>
        <w:t xml:space="preserve"> </w:t>
      </w:r>
      <w:r>
        <w:t>47 U.S.C. § 503(b)(2)(E).</w:t>
      </w:r>
    </w:p>
  </w:footnote>
  <w:footnote w:id="20">
    <w:p w:rsidR="00A35A37" w:rsidP="00474268" w14:paraId="3C8FD69E" w14:textId="6F306811">
      <w:pPr>
        <w:pStyle w:val="FootnoteText"/>
      </w:pPr>
      <w:r>
        <w:rPr>
          <w:rStyle w:val="FootnoteReference"/>
        </w:rPr>
        <w:footnoteRef/>
      </w:r>
      <w:r>
        <w:t xml:space="preserve"> </w:t>
      </w:r>
      <w:r w:rsidRPr="00D17789">
        <w:rPr>
          <w:i/>
          <w:iCs/>
        </w:rPr>
        <w:t xml:space="preserve">See </w:t>
      </w:r>
      <w:r w:rsidR="00063EEE">
        <w:rPr>
          <w:i/>
          <w:iCs/>
        </w:rPr>
        <w:t xml:space="preserve">NAL </w:t>
      </w:r>
      <w:r w:rsidRPr="000D54FB">
        <w:t>at</w:t>
      </w:r>
      <w:r>
        <w:t xml:space="preserve"> </w:t>
      </w:r>
      <w:r w:rsidR="0012588F">
        <w:t>8</w:t>
      </w:r>
      <w:r>
        <w:t xml:space="preserve">, para. </w:t>
      </w:r>
      <w:r w:rsidR="0012588F">
        <w:t>22</w:t>
      </w:r>
      <w:r>
        <w:t>.</w:t>
      </w:r>
    </w:p>
  </w:footnote>
  <w:footnote w:id="21">
    <w:p w:rsidR="004303B8" w:rsidP="004303B8" w14:paraId="02938DCD" w14:textId="77777777">
      <w:pPr>
        <w:pStyle w:val="FootnoteText"/>
      </w:pPr>
      <w:r>
        <w:rPr>
          <w:rStyle w:val="FootnoteReference"/>
        </w:rPr>
        <w:footnoteRef/>
      </w:r>
      <w:r>
        <w:t xml:space="preserve"> </w:t>
      </w:r>
      <w:r>
        <w:rPr>
          <w:i/>
          <w:iCs/>
        </w:rPr>
        <w:t>See Discussion Radio, Inc.,</w:t>
      </w:r>
      <w:r>
        <w:t xml:space="preserve"> Memorandum Opinion and Order and Notice of Apparent Liability, 19 FCC </w:t>
      </w:r>
      <w:r>
        <w:t>Rcd</w:t>
      </w:r>
      <w:r>
        <w:t xml:space="preserve"> 7433, 7441 (2004), </w:t>
      </w:r>
      <w:r>
        <w:rPr>
          <w:i/>
        </w:rPr>
        <w:t>modified,</w:t>
      </w:r>
      <w:r>
        <w:t xml:space="preserve"> Memorandum Opinion and Forfeiture Order, 24 FCC </w:t>
      </w:r>
      <w:r>
        <w:t>Rcd</w:t>
      </w:r>
      <w:r>
        <w:t xml:space="preserve"> 2206 (MB 2009) (reducing forfeiture amount after review of submitted federal tax returns demonstrated a financial hardship).</w:t>
      </w:r>
    </w:p>
  </w:footnote>
  <w:footnote w:id="22">
    <w:p w:rsidR="004303B8" w:rsidP="004303B8" w14:paraId="71B3B581" w14:textId="77777777">
      <w:pPr>
        <w:pStyle w:val="FootnoteText"/>
      </w:pPr>
      <w:r>
        <w:rPr>
          <w:rStyle w:val="FootnoteReference"/>
        </w:rPr>
        <w:footnoteRef/>
      </w:r>
      <w:r>
        <w:t xml:space="preserve"> </w:t>
      </w:r>
      <w:r>
        <w:rPr>
          <w:i/>
        </w:rPr>
        <w:t>PJB Communications of Virginia, Inc.</w:t>
      </w:r>
      <w:r>
        <w:t xml:space="preserve">, Memorandum Opinion and Order, 7 FCC </w:t>
      </w:r>
      <w:r>
        <w:t>Rcd</w:t>
      </w:r>
      <w:r>
        <w:t xml:space="preserve"> 2088, 2089 (1992). </w:t>
      </w:r>
    </w:p>
  </w:footnote>
  <w:footnote w:id="23">
    <w:p w:rsidR="004303B8" w:rsidP="004303B8" w14:paraId="16471360"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4">
    <w:p w:rsidR="006F5704" w14:paraId="3995F353" w14:textId="78514440">
      <w:pPr>
        <w:pStyle w:val="FootnoteText"/>
      </w:pPr>
      <w:r>
        <w:rPr>
          <w:rStyle w:val="FootnoteReference"/>
        </w:rPr>
        <w:footnoteRef/>
      </w:r>
      <w:r>
        <w:t xml:space="preserve"> </w:t>
      </w:r>
      <w:r>
        <w:t xml:space="preserve">The Licensee has also provided us with </w:t>
      </w:r>
      <w:r w:rsidR="00BF125A">
        <w:t>financial documentation for the years 2019, 2020, and 2021.</w:t>
      </w:r>
      <w:r w:rsidR="003D16D8">
        <w:t xml:space="preserve">  However, we </w:t>
      </w:r>
      <w:r w:rsidR="00D37815">
        <w:t xml:space="preserve">consider </w:t>
      </w:r>
      <w:r w:rsidR="009556B5">
        <w:t>Licensee’s</w:t>
      </w:r>
      <w:r w:rsidR="00D37815">
        <w:t xml:space="preserve"> tax returns as the most reliable financial information.  </w:t>
      </w:r>
      <w:r w:rsidR="00D37815">
        <w:rPr>
          <w:i/>
          <w:iCs/>
        </w:rPr>
        <w:t>See Coleman Enterprises, Inc.</w:t>
      </w:r>
      <w:r w:rsidR="00D37815">
        <w:t xml:space="preserve">, </w:t>
      </w:r>
      <w:r w:rsidR="00C36FF4">
        <w:t xml:space="preserve">15 FCC </w:t>
      </w:r>
      <w:r w:rsidR="00C36FF4">
        <w:t>Rcd</w:t>
      </w:r>
      <w:r w:rsidR="00C36FF4">
        <w:t xml:space="preserve"> 24385, 24389 (2000) (</w:t>
      </w:r>
      <w:r w:rsidR="009E1D06">
        <w:t xml:space="preserve">considering tax returns to be the most reliable financial information provided by licensee, as compared to unaudited </w:t>
      </w:r>
      <w:r w:rsidR="009556B5">
        <w:t>cash flow statements and bank summaries).</w:t>
      </w:r>
    </w:p>
  </w:footnote>
  <w:footnote w:id="25">
    <w:p w:rsidR="00E442F4" w:rsidRPr="00AD5028" w14:paraId="7D7B2F55" w14:textId="3331EFDC">
      <w:pPr>
        <w:pStyle w:val="FootnoteText"/>
      </w:pPr>
      <w:r>
        <w:rPr>
          <w:rStyle w:val="FootnoteReference"/>
        </w:rPr>
        <w:footnoteRef/>
      </w:r>
      <w:r>
        <w:t xml:space="preserve"> </w:t>
      </w:r>
      <w:r w:rsidR="00AD5028">
        <w:rPr>
          <w:i/>
          <w:iCs/>
        </w:rPr>
        <w:t>Zuma Beach FM Emergency and Community Broadcasters, Inc.</w:t>
      </w:r>
      <w:r w:rsidR="00AD5028">
        <w:t xml:space="preserve">, </w:t>
      </w:r>
      <w:r w:rsidR="00CB2BFE">
        <w:t xml:space="preserve">34 FCC </w:t>
      </w:r>
      <w:r w:rsidR="00CB2BFE">
        <w:t>Rcd</w:t>
      </w:r>
      <w:r w:rsidR="00CB2BFE">
        <w:t xml:space="preserve"> 5302, 5304 (MB 2019).</w:t>
      </w:r>
    </w:p>
  </w:footnote>
  <w:footnote w:id="26">
    <w:p w:rsidR="00555C06" w:rsidP="00555C06" w14:paraId="4BFB662B" w14:textId="77777777">
      <w:pPr>
        <w:pStyle w:val="FootnoteText"/>
      </w:pPr>
      <w:r>
        <w:rPr>
          <w:rStyle w:val="FootnoteReference"/>
        </w:rPr>
        <w:footnoteRef/>
      </w:r>
      <w:r>
        <w:t xml:space="preserve"> </w:t>
      </w:r>
      <w:r>
        <w:rPr>
          <w:i/>
        </w:rPr>
        <w:t>See Valley Air, LLC</w:t>
      </w:r>
      <w:r>
        <w:t xml:space="preserve">, Letter, 24 FCC </w:t>
      </w:r>
      <w:r>
        <w:t>Rcd</w:t>
      </w:r>
      <w:r>
        <w:t xml:space="preserve"> 5505 (MB 2009) (cancelling a $4,000 forfeiture after finding that the amount was reasonable given licensee’s gross revenues of $75,167, $90,106, and $69,330, but finding amount would pose a financial hardship where licensee lost $345,000 during the same period).</w:t>
      </w:r>
    </w:p>
  </w:footnote>
  <w:footnote w:id="27">
    <w:p w:rsidR="00555C06" w:rsidRPr="00BE2843" w:rsidP="00555C06" w14:paraId="068B4F20" w14:textId="20BD4155">
      <w:pPr>
        <w:pStyle w:val="FootnoteText"/>
        <w:rPr>
          <w:iCs/>
        </w:rPr>
      </w:pPr>
      <w:r>
        <w:rPr>
          <w:rStyle w:val="FootnoteReference"/>
        </w:rPr>
        <w:footnoteRef/>
      </w:r>
      <w:r>
        <w:t xml:space="preserve"> </w:t>
      </w:r>
      <w:r>
        <w:rPr>
          <w:i/>
        </w:rPr>
        <w:t>See</w:t>
      </w:r>
      <w:r w:rsidR="0042225E">
        <w:rPr>
          <w:i/>
        </w:rPr>
        <w:t xml:space="preserve"> Hawkins Broadcasting Company</w:t>
      </w:r>
      <w:r w:rsidR="0042225E">
        <w:rPr>
          <w:iCs/>
        </w:rPr>
        <w:t xml:space="preserve">, </w:t>
      </w:r>
      <w:r w:rsidR="00CE5DE1">
        <w:rPr>
          <w:iCs/>
        </w:rPr>
        <w:t xml:space="preserve">25 FCC </w:t>
      </w:r>
      <w:r w:rsidR="00CE5DE1">
        <w:rPr>
          <w:iCs/>
        </w:rPr>
        <w:t>Rcd</w:t>
      </w:r>
      <w:r w:rsidR="00CE5DE1">
        <w:rPr>
          <w:iCs/>
        </w:rPr>
        <w:t xml:space="preserve"> 12519, 12521 (MB</w:t>
      </w:r>
      <w:r w:rsidR="00BE2843">
        <w:rPr>
          <w:iCs/>
        </w:rPr>
        <w:t xml:space="preserve"> 2010)</w:t>
      </w:r>
      <w:r w:rsidR="00E17F04">
        <w:rPr>
          <w:iCs/>
        </w:rPr>
        <w:t xml:space="preserve"> (</w:t>
      </w:r>
      <w:r w:rsidR="00D10256">
        <w:rPr>
          <w:iCs/>
        </w:rPr>
        <w:t>reducing a forfeiture</w:t>
      </w:r>
      <w:r w:rsidR="007F1E21">
        <w:rPr>
          <w:iCs/>
        </w:rPr>
        <w:t xml:space="preserve"> amount from $7,000 to $4,000 where the proposed forfeiture amount would have constituted approximately </w:t>
      </w:r>
      <w:r w:rsidR="00237984">
        <w:rPr>
          <w:iCs/>
        </w:rPr>
        <w:t xml:space="preserve">7 percent of the licensee’s average gross revenues and licensee operated </w:t>
      </w:r>
      <w:r w:rsidR="0053688B">
        <w:rPr>
          <w:iCs/>
        </w:rPr>
        <w:t xml:space="preserve">with </w:t>
      </w:r>
      <w:r w:rsidR="00F976F4">
        <w:rPr>
          <w:iCs/>
        </w:rPr>
        <w:t>significant loss</w:t>
      </w:r>
      <w:r w:rsidR="0053688B">
        <w:rPr>
          <w:iCs/>
        </w:rPr>
        <w:t>)</w:t>
      </w:r>
      <w:r w:rsidR="00BE2843">
        <w:rPr>
          <w:iCs/>
        </w:rPr>
        <w:t>, citing</w:t>
      </w:r>
      <w:r>
        <w:rPr>
          <w:i/>
        </w:rPr>
        <w:t xml:space="preserve"> CARE Broadcasting, Inc.</w:t>
      </w:r>
      <w:r>
        <w:t xml:space="preserve">, </w:t>
      </w:r>
      <w:r>
        <w:rPr>
          <w:bCs/>
        </w:rPr>
        <w:t xml:space="preserve">Forfeiture Order, 24 FCC </w:t>
      </w:r>
      <w:r>
        <w:rPr>
          <w:bCs/>
        </w:rPr>
        <w:t>Rcd</w:t>
      </w:r>
      <w:r>
        <w:rPr>
          <w:bCs/>
        </w:rPr>
        <w:t xml:space="preserve"> 1411 (MB 2010) (reducing forfeiture amount from $14,000 to $3,400 where the proposed forfeiture amount would have constituted approximately 11 percent of Licensee’s average gross revenues).</w:t>
      </w:r>
    </w:p>
  </w:footnote>
  <w:footnote w:id="28">
    <w:p w:rsidR="006E2BE3" w14:paraId="247E6B05" w14:textId="332AC749">
      <w:pPr>
        <w:pStyle w:val="FootnoteText"/>
      </w:pPr>
      <w:r>
        <w:rPr>
          <w:rStyle w:val="FootnoteReference"/>
        </w:rPr>
        <w:footnoteRef/>
      </w:r>
      <w:r>
        <w:t xml:space="preserve"> </w:t>
      </w:r>
      <w:r>
        <w:t xml:space="preserve">Section 312(f)(1) of the Act defines “willful” as “the conscious and deliberate commission or omission of [any] act, irrespective of any intent to violate” the law.  47 U.S.C. § 312(f)(1).  The legislative history of section 312(f)(1) of the Act clarifies that this definition of willful applies to Sections 312 and 503(b) of the Act, H.R. REP. No. 97-765, 51 (Conf. Rep.), and the Commission has so interpreted the terms in the Section 503(b) context.  </w:t>
      </w:r>
      <w:r>
        <w:rPr>
          <w:i/>
        </w:rPr>
        <w:t xml:space="preserve">See </w:t>
      </w:r>
      <w:smartTag w:uri="urn:schemas-microsoft-com:office:smarttags" w:element="place">
        <w:r>
          <w:rPr>
            <w:i/>
            <w:iCs/>
          </w:rPr>
          <w:t>Southern California</w:t>
        </w:r>
      </w:smartTag>
      <w:r>
        <w:t xml:space="preserve">, 6 FCC </w:t>
      </w:r>
      <w:r>
        <w:t>Rcd</w:t>
      </w:r>
      <w:r>
        <w:t xml:space="preserve"> at 4387-88.</w:t>
      </w:r>
    </w:p>
  </w:footnote>
  <w:footnote w:id="29">
    <w:p w:rsidR="00D7716E" w14:paraId="4E20412B" w14:textId="60A0E4E7">
      <w:pPr>
        <w:pStyle w:val="FootnoteText"/>
      </w:pPr>
      <w:r>
        <w:rPr>
          <w:rStyle w:val="FootnoteReference"/>
        </w:rPr>
        <w:footnoteRef/>
      </w:r>
      <w:r>
        <w:t xml:space="preserve"> </w:t>
      </w:r>
      <w:r w:rsidR="00F9447E">
        <w:t xml:space="preserve">Section 312(f)(2) of the Act defines “repeated” as “the commission or omission of [any] act more than once or, if such commission or omission is continuous, for more than one day.” 47 U.S.C. § 312(f)(2).  </w:t>
      </w:r>
      <w:r w:rsidR="00F9447E">
        <w:rPr>
          <w:i/>
        </w:rPr>
        <w:t>See also Southern California</w:t>
      </w:r>
      <w:r w:rsidR="00F9447E">
        <w:t xml:space="preserve">, 6 FCC </w:t>
      </w:r>
      <w:r w:rsidR="00F9447E">
        <w:t>Rcd</w:t>
      </w:r>
      <w:r w:rsidR="00F9447E">
        <w:t xml:space="preserve"> at 4388 (applying this definition of repeated to Sections 312 and 503(b) of the Act).</w:t>
      </w:r>
    </w:p>
  </w:footnote>
  <w:footnote w:id="30">
    <w:p w:rsidR="005626C9" w:rsidP="005626C9" w14:paraId="6A52A3D2" w14:textId="7B4CA324">
      <w:pPr>
        <w:pStyle w:val="FootnoteText"/>
      </w:pPr>
      <w:r>
        <w:rPr>
          <w:rStyle w:val="FootnoteReference"/>
        </w:rPr>
        <w:footnoteRef/>
      </w:r>
      <w:r>
        <w:t xml:space="preserve"> </w:t>
      </w:r>
      <w:r>
        <w:t>47 CFR §§ 74.1263(c), 74.1263(e)</w:t>
      </w:r>
      <w:r w:rsidR="009C4870">
        <w:t>, 74.1251(c), 1.65.</w:t>
      </w:r>
    </w:p>
  </w:footnote>
  <w:footnote w:id="31">
    <w:p w:rsidR="00920489" w:rsidP="00920489" w14:paraId="167F8729" w14:textId="77777777">
      <w:pPr>
        <w:pStyle w:val="FootnoteText"/>
      </w:pPr>
      <w:r>
        <w:rPr>
          <w:rStyle w:val="FootnoteReference"/>
        </w:rPr>
        <w:footnoteRef/>
      </w:r>
      <w:r>
        <w:t xml:space="preserve"> </w:t>
      </w:r>
      <w:r>
        <w:t>47 U.S.C. § 503(b); 47 C.F.R. §§ 0.283, 1.80.</w:t>
      </w:r>
    </w:p>
  </w:footnote>
  <w:footnote w:id="32">
    <w:p w:rsidR="00FC463C" w:rsidRPr="00514C8E" w:rsidP="00FC463C" w14:paraId="5DFAEB7D"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33">
    <w:p w:rsidR="00FC463C" w:rsidRPr="00514C8E" w:rsidP="00FC463C" w14:paraId="7E291211"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4">
    <w:p w:rsidR="00FC463C" w:rsidRPr="00514C8E" w:rsidP="00FC463C" w14:paraId="08A71974"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8E" w14:textId="1F568E8E">
    <w:pPr>
      <w:pStyle w:val="Header"/>
      <w:rPr>
        <w:b w:val="0"/>
      </w:rPr>
    </w:pPr>
    <w:r>
      <w:tab/>
    </w:r>
    <w:r>
      <w:t>Federal Communications Commission</w:t>
    </w:r>
    <w:r>
      <w:tab/>
    </w:r>
    <w:r w:rsidR="00420D78">
      <w:t xml:space="preserve">DA </w:t>
    </w:r>
    <w:r w:rsidR="002D062A">
      <w:t>22</w:t>
    </w:r>
    <w:r w:rsidR="00420D78">
      <w:t>-</w:t>
    </w:r>
    <w:r w:rsidR="00241692">
      <w:t>566</w:t>
    </w:r>
  </w:p>
  <w:p w:rsidR="00A35A37" w14:paraId="3C8FD68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3C8FD6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FD695" w14:textId="66D1422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264785">
      <w:tab/>
    </w:r>
    <w:r w:rsidR="00264785">
      <w:t>Federal Communications Commission</w:t>
    </w:r>
    <w:r w:rsidR="00264785">
      <w:tab/>
    </w:r>
    <w:r w:rsidR="00E609ED">
      <w:rPr>
        <w:spacing w:val="-2"/>
      </w:rPr>
      <w:t xml:space="preserve">DA </w:t>
    </w:r>
    <w:r w:rsidR="00264785">
      <w:rPr>
        <w:spacing w:val="-2"/>
      </w:rPr>
      <w:t>22-</w:t>
    </w:r>
    <w:r>
      <w:rPr>
        <w:spacing w:val="-2"/>
      </w:rPr>
      <w:t>566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881ECC"/>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5"/>
  </w:num>
  <w:num w:numId="4">
    <w:abstractNumId w:val="7"/>
  </w:num>
  <w:num w:numId="5">
    <w:abstractNumId w:val="2"/>
  </w:num>
  <w:num w:numId="6">
    <w:abstractNumId w:val="0"/>
  </w:num>
  <w:num w:numId="7">
    <w:abstractNumId w:val="8"/>
    <w:lvlOverride w:ilvl="0">
      <w:startOverride w:val="1"/>
    </w:lvlOverride>
  </w:num>
  <w:num w:numId="8">
    <w:abstractNumId w:val="8"/>
    <w:lvlOverride w:ilvl="0">
      <w:startOverride w:val="1"/>
    </w:lvlOverride>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3"/>
  </w:num>
  <w:num w:numId="21">
    <w:abstractNumId w:val="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217CF"/>
    <w:rsid w:val="00035EC6"/>
    <w:rsid w:val="00036039"/>
    <w:rsid w:val="00036411"/>
    <w:rsid w:val="00037F90"/>
    <w:rsid w:val="00043678"/>
    <w:rsid w:val="00045E14"/>
    <w:rsid w:val="00054D5A"/>
    <w:rsid w:val="00063EEE"/>
    <w:rsid w:val="000654EE"/>
    <w:rsid w:val="000725CB"/>
    <w:rsid w:val="000820BC"/>
    <w:rsid w:val="000875BF"/>
    <w:rsid w:val="000901F8"/>
    <w:rsid w:val="00096D8C"/>
    <w:rsid w:val="000A3596"/>
    <w:rsid w:val="000C0B65"/>
    <w:rsid w:val="000C50F6"/>
    <w:rsid w:val="000C7413"/>
    <w:rsid w:val="000D1113"/>
    <w:rsid w:val="000D54FB"/>
    <w:rsid w:val="000E05FE"/>
    <w:rsid w:val="000E1603"/>
    <w:rsid w:val="000E3D42"/>
    <w:rsid w:val="000F0BCB"/>
    <w:rsid w:val="001048C9"/>
    <w:rsid w:val="001058BC"/>
    <w:rsid w:val="001172AD"/>
    <w:rsid w:val="00122BD5"/>
    <w:rsid w:val="0012588F"/>
    <w:rsid w:val="00126C67"/>
    <w:rsid w:val="00133F79"/>
    <w:rsid w:val="0013711B"/>
    <w:rsid w:val="00176F14"/>
    <w:rsid w:val="00183402"/>
    <w:rsid w:val="00194A66"/>
    <w:rsid w:val="00196E45"/>
    <w:rsid w:val="001D4BEC"/>
    <w:rsid w:val="001D6BCF"/>
    <w:rsid w:val="001E01CA"/>
    <w:rsid w:val="001E369A"/>
    <w:rsid w:val="002007ED"/>
    <w:rsid w:val="002061F7"/>
    <w:rsid w:val="00231F60"/>
    <w:rsid w:val="002340A4"/>
    <w:rsid w:val="00237984"/>
    <w:rsid w:val="00241692"/>
    <w:rsid w:val="00252C1A"/>
    <w:rsid w:val="002546D1"/>
    <w:rsid w:val="00264785"/>
    <w:rsid w:val="00272DD9"/>
    <w:rsid w:val="00275CF5"/>
    <w:rsid w:val="00276A0A"/>
    <w:rsid w:val="00282131"/>
    <w:rsid w:val="0028301F"/>
    <w:rsid w:val="00285017"/>
    <w:rsid w:val="002A2D2E"/>
    <w:rsid w:val="002C00E8"/>
    <w:rsid w:val="002D062A"/>
    <w:rsid w:val="002E733C"/>
    <w:rsid w:val="003066D8"/>
    <w:rsid w:val="0032346C"/>
    <w:rsid w:val="003374BB"/>
    <w:rsid w:val="00343749"/>
    <w:rsid w:val="003660ED"/>
    <w:rsid w:val="00382CE9"/>
    <w:rsid w:val="003B0550"/>
    <w:rsid w:val="003B25BD"/>
    <w:rsid w:val="003B694F"/>
    <w:rsid w:val="003D16D8"/>
    <w:rsid w:val="003F171C"/>
    <w:rsid w:val="00410459"/>
    <w:rsid w:val="00412FC5"/>
    <w:rsid w:val="004146E1"/>
    <w:rsid w:val="00415116"/>
    <w:rsid w:val="00416163"/>
    <w:rsid w:val="00420D78"/>
    <w:rsid w:val="0042225E"/>
    <w:rsid w:val="00422276"/>
    <w:rsid w:val="004242F1"/>
    <w:rsid w:val="004303B8"/>
    <w:rsid w:val="00445A00"/>
    <w:rsid w:val="00451B0F"/>
    <w:rsid w:val="00462660"/>
    <w:rsid w:val="00474268"/>
    <w:rsid w:val="00483113"/>
    <w:rsid w:val="00487B18"/>
    <w:rsid w:val="004C2EE3"/>
    <w:rsid w:val="004D0B01"/>
    <w:rsid w:val="004E4A22"/>
    <w:rsid w:val="005034CF"/>
    <w:rsid w:val="00506331"/>
    <w:rsid w:val="00506A53"/>
    <w:rsid w:val="00511968"/>
    <w:rsid w:val="00514C8E"/>
    <w:rsid w:val="0052085F"/>
    <w:rsid w:val="00535AA0"/>
    <w:rsid w:val="0053688B"/>
    <w:rsid w:val="00555C06"/>
    <w:rsid w:val="00555D44"/>
    <w:rsid w:val="0055614C"/>
    <w:rsid w:val="005626C9"/>
    <w:rsid w:val="00566D06"/>
    <w:rsid w:val="00566F7E"/>
    <w:rsid w:val="005A3217"/>
    <w:rsid w:val="005E0432"/>
    <w:rsid w:val="005E14C2"/>
    <w:rsid w:val="00607BA5"/>
    <w:rsid w:val="0061180A"/>
    <w:rsid w:val="00611C6A"/>
    <w:rsid w:val="00623E30"/>
    <w:rsid w:val="00626EB6"/>
    <w:rsid w:val="006347F7"/>
    <w:rsid w:val="00647EF0"/>
    <w:rsid w:val="00655D03"/>
    <w:rsid w:val="006617ED"/>
    <w:rsid w:val="00683388"/>
    <w:rsid w:val="00683563"/>
    <w:rsid w:val="00683F84"/>
    <w:rsid w:val="00691A6F"/>
    <w:rsid w:val="0069401C"/>
    <w:rsid w:val="006A431C"/>
    <w:rsid w:val="006A6A81"/>
    <w:rsid w:val="006B3281"/>
    <w:rsid w:val="006B6469"/>
    <w:rsid w:val="006E2BE3"/>
    <w:rsid w:val="006F5704"/>
    <w:rsid w:val="006F7393"/>
    <w:rsid w:val="00700C1E"/>
    <w:rsid w:val="0070224F"/>
    <w:rsid w:val="007115F7"/>
    <w:rsid w:val="00714E25"/>
    <w:rsid w:val="00721969"/>
    <w:rsid w:val="0072332E"/>
    <w:rsid w:val="007401B4"/>
    <w:rsid w:val="00740764"/>
    <w:rsid w:val="00751713"/>
    <w:rsid w:val="00753680"/>
    <w:rsid w:val="00762D04"/>
    <w:rsid w:val="00780BEF"/>
    <w:rsid w:val="00785689"/>
    <w:rsid w:val="00796C43"/>
    <w:rsid w:val="0079754B"/>
    <w:rsid w:val="007A1E6D"/>
    <w:rsid w:val="007A3A02"/>
    <w:rsid w:val="007B0EB2"/>
    <w:rsid w:val="007B0F67"/>
    <w:rsid w:val="007B26A7"/>
    <w:rsid w:val="007B307A"/>
    <w:rsid w:val="007C21B5"/>
    <w:rsid w:val="007C615C"/>
    <w:rsid w:val="007C7079"/>
    <w:rsid w:val="007D14F1"/>
    <w:rsid w:val="007F1E21"/>
    <w:rsid w:val="007F3488"/>
    <w:rsid w:val="00800212"/>
    <w:rsid w:val="00810B6F"/>
    <w:rsid w:val="00822A61"/>
    <w:rsid w:val="00822CE0"/>
    <w:rsid w:val="00841AB1"/>
    <w:rsid w:val="00847642"/>
    <w:rsid w:val="008569C1"/>
    <w:rsid w:val="00872C28"/>
    <w:rsid w:val="0089279E"/>
    <w:rsid w:val="00896067"/>
    <w:rsid w:val="00897E68"/>
    <w:rsid w:val="00897F62"/>
    <w:rsid w:val="008A4E03"/>
    <w:rsid w:val="008A7897"/>
    <w:rsid w:val="008A7B15"/>
    <w:rsid w:val="008B7BD6"/>
    <w:rsid w:val="008C67E4"/>
    <w:rsid w:val="008C68F1"/>
    <w:rsid w:val="008D7833"/>
    <w:rsid w:val="008E13B0"/>
    <w:rsid w:val="008F3ACB"/>
    <w:rsid w:val="00904263"/>
    <w:rsid w:val="00907B92"/>
    <w:rsid w:val="009131B2"/>
    <w:rsid w:val="00920489"/>
    <w:rsid w:val="00921803"/>
    <w:rsid w:val="00926503"/>
    <w:rsid w:val="0094066C"/>
    <w:rsid w:val="009556B5"/>
    <w:rsid w:val="009563AA"/>
    <w:rsid w:val="009726D8"/>
    <w:rsid w:val="00975D6A"/>
    <w:rsid w:val="00981685"/>
    <w:rsid w:val="0098544D"/>
    <w:rsid w:val="009A4A76"/>
    <w:rsid w:val="009B790E"/>
    <w:rsid w:val="009C4870"/>
    <w:rsid w:val="009D02C8"/>
    <w:rsid w:val="009D7308"/>
    <w:rsid w:val="009E1AAE"/>
    <w:rsid w:val="009E1D06"/>
    <w:rsid w:val="009F76DB"/>
    <w:rsid w:val="00A30F82"/>
    <w:rsid w:val="00A32C3B"/>
    <w:rsid w:val="00A35A37"/>
    <w:rsid w:val="00A41574"/>
    <w:rsid w:val="00A4217E"/>
    <w:rsid w:val="00A45F4F"/>
    <w:rsid w:val="00A600A9"/>
    <w:rsid w:val="00A77AB0"/>
    <w:rsid w:val="00A8173D"/>
    <w:rsid w:val="00A82BD2"/>
    <w:rsid w:val="00A87645"/>
    <w:rsid w:val="00A94C43"/>
    <w:rsid w:val="00AA2FE8"/>
    <w:rsid w:val="00AA55B7"/>
    <w:rsid w:val="00AA5B9E"/>
    <w:rsid w:val="00AB0C6F"/>
    <w:rsid w:val="00AB2407"/>
    <w:rsid w:val="00AB53DF"/>
    <w:rsid w:val="00AC51C7"/>
    <w:rsid w:val="00AD5028"/>
    <w:rsid w:val="00B048A6"/>
    <w:rsid w:val="00B07E5C"/>
    <w:rsid w:val="00B16540"/>
    <w:rsid w:val="00B24633"/>
    <w:rsid w:val="00B33D26"/>
    <w:rsid w:val="00B62ED1"/>
    <w:rsid w:val="00B749BC"/>
    <w:rsid w:val="00B811F7"/>
    <w:rsid w:val="00B815CB"/>
    <w:rsid w:val="00B9477C"/>
    <w:rsid w:val="00BA5DC6"/>
    <w:rsid w:val="00BA6196"/>
    <w:rsid w:val="00BC6D8C"/>
    <w:rsid w:val="00BE2843"/>
    <w:rsid w:val="00BE60E9"/>
    <w:rsid w:val="00BF125A"/>
    <w:rsid w:val="00BF1525"/>
    <w:rsid w:val="00C11997"/>
    <w:rsid w:val="00C34006"/>
    <w:rsid w:val="00C36B4C"/>
    <w:rsid w:val="00C36FF4"/>
    <w:rsid w:val="00C426B1"/>
    <w:rsid w:val="00C61D17"/>
    <w:rsid w:val="00C63228"/>
    <w:rsid w:val="00C66160"/>
    <w:rsid w:val="00C721AC"/>
    <w:rsid w:val="00C733D7"/>
    <w:rsid w:val="00C76547"/>
    <w:rsid w:val="00C90D6A"/>
    <w:rsid w:val="00C9230A"/>
    <w:rsid w:val="00CA247E"/>
    <w:rsid w:val="00CA2DEB"/>
    <w:rsid w:val="00CA6D21"/>
    <w:rsid w:val="00CB2BFE"/>
    <w:rsid w:val="00CB2C01"/>
    <w:rsid w:val="00CB34AF"/>
    <w:rsid w:val="00CB6F67"/>
    <w:rsid w:val="00CC03DE"/>
    <w:rsid w:val="00CC72B6"/>
    <w:rsid w:val="00CE5DE1"/>
    <w:rsid w:val="00CF0BDA"/>
    <w:rsid w:val="00D0218D"/>
    <w:rsid w:val="00D10256"/>
    <w:rsid w:val="00D17789"/>
    <w:rsid w:val="00D25FB5"/>
    <w:rsid w:val="00D33C3D"/>
    <w:rsid w:val="00D37815"/>
    <w:rsid w:val="00D426DF"/>
    <w:rsid w:val="00D4296A"/>
    <w:rsid w:val="00D44223"/>
    <w:rsid w:val="00D60218"/>
    <w:rsid w:val="00D61EA0"/>
    <w:rsid w:val="00D7256D"/>
    <w:rsid w:val="00D7716E"/>
    <w:rsid w:val="00DA2529"/>
    <w:rsid w:val="00DB130A"/>
    <w:rsid w:val="00DB2EBB"/>
    <w:rsid w:val="00DC10A1"/>
    <w:rsid w:val="00DC3C7D"/>
    <w:rsid w:val="00DC4C48"/>
    <w:rsid w:val="00DC655F"/>
    <w:rsid w:val="00DD0B59"/>
    <w:rsid w:val="00DD7EBD"/>
    <w:rsid w:val="00DE156A"/>
    <w:rsid w:val="00DF11EA"/>
    <w:rsid w:val="00DF62B6"/>
    <w:rsid w:val="00E023CC"/>
    <w:rsid w:val="00E07225"/>
    <w:rsid w:val="00E1189A"/>
    <w:rsid w:val="00E132B8"/>
    <w:rsid w:val="00E17F04"/>
    <w:rsid w:val="00E442F4"/>
    <w:rsid w:val="00E5409F"/>
    <w:rsid w:val="00E56A44"/>
    <w:rsid w:val="00E609ED"/>
    <w:rsid w:val="00E60C96"/>
    <w:rsid w:val="00E84127"/>
    <w:rsid w:val="00E93516"/>
    <w:rsid w:val="00EC2D9D"/>
    <w:rsid w:val="00ED25F4"/>
    <w:rsid w:val="00EE1335"/>
    <w:rsid w:val="00EE46E6"/>
    <w:rsid w:val="00EE6488"/>
    <w:rsid w:val="00EF143D"/>
    <w:rsid w:val="00F021FA"/>
    <w:rsid w:val="00F15CAF"/>
    <w:rsid w:val="00F17133"/>
    <w:rsid w:val="00F41D41"/>
    <w:rsid w:val="00F62E97"/>
    <w:rsid w:val="00F64209"/>
    <w:rsid w:val="00F72499"/>
    <w:rsid w:val="00F7571E"/>
    <w:rsid w:val="00F93BF5"/>
    <w:rsid w:val="00F9447E"/>
    <w:rsid w:val="00F976F4"/>
    <w:rsid w:val="00FC463C"/>
    <w:rsid w:val="00FC4AB3"/>
    <w:rsid w:val="00FD3076"/>
    <w:rsid w:val="00FF7C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8FD656"/>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92"/>
    <w:pPr>
      <w:widowControl w:val="0"/>
    </w:pPr>
    <w:rPr>
      <w:snapToGrid w:val="0"/>
      <w:kern w:val="28"/>
      <w:sz w:val="22"/>
    </w:rPr>
  </w:style>
  <w:style w:type="paragraph" w:styleId="Heading1">
    <w:name w:val="heading 1"/>
    <w:basedOn w:val="Normal"/>
    <w:next w:val="ParaNum"/>
    <w:qFormat/>
    <w:rsid w:val="002416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1692"/>
    <w:pPr>
      <w:keepNext/>
      <w:numPr>
        <w:ilvl w:val="1"/>
        <w:numId w:val="3"/>
      </w:numPr>
      <w:spacing w:after="120"/>
      <w:outlineLvl w:val="1"/>
    </w:pPr>
    <w:rPr>
      <w:b/>
    </w:rPr>
  </w:style>
  <w:style w:type="paragraph" w:styleId="Heading3">
    <w:name w:val="heading 3"/>
    <w:basedOn w:val="Normal"/>
    <w:next w:val="ParaNum"/>
    <w:qFormat/>
    <w:rsid w:val="00241692"/>
    <w:pPr>
      <w:keepNext/>
      <w:numPr>
        <w:ilvl w:val="2"/>
        <w:numId w:val="3"/>
      </w:numPr>
      <w:tabs>
        <w:tab w:val="left" w:pos="2160"/>
      </w:tabs>
      <w:spacing w:after="120"/>
      <w:outlineLvl w:val="2"/>
    </w:pPr>
    <w:rPr>
      <w:b/>
    </w:rPr>
  </w:style>
  <w:style w:type="paragraph" w:styleId="Heading4">
    <w:name w:val="heading 4"/>
    <w:basedOn w:val="Normal"/>
    <w:next w:val="ParaNum"/>
    <w:qFormat/>
    <w:rsid w:val="00241692"/>
    <w:pPr>
      <w:keepNext/>
      <w:numPr>
        <w:ilvl w:val="3"/>
        <w:numId w:val="3"/>
      </w:numPr>
      <w:tabs>
        <w:tab w:val="left" w:pos="2880"/>
      </w:tabs>
      <w:spacing w:after="120"/>
      <w:outlineLvl w:val="3"/>
    </w:pPr>
    <w:rPr>
      <w:b/>
    </w:rPr>
  </w:style>
  <w:style w:type="paragraph" w:styleId="Heading5">
    <w:name w:val="heading 5"/>
    <w:basedOn w:val="Normal"/>
    <w:next w:val="ParaNum"/>
    <w:qFormat/>
    <w:rsid w:val="002416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1692"/>
    <w:pPr>
      <w:numPr>
        <w:ilvl w:val="5"/>
        <w:numId w:val="3"/>
      </w:numPr>
      <w:tabs>
        <w:tab w:val="left" w:pos="4320"/>
      </w:tabs>
      <w:spacing w:after="120"/>
      <w:outlineLvl w:val="5"/>
    </w:pPr>
    <w:rPr>
      <w:b/>
    </w:rPr>
  </w:style>
  <w:style w:type="paragraph" w:styleId="Heading7">
    <w:name w:val="heading 7"/>
    <w:basedOn w:val="Normal"/>
    <w:next w:val="ParaNum"/>
    <w:qFormat/>
    <w:rsid w:val="002416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16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16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16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692"/>
  </w:style>
  <w:style w:type="paragraph" w:customStyle="1" w:styleId="ParaNum">
    <w:name w:val="ParaNum"/>
    <w:basedOn w:val="Normal"/>
    <w:link w:val="ParaNumChar"/>
    <w:rsid w:val="00241692"/>
    <w:pPr>
      <w:numPr>
        <w:numId w:val="2"/>
      </w:numPr>
      <w:tabs>
        <w:tab w:val="clear" w:pos="1080"/>
        <w:tab w:val="num" w:pos="1440"/>
      </w:tabs>
      <w:spacing w:after="120"/>
    </w:pPr>
  </w:style>
  <w:style w:type="paragraph" w:styleId="EndnoteText">
    <w:name w:val="endnote text"/>
    <w:basedOn w:val="Normal"/>
    <w:semiHidden/>
    <w:rsid w:val="00241692"/>
    <w:rPr>
      <w:sz w:val="20"/>
    </w:rPr>
  </w:style>
  <w:style w:type="character" w:styleId="EndnoteReference">
    <w:name w:val="endnote reference"/>
    <w:semiHidden/>
    <w:rsid w:val="0024169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24169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41692"/>
    <w:rPr>
      <w:rFonts w:ascii="Times New Roman" w:hAnsi="Times New Roman"/>
      <w:dstrike w:val="0"/>
      <w:color w:val="auto"/>
      <w:sz w:val="20"/>
      <w:vertAlign w:val="superscript"/>
    </w:rPr>
  </w:style>
  <w:style w:type="paragraph" w:styleId="TOC1">
    <w:name w:val="toc 1"/>
    <w:basedOn w:val="Normal"/>
    <w:next w:val="Normal"/>
    <w:semiHidden/>
    <w:rsid w:val="002416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1692"/>
    <w:pPr>
      <w:tabs>
        <w:tab w:val="left" w:pos="720"/>
        <w:tab w:val="right" w:leader="dot" w:pos="9360"/>
      </w:tabs>
      <w:suppressAutoHyphens/>
      <w:ind w:left="720" w:right="720" w:hanging="360"/>
    </w:pPr>
    <w:rPr>
      <w:noProof/>
    </w:rPr>
  </w:style>
  <w:style w:type="paragraph" w:styleId="TOC3">
    <w:name w:val="toc 3"/>
    <w:basedOn w:val="Normal"/>
    <w:next w:val="Normal"/>
    <w:semiHidden/>
    <w:rsid w:val="002416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16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16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16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16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16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1692"/>
    <w:pPr>
      <w:tabs>
        <w:tab w:val="left" w:pos="3240"/>
        <w:tab w:val="right" w:leader="dot" w:pos="9360"/>
      </w:tabs>
      <w:suppressAutoHyphens/>
      <w:ind w:left="3240" w:hanging="360"/>
    </w:pPr>
    <w:rPr>
      <w:noProof/>
    </w:rPr>
  </w:style>
  <w:style w:type="paragraph" w:styleId="TOAHeading">
    <w:name w:val="toa heading"/>
    <w:basedOn w:val="Normal"/>
    <w:next w:val="Normal"/>
    <w:rsid w:val="00241692"/>
    <w:pPr>
      <w:tabs>
        <w:tab w:val="right" w:pos="9360"/>
      </w:tabs>
      <w:suppressAutoHyphens/>
    </w:pPr>
  </w:style>
  <w:style w:type="character" w:customStyle="1" w:styleId="EquationCaption">
    <w:name w:val="_Equation Caption"/>
    <w:rsid w:val="00241692"/>
  </w:style>
  <w:style w:type="paragraph" w:styleId="Header">
    <w:name w:val="header"/>
    <w:basedOn w:val="Normal"/>
    <w:autoRedefine/>
    <w:rsid w:val="00241692"/>
    <w:pPr>
      <w:tabs>
        <w:tab w:val="center" w:pos="4680"/>
        <w:tab w:val="right" w:pos="9360"/>
      </w:tabs>
    </w:pPr>
    <w:rPr>
      <w:b/>
    </w:rPr>
  </w:style>
  <w:style w:type="paragraph" w:styleId="Footer">
    <w:name w:val="footer"/>
    <w:basedOn w:val="Normal"/>
    <w:link w:val="FooterChar"/>
    <w:uiPriority w:val="99"/>
    <w:rsid w:val="00241692"/>
    <w:pPr>
      <w:tabs>
        <w:tab w:val="center" w:pos="4320"/>
        <w:tab w:val="right" w:pos="8640"/>
      </w:tabs>
    </w:pPr>
  </w:style>
  <w:style w:type="character" w:styleId="PageNumber">
    <w:name w:val="page number"/>
    <w:basedOn w:val="DefaultParagraphFont"/>
    <w:rsid w:val="00241692"/>
  </w:style>
  <w:style w:type="paragraph" w:styleId="BlockText">
    <w:name w:val="Block Text"/>
    <w:basedOn w:val="Normal"/>
    <w:rsid w:val="00241692"/>
    <w:pPr>
      <w:spacing w:after="240"/>
      <w:ind w:left="1440" w:right="1440"/>
    </w:pPr>
  </w:style>
  <w:style w:type="paragraph" w:customStyle="1" w:styleId="Paratitle">
    <w:name w:val="Para title"/>
    <w:basedOn w:val="Normal"/>
    <w:rsid w:val="00241692"/>
    <w:pPr>
      <w:tabs>
        <w:tab w:val="center" w:pos="9270"/>
      </w:tabs>
      <w:spacing w:after="240"/>
    </w:pPr>
    <w:rPr>
      <w:spacing w:val="-2"/>
    </w:rPr>
  </w:style>
  <w:style w:type="paragraph" w:customStyle="1" w:styleId="Bullet">
    <w:name w:val="Bullet"/>
    <w:basedOn w:val="Normal"/>
    <w:rsid w:val="00241692"/>
    <w:pPr>
      <w:tabs>
        <w:tab w:val="left" w:pos="2160"/>
      </w:tabs>
      <w:spacing w:after="220"/>
      <w:ind w:left="2160" w:hanging="720"/>
    </w:pPr>
  </w:style>
  <w:style w:type="paragraph" w:customStyle="1" w:styleId="TableFormat">
    <w:name w:val="TableFormat"/>
    <w:basedOn w:val="Bullet"/>
    <w:rsid w:val="00241692"/>
    <w:pPr>
      <w:tabs>
        <w:tab w:val="clear" w:pos="2160"/>
        <w:tab w:val="left" w:pos="5040"/>
      </w:tabs>
      <w:ind w:left="5040" w:hanging="3600"/>
    </w:pPr>
  </w:style>
  <w:style w:type="paragraph" w:customStyle="1" w:styleId="TOCTitle">
    <w:name w:val="TOC Title"/>
    <w:basedOn w:val="Normal"/>
    <w:rsid w:val="002416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1692"/>
    <w:pPr>
      <w:jc w:val="center"/>
    </w:pPr>
    <w:rPr>
      <w:rFonts w:ascii="Times New Roman Bold" w:hAnsi="Times New Roman Bold"/>
      <w:b/>
      <w:bCs/>
      <w:caps/>
      <w:szCs w:val="22"/>
    </w:rPr>
  </w:style>
  <w:style w:type="character" w:styleId="Hyperlink">
    <w:name w:val="Hyperlink"/>
    <w:rsid w:val="00241692"/>
    <w:rPr>
      <w:color w:val="0000FF"/>
      <w:u w:val="single"/>
    </w:rPr>
  </w:style>
  <w:style w:type="character" w:customStyle="1" w:styleId="FooterChar">
    <w:name w:val="Footer Char"/>
    <w:link w:val="Footer"/>
    <w:uiPriority w:val="99"/>
    <w:rsid w:val="00241692"/>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character" w:customStyle="1" w:styleId="documentbody5">
    <w:name w:val="documentbody5"/>
    <w:rsid w:val="00920489"/>
    <w:rPr>
      <w:rFonts w:ascii="Verdana" w:hAnsi="Verdana" w:hint="default"/>
      <w:sz w:val="19"/>
      <w:szCs w:val="19"/>
    </w:rPr>
  </w:style>
  <w:style w:type="paragraph" w:styleId="Revision">
    <w:name w:val="Revision"/>
    <w:hidden/>
    <w:uiPriority w:val="99"/>
    <w:semiHidden/>
    <w:rsid w:val="00AC51C7"/>
    <w:rPr>
      <w:snapToGrid w:val="0"/>
      <w:kern w:val="28"/>
      <w:sz w:val="22"/>
    </w:rPr>
  </w:style>
  <w:style w:type="character" w:styleId="CommentReference">
    <w:name w:val="annotation reference"/>
    <w:rsid w:val="00C61D17"/>
    <w:rPr>
      <w:sz w:val="16"/>
      <w:szCs w:val="16"/>
    </w:rPr>
  </w:style>
  <w:style w:type="paragraph" w:styleId="CommentText">
    <w:name w:val="annotation text"/>
    <w:basedOn w:val="Normal"/>
    <w:link w:val="CommentTextChar"/>
    <w:rsid w:val="00C61D17"/>
    <w:rPr>
      <w:sz w:val="20"/>
    </w:rPr>
  </w:style>
  <w:style w:type="character" w:customStyle="1" w:styleId="CommentTextChar">
    <w:name w:val="Comment Text Char"/>
    <w:link w:val="CommentText"/>
    <w:rsid w:val="00C61D17"/>
    <w:rPr>
      <w:snapToGrid w:val="0"/>
      <w:kern w:val="28"/>
    </w:rPr>
  </w:style>
  <w:style w:type="paragraph" w:styleId="CommentSubject">
    <w:name w:val="annotation subject"/>
    <w:basedOn w:val="CommentText"/>
    <w:next w:val="CommentText"/>
    <w:link w:val="CommentSubjectChar"/>
    <w:rsid w:val="00C61D17"/>
    <w:rPr>
      <w:b/>
      <w:bCs/>
    </w:rPr>
  </w:style>
  <w:style w:type="character" w:customStyle="1" w:styleId="CommentSubjectChar">
    <w:name w:val="Comment Subject Char"/>
    <w:link w:val="CommentSubject"/>
    <w:rsid w:val="00C61D1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microsoft.com/office/2006/relationships/keyMapCustomizations" Target="customizations.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