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96A77" w14:paraId="5E1967D9" w14:textId="77777777">
      <w:pPr>
        <w:jc w:val="right"/>
        <w:rPr>
          <w:sz w:val="24"/>
        </w:rPr>
      </w:pPr>
    </w:p>
    <w:p w:rsidR="00296A77" w14:paraId="35EB369E" w14:textId="080E2BE0">
      <w:pPr>
        <w:jc w:val="right"/>
        <w:rPr>
          <w:b/>
          <w:sz w:val="24"/>
        </w:rPr>
      </w:pPr>
      <w:r>
        <w:rPr>
          <w:b/>
          <w:sz w:val="24"/>
        </w:rPr>
        <w:t>DA 22-</w:t>
      </w:r>
      <w:r w:rsidR="00382FCC">
        <w:rPr>
          <w:b/>
          <w:sz w:val="24"/>
        </w:rPr>
        <w:t>567</w:t>
      </w:r>
    </w:p>
    <w:p w:rsidR="00296A77" w14:paraId="1B9B2457" w14:textId="629FC537">
      <w:pPr>
        <w:spacing w:before="60"/>
        <w:jc w:val="right"/>
        <w:rPr>
          <w:b/>
          <w:sz w:val="24"/>
        </w:rPr>
      </w:pPr>
      <w:r>
        <w:rPr>
          <w:b/>
          <w:sz w:val="24"/>
        </w:rPr>
        <w:t xml:space="preserve">Released:  </w:t>
      </w:r>
      <w:r w:rsidR="00BF7CF5">
        <w:rPr>
          <w:b/>
          <w:sz w:val="24"/>
        </w:rPr>
        <w:t xml:space="preserve">May </w:t>
      </w:r>
      <w:r w:rsidR="00D013AD">
        <w:rPr>
          <w:b/>
          <w:sz w:val="24"/>
        </w:rPr>
        <w:t>23</w:t>
      </w:r>
      <w:r w:rsidR="00BF7CF5">
        <w:rPr>
          <w:b/>
          <w:sz w:val="24"/>
        </w:rPr>
        <w:t>, 2022</w:t>
      </w:r>
    </w:p>
    <w:p w:rsidR="00296A77" w14:paraId="29CDE863" w14:textId="77777777">
      <w:pPr>
        <w:jc w:val="right"/>
        <w:rPr>
          <w:sz w:val="24"/>
        </w:rPr>
      </w:pPr>
    </w:p>
    <w:p w:rsidR="00296A77" w:rsidRPr="00BF7CF5" w:rsidP="00BF7CF5" w14:paraId="7AFFDB5B" w14:textId="470A416E">
      <w:pPr>
        <w:spacing w:after="240"/>
        <w:jc w:val="center"/>
        <w:rPr>
          <w:rFonts w:ascii="Times New Roman Bold" w:hAnsi="Times New Roman Bold"/>
          <w:b/>
          <w:caps/>
          <w:sz w:val="24"/>
        </w:rPr>
      </w:pPr>
      <w:r>
        <w:rPr>
          <w:rFonts w:ascii="Times New Roman Bold" w:hAnsi="Times New Roman Bold"/>
          <w:b/>
          <w:caps/>
          <w:sz w:val="24"/>
        </w:rPr>
        <w:t>MEDIA bUREAU SEEKS COMMENT ON pETITION FOR RULEMAKING</w:t>
      </w:r>
      <w:r>
        <w:rPr>
          <w:rFonts w:ascii="Times New Roman Bold" w:hAnsi="Times New Roman Bold"/>
          <w:b/>
          <w:caps/>
          <w:sz w:val="24"/>
        </w:rPr>
        <w:br/>
        <w:t>TO ESTABLISH NEW CONTENT VENDOR DIVERSITY REPORT</w:t>
      </w:r>
    </w:p>
    <w:p w:rsidR="00296A77" w:rsidRPr="00590E21" w:rsidP="00590E21" w14:paraId="430117AD" w14:textId="5A8BD0D7">
      <w:pPr>
        <w:jc w:val="center"/>
        <w:rPr>
          <w:b/>
          <w:bCs/>
        </w:rPr>
      </w:pPr>
      <w:bookmarkStart w:id="0" w:name="TOChere"/>
      <w:r>
        <w:rPr>
          <w:b/>
          <w:bCs/>
        </w:rPr>
        <w:t>MB Docket No. 22-</w:t>
      </w:r>
      <w:r w:rsidR="00382FCC">
        <w:rPr>
          <w:b/>
          <w:bCs/>
        </w:rPr>
        <w:t>209</w:t>
      </w:r>
    </w:p>
    <w:p w:rsidR="00296A77" w14:paraId="4B325D39" w14:textId="77777777"/>
    <w:bookmarkEnd w:id="0"/>
    <w:p w:rsidR="00155F39" w14:paraId="662F326A" w14:textId="586961EF">
      <w:r w:rsidRPr="00BF7CF5">
        <w:rPr>
          <w:b/>
          <w:bCs/>
        </w:rPr>
        <w:t>Comment Date:</w:t>
      </w:r>
      <w:r>
        <w:t xml:space="preserve">  </w:t>
      </w:r>
      <w:r w:rsidR="00296043">
        <w:t>July 22, 2022</w:t>
      </w:r>
      <w:r w:rsidR="00296043">
        <w:br/>
      </w:r>
      <w:r w:rsidRPr="00BF7CF5">
        <w:rPr>
          <w:b/>
          <w:bCs/>
        </w:rPr>
        <w:t>Reply Comment Date:</w:t>
      </w:r>
      <w:r>
        <w:t xml:space="preserve">  </w:t>
      </w:r>
      <w:r w:rsidR="007D3997">
        <w:t>August 22, 2022</w:t>
      </w:r>
    </w:p>
    <w:p w:rsidR="00BF7CF5" w14:paraId="714AEA85" w14:textId="6213D47E"/>
    <w:p w:rsidR="00BF7CF5" w:rsidRPr="00DF6D89" w:rsidP="00DF6D89" w14:paraId="2DCBE06F" w14:textId="5450FB31">
      <w:pPr>
        <w:widowControl/>
        <w:autoSpaceDE w:val="0"/>
        <w:autoSpaceDN w:val="0"/>
        <w:adjustRightInd w:val="0"/>
        <w:ind w:firstLine="720"/>
        <w:rPr>
          <w:snapToGrid/>
          <w:kern w:val="0"/>
          <w:szCs w:val="22"/>
        </w:rPr>
      </w:pPr>
      <w:r w:rsidRPr="00DF6D89">
        <w:rPr>
          <w:szCs w:val="22"/>
        </w:rPr>
        <w:t xml:space="preserve">By this Public Notice, the Media Bureau seeks comment on the Petition for Rulemaking filed by FUSE, LLC et al. </w:t>
      </w:r>
      <w:r w:rsidR="00642019">
        <w:rPr>
          <w:szCs w:val="22"/>
        </w:rPr>
        <w:t xml:space="preserve">(Petitioners) </w:t>
      </w:r>
      <w:r w:rsidRPr="00DF6D89">
        <w:rPr>
          <w:szCs w:val="22"/>
        </w:rPr>
        <w:t>on May 5, 2022.</w:t>
      </w:r>
      <w:r>
        <w:rPr>
          <w:rStyle w:val="FootnoteReference"/>
          <w:szCs w:val="22"/>
        </w:rPr>
        <w:footnoteReference w:id="3"/>
      </w:r>
      <w:r w:rsidRPr="00DF6D89">
        <w:rPr>
          <w:szCs w:val="22"/>
        </w:rPr>
        <w:t xml:space="preserve">  </w:t>
      </w:r>
      <w:r w:rsidRPr="00DF6D89" w:rsidR="00513AF2">
        <w:rPr>
          <w:szCs w:val="22"/>
        </w:rPr>
        <w:t>The Petition</w:t>
      </w:r>
      <w:r w:rsidR="005637E0">
        <w:rPr>
          <w:szCs w:val="22"/>
        </w:rPr>
        <w:t>ers</w:t>
      </w:r>
      <w:r w:rsidR="00FD3973">
        <w:rPr>
          <w:szCs w:val="22"/>
        </w:rPr>
        <w:t xml:space="preserve"> request that</w:t>
      </w:r>
      <w:r w:rsidRPr="00DF6D89" w:rsidR="00545419">
        <w:rPr>
          <w:szCs w:val="22"/>
        </w:rPr>
        <w:t xml:space="preserve"> the Commission establish a</w:t>
      </w:r>
      <w:r w:rsidR="007A007E">
        <w:rPr>
          <w:szCs w:val="22"/>
        </w:rPr>
        <w:t xml:space="preserve">n </w:t>
      </w:r>
      <w:r w:rsidRPr="00DF6D89" w:rsidR="00545419">
        <w:rPr>
          <w:snapToGrid/>
          <w:kern w:val="0"/>
          <w:szCs w:val="22"/>
        </w:rPr>
        <w:t>annual report</w:t>
      </w:r>
      <w:r w:rsidR="00DC668D">
        <w:rPr>
          <w:snapToGrid/>
          <w:kern w:val="0"/>
          <w:szCs w:val="22"/>
        </w:rPr>
        <w:t xml:space="preserve"> </w:t>
      </w:r>
      <w:r w:rsidR="00141ED0">
        <w:rPr>
          <w:snapToGrid/>
          <w:kern w:val="0"/>
          <w:szCs w:val="22"/>
        </w:rPr>
        <w:t>on</w:t>
      </w:r>
      <w:r w:rsidR="00DC668D">
        <w:rPr>
          <w:snapToGrid/>
          <w:kern w:val="0"/>
          <w:szCs w:val="22"/>
        </w:rPr>
        <w:t xml:space="preserve"> </w:t>
      </w:r>
      <w:r w:rsidRPr="00DF6D89" w:rsidR="00545419">
        <w:rPr>
          <w:snapToGrid/>
          <w:kern w:val="0"/>
          <w:szCs w:val="22"/>
        </w:rPr>
        <w:t xml:space="preserve">the diversity of </w:t>
      </w:r>
      <w:r w:rsidR="00DF6D89">
        <w:rPr>
          <w:snapToGrid/>
          <w:kern w:val="0"/>
          <w:szCs w:val="22"/>
        </w:rPr>
        <w:t xml:space="preserve">video programming </w:t>
      </w:r>
      <w:r w:rsidRPr="00DF6D89" w:rsidR="00545419">
        <w:rPr>
          <w:snapToGrid/>
          <w:kern w:val="0"/>
          <w:szCs w:val="22"/>
        </w:rPr>
        <w:t>content vendors</w:t>
      </w:r>
      <w:r w:rsidR="00DC668D">
        <w:rPr>
          <w:snapToGrid/>
          <w:kern w:val="0"/>
          <w:szCs w:val="22"/>
        </w:rPr>
        <w:t xml:space="preserve"> (content vendor diversity report or CVDR)</w:t>
      </w:r>
      <w:r w:rsidRPr="00DF6D89" w:rsidR="00DF6D89">
        <w:rPr>
          <w:snapToGrid/>
          <w:kern w:val="0"/>
          <w:szCs w:val="22"/>
        </w:rPr>
        <w:t>.</w:t>
      </w:r>
      <w:r w:rsidRPr="00DF6D89" w:rsidR="00545419">
        <w:rPr>
          <w:snapToGrid/>
          <w:kern w:val="0"/>
          <w:szCs w:val="22"/>
        </w:rPr>
        <w:t xml:space="preserve">  </w:t>
      </w:r>
    </w:p>
    <w:p w:rsidR="00E269FB" w:rsidP="008659F3" w14:paraId="4E5DF557" w14:textId="0599F455">
      <w:pPr>
        <w:widowControl/>
        <w:autoSpaceDE w:val="0"/>
        <w:autoSpaceDN w:val="0"/>
        <w:adjustRightInd w:val="0"/>
        <w:ind w:firstLine="720"/>
        <w:rPr>
          <w:rFonts w:ascii="TimesNewRomanPSMT" w:hAnsi="TimesNewRomanPSMT" w:cs="TimesNewRomanPSMT"/>
          <w:snapToGrid/>
          <w:kern w:val="0"/>
          <w:sz w:val="24"/>
          <w:szCs w:val="24"/>
        </w:rPr>
      </w:pPr>
    </w:p>
    <w:p w:rsidR="008659F3" w:rsidRPr="00273EDA" w:rsidP="00273EDA" w14:paraId="47FBBA8A" w14:textId="3B0997E5">
      <w:pPr>
        <w:widowControl/>
        <w:autoSpaceDE w:val="0"/>
        <w:autoSpaceDN w:val="0"/>
        <w:adjustRightInd w:val="0"/>
        <w:ind w:firstLine="720"/>
        <w:rPr>
          <w:rFonts w:ascii="TimesNewRomanPSMT" w:hAnsi="TimesNewRomanPSMT" w:cs="TimesNewRomanPSMT"/>
          <w:snapToGrid/>
          <w:kern w:val="0"/>
          <w:sz w:val="24"/>
          <w:szCs w:val="24"/>
        </w:rPr>
      </w:pPr>
      <w:r>
        <w:rPr>
          <w:rFonts w:ascii="TimesNewRomanPSMT" w:hAnsi="TimesNewRomanPSMT" w:cs="TimesNewRomanPSMT"/>
          <w:snapToGrid/>
          <w:kern w:val="0"/>
          <w:szCs w:val="22"/>
        </w:rPr>
        <w:t xml:space="preserve">The </w:t>
      </w:r>
      <w:r w:rsidRPr="00CB7CED" w:rsidR="00E269FB">
        <w:rPr>
          <w:rFonts w:ascii="TimesNewRomanPSMT" w:hAnsi="TimesNewRomanPSMT" w:cs="TimesNewRomanPSMT"/>
          <w:snapToGrid/>
          <w:kern w:val="0"/>
          <w:szCs w:val="22"/>
        </w:rPr>
        <w:t>Petition</w:t>
      </w:r>
      <w:r>
        <w:rPr>
          <w:rFonts w:ascii="TimesNewRomanPSMT" w:hAnsi="TimesNewRomanPSMT" w:cs="TimesNewRomanPSMT"/>
          <w:snapToGrid/>
          <w:kern w:val="0"/>
          <w:szCs w:val="22"/>
        </w:rPr>
        <w:t>ers</w:t>
      </w:r>
      <w:r w:rsidRPr="00CB7CED" w:rsidR="00E269FB">
        <w:rPr>
          <w:rFonts w:ascii="TimesNewRomanPSMT" w:hAnsi="TimesNewRomanPSMT" w:cs="TimesNewRomanPSMT"/>
          <w:snapToGrid/>
          <w:kern w:val="0"/>
          <w:szCs w:val="22"/>
        </w:rPr>
        <w:t xml:space="preserve"> </w:t>
      </w:r>
      <w:r w:rsidRPr="00CB7CED" w:rsidR="00840A62">
        <w:rPr>
          <w:rFonts w:ascii="TimesNewRomanPSMT" w:hAnsi="TimesNewRomanPSMT" w:cs="TimesNewRomanPSMT"/>
          <w:snapToGrid/>
          <w:kern w:val="0"/>
          <w:szCs w:val="22"/>
        </w:rPr>
        <w:t xml:space="preserve">ask the Commission to </w:t>
      </w:r>
      <w:r w:rsidRPr="00CB7CED" w:rsidR="00DC668D">
        <w:rPr>
          <w:rFonts w:ascii="TimesNewRomanPSMT" w:hAnsi="TimesNewRomanPSMT" w:cs="TimesNewRomanPSMT"/>
          <w:snapToGrid/>
          <w:kern w:val="0"/>
          <w:szCs w:val="22"/>
        </w:rPr>
        <w:t>require licensees</w:t>
      </w:r>
      <w:r w:rsidRPr="00CB7CED" w:rsidR="00971812">
        <w:rPr>
          <w:rFonts w:ascii="TimesNewRomanPSMT" w:hAnsi="TimesNewRomanPSMT" w:cs="TimesNewRomanPSMT"/>
          <w:snapToGrid/>
          <w:kern w:val="0"/>
          <w:szCs w:val="22"/>
        </w:rPr>
        <w:t xml:space="preserve"> </w:t>
      </w:r>
      <w:r w:rsidR="00331812">
        <w:rPr>
          <w:rFonts w:ascii="TimesNewRomanPSMT" w:hAnsi="TimesNewRomanPSMT" w:cs="TimesNewRomanPSMT"/>
          <w:snapToGrid/>
          <w:kern w:val="0"/>
          <w:szCs w:val="22"/>
        </w:rPr>
        <w:t xml:space="preserve">and </w:t>
      </w:r>
      <w:r w:rsidR="00331812">
        <w:rPr>
          <w:rFonts w:ascii="TimesNewRomanPSMT" w:hAnsi="TimesNewRomanPSMT" w:cs="TimesNewRomanPSMT"/>
          <w:snapToGrid/>
          <w:kern w:val="0"/>
          <w:szCs w:val="22"/>
        </w:rPr>
        <w:t>regulatees</w:t>
      </w:r>
      <w:r w:rsidR="00331812">
        <w:rPr>
          <w:rFonts w:ascii="TimesNewRomanPSMT" w:hAnsi="TimesNewRomanPSMT" w:cs="TimesNewRomanPSMT"/>
          <w:snapToGrid/>
          <w:kern w:val="0"/>
          <w:szCs w:val="22"/>
        </w:rPr>
        <w:t xml:space="preserve"> </w:t>
      </w:r>
      <w:r w:rsidRPr="00CB7CED" w:rsidR="00971812">
        <w:rPr>
          <w:rFonts w:ascii="TimesNewRomanPSMT" w:hAnsi="TimesNewRomanPSMT" w:cs="TimesNewRomanPSMT"/>
          <w:snapToGrid/>
          <w:kern w:val="0"/>
          <w:szCs w:val="22"/>
        </w:rPr>
        <w:t xml:space="preserve">in broadcast, cable, broadband, and satellite services </w:t>
      </w:r>
      <w:r w:rsidRPr="00CB7CED" w:rsidR="00DC668D">
        <w:rPr>
          <w:rFonts w:ascii="TimesNewRomanPSMT" w:hAnsi="TimesNewRomanPSMT" w:cs="TimesNewRomanPSMT"/>
          <w:snapToGrid/>
          <w:kern w:val="0"/>
          <w:szCs w:val="22"/>
        </w:rPr>
        <w:t xml:space="preserve">to </w:t>
      </w:r>
      <w:r w:rsidRPr="00CB7CED" w:rsidR="00971812">
        <w:rPr>
          <w:rFonts w:ascii="TimesNewRomanPSMT" w:hAnsi="TimesNewRomanPSMT" w:cs="TimesNewRomanPSMT"/>
          <w:snapToGrid/>
          <w:kern w:val="0"/>
          <w:szCs w:val="22"/>
        </w:rPr>
        <w:t>collect diversity data from</w:t>
      </w:r>
      <w:r w:rsidR="004403BB">
        <w:rPr>
          <w:rFonts w:ascii="TimesNewRomanPSMT" w:hAnsi="TimesNewRomanPSMT" w:cs="TimesNewRomanPSMT"/>
          <w:snapToGrid/>
          <w:kern w:val="0"/>
          <w:szCs w:val="22"/>
        </w:rPr>
        <w:t xml:space="preserve"> </w:t>
      </w:r>
      <w:r w:rsidR="006D1228">
        <w:rPr>
          <w:rFonts w:ascii="TimesNewRomanPSMT" w:hAnsi="TimesNewRomanPSMT" w:cs="TimesNewRomanPSMT"/>
          <w:snapToGrid/>
          <w:kern w:val="0"/>
          <w:szCs w:val="22"/>
        </w:rPr>
        <w:t>the c</w:t>
      </w:r>
      <w:r w:rsidRPr="00CB7CED" w:rsidR="00971812">
        <w:rPr>
          <w:rFonts w:ascii="TimesNewRomanPSMT" w:hAnsi="TimesNewRomanPSMT" w:cs="TimesNewRomanPSMT"/>
          <w:snapToGrid/>
          <w:kern w:val="0"/>
          <w:szCs w:val="22"/>
        </w:rPr>
        <w:t>ontent vendors</w:t>
      </w:r>
      <w:r w:rsidRPr="00CB7CED" w:rsidR="00BB510A">
        <w:rPr>
          <w:rFonts w:ascii="TimesNewRomanPSMT" w:hAnsi="TimesNewRomanPSMT" w:cs="TimesNewRomanPSMT"/>
          <w:snapToGrid/>
          <w:kern w:val="0"/>
          <w:szCs w:val="22"/>
        </w:rPr>
        <w:t xml:space="preserve"> </w:t>
      </w:r>
      <w:r w:rsidR="006D1228">
        <w:rPr>
          <w:rFonts w:ascii="TimesNewRomanPSMT" w:hAnsi="TimesNewRomanPSMT" w:cs="TimesNewRomanPSMT"/>
          <w:snapToGrid/>
          <w:kern w:val="0"/>
          <w:szCs w:val="22"/>
        </w:rPr>
        <w:t xml:space="preserve">they use for both their </w:t>
      </w:r>
      <w:r w:rsidR="00331812">
        <w:rPr>
          <w:rFonts w:ascii="TimesNewRomanPSMT" w:hAnsi="TimesNewRomanPSMT" w:cs="TimesNewRomanPSMT"/>
          <w:snapToGrid/>
          <w:kern w:val="0"/>
          <w:szCs w:val="22"/>
        </w:rPr>
        <w:t xml:space="preserve">traditional, </w:t>
      </w:r>
      <w:r w:rsidRPr="00CB7CED" w:rsidR="00971812">
        <w:rPr>
          <w:rFonts w:ascii="TimesNewRomanPSMT" w:hAnsi="TimesNewRomanPSMT" w:cs="TimesNewRomanPSMT"/>
          <w:snapToGrid/>
          <w:kern w:val="0"/>
          <w:szCs w:val="22"/>
        </w:rPr>
        <w:t xml:space="preserve">regulated platforms </w:t>
      </w:r>
      <w:r w:rsidRPr="00CB7CED" w:rsidR="00BB510A">
        <w:rPr>
          <w:rFonts w:ascii="TimesNewRomanPSMT" w:hAnsi="TimesNewRomanPSMT" w:cs="TimesNewRomanPSMT"/>
          <w:snapToGrid/>
          <w:kern w:val="0"/>
          <w:szCs w:val="22"/>
        </w:rPr>
        <w:t>a</w:t>
      </w:r>
      <w:r w:rsidR="00240733">
        <w:rPr>
          <w:rFonts w:ascii="TimesNewRomanPSMT" w:hAnsi="TimesNewRomanPSMT" w:cs="TimesNewRomanPSMT"/>
          <w:snapToGrid/>
          <w:kern w:val="0"/>
          <w:szCs w:val="22"/>
        </w:rPr>
        <w:t xml:space="preserve">s well as </w:t>
      </w:r>
      <w:r w:rsidR="006D1228">
        <w:rPr>
          <w:rFonts w:ascii="TimesNewRomanPSMT" w:hAnsi="TimesNewRomanPSMT" w:cs="TimesNewRomanPSMT"/>
          <w:snapToGrid/>
          <w:kern w:val="0"/>
          <w:szCs w:val="22"/>
        </w:rPr>
        <w:t>for</w:t>
      </w:r>
      <w:r w:rsidR="00331812">
        <w:rPr>
          <w:rFonts w:ascii="TimesNewRomanPSMT" w:hAnsi="TimesNewRomanPSMT" w:cs="TimesNewRomanPSMT"/>
          <w:snapToGrid/>
          <w:kern w:val="0"/>
          <w:szCs w:val="22"/>
        </w:rPr>
        <w:t xml:space="preserve"> their</w:t>
      </w:r>
      <w:r w:rsidRPr="00CB7CED" w:rsidR="00BB510A">
        <w:rPr>
          <w:rFonts w:ascii="TimesNewRomanPSMT" w:hAnsi="TimesNewRomanPSMT" w:cs="TimesNewRomanPSMT"/>
          <w:snapToGrid/>
          <w:kern w:val="0"/>
          <w:szCs w:val="22"/>
        </w:rPr>
        <w:t xml:space="preserve"> affiliated or commonly owned streaming video distribution platforms.</w:t>
      </w:r>
      <w:r>
        <w:rPr>
          <w:rStyle w:val="FootnoteReference"/>
          <w:rFonts w:cs="TimesNewRomanPSMT"/>
          <w:snapToGrid/>
          <w:kern w:val="0"/>
          <w:szCs w:val="22"/>
        </w:rPr>
        <w:footnoteReference w:id="4"/>
      </w:r>
      <w:r w:rsidRPr="00CB7CED" w:rsidR="00BB510A">
        <w:rPr>
          <w:rFonts w:ascii="TimesNewRomanPSMT" w:hAnsi="TimesNewRomanPSMT" w:cs="TimesNewRomanPSMT"/>
          <w:snapToGrid/>
          <w:kern w:val="0"/>
          <w:szCs w:val="22"/>
        </w:rPr>
        <w:t xml:space="preserve">  </w:t>
      </w:r>
      <w:r w:rsidRPr="00273EDA" w:rsidR="004502FE">
        <w:rPr>
          <w:snapToGrid/>
          <w:kern w:val="0"/>
          <w:szCs w:val="22"/>
        </w:rPr>
        <w:t xml:space="preserve">According to </w:t>
      </w:r>
      <w:r w:rsidR="00D8111C">
        <w:rPr>
          <w:snapToGrid/>
          <w:kern w:val="0"/>
          <w:szCs w:val="22"/>
        </w:rPr>
        <w:t xml:space="preserve">the </w:t>
      </w:r>
      <w:r w:rsidRPr="00273EDA" w:rsidR="004502FE">
        <w:rPr>
          <w:snapToGrid/>
          <w:kern w:val="0"/>
          <w:szCs w:val="22"/>
        </w:rPr>
        <w:t>Petitioners, collecting such data</w:t>
      </w:r>
      <w:r w:rsidR="00D8111C">
        <w:rPr>
          <w:snapToGrid/>
          <w:kern w:val="0"/>
          <w:szCs w:val="22"/>
        </w:rPr>
        <w:t xml:space="preserve"> “would serve the twin purposes of enhancing Commission decision-making and </w:t>
      </w:r>
      <w:r w:rsidR="00496A29">
        <w:rPr>
          <w:snapToGrid/>
          <w:kern w:val="0"/>
          <w:szCs w:val="22"/>
        </w:rPr>
        <w:t>informing</w:t>
      </w:r>
      <w:r w:rsidR="00D8111C">
        <w:rPr>
          <w:snapToGrid/>
          <w:kern w:val="0"/>
          <w:szCs w:val="22"/>
        </w:rPr>
        <w:t xml:space="preserve"> the public.”</w:t>
      </w:r>
      <w:r>
        <w:rPr>
          <w:rStyle w:val="FootnoteReference"/>
          <w:snapToGrid/>
          <w:kern w:val="0"/>
          <w:szCs w:val="22"/>
        </w:rPr>
        <w:footnoteReference w:id="5"/>
      </w:r>
      <w:r w:rsidRPr="00273EDA" w:rsidR="004502FE">
        <w:rPr>
          <w:snapToGrid/>
          <w:kern w:val="0"/>
          <w:szCs w:val="22"/>
        </w:rPr>
        <w:t xml:space="preserve"> </w:t>
      </w:r>
      <w:r w:rsidR="00273EDA">
        <w:rPr>
          <w:snapToGrid/>
          <w:kern w:val="0"/>
          <w:szCs w:val="22"/>
        </w:rPr>
        <w:t xml:space="preserve"> </w:t>
      </w:r>
      <w:r w:rsidRPr="00597C34" w:rsidR="00597C34">
        <w:rPr>
          <w:szCs w:val="22"/>
        </w:rPr>
        <w:t xml:space="preserve">The Petitioners </w:t>
      </w:r>
      <w:r w:rsidR="00973783">
        <w:rPr>
          <w:szCs w:val="22"/>
        </w:rPr>
        <w:t>assert</w:t>
      </w:r>
      <w:r w:rsidRPr="00597C34" w:rsidR="00597C34">
        <w:rPr>
          <w:szCs w:val="22"/>
        </w:rPr>
        <w:t xml:space="preserve"> that content vendors relevant to the inquiry should include</w:t>
      </w:r>
      <w:r w:rsidR="002876C0">
        <w:rPr>
          <w:szCs w:val="22"/>
        </w:rPr>
        <w:t xml:space="preserve"> </w:t>
      </w:r>
      <w:r w:rsidRPr="00597C34" w:rsidR="00597C34">
        <w:rPr>
          <w:szCs w:val="22"/>
        </w:rPr>
        <w:t xml:space="preserve">linear programming networks, such as programming services distributed on cable or satellite; over-the-top linear content sources, such as Free Advertiser-Supported TV (FAST) channels; applications made available on licensees’ or </w:t>
      </w:r>
      <w:r w:rsidRPr="00597C34" w:rsidR="00597C34">
        <w:rPr>
          <w:szCs w:val="22"/>
        </w:rPr>
        <w:t>regulatees</w:t>
      </w:r>
      <w:r w:rsidRPr="00597C34" w:rsidR="00597C34">
        <w:rPr>
          <w:szCs w:val="22"/>
        </w:rPr>
        <w:t>’ traditional or online platforms; production companies and studios providing content for distribution to consumers through advertiser-supported video-on-demand (AVOD) or subscription (SVOD); and other sellers of content to relevant platforms.</w:t>
      </w:r>
      <w:r>
        <w:rPr>
          <w:rStyle w:val="FootnoteReference"/>
          <w:szCs w:val="22"/>
        </w:rPr>
        <w:footnoteReference w:id="6"/>
      </w:r>
      <w:r w:rsidRPr="00597C34" w:rsidR="00597C34">
        <w:rPr>
          <w:szCs w:val="22"/>
        </w:rPr>
        <w:t xml:space="preserve">  </w:t>
      </w:r>
      <w:r w:rsidRPr="00273EDA" w:rsidR="00FB728B">
        <w:rPr>
          <w:snapToGrid/>
          <w:kern w:val="0"/>
          <w:szCs w:val="22"/>
        </w:rPr>
        <w:t>The</w:t>
      </w:r>
      <w:r w:rsidR="00FB728B">
        <w:rPr>
          <w:rFonts w:ascii="TimesNewRomanPSMT" w:hAnsi="TimesNewRomanPSMT" w:cs="TimesNewRomanPSMT"/>
          <w:snapToGrid/>
          <w:kern w:val="0"/>
          <w:szCs w:val="22"/>
        </w:rPr>
        <w:t xml:space="preserve"> Petition</w:t>
      </w:r>
      <w:r>
        <w:rPr>
          <w:rFonts w:ascii="TimesNewRomanPSMT" w:hAnsi="TimesNewRomanPSMT" w:cs="TimesNewRomanPSMT"/>
          <w:snapToGrid/>
          <w:kern w:val="0"/>
          <w:szCs w:val="22"/>
        </w:rPr>
        <w:t>ers</w:t>
      </w:r>
      <w:r w:rsidR="00FB728B">
        <w:rPr>
          <w:rFonts w:ascii="TimesNewRomanPSMT" w:hAnsi="TimesNewRomanPSMT" w:cs="TimesNewRomanPSMT"/>
          <w:snapToGrid/>
          <w:kern w:val="0"/>
          <w:szCs w:val="22"/>
        </w:rPr>
        <w:t xml:space="preserve"> suggest that</w:t>
      </w:r>
      <w:r w:rsidR="004403BB">
        <w:rPr>
          <w:rFonts w:ascii="TimesNewRomanPSMT" w:hAnsi="TimesNewRomanPSMT" w:cs="TimesNewRomanPSMT"/>
          <w:snapToGrid/>
          <w:kern w:val="0"/>
          <w:szCs w:val="22"/>
        </w:rPr>
        <w:t>, for purposes of tracking the vendors’ diversity,</w:t>
      </w:r>
      <w:r w:rsidR="00FB728B">
        <w:rPr>
          <w:rFonts w:ascii="TimesNewRomanPSMT" w:hAnsi="TimesNewRomanPSMT" w:cs="TimesNewRomanPSMT"/>
          <w:snapToGrid/>
          <w:kern w:val="0"/>
          <w:szCs w:val="22"/>
        </w:rPr>
        <w:t xml:space="preserve"> the Commission </w:t>
      </w:r>
      <w:r w:rsidR="004403BB">
        <w:rPr>
          <w:rFonts w:ascii="TimesNewRomanPSMT" w:hAnsi="TimesNewRomanPSMT" w:cs="TimesNewRomanPSMT"/>
          <w:snapToGrid/>
          <w:kern w:val="0"/>
          <w:szCs w:val="22"/>
        </w:rPr>
        <w:t xml:space="preserve">define “minority” using </w:t>
      </w:r>
      <w:r w:rsidRPr="004403BB" w:rsidR="004403BB">
        <w:rPr>
          <w:rFonts w:ascii="TimesNewRomanPSMT" w:hAnsi="TimesNewRomanPSMT" w:cs="TimesNewRomanPSMT"/>
          <w:snapToGrid/>
          <w:kern w:val="0"/>
          <w:szCs w:val="22"/>
        </w:rPr>
        <w:t>the Office of Management and</w:t>
      </w:r>
      <w:r w:rsidR="004403BB">
        <w:rPr>
          <w:rFonts w:ascii="TimesNewRomanPSMT" w:hAnsi="TimesNewRomanPSMT" w:cs="TimesNewRomanPSMT"/>
          <w:snapToGrid/>
          <w:kern w:val="0"/>
          <w:szCs w:val="22"/>
        </w:rPr>
        <w:t xml:space="preserve"> </w:t>
      </w:r>
      <w:r w:rsidRPr="004403BB" w:rsidR="004403BB">
        <w:rPr>
          <w:rFonts w:ascii="TimesNewRomanPSMT" w:hAnsi="TimesNewRomanPSMT" w:cs="TimesNewRomanPSMT"/>
          <w:snapToGrid/>
          <w:kern w:val="0"/>
          <w:szCs w:val="22"/>
        </w:rPr>
        <w:t>Budget Statistical Policy Directive No. 15, which provides a common framework for</w:t>
      </w:r>
      <w:r w:rsidR="004403BB">
        <w:rPr>
          <w:rFonts w:ascii="TimesNewRomanPSMT" w:hAnsi="TimesNewRomanPSMT" w:cs="TimesNewRomanPSMT"/>
          <w:snapToGrid/>
          <w:kern w:val="0"/>
          <w:szCs w:val="22"/>
        </w:rPr>
        <w:t xml:space="preserve"> </w:t>
      </w:r>
      <w:r w:rsidRPr="004403BB" w:rsidR="004403BB">
        <w:rPr>
          <w:rFonts w:ascii="TimesNewRomanPSMT" w:hAnsi="TimesNewRomanPSMT" w:cs="TimesNewRomanPSMT"/>
          <w:snapToGrid/>
          <w:kern w:val="0"/>
          <w:szCs w:val="22"/>
        </w:rPr>
        <w:t>consistent data on race and ethnicity throughout the federal government</w:t>
      </w:r>
      <w:r w:rsidR="004403BB">
        <w:rPr>
          <w:rFonts w:ascii="TimesNewRomanPSMT" w:hAnsi="TimesNewRomanPSMT" w:cs="TimesNewRomanPSMT"/>
          <w:snapToGrid/>
          <w:kern w:val="0"/>
          <w:szCs w:val="22"/>
        </w:rPr>
        <w:t>.</w:t>
      </w:r>
      <w:r>
        <w:rPr>
          <w:rStyle w:val="FootnoteReference"/>
          <w:rFonts w:cs="TimesNewRomanPSMT"/>
          <w:snapToGrid/>
          <w:kern w:val="0"/>
          <w:szCs w:val="22"/>
        </w:rPr>
        <w:footnoteReference w:id="7"/>
      </w:r>
      <w:r w:rsidR="004403BB">
        <w:rPr>
          <w:rFonts w:ascii="TimesNewRomanPSMT" w:hAnsi="TimesNewRomanPSMT" w:cs="TimesNewRomanPSMT"/>
          <w:snapToGrid/>
          <w:kern w:val="0"/>
          <w:szCs w:val="22"/>
        </w:rPr>
        <w:t xml:space="preserve"> </w:t>
      </w:r>
      <w:r w:rsidR="00FC4215">
        <w:rPr>
          <w:rFonts w:ascii="TimesNewRomanPSMT" w:hAnsi="TimesNewRomanPSMT" w:cs="TimesNewRomanPSMT"/>
          <w:snapToGrid/>
          <w:kern w:val="0"/>
          <w:szCs w:val="22"/>
        </w:rPr>
        <w:t xml:space="preserve"> </w:t>
      </w:r>
      <w:r w:rsidR="006D1228">
        <w:rPr>
          <w:rFonts w:ascii="TimesNewRomanPSMT" w:hAnsi="TimesNewRomanPSMT" w:cs="TimesNewRomanPSMT"/>
          <w:snapToGrid/>
          <w:kern w:val="0"/>
          <w:szCs w:val="22"/>
        </w:rPr>
        <w:t>In addition, they maintain</w:t>
      </w:r>
      <w:r w:rsidR="00221324">
        <w:rPr>
          <w:rFonts w:ascii="TimesNewRomanPSMT" w:hAnsi="TimesNewRomanPSMT" w:cs="TimesNewRomanPSMT"/>
          <w:snapToGrid/>
          <w:kern w:val="0"/>
          <w:szCs w:val="22"/>
        </w:rPr>
        <w:t xml:space="preserve"> that, at a minimum, the Commission should measure diversity along </w:t>
      </w:r>
      <w:r w:rsidRPr="00AF28C9" w:rsidR="00221324">
        <w:rPr>
          <w:snapToGrid/>
          <w:kern w:val="0"/>
          <w:szCs w:val="22"/>
        </w:rPr>
        <w:t xml:space="preserve">four parameters: </w:t>
      </w:r>
      <w:r w:rsidRPr="00AF28C9" w:rsidR="00AE08EF">
        <w:rPr>
          <w:snapToGrid/>
          <w:kern w:val="0"/>
          <w:szCs w:val="22"/>
        </w:rPr>
        <w:t xml:space="preserve"> </w:t>
      </w:r>
      <w:r w:rsidRPr="00AF28C9" w:rsidR="00221324">
        <w:rPr>
          <w:snapToGrid/>
          <w:kern w:val="0"/>
          <w:szCs w:val="22"/>
        </w:rPr>
        <w:t xml:space="preserve">ownership; board membership; senior </w:t>
      </w:r>
      <w:r w:rsidRPr="00AF28C9" w:rsidR="00221324">
        <w:rPr>
          <w:snapToGrid/>
          <w:kern w:val="0"/>
          <w:szCs w:val="22"/>
        </w:rPr>
        <w:t>leadership (i.e., executives in operational decision-making roles); and full-time employees.</w:t>
      </w:r>
      <w:r>
        <w:rPr>
          <w:rStyle w:val="FootnoteReference"/>
          <w:snapToGrid/>
          <w:kern w:val="0"/>
          <w:szCs w:val="22"/>
        </w:rPr>
        <w:footnoteReference w:id="8"/>
      </w:r>
      <w:r w:rsidRPr="00AF28C9" w:rsidR="00221324">
        <w:rPr>
          <w:snapToGrid/>
          <w:kern w:val="0"/>
          <w:szCs w:val="22"/>
        </w:rPr>
        <w:t xml:space="preserve">  </w:t>
      </w:r>
      <w:r w:rsidRPr="00AF28C9" w:rsidR="00AF28C9">
        <w:rPr>
          <w:snapToGrid/>
          <w:kern w:val="0"/>
          <w:szCs w:val="22"/>
        </w:rPr>
        <w:t xml:space="preserve">The </w:t>
      </w:r>
      <w:r w:rsidR="00AF28C9">
        <w:rPr>
          <w:snapToGrid/>
          <w:kern w:val="0"/>
          <w:szCs w:val="22"/>
        </w:rPr>
        <w:t>Petition</w:t>
      </w:r>
      <w:r>
        <w:rPr>
          <w:snapToGrid/>
          <w:kern w:val="0"/>
          <w:szCs w:val="22"/>
        </w:rPr>
        <w:t>ers</w:t>
      </w:r>
      <w:r w:rsidR="00AF28C9">
        <w:rPr>
          <w:snapToGrid/>
          <w:kern w:val="0"/>
          <w:szCs w:val="22"/>
        </w:rPr>
        <w:t xml:space="preserve"> also state that the </w:t>
      </w:r>
      <w:r w:rsidRPr="00AF28C9" w:rsidR="00AF28C9">
        <w:rPr>
          <w:snapToGrid/>
          <w:kern w:val="0"/>
          <w:szCs w:val="22"/>
        </w:rPr>
        <w:t>final CVDR published by the Commission should include (a) which licensees</w:t>
      </w:r>
      <w:r w:rsidR="00AF28C9">
        <w:rPr>
          <w:snapToGrid/>
          <w:kern w:val="0"/>
          <w:szCs w:val="22"/>
        </w:rPr>
        <w:t xml:space="preserve"> or </w:t>
      </w:r>
      <w:r w:rsidR="00AF28C9">
        <w:rPr>
          <w:snapToGrid/>
          <w:kern w:val="0"/>
          <w:szCs w:val="22"/>
        </w:rPr>
        <w:t>regulatees</w:t>
      </w:r>
      <w:r w:rsidRPr="00AF28C9" w:rsidR="00AF28C9">
        <w:rPr>
          <w:snapToGrid/>
          <w:kern w:val="0"/>
          <w:szCs w:val="22"/>
        </w:rPr>
        <w:t xml:space="preserve"> failed to respond, including any reasons </w:t>
      </w:r>
      <w:r w:rsidR="00AF28C9">
        <w:rPr>
          <w:snapToGrid/>
          <w:kern w:val="0"/>
          <w:szCs w:val="22"/>
        </w:rPr>
        <w:t xml:space="preserve">given </w:t>
      </w:r>
      <w:r w:rsidRPr="00AF28C9" w:rsidR="00AF28C9">
        <w:rPr>
          <w:snapToGrid/>
          <w:kern w:val="0"/>
          <w:szCs w:val="22"/>
        </w:rPr>
        <w:t>for such refusal; (b) the total number of applicable vendors for any given licensee</w:t>
      </w:r>
      <w:r w:rsidR="00AF28C9">
        <w:rPr>
          <w:snapToGrid/>
          <w:kern w:val="0"/>
          <w:szCs w:val="22"/>
        </w:rPr>
        <w:t xml:space="preserve"> or </w:t>
      </w:r>
      <w:r w:rsidR="00AF28C9">
        <w:rPr>
          <w:snapToGrid/>
          <w:kern w:val="0"/>
          <w:szCs w:val="22"/>
        </w:rPr>
        <w:t>regulatee</w:t>
      </w:r>
      <w:r w:rsidRPr="00AF28C9" w:rsidR="00AF28C9">
        <w:rPr>
          <w:snapToGrid/>
          <w:kern w:val="0"/>
          <w:szCs w:val="22"/>
        </w:rPr>
        <w:t xml:space="preserve">; (c) the number of vendors that </w:t>
      </w:r>
      <w:r w:rsidR="000D38B7">
        <w:rPr>
          <w:snapToGrid/>
          <w:kern w:val="0"/>
          <w:szCs w:val="22"/>
        </w:rPr>
        <w:t xml:space="preserve">provided </w:t>
      </w:r>
      <w:r w:rsidR="001B7C85">
        <w:rPr>
          <w:snapToGrid/>
          <w:kern w:val="0"/>
          <w:szCs w:val="22"/>
        </w:rPr>
        <w:t>information</w:t>
      </w:r>
      <w:r w:rsidRPr="00AF28C9" w:rsidR="00AF28C9">
        <w:rPr>
          <w:snapToGrid/>
          <w:kern w:val="0"/>
          <w:szCs w:val="22"/>
        </w:rPr>
        <w:t xml:space="preserve">; and (d) the findings in each diversity </w:t>
      </w:r>
      <w:r w:rsidR="007936D4">
        <w:rPr>
          <w:snapToGrid/>
          <w:kern w:val="0"/>
          <w:szCs w:val="22"/>
        </w:rPr>
        <w:t>measurement</w:t>
      </w:r>
      <w:r w:rsidRPr="00AF28C9" w:rsidR="00AF28C9">
        <w:rPr>
          <w:snapToGrid/>
          <w:kern w:val="0"/>
          <w:szCs w:val="22"/>
        </w:rPr>
        <w:t xml:space="preserve"> category.</w:t>
      </w:r>
      <w:r>
        <w:rPr>
          <w:rStyle w:val="FootnoteReference"/>
          <w:snapToGrid/>
          <w:kern w:val="0"/>
          <w:szCs w:val="22"/>
        </w:rPr>
        <w:footnoteReference w:id="9"/>
      </w:r>
    </w:p>
    <w:p w:rsidR="00B53920" w:rsidP="004403BB" w14:paraId="3EC7DAF5" w14:textId="1427B044">
      <w:pPr>
        <w:widowControl/>
        <w:autoSpaceDE w:val="0"/>
        <w:autoSpaceDN w:val="0"/>
        <w:adjustRightInd w:val="0"/>
        <w:ind w:firstLine="720"/>
        <w:rPr>
          <w:rFonts w:ascii="TimesNewRomanPSMT" w:hAnsi="TimesNewRomanPSMT" w:cs="TimesNewRomanPSMT"/>
          <w:snapToGrid/>
          <w:kern w:val="0"/>
          <w:szCs w:val="22"/>
        </w:rPr>
      </w:pPr>
    </w:p>
    <w:p w:rsidR="001A03E1" w:rsidP="006757A9" w14:paraId="39707938" w14:textId="108022D2">
      <w:pPr>
        <w:widowControl/>
        <w:autoSpaceDE w:val="0"/>
        <w:autoSpaceDN w:val="0"/>
        <w:adjustRightInd w:val="0"/>
        <w:ind w:firstLine="720"/>
        <w:rPr>
          <w:snapToGrid/>
          <w:kern w:val="0"/>
          <w:szCs w:val="22"/>
        </w:rPr>
      </w:pPr>
      <w:r>
        <w:rPr>
          <w:rFonts w:ascii="TimesNewRomanPSMT" w:hAnsi="TimesNewRomanPSMT" w:cs="TimesNewRomanPSMT"/>
          <w:snapToGrid/>
          <w:kern w:val="0"/>
          <w:szCs w:val="22"/>
        </w:rPr>
        <w:t xml:space="preserve">The Petitioners contend that </w:t>
      </w:r>
      <w:r w:rsidR="00A2788E">
        <w:rPr>
          <w:rFonts w:ascii="TimesNewRomanPSMT" w:hAnsi="TimesNewRomanPSMT" w:cs="TimesNewRomanPSMT"/>
          <w:snapToGrid/>
          <w:kern w:val="0"/>
          <w:szCs w:val="22"/>
        </w:rPr>
        <w:t>“</w:t>
      </w:r>
      <w:r>
        <w:rPr>
          <w:rFonts w:ascii="TimesNewRomanPSMT" w:hAnsi="TimesNewRomanPSMT" w:cs="TimesNewRomanPSMT"/>
          <w:snapToGrid/>
          <w:kern w:val="0"/>
          <w:szCs w:val="22"/>
        </w:rPr>
        <w:t>[t]</w:t>
      </w:r>
      <w:r w:rsidR="00FC4215">
        <w:rPr>
          <w:rFonts w:ascii="TimesNewRomanPSMT" w:hAnsi="TimesNewRomanPSMT" w:cs="TimesNewRomanPSMT"/>
          <w:snapToGrid/>
          <w:kern w:val="0"/>
          <w:szCs w:val="22"/>
        </w:rPr>
        <w:t xml:space="preserve">he Commission has ample authority to implement a content </w:t>
      </w:r>
      <w:r w:rsidR="001D5E5A">
        <w:rPr>
          <w:rFonts w:ascii="TimesNewRomanPSMT" w:hAnsi="TimesNewRomanPSMT" w:cs="TimesNewRomanPSMT"/>
          <w:snapToGrid/>
          <w:kern w:val="0"/>
          <w:szCs w:val="22"/>
        </w:rPr>
        <w:t>vendor</w:t>
      </w:r>
      <w:r w:rsidR="00FC4215">
        <w:rPr>
          <w:rFonts w:ascii="TimesNewRomanPSMT" w:hAnsi="TimesNewRomanPSMT" w:cs="TimesNewRomanPSMT"/>
          <w:snapToGrid/>
          <w:kern w:val="0"/>
          <w:szCs w:val="22"/>
        </w:rPr>
        <w:t xml:space="preserve"> diversity report</w:t>
      </w:r>
      <w:r>
        <w:rPr>
          <w:rFonts w:ascii="TimesNewRomanPSMT" w:hAnsi="TimesNewRomanPSMT" w:cs="TimesNewRomanPSMT"/>
          <w:snapToGrid/>
          <w:kern w:val="0"/>
          <w:szCs w:val="22"/>
        </w:rPr>
        <w:t>.</w:t>
      </w:r>
      <w:r w:rsidR="00A2788E">
        <w:rPr>
          <w:rFonts w:ascii="TimesNewRomanPSMT" w:hAnsi="TimesNewRomanPSMT" w:cs="TimesNewRomanPSMT"/>
          <w:snapToGrid/>
          <w:kern w:val="0"/>
          <w:szCs w:val="22"/>
        </w:rPr>
        <w:t>”</w:t>
      </w:r>
      <w:r>
        <w:rPr>
          <w:rStyle w:val="FootnoteReference"/>
          <w:rFonts w:cs="TimesNewRomanPSMT"/>
          <w:snapToGrid/>
          <w:kern w:val="0"/>
          <w:szCs w:val="22"/>
        </w:rPr>
        <w:footnoteReference w:id="10"/>
      </w:r>
      <w:r w:rsidR="00E07904">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Specifically, they</w:t>
      </w:r>
      <w:r w:rsidR="00E07904">
        <w:rPr>
          <w:rFonts w:ascii="TimesNewRomanPSMT" w:hAnsi="TimesNewRomanPSMT" w:cs="TimesNewRomanPSMT"/>
          <w:snapToGrid/>
          <w:kern w:val="0"/>
          <w:szCs w:val="22"/>
        </w:rPr>
        <w:t xml:space="preserve"> argue that the collection of content </w:t>
      </w:r>
      <w:r w:rsidR="001D5E5A">
        <w:rPr>
          <w:rFonts w:ascii="TimesNewRomanPSMT" w:hAnsi="TimesNewRomanPSMT" w:cs="TimesNewRomanPSMT"/>
          <w:snapToGrid/>
          <w:kern w:val="0"/>
          <w:szCs w:val="22"/>
        </w:rPr>
        <w:t>vendor</w:t>
      </w:r>
      <w:r w:rsidR="00E07904">
        <w:rPr>
          <w:rFonts w:ascii="TimesNewRomanPSMT" w:hAnsi="TimesNewRomanPSMT" w:cs="TimesNewRomanPSMT"/>
          <w:snapToGrid/>
          <w:kern w:val="0"/>
          <w:szCs w:val="22"/>
        </w:rPr>
        <w:t xml:space="preserve"> diversity data falls within the Commission’s authority </w:t>
      </w:r>
      <w:r w:rsidR="00731F4D">
        <w:rPr>
          <w:rFonts w:ascii="TimesNewRomanPSMT" w:hAnsi="TimesNewRomanPSMT" w:cs="TimesNewRomanPSMT"/>
          <w:snapToGrid/>
          <w:kern w:val="0"/>
          <w:szCs w:val="22"/>
        </w:rPr>
        <w:t xml:space="preserve">under section 163 of the Communications Act of 1934, as amended, </w:t>
      </w:r>
      <w:r w:rsidR="00E07904">
        <w:rPr>
          <w:rFonts w:ascii="TimesNewRomanPSMT" w:hAnsi="TimesNewRomanPSMT" w:cs="TimesNewRomanPSMT"/>
          <w:snapToGrid/>
          <w:kern w:val="0"/>
          <w:szCs w:val="22"/>
        </w:rPr>
        <w:t>to issue biennial reports to assess “the state of competition in the communications marketplace</w:t>
      </w:r>
      <w:r w:rsidR="00E30AD3">
        <w:rPr>
          <w:rFonts w:ascii="TimesNewRomanPSMT" w:hAnsi="TimesNewRomanPSMT" w:cs="TimesNewRomanPSMT"/>
          <w:snapToGrid/>
          <w:kern w:val="0"/>
          <w:szCs w:val="22"/>
        </w:rPr>
        <w:t>.</w:t>
      </w:r>
      <w:r w:rsidR="00E07904">
        <w:rPr>
          <w:rFonts w:ascii="TimesNewRomanPSMT" w:hAnsi="TimesNewRomanPSMT" w:cs="TimesNewRomanPSMT"/>
          <w:snapToGrid/>
          <w:kern w:val="0"/>
          <w:szCs w:val="22"/>
        </w:rPr>
        <w:t>”</w:t>
      </w:r>
      <w:r>
        <w:rPr>
          <w:rStyle w:val="FootnoteReference"/>
          <w:rFonts w:cs="TimesNewRomanPSMT"/>
          <w:snapToGrid/>
          <w:kern w:val="0"/>
          <w:szCs w:val="22"/>
        </w:rPr>
        <w:footnoteReference w:id="11"/>
      </w:r>
      <w:r w:rsidR="00E07904">
        <w:rPr>
          <w:rFonts w:ascii="TimesNewRomanPSMT" w:hAnsi="TimesNewRomanPSMT" w:cs="TimesNewRomanPSMT"/>
          <w:snapToGrid/>
          <w:kern w:val="0"/>
          <w:szCs w:val="22"/>
        </w:rPr>
        <w:t xml:space="preserve"> </w:t>
      </w:r>
      <w:r w:rsidR="00C27211">
        <w:rPr>
          <w:rFonts w:ascii="TimesNewRomanPSMT" w:hAnsi="TimesNewRomanPSMT" w:cs="TimesNewRomanPSMT"/>
          <w:snapToGrid/>
          <w:kern w:val="0"/>
          <w:szCs w:val="22"/>
        </w:rPr>
        <w:t>In these</w:t>
      </w:r>
      <w:r w:rsidR="00F872E3">
        <w:rPr>
          <w:rFonts w:ascii="TimesNewRomanPSMT" w:hAnsi="TimesNewRomanPSMT" w:cs="TimesNewRomanPSMT"/>
          <w:snapToGrid/>
          <w:kern w:val="0"/>
          <w:szCs w:val="22"/>
        </w:rPr>
        <w:t xml:space="preserve"> biennial</w:t>
      </w:r>
      <w:r w:rsidR="00C27211">
        <w:rPr>
          <w:rFonts w:ascii="TimesNewRomanPSMT" w:hAnsi="TimesNewRomanPSMT" w:cs="TimesNewRomanPSMT"/>
          <w:snapToGrid/>
          <w:kern w:val="0"/>
          <w:szCs w:val="22"/>
        </w:rPr>
        <w:t xml:space="preserve"> reports, </w:t>
      </w:r>
      <w:r w:rsidR="00F872E3">
        <w:rPr>
          <w:rFonts w:ascii="TimesNewRomanPSMT" w:hAnsi="TimesNewRomanPSMT" w:cs="TimesNewRomanPSMT"/>
          <w:snapToGrid/>
          <w:kern w:val="0"/>
          <w:szCs w:val="22"/>
        </w:rPr>
        <w:t xml:space="preserve">the </w:t>
      </w:r>
      <w:r w:rsidR="00C27211">
        <w:rPr>
          <w:rFonts w:ascii="TimesNewRomanPSMT" w:hAnsi="TimesNewRomanPSMT" w:cs="TimesNewRomanPSMT"/>
          <w:snapToGrid/>
          <w:kern w:val="0"/>
          <w:szCs w:val="22"/>
        </w:rPr>
        <w:t>Commission</w:t>
      </w:r>
      <w:r w:rsidR="00F872E3">
        <w:rPr>
          <w:rFonts w:ascii="TimesNewRomanPSMT" w:hAnsi="TimesNewRomanPSMT" w:cs="TimesNewRomanPSMT"/>
          <w:snapToGrid/>
          <w:kern w:val="0"/>
          <w:szCs w:val="22"/>
        </w:rPr>
        <w:t xml:space="preserve"> must ass</w:t>
      </w:r>
      <w:r w:rsidR="00C27211">
        <w:rPr>
          <w:rFonts w:ascii="TimesNewRomanPSMT" w:hAnsi="TimesNewRomanPSMT" w:cs="TimesNewRomanPSMT"/>
          <w:snapToGrid/>
          <w:kern w:val="0"/>
          <w:szCs w:val="22"/>
        </w:rPr>
        <w:t xml:space="preserve">ess </w:t>
      </w:r>
      <w:r w:rsidRPr="00273EDA" w:rsidR="00CD609C">
        <w:rPr>
          <w:snapToGrid/>
          <w:kern w:val="0"/>
          <w:szCs w:val="22"/>
        </w:rPr>
        <w:t>competition to deliver video among providers of multichannel video programming distributors and “other providers of communications services”</w:t>
      </w:r>
      <w:r>
        <w:rPr>
          <w:rStyle w:val="FootnoteReference"/>
          <w:snapToGrid/>
          <w:kern w:val="0"/>
          <w:szCs w:val="22"/>
        </w:rPr>
        <w:footnoteReference w:id="12"/>
      </w:r>
      <w:r w:rsidRPr="00273EDA" w:rsidR="00CD609C">
        <w:rPr>
          <w:snapToGrid/>
          <w:kern w:val="0"/>
          <w:szCs w:val="22"/>
        </w:rPr>
        <w:t xml:space="preserve"> </w:t>
      </w:r>
      <w:r w:rsidRPr="009B442A" w:rsidR="00CD609C">
        <w:rPr>
          <w:szCs w:val="22"/>
        </w:rPr>
        <w:t>and</w:t>
      </w:r>
      <w:r w:rsidR="00B972BA">
        <w:rPr>
          <w:szCs w:val="22"/>
        </w:rPr>
        <w:t xml:space="preserve"> </w:t>
      </w:r>
      <w:r w:rsidRPr="00273EDA" w:rsidR="00CD609C">
        <w:rPr>
          <w:snapToGrid/>
          <w:kern w:val="0"/>
          <w:szCs w:val="22"/>
        </w:rPr>
        <w:t>“assess whether</w:t>
      </w:r>
      <w:r w:rsidR="00367DFA">
        <w:rPr>
          <w:snapToGrid/>
          <w:kern w:val="0"/>
          <w:szCs w:val="22"/>
        </w:rPr>
        <w:t xml:space="preserve"> laws, regulations, regulatory practices</w:t>
      </w:r>
      <w:r w:rsidRPr="00273EDA" w:rsidR="00CD609C">
        <w:rPr>
          <w:snapToGrid/>
          <w:kern w:val="0"/>
          <w:szCs w:val="22"/>
        </w:rPr>
        <w:t xml:space="preserve"> …</w:t>
      </w:r>
      <w:r w:rsidR="00367DFA">
        <w:rPr>
          <w:snapToGrid/>
          <w:kern w:val="0"/>
          <w:szCs w:val="22"/>
        </w:rPr>
        <w:t>, or</w:t>
      </w:r>
      <w:r w:rsidRPr="00273EDA" w:rsidR="00CD609C">
        <w:rPr>
          <w:snapToGrid/>
          <w:kern w:val="0"/>
          <w:szCs w:val="22"/>
        </w:rPr>
        <w:t xml:space="preserve"> demonstrated marketplace practices pose a barrier to competitive entry</w:t>
      </w:r>
      <w:r w:rsidRPr="00273EDA" w:rsidR="00CD609C">
        <w:rPr>
          <w:i/>
          <w:iCs/>
          <w:snapToGrid/>
          <w:kern w:val="0"/>
          <w:szCs w:val="22"/>
        </w:rPr>
        <w:t xml:space="preserve"> </w:t>
      </w:r>
      <w:r w:rsidRPr="00273EDA" w:rsidR="00CD609C">
        <w:rPr>
          <w:snapToGrid/>
          <w:kern w:val="0"/>
          <w:szCs w:val="22"/>
        </w:rPr>
        <w:t>into the communications marketplace or to the competitive expansion of existing providers of communications services.”</w:t>
      </w:r>
      <w:r>
        <w:rPr>
          <w:rStyle w:val="FootnoteReference"/>
          <w:snapToGrid/>
          <w:kern w:val="0"/>
          <w:szCs w:val="22"/>
        </w:rPr>
        <w:footnoteReference w:id="13"/>
      </w:r>
      <w:r>
        <w:rPr>
          <w:snapToGrid/>
          <w:kern w:val="0"/>
          <w:szCs w:val="22"/>
        </w:rPr>
        <w:t xml:space="preserve">  </w:t>
      </w:r>
      <w:r w:rsidR="00F872E3">
        <w:rPr>
          <w:snapToGrid/>
          <w:kern w:val="0"/>
          <w:szCs w:val="22"/>
        </w:rPr>
        <w:t xml:space="preserve">The Commission must also </w:t>
      </w:r>
      <w:r w:rsidRPr="006757A9" w:rsidR="006757A9">
        <w:rPr>
          <w:snapToGrid/>
          <w:kern w:val="0"/>
          <w:szCs w:val="22"/>
        </w:rPr>
        <w:t>“</w:t>
      </w:r>
      <w:r w:rsidRPr="00273EDA" w:rsidR="006757A9">
        <w:rPr>
          <w:color w:val="000000"/>
          <w:szCs w:val="22"/>
        </w:rPr>
        <w:t>consider market entry barriers for entrepreneurs and other small businesses in the communications marketplace in accordance with the national policy under </w:t>
      </w:r>
      <w:r w:rsidRPr="00273EDA" w:rsidR="006757A9">
        <w:rPr>
          <w:rStyle w:val="stdref"/>
          <w:szCs w:val="22"/>
        </w:rPr>
        <w:t>section 257(b)</w:t>
      </w:r>
      <w:r w:rsidRPr="00273EDA" w:rsidR="007A784A">
        <w:rPr>
          <w:rStyle w:val="stdref"/>
          <w:szCs w:val="22"/>
        </w:rPr>
        <w:t xml:space="preserve"> of this title</w:t>
      </w:r>
      <w:r w:rsidRPr="00273EDA" w:rsidR="006757A9">
        <w:rPr>
          <w:rStyle w:val="stdref"/>
          <w:szCs w:val="22"/>
        </w:rPr>
        <w:t>,”</w:t>
      </w:r>
      <w:r>
        <w:rPr>
          <w:rStyle w:val="FootnoteReference"/>
          <w:szCs w:val="22"/>
        </w:rPr>
        <w:footnoteReference w:id="14"/>
      </w:r>
      <w:r w:rsidRPr="00273EDA" w:rsidR="006757A9">
        <w:rPr>
          <w:rStyle w:val="stdref"/>
          <w:szCs w:val="22"/>
        </w:rPr>
        <w:t xml:space="preserve"> </w:t>
      </w:r>
      <w:r w:rsidRPr="00273EDA" w:rsidR="006757A9">
        <w:rPr>
          <w:rStyle w:val="stdref"/>
          <w:color w:val="0F0D61"/>
          <w:szCs w:val="22"/>
        </w:rPr>
        <w:t xml:space="preserve">which </w:t>
      </w:r>
      <w:r w:rsidRPr="00273EDA" w:rsidR="006757A9">
        <w:rPr>
          <w:snapToGrid/>
          <w:kern w:val="0"/>
          <w:szCs w:val="22"/>
        </w:rPr>
        <w:t xml:space="preserve">directs the Commission to </w:t>
      </w:r>
      <w:r w:rsidR="000972A7">
        <w:rPr>
          <w:snapToGrid/>
          <w:kern w:val="0"/>
          <w:szCs w:val="22"/>
        </w:rPr>
        <w:t>promote</w:t>
      </w:r>
      <w:r w:rsidRPr="00273EDA" w:rsidR="006757A9">
        <w:rPr>
          <w:snapToGrid/>
          <w:kern w:val="0"/>
          <w:szCs w:val="22"/>
        </w:rPr>
        <w:t xml:space="preserve"> policies “favoring diversity of media voices, vigorous economic competition, technological advancement, and promotion of the public interest, convenience, and necessity.”</w:t>
      </w:r>
      <w:r>
        <w:rPr>
          <w:rStyle w:val="FootnoteReference"/>
          <w:snapToGrid/>
          <w:kern w:val="0"/>
          <w:szCs w:val="22"/>
        </w:rPr>
        <w:footnoteReference w:id="15"/>
      </w:r>
      <w:r>
        <w:rPr>
          <w:snapToGrid/>
          <w:kern w:val="0"/>
          <w:szCs w:val="22"/>
        </w:rPr>
        <w:t xml:space="preserve">  </w:t>
      </w:r>
    </w:p>
    <w:p w:rsidR="00273EDA" w:rsidP="006757A9" w14:paraId="1EC49C2C" w14:textId="77777777">
      <w:pPr>
        <w:widowControl/>
        <w:autoSpaceDE w:val="0"/>
        <w:autoSpaceDN w:val="0"/>
        <w:adjustRightInd w:val="0"/>
        <w:ind w:firstLine="720"/>
        <w:rPr>
          <w:snapToGrid/>
          <w:kern w:val="0"/>
          <w:szCs w:val="22"/>
        </w:rPr>
      </w:pPr>
    </w:p>
    <w:p w:rsidR="007A784A" w:rsidP="00273EDA" w14:paraId="57882998" w14:textId="77A7FB34">
      <w:pPr>
        <w:widowControl/>
        <w:autoSpaceDE w:val="0"/>
        <w:autoSpaceDN w:val="0"/>
        <w:adjustRightInd w:val="0"/>
        <w:ind w:firstLine="720"/>
        <w:rPr>
          <w:snapToGrid/>
          <w:kern w:val="0"/>
          <w:szCs w:val="22"/>
        </w:rPr>
      </w:pPr>
      <w:r>
        <w:rPr>
          <w:snapToGrid/>
          <w:kern w:val="0"/>
          <w:szCs w:val="22"/>
        </w:rPr>
        <w:t>Additionally, the Petitioners assert that the Commission has the authority to collect content vendor diversity data under section 624(d) of the Act.</w:t>
      </w:r>
      <w:r>
        <w:rPr>
          <w:rStyle w:val="FootnoteReference"/>
          <w:snapToGrid/>
          <w:kern w:val="0"/>
          <w:szCs w:val="22"/>
        </w:rPr>
        <w:footnoteReference w:id="16"/>
      </w:r>
      <w:r>
        <w:rPr>
          <w:snapToGrid/>
          <w:kern w:val="0"/>
          <w:szCs w:val="22"/>
        </w:rPr>
        <w:t xml:space="preserve">  </w:t>
      </w:r>
      <w:r w:rsidRPr="005F4A4F">
        <w:rPr>
          <w:snapToGrid/>
          <w:kern w:val="0"/>
          <w:szCs w:val="22"/>
        </w:rPr>
        <w:t>Section 624(d)</w:t>
      </w:r>
      <w:r w:rsidRPr="005F4A4F" w:rsidR="00812619">
        <w:rPr>
          <w:snapToGrid/>
          <w:kern w:val="0"/>
          <w:szCs w:val="22"/>
        </w:rPr>
        <w:t xml:space="preserve"> requires the Commission to prescribe rules specifying the terms under which </w:t>
      </w:r>
      <w:r w:rsidR="005F4A4F">
        <w:rPr>
          <w:snapToGrid/>
          <w:kern w:val="0"/>
          <w:szCs w:val="22"/>
        </w:rPr>
        <w:t xml:space="preserve">a </w:t>
      </w:r>
      <w:r w:rsidRPr="005F4A4F" w:rsidR="001A03E1">
        <w:rPr>
          <w:snapToGrid/>
          <w:kern w:val="0"/>
          <w:szCs w:val="22"/>
        </w:rPr>
        <w:t xml:space="preserve">multichannel video programming distributor </w:t>
      </w:r>
      <w:r w:rsidRPr="005F4A4F" w:rsidR="005F4A4F">
        <w:rPr>
          <w:snapToGrid/>
          <w:kern w:val="0"/>
          <w:szCs w:val="22"/>
        </w:rPr>
        <w:t>(MVPD) “</w:t>
      </w:r>
      <w:r w:rsidRPr="005F4A4F" w:rsidR="001A03E1">
        <w:rPr>
          <w:snapToGrid/>
          <w:kern w:val="0"/>
          <w:szCs w:val="22"/>
        </w:rPr>
        <w:t>shall,</w:t>
      </w:r>
      <w:r w:rsidRPr="00273EDA" w:rsidR="005F4A4F">
        <w:rPr>
          <w:snapToGrid/>
          <w:kern w:val="0"/>
          <w:szCs w:val="22"/>
        </w:rPr>
        <w:t xml:space="preserve"> to the extent possible … encourage minority and female entrepreneurs to conduct business with all parts of its operation</w:t>
      </w:r>
      <w:r w:rsidR="006A6064">
        <w:rPr>
          <w:snapToGrid/>
          <w:kern w:val="0"/>
          <w:szCs w:val="22"/>
        </w:rPr>
        <w:t>.”</w:t>
      </w:r>
      <w:r>
        <w:rPr>
          <w:rStyle w:val="FootnoteReference"/>
          <w:snapToGrid/>
          <w:kern w:val="0"/>
          <w:szCs w:val="22"/>
        </w:rPr>
        <w:footnoteReference w:id="17"/>
      </w:r>
      <w:r w:rsidRPr="00273EDA" w:rsidR="005F4A4F">
        <w:rPr>
          <w:snapToGrid/>
          <w:kern w:val="0"/>
          <w:szCs w:val="22"/>
        </w:rPr>
        <w:t xml:space="preserve"> </w:t>
      </w:r>
      <w:r w:rsidR="005F4A4F">
        <w:rPr>
          <w:snapToGrid/>
          <w:kern w:val="0"/>
          <w:szCs w:val="22"/>
        </w:rPr>
        <w:t xml:space="preserve"> This section also requires the Commission to</w:t>
      </w:r>
      <w:r w:rsidRPr="00273EDA" w:rsidR="005F4A4F">
        <w:rPr>
          <w:snapToGrid/>
          <w:kern w:val="0"/>
          <w:szCs w:val="22"/>
        </w:rPr>
        <w:t xml:space="preserve"> adopt rules </w:t>
      </w:r>
      <w:r w:rsidR="005F4A4F">
        <w:rPr>
          <w:snapToGrid/>
          <w:kern w:val="0"/>
          <w:szCs w:val="22"/>
        </w:rPr>
        <w:t>requiring</w:t>
      </w:r>
      <w:r w:rsidRPr="00273EDA" w:rsidR="005F4A4F">
        <w:rPr>
          <w:snapToGrid/>
          <w:kern w:val="0"/>
          <w:szCs w:val="22"/>
        </w:rPr>
        <w:t xml:space="preserve"> MVPDs to “analyze the results of its efforts to recruit, hire, promote, and use the services of</w:t>
      </w:r>
      <w:r w:rsidRPr="00273EDA" w:rsidR="005F4A4F">
        <w:rPr>
          <w:i/>
          <w:iCs/>
          <w:snapToGrid/>
          <w:kern w:val="0"/>
          <w:szCs w:val="22"/>
        </w:rPr>
        <w:t xml:space="preserve"> </w:t>
      </w:r>
      <w:r w:rsidRPr="00273EDA" w:rsidR="005F4A4F">
        <w:rPr>
          <w:snapToGrid/>
          <w:kern w:val="0"/>
          <w:szCs w:val="22"/>
        </w:rPr>
        <w:t>minorities and women and explain any difficulties encountered in implementing its equal employment opportunity program.”</w:t>
      </w:r>
      <w:r>
        <w:rPr>
          <w:rStyle w:val="FootnoteReference"/>
          <w:snapToGrid/>
          <w:kern w:val="0"/>
          <w:szCs w:val="22"/>
        </w:rPr>
        <w:footnoteReference w:id="18"/>
      </w:r>
    </w:p>
    <w:p w:rsidR="00273EDA" w:rsidRPr="00255E2D" w:rsidP="00273EDA" w14:paraId="025CF514" w14:textId="77777777">
      <w:pPr>
        <w:widowControl/>
        <w:autoSpaceDE w:val="0"/>
        <w:autoSpaceDN w:val="0"/>
        <w:adjustRightInd w:val="0"/>
        <w:ind w:firstLine="720"/>
      </w:pPr>
    </w:p>
    <w:p w:rsidR="008659F3" w:rsidRPr="007954E0" w:rsidP="008659F3" w14:paraId="7424BA2E" w14:textId="59685356">
      <w:pPr>
        <w:widowControl/>
        <w:autoSpaceDE w:val="0"/>
        <w:autoSpaceDN w:val="0"/>
        <w:adjustRightInd w:val="0"/>
        <w:ind w:firstLine="720"/>
        <w:rPr>
          <w:rFonts w:ascii="TimesNewRomanPSMT" w:hAnsi="TimesNewRomanPSMT" w:cs="TimesNewRomanPSMT"/>
          <w:snapToGrid/>
          <w:kern w:val="0"/>
          <w:szCs w:val="22"/>
        </w:rPr>
      </w:pPr>
      <w:r w:rsidRPr="007954E0">
        <w:rPr>
          <w:color w:val="010101"/>
          <w:szCs w:val="22"/>
        </w:rPr>
        <w:t xml:space="preserve">The Petition is available electronically through the </w:t>
      </w:r>
      <w:r w:rsidRPr="007954E0">
        <w:rPr>
          <w:szCs w:val="22"/>
        </w:rPr>
        <w:t xml:space="preserve">Commission’s Electronic Comment Filing System (ECFS) </w:t>
      </w:r>
      <w:r w:rsidRPr="007954E0">
        <w:rPr>
          <w:color w:val="010101"/>
          <w:szCs w:val="22"/>
        </w:rPr>
        <w:t xml:space="preserve">under the above-referenced docket number, which may be accessed on the Commission’s Internet website at </w:t>
      </w:r>
      <w:hyperlink r:id="rId5" w:history="1">
        <w:r w:rsidRPr="007954E0">
          <w:rPr>
            <w:color w:val="0000FF"/>
            <w:szCs w:val="22"/>
            <w:u w:val="single"/>
          </w:rPr>
          <w:t>http://apps.fcc.gov/ecfs/</w:t>
        </w:r>
      </w:hyperlink>
      <w:r w:rsidRPr="007954E0">
        <w:rPr>
          <w:color w:val="010101"/>
          <w:szCs w:val="22"/>
        </w:rPr>
        <w:t xml:space="preserve">.  </w:t>
      </w:r>
    </w:p>
    <w:p w:rsidR="007E58A8" w:rsidRPr="007E58A8" w:rsidP="007E58A8" w14:paraId="56097A11" w14:textId="77777777">
      <w:pPr>
        <w:keepNext/>
        <w:widowControl/>
        <w:spacing w:after="220"/>
        <w:ind w:firstLine="720"/>
        <w:rPr>
          <w:szCs w:val="22"/>
        </w:rPr>
      </w:pPr>
      <w:r w:rsidRPr="007E58A8">
        <w:rPr>
          <w:szCs w:val="22"/>
          <w:u w:val="single"/>
        </w:rPr>
        <w:t>Filing Requirements</w:t>
      </w:r>
      <w:r w:rsidRPr="007E58A8">
        <w:rPr>
          <w:szCs w:val="22"/>
        </w:rPr>
        <w:t>.  Pursuant to sections 1.415 and 1.419 of the Commission’s rules,</w:t>
      </w:r>
      <w:r>
        <w:rPr>
          <w:rStyle w:val="FootnoteReference"/>
          <w:szCs w:val="22"/>
        </w:rPr>
        <w:footnoteReference w:id="19"/>
      </w:r>
      <w:r w:rsidRPr="007E58A8">
        <w:rPr>
          <w:szCs w:val="22"/>
        </w:rPr>
        <w:t xml:space="preserve"> interested parties may file comments and reply comments on or before the dates indicated on the first page of this document.  Comments may be filed using the ECFS.</w:t>
      </w:r>
      <w:r>
        <w:rPr>
          <w:rStyle w:val="FootnoteReference"/>
          <w:szCs w:val="22"/>
        </w:rPr>
        <w:footnoteReference w:id="20"/>
      </w:r>
      <w:r w:rsidRPr="007E58A8">
        <w:rPr>
          <w:szCs w:val="22"/>
        </w:rPr>
        <w:t xml:space="preserve"> </w:t>
      </w:r>
    </w:p>
    <w:p w:rsidR="007E58A8" w:rsidRPr="007E58A8" w:rsidP="007E58A8" w14:paraId="449CCBF2" w14:textId="77777777">
      <w:pPr>
        <w:widowControl/>
        <w:numPr>
          <w:ilvl w:val="0"/>
          <w:numId w:val="8"/>
        </w:numPr>
        <w:spacing w:after="120"/>
        <w:rPr>
          <w:szCs w:val="22"/>
        </w:rPr>
      </w:pPr>
      <w:r w:rsidRPr="007E58A8">
        <w:rPr>
          <w:szCs w:val="22"/>
        </w:rPr>
        <w:t xml:space="preserve">Electronic Filers:  Comments may be filed electronically using the Internet by accessing the ECFS:  </w:t>
      </w:r>
      <w:hyperlink r:id="rId5" w:history="1">
        <w:r w:rsidRPr="007E58A8">
          <w:rPr>
            <w:rStyle w:val="Hyperlink"/>
            <w:szCs w:val="22"/>
          </w:rPr>
          <w:t>http://apps.fcc.gov/ecfs/</w:t>
        </w:r>
      </w:hyperlink>
      <w:r w:rsidRPr="007E58A8">
        <w:rPr>
          <w:szCs w:val="22"/>
        </w:rPr>
        <w:t xml:space="preserve">.  </w:t>
      </w:r>
    </w:p>
    <w:p w:rsidR="007E58A8" w:rsidRPr="007E58A8" w:rsidP="007E58A8" w14:paraId="4E48E0B9" w14:textId="77777777">
      <w:pPr>
        <w:widowControl/>
        <w:numPr>
          <w:ilvl w:val="0"/>
          <w:numId w:val="7"/>
        </w:numPr>
        <w:spacing w:after="120"/>
        <w:rPr>
          <w:szCs w:val="22"/>
        </w:rPr>
      </w:pPr>
      <w:r w:rsidRPr="007E58A8">
        <w:rPr>
          <w:szCs w:val="22"/>
        </w:rPr>
        <w:t xml:space="preserve">Paper Filers:  Parties who choose to file by paper must file an original and one copy of each filing. </w:t>
      </w:r>
    </w:p>
    <w:p w:rsidR="007E58A8" w:rsidRPr="007E58A8" w:rsidP="007E58A8" w14:paraId="5CE202EE" w14:textId="77777777">
      <w:pPr>
        <w:widowControl/>
        <w:numPr>
          <w:ilvl w:val="0"/>
          <w:numId w:val="7"/>
        </w:numPr>
        <w:spacing w:after="120"/>
        <w:rPr>
          <w:szCs w:val="22"/>
        </w:rPr>
      </w:pPr>
      <w:r w:rsidRPr="007E58A8">
        <w:rPr>
          <w:szCs w:val="22"/>
        </w:rPr>
        <w:t>Filings can be sent by commercial overnight courier, or by first-class or overnight U.S. Postal Service mail.  All filings must be addressed to the Commission’s Secretary, Office of the Secretary, Federal Communications Commission.</w:t>
      </w:r>
    </w:p>
    <w:p w:rsidR="007E58A8" w:rsidRPr="007E58A8" w:rsidP="007E58A8" w14:paraId="6597499D" w14:textId="77777777">
      <w:pPr>
        <w:widowControl/>
        <w:numPr>
          <w:ilvl w:val="1"/>
          <w:numId w:val="7"/>
        </w:numPr>
        <w:spacing w:after="120"/>
        <w:rPr>
          <w:szCs w:val="22"/>
        </w:rPr>
      </w:pPr>
      <w:r w:rsidRPr="007E58A8">
        <w:rPr>
          <w:szCs w:val="22"/>
        </w:rPr>
        <w:t xml:space="preserve">Commercial overnight mail (other than U.S. Postal Service Express Mail and Priority Mail) must be sent to 9050 Junction Drive, Annapolis Junction, MD 20701.  </w:t>
      </w:r>
    </w:p>
    <w:p w:rsidR="007E58A8" w:rsidRPr="007E58A8" w:rsidP="007E58A8" w14:paraId="77EFEE1D" w14:textId="77777777">
      <w:pPr>
        <w:widowControl/>
        <w:numPr>
          <w:ilvl w:val="1"/>
          <w:numId w:val="7"/>
        </w:numPr>
        <w:spacing w:after="120"/>
        <w:rPr>
          <w:szCs w:val="22"/>
        </w:rPr>
      </w:pPr>
      <w:r w:rsidRPr="007E58A8">
        <w:rPr>
          <w:szCs w:val="22"/>
        </w:rPr>
        <w:t>U.S. Postal Service first-class, Express, and Priority mail must be addressed to 45 L Street NE, Washington, DC 20554</w:t>
      </w:r>
    </w:p>
    <w:p w:rsidR="007E58A8" w:rsidRPr="007E58A8" w:rsidP="007E58A8" w14:paraId="4A8EC5D2" w14:textId="77777777">
      <w:pPr>
        <w:pStyle w:val="ListParagraph"/>
        <w:numPr>
          <w:ilvl w:val="0"/>
          <w:numId w:val="7"/>
        </w:numPr>
        <w:spacing w:after="120"/>
        <w:contextualSpacing w:val="0"/>
        <w:rPr>
          <w:szCs w:val="22"/>
        </w:rPr>
      </w:pPr>
      <w:r w:rsidRPr="007E58A8">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21"/>
      </w:r>
      <w:r w:rsidRPr="007E58A8">
        <w:rPr>
          <w:szCs w:val="22"/>
        </w:rPr>
        <w:t xml:space="preserve"> </w:t>
      </w:r>
    </w:p>
    <w:p w:rsidR="007E58A8" w:rsidRPr="007E58A8" w:rsidP="007E58A8" w14:paraId="6247E9B8" w14:textId="77777777">
      <w:pPr>
        <w:pStyle w:val="ParaNum"/>
        <w:numPr>
          <w:ilvl w:val="0"/>
          <w:numId w:val="7"/>
        </w:numPr>
        <w:spacing w:after="220"/>
        <w:rPr>
          <w:szCs w:val="22"/>
        </w:rPr>
      </w:pPr>
      <w:r w:rsidRPr="007E58A8">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7E58A8" w:rsidRPr="007E58A8" w:rsidP="007E58A8" w14:paraId="7BDE2F47" w14:textId="77777777">
      <w:pPr>
        <w:widowControl/>
        <w:spacing w:after="220"/>
        <w:ind w:firstLine="720"/>
        <w:rPr>
          <w:szCs w:val="22"/>
        </w:rPr>
      </w:pPr>
      <w:r w:rsidRPr="007E58A8">
        <w:rPr>
          <w:szCs w:val="22"/>
          <w:u w:val="single"/>
        </w:rPr>
        <w:t>People with Disabilities</w:t>
      </w:r>
      <w:r w:rsidRPr="007E58A8">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8659F3" w:rsidRPr="007E58A8" w:rsidP="007E58A8" w14:paraId="4FE33204" w14:textId="0A5F0687">
      <w:pPr>
        <w:keepNext/>
        <w:widowControl/>
        <w:spacing w:after="220"/>
        <w:ind w:firstLine="720"/>
        <w:rPr>
          <w:szCs w:val="22"/>
        </w:rPr>
      </w:pPr>
      <w:r w:rsidRPr="007E58A8">
        <w:rPr>
          <w:i/>
          <w:szCs w:val="22"/>
          <w:u w:val="single"/>
        </w:rPr>
        <w:t xml:space="preserve">Ex </w:t>
      </w:r>
      <w:r w:rsidRPr="007E58A8">
        <w:rPr>
          <w:i/>
          <w:szCs w:val="22"/>
          <w:u w:val="single"/>
        </w:rPr>
        <w:t>Parte</w:t>
      </w:r>
      <w:r w:rsidRPr="007E58A8">
        <w:rPr>
          <w:szCs w:val="22"/>
          <w:u w:val="single"/>
        </w:rPr>
        <w:t xml:space="preserve"> Rules</w:t>
      </w:r>
      <w:r w:rsidRPr="007E58A8">
        <w:rPr>
          <w:szCs w:val="22"/>
        </w:rPr>
        <w:t xml:space="preserve">.  This proceeding shall be treated as a “permit-but-disclose” proceeding in accordance with the Commission’s </w:t>
      </w:r>
      <w:r w:rsidRPr="007E58A8">
        <w:rPr>
          <w:i/>
          <w:iCs/>
          <w:szCs w:val="22"/>
        </w:rPr>
        <w:t xml:space="preserve">ex </w:t>
      </w:r>
      <w:r w:rsidRPr="007E58A8">
        <w:rPr>
          <w:i/>
          <w:iCs/>
          <w:szCs w:val="22"/>
        </w:rPr>
        <w:t>parte</w:t>
      </w:r>
      <w:r w:rsidRPr="007E58A8">
        <w:rPr>
          <w:i/>
          <w:iCs/>
          <w:szCs w:val="22"/>
        </w:rPr>
        <w:t xml:space="preserve"> </w:t>
      </w:r>
      <w:r w:rsidRPr="007E58A8">
        <w:rPr>
          <w:szCs w:val="22"/>
        </w:rPr>
        <w:t>rules.</w:t>
      </w:r>
      <w:r>
        <w:rPr>
          <w:szCs w:val="22"/>
          <w:vertAlign w:val="superscript"/>
        </w:rPr>
        <w:footnoteReference w:id="22"/>
      </w:r>
      <w:r w:rsidRPr="007E58A8">
        <w:rPr>
          <w:szCs w:val="22"/>
        </w:rPr>
        <w:t xml:space="preserve">  Persons making </w:t>
      </w:r>
      <w:r w:rsidRPr="007E58A8">
        <w:rPr>
          <w:i/>
          <w:szCs w:val="22"/>
        </w:rPr>
        <w:t xml:space="preserve">ex </w:t>
      </w:r>
      <w:r w:rsidRPr="007E58A8">
        <w:rPr>
          <w:i/>
          <w:szCs w:val="22"/>
        </w:rPr>
        <w:t>parte</w:t>
      </w:r>
      <w:r w:rsidRPr="007E58A8">
        <w:rPr>
          <w:i/>
          <w:szCs w:val="22"/>
        </w:rPr>
        <w:t xml:space="preserve"> </w:t>
      </w:r>
      <w:r w:rsidRPr="007E58A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E58A8">
        <w:rPr>
          <w:i/>
          <w:iCs/>
          <w:szCs w:val="22"/>
        </w:rPr>
        <w:t xml:space="preserve">ex </w:t>
      </w:r>
      <w:r w:rsidRPr="007E58A8">
        <w:rPr>
          <w:i/>
          <w:iCs/>
          <w:szCs w:val="22"/>
        </w:rPr>
        <w:t>parte</w:t>
      </w:r>
      <w:r w:rsidRPr="007E58A8">
        <w:rPr>
          <w:i/>
          <w:iCs/>
          <w:szCs w:val="22"/>
        </w:rPr>
        <w:t xml:space="preserve"> </w:t>
      </w:r>
      <w:r w:rsidRPr="007E58A8">
        <w:rPr>
          <w:szCs w:val="22"/>
        </w:rPr>
        <w:t xml:space="preserve">presentations are reminded that memoranda summarizing the presentation must (1) list all persons attending or otherwise participating in the meeting at which the </w:t>
      </w:r>
      <w:r w:rsidRPr="007E58A8">
        <w:rPr>
          <w:i/>
          <w:iCs/>
          <w:szCs w:val="22"/>
        </w:rPr>
        <w:t xml:space="preserve">ex </w:t>
      </w:r>
      <w:r w:rsidRPr="007E58A8">
        <w:rPr>
          <w:i/>
          <w:iCs/>
          <w:szCs w:val="22"/>
        </w:rPr>
        <w:t>parte</w:t>
      </w:r>
      <w:r w:rsidRPr="007E58A8">
        <w:rPr>
          <w:i/>
          <w:iCs/>
          <w:szCs w:val="22"/>
        </w:rPr>
        <w:t xml:space="preserve"> </w:t>
      </w:r>
      <w:r w:rsidRPr="007E58A8">
        <w:rPr>
          <w:szCs w:val="22"/>
        </w:rPr>
        <w:t>presentation was made, and (2) summarize all data presented and arguments made during the presentation.</w:t>
      </w:r>
      <w:r>
        <w:rPr>
          <w:rStyle w:val="FootnoteReference"/>
          <w:szCs w:val="22"/>
        </w:rPr>
        <w:footnoteReference w:id="23"/>
      </w:r>
      <w:r w:rsidRPr="007E58A8">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7E58A8">
        <w:rPr>
          <w:szCs w:val="22"/>
        </w:rPr>
        <w:t xml:space="preserve">found) in lieu of summarizing them in the memorandum.  Documents shown or given to Commission staff during </w:t>
      </w:r>
      <w:r w:rsidRPr="007E58A8">
        <w:rPr>
          <w:i/>
          <w:iCs/>
          <w:szCs w:val="22"/>
        </w:rPr>
        <w:t xml:space="preserve">ex </w:t>
      </w:r>
      <w:r w:rsidRPr="007E58A8">
        <w:rPr>
          <w:i/>
          <w:iCs/>
          <w:szCs w:val="22"/>
        </w:rPr>
        <w:t>parte</w:t>
      </w:r>
      <w:r w:rsidRPr="007E58A8">
        <w:rPr>
          <w:i/>
          <w:iCs/>
          <w:szCs w:val="22"/>
        </w:rPr>
        <w:t xml:space="preserve"> </w:t>
      </w:r>
      <w:r w:rsidRPr="007E58A8">
        <w:rPr>
          <w:szCs w:val="22"/>
        </w:rPr>
        <w:t xml:space="preserve">meetings are deemed to be written </w:t>
      </w:r>
      <w:r w:rsidRPr="007E58A8">
        <w:rPr>
          <w:i/>
          <w:iCs/>
          <w:szCs w:val="22"/>
        </w:rPr>
        <w:t xml:space="preserve">ex </w:t>
      </w:r>
      <w:r w:rsidRPr="007E58A8">
        <w:rPr>
          <w:i/>
          <w:iCs/>
          <w:szCs w:val="22"/>
        </w:rPr>
        <w:t>parte</w:t>
      </w:r>
      <w:r w:rsidRPr="007E58A8">
        <w:rPr>
          <w:szCs w:val="22"/>
        </w:rPr>
        <w:t xml:space="preserve"> presentations and must be filed consistent with section 1.1206(b) of the rules.  In proceedings governed by section 1.49(f) or for which the Commission has made available a method of electronic filing, written </w:t>
      </w:r>
      <w:r w:rsidRPr="007E58A8">
        <w:rPr>
          <w:i/>
          <w:iCs/>
          <w:szCs w:val="22"/>
        </w:rPr>
        <w:t xml:space="preserve">ex </w:t>
      </w:r>
      <w:r w:rsidRPr="007E58A8">
        <w:rPr>
          <w:i/>
          <w:iCs/>
          <w:szCs w:val="22"/>
        </w:rPr>
        <w:t>parte</w:t>
      </w:r>
      <w:r w:rsidRPr="007E58A8">
        <w:rPr>
          <w:i/>
          <w:iCs/>
          <w:szCs w:val="22"/>
        </w:rPr>
        <w:t xml:space="preserve"> </w:t>
      </w:r>
      <w:r w:rsidRPr="007E58A8">
        <w:rPr>
          <w:szCs w:val="22"/>
        </w:rPr>
        <w:t xml:space="preserve">presentations and memoranda summarizing oral </w:t>
      </w:r>
      <w:r w:rsidRPr="007E58A8">
        <w:rPr>
          <w:i/>
          <w:iCs/>
          <w:szCs w:val="22"/>
        </w:rPr>
        <w:t xml:space="preserve">ex </w:t>
      </w:r>
      <w:r w:rsidRPr="007E58A8">
        <w:rPr>
          <w:i/>
          <w:iCs/>
          <w:szCs w:val="22"/>
        </w:rPr>
        <w:t>parte</w:t>
      </w:r>
      <w:r w:rsidRPr="007E58A8">
        <w:rPr>
          <w:i/>
          <w:iCs/>
          <w:szCs w:val="22"/>
        </w:rPr>
        <w:t xml:space="preserve"> </w:t>
      </w:r>
      <w:r w:rsidRPr="007E58A8">
        <w:rPr>
          <w:szCs w:val="22"/>
        </w:rPr>
        <w:t>presentations, and all attachments thereto, must be filed through the electronic comment filing system available for that proceeding, and must be filed in their native format (</w:t>
      </w:r>
      <w:r w:rsidRPr="007E58A8">
        <w:rPr>
          <w:i/>
          <w:iCs/>
          <w:szCs w:val="22"/>
        </w:rPr>
        <w:t>e.g.</w:t>
      </w:r>
      <w:r w:rsidRPr="007E58A8">
        <w:rPr>
          <w:szCs w:val="22"/>
        </w:rPr>
        <w:t xml:space="preserve">, .doc, .xml, .ppt, searchable .pdf).  Participants in this proceeding should familiarize themselves with the Commission’s </w:t>
      </w:r>
      <w:r w:rsidRPr="007E58A8">
        <w:rPr>
          <w:i/>
          <w:iCs/>
          <w:szCs w:val="22"/>
        </w:rPr>
        <w:t xml:space="preserve">ex </w:t>
      </w:r>
      <w:r w:rsidRPr="007E58A8">
        <w:rPr>
          <w:i/>
          <w:iCs/>
          <w:szCs w:val="22"/>
        </w:rPr>
        <w:t>parte</w:t>
      </w:r>
      <w:r w:rsidRPr="007E58A8">
        <w:rPr>
          <w:i/>
          <w:iCs/>
          <w:szCs w:val="22"/>
        </w:rPr>
        <w:t xml:space="preserve"> </w:t>
      </w:r>
      <w:r w:rsidRPr="007E58A8">
        <w:rPr>
          <w:szCs w:val="22"/>
        </w:rPr>
        <w:t>rules.</w:t>
      </w:r>
    </w:p>
    <w:p w:rsidR="008659F3" w:rsidRPr="008659F3" w:rsidP="008659F3" w14:paraId="1CBC7896" w14:textId="45912644">
      <w:pPr>
        <w:ind w:firstLine="720"/>
        <w:rPr>
          <w:szCs w:val="22"/>
        </w:rPr>
      </w:pPr>
      <w:r w:rsidRPr="008659F3">
        <w:rPr>
          <w:szCs w:val="22"/>
        </w:rPr>
        <w:t xml:space="preserve">For additional information, contact </w:t>
      </w:r>
      <w:r>
        <w:rPr>
          <w:szCs w:val="22"/>
        </w:rPr>
        <w:t>Kathy Berthot</w:t>
      </w:r>
      <w:r w:rsidRPr="008659F3">
        <w:rPr>
          <w:szCs w:val="22"/>
        </w:rPr>
        <w:t xml:space="preserve">, </w:t>
      </w:r>
      <w:hyperlink r:id="rId6" w:history="1">
        <w:r w:rsidRPr="00043994" w:rsidR="00E269FB">
          <w:rPr>
            <w:rStyle w:val="Hyperlink"/>
            <w:szCs w:val="22"/>
          </w:rPr>
          <w:t>Kathy.Berthot@fcc.gov</w:t>
        </w:r>
      </w:hyperlink>
      <w:r w:rsidRPr="008659F3">
        <w:rPr>
          <w:szCs w:val="22"/>
        </w:rPr>
        <w:t>, of the Media Bureau, Policy Division, (202) 418-</w:t>
      </w:r>
      <w:r>
        <w:rPr>
          <w:szCs w:val="22"/>
        </w:rPr>
        <w:t>7454</w:t>
      </w:r>
      <w:r w:rsidRPr="008659F3">
        <w:rPr>
          <w:szCs w:val="22"/>
        </w:rPr>
        <w:t>.  Direct press inquiries to Janice Wise at (202) 418-8165.</w:t>
      </w:r>
    </w:p>
    <w:p w:rsidR="008659F3" w:rsidP="008659F3" w14:paraId="303C84B9" w14:textId="77777777">
      <w:pPr>
        <w:widowControl/>
        <w:autoSpaceDE w:val="0"/>
        <w:autoSpaceDN w:val="0"/>
        <w:adjustRightInd w:val="0"/>
        <w:ind w:firstLine="720"/>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2C5C37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6A77" w14:paraId="68DC4F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2E25E3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4E29A4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F39" w14:paraId="3BADFD20" w14:textId="77777777">
      <w:r>
        <w:separator/>
      </w:r>
    </w:p>
  </w:footnote>
  <w:footnote w:type="continuationSeparator" w:id="1">
    <w:p w:rsidR="00155F39" w14:paraId="2172DC84" w14:textId="77777777">
      <w:pPr>
        <w:rPr>
          <w:sz w:val="20"/>
        </w:rPr>
      </w:pPr>
      <w:r>
        <w:rPr>
          <w:sz w:val="20"/>
        </w:rPr>
        <w:t xml:space="preserve">(Continued from previous page)  </w:t>
      </w:r>
      <w:r>
        <w:rPr>
          <w:sz w:val="20"/>
        </w:rPr>
        <w:separator/>
      </w:r>
    </w:p>
  </w:footnote>
  <w:footnote w:type="continuationNotice" w:id="2">
    <w:p w:rsidR="00155F39" w14:paraId="7F9AEC87" w14:textId="77777777">
      <w:pPr>
        <w:jc w:val="right"/>
        <w:rPr>
          <w:sz w:val="20"/>
        </w:rPr>
      </w:pPr>
      <w:r>
        <w:rPr>
          <w:sz w:val="20"/>
        </w:rPr>
        <w:t>(continued….)</w:t>
      </w:r>
    </w:p>
  </w:footnote>
  <w:footnote w:id="3">
    <w:p w:rsidR="00DF04C0" w14:paraId="12C12067" w14:textId="4E1B34C7">
      <w:pPr>
        <w:pStyle w:val="FootnoteText"/>
      </w:pPr>
      <w:r>
        <w:rPr>
          <w:rStyle w:val="FootnoteReference"/>
        </w:rPr>
        <w:footnoteRef/>
      </w:r>
      <w:r>
        <w:t xml:space="preserve"> Petition for Rulemaking of FUSE, LLC</w:t>
      </w:r>
      <w:r w:rsidR="002C3F31">
        <w:t>, Common Cause, National Hispanic Media Coalition, Public Knowledge, and United Church of Christ Media Justice Ministry</w:t>
      </w:r>
      <w:r>
        <w:t>, MB Docket No. 22-</w:t>
      </w:r>
      <w:r w:rsidR="00382FCC">
        <w:t>209</w:t>
      </w:r>
      <w:r>
        <w:t xml:space="preserve"> (filed May 5, 2022) (Petition).  </w:t>
      </w:r>
    </w:p>
  </w:footnote>
  <w:footnote w:id="4">
    <w:p w:rsidR="004403BB" w:rsidRPr="00B53920" w:rsidP="00BC726C" w14:paraId="7A2740C9" w14:textId="5C1103EB">
      <w:pPr>
        <w:pStyle w:val="FootnoteText"/>
      </w:pPr>
      <w:r>
        <w:rPr>
          <w:rStyle w:val="FootnoteReference"/>
        </w:rPr>
        <w:footnoteRef/>
      </w:r>
      <w:r>
        <w:t xml:space="preserve"> </w:t>
      </w:r>
      <w:r w:rsidRPr="00BC726C">
        <w:rPr>
          <w:i/>
          <w:iCs/>
        </w:rPr>
        <w:t xml:space="preserve">Id. </w:t>
      </w:r>
      <w:r w:rsidRPr="00BC726C">
        <w:t xml:space="preserve">at </w:t>
      </w:r>
      <w:r w:rsidR="009D6F00">
        <w:t>5</w:t>
      </w:r>
      <w:r w:rsidRPr="00BC726C">
        <w:t xml:space="preserve">.  </w:t>
      </w:r>
    </w:p>
  </w:footnote>
  <w:footnote w:id="5">
    <w:p w:rsidR="00496A29" w:rsidRPr="006C5AC4" w:rsidP="00496A29" w14:paraId="115A35C7" w14:textId="4D097331">
      <w:pPr>
        <w:pStyle w:val="FootnoteText"/>
      </w:pPr>
      <w:r>
        <w:rPr>
          <w:rStyle w:val="FootnoteReference"/>
        </w:rPr>
        <w:footnoteRef/>
      </w:r>
      <w:r>
        <w:t xml:space="preserve"> </w:t>
      </w:r>
      <w:r>
        <w:rPr>
          <w:i/>
          <w:iCs/>
        </w:rPr>
        <w:t>Id</w:t>
      </w:r>
      <w:r>
        <w:t xml:space="preserve">. at 1.  Specifically, the Petitioners assert that </w:t>
      </w:r>
      <w:r w:rsidRPr="007C0667">
        <w:rPr>
          <w:rFonts w:ascii="TimesNewRomanPSMT" w:hAnsi="TimesNewRomanPSMT" w:cs="TimesNewRomanPSMT"/>
          <w:szCs w:val="22"/>
        </w:rPr>
        <w:t xml:space="preserve">collecting and </w:t>
      </w:r>
      <w:r>
        <w:rPr>
          <w:rFonts w:ascii="TimesNewRomanPSMT" w:hAnsi="TimesNewRomanPSMT" w:cs="TimesNewRomanPSMT"/>
          <w:szCs w:val="22"/>
        </w:rPr>
        <w:t>publish</w:t>
      </w:r>
      <w:r w:rsidRPr="007C0667">
        <w:rPr>
          <w:rFonts w:ascii="TimesNewRomanPSMT" w:hAnsi="TimesNewRomanPSMT" w:cs="TimesNewRomanPSMT"/>
          <w:szCs w:val="22"/>
        </w:rPr>
        <w:t xml:space="preserve">ing data on content vendor diversity would </w:t>
      </w:r>
      <w:r>
        <w:rPr>
          <w:rFonts w:ascii="TimesNewRomanPSMT" w:hAnsi="TimesNewRomanPSMT" w:cs="TimesNewRomanPSMT"/>
          <w:szCs w:val="22"/>
        </w:rPr>
        <w:t xml:space="preserve">enhance </w:t>
      </w:r>
      <w:r w:rsidRPr="007C0667">
        <w:rPr>
          <w:rFonts w:ascii="TimesNewRomanPSMT" w:hAnsi="TimesNewRomanPSMT" w:cs="TimesNewRomanPSMT"/>
          <w:szCs w:val="22"/>
        </w:rPr>
        <w:t>the Commission</w:t>
      </w:r>
      <w:r>
        <w:rPr>
          <w:rFonts w:ascii="TimesNewRomanPSMT" w:hAnsi="TimesNewRomanPSMT" w:cs="TimesNewRomanPSMT"/>
          <w:szCs w:val="22"/>
        </w:rPr>
        <w:t>’s ability</w:t>
      </w:r>
      <w:r w:rsidRPr="007C0667">
        <w:rPr>
          <w:rFonts w:ascii="TimesNewRomanPSMT" w:hAnsi="TimesNewRomanPSMT" w:cs="TimesNewRomanPSMT"/>
          <w:szCs w:val="22"/>
        </w:rPr>
        <w:t xml:space="preserve"> to implement its goals of promoting competition and viewpoint diversity in the video marketplace.  </w:t>
      </w:r>
      <w:r w:rsidR="00EB5AFA">
        <w:rPr>
          <w:rFonts w:ascii="TimesNewRomanPSMT" w:hAnsi="TimesNewRomanPSMT" w:cs="TimesNewRomanPSMT"/>
          <w:szCs w:val="22"/>
        </w:rPr>
        <w:t>In addition, t</w:t>
      </w:r>
      <w:r>
        <w:rPr>
          <w:rFonts w:ascii="TimesNewRomanPSMT" w:hAnsi="TimesNewRomanPSMT" w:cs="TimesNewRomanPSMT"/>
          <w:szCs w:val="22"/>
        </w:rPr>
        <w:t>hey assert that</w:t>
      </w:r>
      <w:r w:rsidRPr="00DA5314">
        <w:rPr>
          <w:rFonts w:ascii="TimesNewRomanPSMT" w:hAnsi="TimesNewRomanPSMT" w:cs="TimesNewRomanPSMT"/>
          <w:szCs w:val="22"/>
        </w:rPr>
        <w:t xml:space="preserve"> a CVDR would help to </w:t>
      </w:r>
      <w:r>
        <w:rPr>
          <w:rFonts w:ascii="TimesNewRomanPSMT" w:hAnsi="TimesNewRomanPSMT" w:cs="TimesNewRomanPSMT"/>
          <w:szCs w:val="22"/>
        </w:rPr>
        <w:t>educate</w:t>
      </w:r>
      <w:r w:rsidRPr="00DA5314">
        <w:rPr>
          <w:rFonts w:ascii="TimesNewRomanPSMT" w:hAnsi="TimesNewRomanPSMT" w:cs="TimesNewRomanPSMT"/>
          <w:szCs w:val="22"/>
        </w:rPr>
        <w:t xml:space="preserve"> the public regarding the </w:t>
      </w:r>
      <w:r>
        <w:rPr>
          <w:rFonts w:ascii="TimesNewRomanPSMT" w:hAnsi="TimesNewRomanPSMT" w:cs="TimesNewRomanPSMT"/>
          <w:szCs w:val="22"/>
        </w:rPr>
        <w:t xml:space="preserve">diversity </w:t>
      </w:r>
      <w:r w:rsidRPr="00DA5314">
        <w:rPr>
          <w:rFonts w:ascii="TimesNewRomanPSMT" w:hAnsi="TimesNewRomanPSMT" w:cs="TimesNewRomanPSMT"/>
          <w:szCs w:val="22"/>
        </w:rPr>
        <w:t>practices of competing firms in the video market</w:t>
      </w:r>
      <w:r>
        <w:rPr>
          <w:rFonts w:ascii="TimesNewRomanPSMT" w:hAnsi="TimesNewRomanPSMT" w:cs="TimesNewRomanPSMT"/>
          <w:szCs w:val="22"/>
        </w:rPr>
        <w:t xml:space="preserve">, </w:t>
      </w:r>
      <w:r w:rsidRPr="00DA5314">
        <w:rPr>
          <w:rFonts w:ascii="TimesNewRomanPSMT" w:hAnsi="TimesNewRomanPSMT" w:cs="TimesNewRomanPSMT"/>
          <w:szCs w:val="22"/>
        </w:rPr>
        <w:t>allowing consumers to make</w:t>
      </w:r>
      <w:r>
        <w:rPr>
          <w:rFonts w:ascii="TimesNewRomanPSMT" w:hAnsi="TimesNewRomanPSMT" w:cs="TimesNewRomanPSMT"/>
          <w:szCs w:val="22"/>
        </w:rPr>
        <w:t xml:space="preserve"> informed</w:t>
      </w:r>
      <w:r w:rsidRPr="00DA5314">
        <w:rPr>
          <w:rFonts w:ascii="TimesNewRomanPSMT" w:hAnsi="TimesNewRomanPSMT" w:cs="TimesNewRomanPSMT"/>
          <w:szCs w:val="22"/>
        </w:rPr>
        <w:t xml:space="preserve"> decisions about </w:t>
      </w:r>
      <w:r>
        <w:rPr>
          <w:rFonts w:ascii="TimesNewRomanPSMT" w:hAnsi="TimesNewRomanPSMT" w:cs="TimesNewRomanPSMT"/>
          <w:szCs w:val="22"/>
        </w:rPr>
        <w:t>the video services they use</w:t>
      </w:r>
      <w:r w:rsidRPr="00DA5314">
        <w:rPr>
          <w:rFonts w:ascii="TimesNewRomanPSMT" w:hAnsi="TimesNewRomanPSMT" w:cs="TimesNewRomanPSMT"/>
          <w:szCs w:val="22"/>
        </w:rPr>
        <w:t>.</w:t>
      </w:r>
      <w:r>
        <w:rPr>
          <w:rFonts w:ascii="TimesNewRomanPSMT" w:hAnsi="TimesNewRomanPSMT" w:cs="TimesNewRomanPSMT"/>
          <w:szCs w:val="22"/>
        </w:rPr>
        <w:t xml:space="preserve">  </w:t>
      </w:r>
      <w:r>
        <w:rPr>
          <w:rFonts w:ascii="TimesNewRomanPSMT" w:hAnsi="TimesNewRomanPSMT" w:cs="TimesNewRomanPSMT"/>
          <w:i/>
          <w:iCs/>
          <w:szCs w:val="22"/>
        </w:rPr>
        <w:t>Id.</w:t>
      </w:r>
      <w:r>
        <w:t xml:space="preserve"> at 3.</w:t>
      </w:r>
    </w:p>
  </w:footnote>
  <w:footnote w:id="6">
    <w:p w:rsidR="00597C34" w:rsidRPr="00597C34" w14:paraId="0F5DCAE9" w14:textId="41CF8912">
      <w:pPr>
        <w:pStyle w:val="FootnoteText"/>
      </w:pPr>
      <w:r>
        <w:rPr>
          <w:rStyle w:val="FootnoteReference"/>
        </w:rPr>
        <w:footnoteRef/>
      </w:r>
      <w:r>
        <w:t xml:space="preserve"> </w:t>
      </w:r>
      <w:r>
        <w:rPr>
          <w:i/>
          <w:iCs/>
        </w:rPr>
        <w:t>Id.</w:t>
      </w:r>
      <w:r>
        <w:t xml:space="preserve"> </w:t>
      </w:r>
    </w:p>
  </w:footnote>
  <w:footnote w:id="7">
    <w:p w:rsidR="00B53920" w:rsidRPr="009D6F00" w14:paraId="540F75BF" w14:textId="1882E840">
      <w:pPr>
        <w:pStyle w:val="FootnoteText"/>
      </w:pPr>
      <w:r>
        <w:rPr>
          <w:rStyle w:val="FootnoteReference"/>
        </w:rPr>
        <w:footnoteRef/>
      </w:r>
      <w:r>
        <w:t xml:space="preserve"> </w:t>
      </w:r>
      <w:r w:rsidR="009D6F00">
        <w:rPr>
          <w:i/>
          <w:iCs/>
        </w:rPr>
        <w:t xml:space="preserve">Id. </w:t>
      </w:r>
      <w:r w:rsidR="009D6F00">
        <w:t>at 12-13.</w:t>
      </w:r>
    </w:p>
  </w:footnote>
  <w:footnote w:id="8">
    <w:p w:rsidR="00221324" w:rsidRPr="009D6F00" w14:paraId="5495EAE7" w14:textId="790C142E">
      <w:pPr>
        <w:pStyle w:val="FootnoteText"/>
      </w:pPr>
      <w:r>
        <w:rPr>
          <w:rStyle w:val="FootnoteReference"/>
        </w:rPr>
        <w:footnoteRef/>
      </w:r>
      <w:r>
        <w:t xml:space="preserve"> </w:t>
      </w:r>
      <w:r w:rsidR="009D6F00">
        <w:rPr>
          <w:i/>
          <w:iCs/>
        </w:rPr>
        <w:t xml:space="preserve">Id. </w:t>
      </w:r>
      <w:r w:rsidR="009D6F00">
        <w:t>at 4.</w:t>
      </w:r>
    </w:p>
  </w:footnote>
  <w:footnote w:id="9">
    <w:p w:rsidR="00AF28C9" w:rsidRPr="009D6F00" w14:paraId="3AAB7BA5" w14:textId="79332C1F">
      <w:pPr>
        <w:pStyle w:val="FootnoteText"/>
      </w:pPr>
      <w:r>
        <w:rPr>
          <w:rStyle w:val="FootnoteReference"/>
        </w:rPr>
        <w:footnoteRef/>
      </w:r>
      <w:r>
        <w:t xml:space="preserve"> </w:t>
      </w:r>
      <w:r w:rsidR="009D6F00">
        <w:rPr>
          <w:i/>
          <w:iCs/>
        </w:rPr>
        <w:t>Id.</w:t>
      </w:r>
      <w:r w:rsidR="009D6F00">
        <w:t xml:space="preserve"> </w:t>
      </w:r>
    </w:p>
  </w:footnote>
  <w:footnote w:id="10">
    <w:p w:rsidR="000932E8" w:rsidRPr="000932E8" w14:paraId="006B4B0B" w14:textId="654CE7DD">
      <w:pPr>
        <w:pStyle w:val="FootnoteText"/>
      </w:pPr>
      <w:r>
        <w:rPr>
          <w:rStyle w:val="FootnoteReference"/>
        </w:rPr>
        <w:footnoteRef/>
      </w:r>
      <w:r>
        <w:t xml:space="preserve"> </w:t>
      </w:r>
      <w:r>
        <w:rPr>
          <w:i/>
          <w:iCs/>
        </w:rPr>
        <w:t>Id.</w:t>
      </w:r>
      <w:r>
        <w:t xml:space="preserve"> at 2.</w:t>
      </w:r>
    </w:p>
  </w:footnote>
  <w:footnote w:id="11">
    <w:p w:rsidR="00255E2D" w:rsidRPr="00255E2D" w:rsidP="00CD609C" w14:paraId="25182DC2" w14:textId="31453216">
      <w:pPr>
        <w:pStyle w:val="FootnoteText"/>
      </w:pPr>
      <w:r>
        <w:rPr>
          <w:rStyle w:val="FootnoteReference"/>
        </w:rPr>
        <w:footnoteRef/>
      </w:r>
      <w:r>
        <w:t xml:space="preserve"> </w:t>
      </w:r>
      <w:r>
        <w:rPr>
          <w:i/>
          <w:iCs/>
        </w:rPr>
        <w:t xml:space="preserve">Id. </w:t>
      </w:r>
      <w:r>
        <w:t>at 15</w:t>
      </w:r>
      <w:r w:rsidR="006757A9">
        <w:t xml:space="preserve">.  </w:t>
      </w:r>
      <w:r w:rsidR="006757A9">
        <w:rPr>
          <w:i/>
          <w:iCs/>
        </w:rPr>
        <w:t xml:space="preserve">See </w:t>
      </w:r>
      <w:r>
        <w:t xml:space="preserve">47 U.S.C. </w:t>
      </w:r>
      <w:r>
        <w:rPr>
          <w:szCs w:val="22"/>
        </w:rPr>
        <w:t>§ 163</w:t>
      </w:r>
      <w:r w:rsidR="006757A9">
        <w:rPr>
          <w:szCs w:val="22"/>
        </w:rPr>
        <w:t>(a</w:t>
      </w:r>
      <w:r>
        <w:rPr>
          <w:szCs w:val="22"/>
        </w:rPr>
        <w:t xml:space="preserve">).  </w:t>
      </w:r>
    </w:p>
  </w:footnote>
  <w:footnote w:id="12">
    <w:p w:rsidR="00CD609C" w:rsidRPr="009B442A" w14:paraId="4A46FF56" w14:textId="22DD70C4">
      <w:pPr>
        <w:pStyle w:val="FootnoteText"/>
      </w:pPr>
      <w:r>
        <w:rPr>
          <w:rStyle w:val="FootnoteReference"/>
        </w:rPr>
        <w:footnoteRef/>
      </w:r>
      <w:r>
        <w:t xml:space="preserve"> </w:t>
      </w:r>
      <w:r w:rsidR="009B442A">
        <w:t xml:space="preserve">47 U.S.C. </w:t>
      </w:r>
      <w:r w:rsidR="009B442A">
        <w:rPr>
          <w:szCs w:val="22"/>
        </w:rPr>
        <w:t>§ 163(b)(1).</w:t>
      </w:r>
    </w:p>
  </w:footnote>
  <w:footnote w:id="13">
    <w:p w:rsidR="00CD609C" w:rsidRPr="009B442A" w14:paraId="3854FC3B" w14:textId="37270439">
      <w:pPr>
        <w:pStyle w:val="FootnoteText"/>
      </w:pPr>
      <w:r>
        <w:rPr>
          <w:rStyle w:val="FootnoteReference"/>
        </w:rPr>
        <w:footnoteRef/>
      </w:r>
      <w:r>
        <w:t xml:space="preserve"> </w:t>
      </w:r>
      <w:r w:rsidR="00650CA8">
        <w:rPr>
          <w:i/>
          <w:iCs/>
        </w:rPr>
        <w:t xml:space="preserve">Id. </w:t>
      </w:r>
      <w:r w:rsidR="009B442A">
        <w:rPr>
          <w:szCs w:val="22"/>
        </w:rPr>
        <w:t>§ 163(b)(3)</w:t>
      </w:r>
      <w:r w:rsidR="00C27211">
        <w:rPr>
          <w:szCs w:val="22"/>
        </w:rPr>
        <w:t>.</w:t>
      </w:r>
    </w:p>
  </w:footnote>
  <w:footnote w:id="14">
    <w:p w:rsidR="000972A7" w:rsidRPr="000972A7" w14:paraId="00A1E9B0" w14:textId="5E8267B7">
      <w:pPr>
        <w:pStyle w:val="FootnoteText"/>
      </w:pPr>
      <w:r>
        <w:rPr>
          <w:rStyle w:val="FootnoteReference"/>
        </w:rPr>
        <w:footnoteRef/>
      </w:r>
      <w:r>
        <w:t xml:space="preserve"> </w:t>
      </w:r>
      <w:r w:rsidR="00650CA8">
        <w:rPr>
          <w:i/>
          <w:iCs/>
        </w:rPr>
        <w:t xml:space="preserve">Id. </w:t>
      </w:r>
      <w:r w:rsidR="00650CA8">
        <w:rPr>
          <w:szCs w:val="22"/>
        </w:rPr>
        <w:t>§</w:t>
      </w:r>
      <w:r w:rsidR="00650CA8">
        <w:rPr>
          <w:i/>
          <w:iCs/>
        </w:rPr>
        <w:t xml:space="preserve"> </w:t>
      </w:r>
      <w:r>
        <w:rPr>
          <w:szCs w:val="22"/>
        </w:rPr>
        <w:t>163(d)(3).</w:t>
      </w:r>
    </w:p>
  </w:footnote>
  <w:footnote w:id="15">
    <w:p w:rsidR="00A81824" w:rsidRPr="00A81824" w14:paraId="532BC66F" w14:textId="1B0F1882">
      <w:pPr>
        <w:pStyle w:val="FootnoteText"/>
      </w:pPr>
      <w:r>
        <w:rPr>
          <w:rStyle w:val="FootnoteReference"/>
        </w:rPr>
        <w:footnoteRef/>
      </w:r>
      <w:r w:rsidR="000972A7">
        <w:t xml:space="preserve"> </w:t>
      </w:r>
      <w:r w:rsidR="00650CA8">
        <w:rPr>
          <w:i/>
          <w:iCs/>
        </w:rPr>
        <w:t xml:space="preserve">Id. </w:t>
      </w:r>
      <w:r w:rsidR="000972A7">
        <w:rPr>
          <w:szCs w:val="22"/>
        </w:rPr>
        <w:t>§ 257(b).</w:t>
      </w:r>
    </w:p>
  </w:footnote>
  <w:footnote w:id="16">
    <w:p w:rsidR="007A784A" w:rsidRPr="007A784A" w14:paraId="37D8B292" w14:textId="51EE09D7">
      <w:pPr>
        <w:pStyle w:val="FootnoteText"/>
      </w:pPr>
      <w:r>
        <w:rPr>
          <w:rStyle w:val="FootnoteReference"/>
        </w:rPr>
        <w:footnoteRef/>
      </w:r>
      <w:r>
        <w:t xml:space="preserve"> </w:t>
      </w:r>
      <w:r w:rsidR="008B5824">
        <w:t>Petition</w:t>
      </w:r>
      <w:r>
        <w:rPr>
          <w:i/>
          <w:iCs/>
        </w:rPr>
        <w:t xml:space="preserve"> </w:t>
      </w:r>
      <w:r>
        <w:t>at 17</w:t>
      </w:r>
      <w:r w:rsidR="008B5824">
        <w:t>-18</w:t>
      </w:r>
      <w:r>
        <w:t>.</w:t>
      </w:r>
    </w:p>
  </w:footnote>
  <w:footnote w:id="17">
    <w:p w:rsidR="005F4A4F" w14:paraId="37497E8A" w14:textId="03810D11">
      <w:pPr>
        <w:pStyle w:val="FootnoteText"/>
      </w:pPr>
      <w:r>
        <w:rPr>
          <w:rStyle w:val="FootnoteReference"/>
        </w:rPr>
        <w:footnoteRef/>
      </w:r>
      <w:r>
        <w:t xml:space="preserve"> </w:t>
      </w:r>
      <w:r w:rsidR="00566E09">
        <w:t xml:space="preserve">47 U.S.C. </w:t>
      </w:r>
      <w:r w:rsidR="00566E09">
        <w:rPr>
          <w:szCs w:val="22"/>
        </w:rPr>
        <w:t>§ 554(d)(2)(E).</w:t>
      </w:r>
    </w:p>
  </w:footnote>
  <w:footnote w:id="18">
    <w:p w:rsidR="005F4A4F" w:rsidRPr="00566E09" w14:paraId="0A8B8C7E" w14:textId="317928B7">
      <w:pPr>
        <w:pStyle w:val="FootnoteText"/>
      </w:pPr>
      <w:r>
        <w:rPr>
          <w:rStyle w:val="FootnoteReference"/>
        </w:rPr>
        <w:footnoteRef/>
      </w:r>
      <w:r>
        <w:t xml:space="preserve"> </w:t>
      </w:r>
      <w:r w:rsidR="00566E09">
        <w:rPr>
          <w:i/>
          <w:iCs/>
        </w:rPr>
        <w:t>Id.</w:t>
      </w:r>
      <w:r w:rsidR="00566E09">
        <w:t xml:space="preserve"> </w:t>
      </w:r>
      <w:r w:rsidR="00566E09">
        <w:rPr>
          <w:szCs w:val="22"/>
        </w:rPr>
        <w:t>§ 554(d)(2)(F).</w:t>
      </w:r>
    </w:p>
  </w:footnote>
  <w:footnote w:id="19">
    <w:p w:rsidR="007E58A8" w:rsidP="007E58A8" w14:paraId="4D75052A" w14:textId="77777777">
      <w:pPr>
        <w:pStyle w:val="FootnoteText"/>
      </w:pPr>
      <w:r>
        <w:rPr>
          <w:rStyle w:val="FootnoteReference"/>
        </w:rPr>
        <w:footnoteRef/>
      </w:r>
      <w:r>
        <w:t xml:space="preserve"> </w:t>
      </w:r>
      <w:r>
        <w:rPr>
          <w:szCs w:val="22"/>
        </w:rPr>
        <w:t>47 CFR §§ 1.415, 1.419.</w:t>
      </w:r>
    </w:p>
  </w:footnote>
  <w:footnote w:id="20">
    <w:p w:rsidR="007E58A8" w:rsidP="007E58A8" w14:paraId="1D53EBFC" w14:textId="48092286">
      <w:pPr>
        <w:pStyle w:val="FootnoteText"/>
      </w:pPr>
      <w:r>
        <w:rPr>
          <w:rStyle w:val="FootnoteReference"/>
        </w:rPr>
        <w:footnoteRef/>
      </w:r>
      <w:r>
        <w:t xml:space="preserve"> </w:t>
      </w:r>
      <w:r>
        <w:rPr>
          <w:i/>
          <w:szCs w:val="22"/>
        </w:rPr>
        <w:t>Electronic Filing of Documents in Rulemaking Proceedings</w:t>
      </w:r>
      <w:r>
        <w:rPr>
          <w:szCs w:val="22"/>
        </w:rPr>
        <w:t xml:space="preserve">, Report and Order, </w:t>
      </w:r>
      <w:r w:rsidR="004F577F">
        <w:rPr>
          <w:szCs w:val="22"/>
        </w:rPr>
        <w:t xml:space="preserve">GN Docket No. 97-113, </w:t>
      </w:r>
      <w:r>
        <w:rPr>
          <w:szCs w:val="22"/>
        </w:rPr>
        <w:t xml:space="preserve">13 FCC </w:t>
      </w:r>
      <w:r>
        <w:rPr>
          <w:szCs w:val="22"/>
        </w:rPr>
        <w:t>Rcd</w:t>
      </w:r>
      <w:r>
        <w:rPr>
          <w:szCs w:val="22"/>
        </w:rPr>
        <w:t xml:space="preserve"> 11322</w:t>
      </w:r>
      <w:r w:rsidR="004F577F">
        <w:rPr>
          <w:szCs w:val="22"/>
        </w:rPr>
        <w:t>, 11324-25, para. 4</w:t>
      </w:r>
      <w:r>
        <w:rPr>
          <w:szCs w:val="22"/>
        </w:rPr>
        <w:t xml:space="preserve"> (1998).</w:t>
      </w:r>
    </w:p>
  </w:footnote>
  <w:footnote w:id="21">
    <w:p w:rsidR="007E58A8" w:rsidP="00C4419B" w14:paraId="4BF66443" w14:textId="24C22576">
      <w:pPr>
        <w:pStyle w:val="ParaNum"/>
        <w:numPr>
          <w:ilvl w:val="0"/>
          <w:numId w:val="0"/>
        </w:numPr>
      </w:pPr>
      <w:r>
        <w:rPr>
          <w:rStyle w:val="FootnoteReference"/>
        </w:rPr>
        <w:footnoteRef/>
      </w:r>
      <w: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footnote>
  <w:footnote w:id="22">
    <w:p w:rsidR="007E58A8" w:rsidP="007E58A8" w14:paraId="467146B7" w14:textId="77777777">
      <w:pPr>
        <w:pStyle w:val="FootnoteText"/>
        <w:rPr>
          <w:iCs/>
        </w:rPr>
      </w:pPr>
      <w:r>
        <w:rPr>
          <w:rStyle w:val="FootnoteReference"/>
        </w:rPr>
        <w:footnoteRef/>
      </w:r>
      <w:r>
        <w:t xml:space="preserve"> 47 CFR §§ 1.1200 </w:t>
      </w:r>
      <w:r>
        <w:rPr>
          <w:i/>
          <w:iCs/>
        </w:rPr>
        <w:t xml:space="preserve">et seq. </w:t>
      </w:r>
    </w:p>
  </w:footnote>
  <w:footnote w:id="23">
    <w:p w:rsidR="007E58A8" w:rsidP="007E58A8" w14:paraId="02B2B54C" w14:textId="01D2B0B3">
      <w:pPr>
        <w:pStyle w:val="FootnoteText"/>
      </w:pPr>
      <w:r>
        <w:rPr>
          <w:rStyle w:val="FootnoteReference"/>
        </w:rPr>
        <w:footnoteRef/>
      </w:r>
      <w:r>
        <w:t xml:space="preserve"> </w:t>
      </w:r>
      <w:r w:rsidR="000F58C1">
        <w:rPr>
          <w:i/>
          <w:iCs/>
        </w:rPr>
        <w:t>Id</w:t>
      </w:r>
      <w:r>
        <w:t xml:space="preserve">. § 1.1206(b).  Memoranda must contain a summary of the substance of the </w:t>
      </w:r>
      <w:r>
        <w:rPr>
          <w:i/>
        </w:rPr>
        <w:t xml:space="preserve">ex </w:t>
      </w:r>
      <w:r>
        <w:rPr>
          <w:i/>
        </w:rPr>
        <w:t>parte</w:t>
      </w:r>
      <w:r>
        <w:t xml:space="preserve"> presentation and not merely a listing of the subjects discussed.  More than a one or two sentence description of the views and arguments presented is generally required.  </w:t>
      </w:r>
      <w:r w:rsidR="000F58C1">
        <w:rPr>
          <w:i/>
          <w:iCs/>
        </w:rPr>
        <w:t>I</w:t>
      </w:r>
      <w:r>
        <w:rPr>
          <w:i/>
        </w:rPr>
        <w:t>d</w:t>
      </w:r>
      <w:r>
        <w:t>. § 1.1206(b)(1).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FCC" w14:paraId="032242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5DBE9FD8" w14:textId="1A23715E">
    <w:pPr>
      <w:tabs>
        <w:tab w:val="center" w:pos="4680"/>
        <w:tab w:val="right" w:pos="9360"/>
      </w:tabs>
    </w:pPr>
    <w:r>
      <w:rPr>
        <w:b/>
      </w:rPr>
      <w:tab/>
      <w:t>Federal Communications Commission</w:t>
    </w:r>
    <w:r>
      <w:rPr>
        <w:b/>
      </w:rPr>
      <w:tab/>
    </w:r>
    <w:r w:rsidR="00DB18D6">
      <w:rPr>
        <w:b/>
      </w:rPr>
      <w:t xml:space="preserve">DA </w:t>
    </w:r>
    <w:r w:rsidR="00DB18D6">
      <w:rPr>
        <w:b/>
      </w:rPr>
      <w:t>22-</w:t>
    </w:r>
    <w:r w:rsidR="00382FCC">
      <w:rPr>
        <w:b/>
      </w:rPr>
      <w:t>567</w:t>
    </w:r>
  </w:p>
  <w:p w:rsidR="00296A77" w14:paraId="7506FFBA" w14:textId="3EE82B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96A77" w14:paraId="288D6FB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736E2F55" w14:textId="2D9A2CC9">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39"/>
    <w:rsid w:val="00020314"/>
    <w:rsid w:val="00043994"/>
    <w:rsid w:val="000932E8"/>
    <w:rsid w:val="000972A7"/>
    <w:rsid w:val="000A459A"/>
    <w:rsid w:val="000B4687"/>
    <w:rsid w:val="000C366D"/>
    <w:rsid w:val="000C3DF5"/>
    <w:rsid w:val="000D38B7"/>
    <w:rsid w:val="000D6294"/>
    <w:rsid w:val="000D6A08"/>
    <w:rsid w:val="000F58C1"/>
    <w:rsid w:val="00104FDE"/>
    <w:rsid w:val="00141ED0"/>
    <w:rsid w:val="00155F39"/>
    <w:rsid w:val="001A03E1"/>
    <w:rsid w:val="001B410D"/>
    <w:rsid w:val="001B7C85"/>
    <w:rsid w:val="001C3C43"/>
    <w:rsid w:val="001D5E5A"/>
    <w:rsid w:val="00221324"/>
    <w:rsid w:val="0022158C"/>
    <w:rsid w:val="00240733"/>
    <w:rsid w:val="00255E2D"/>
    <w:rsid w:val="00273EDA"/>
    <w:rsid w:val="002876C0"/>
    <w:rsid w:val="00296043"/>
    <w:rsid w:val="00296A77"/>
    <w:rsid w:val="002C3F31"/>
    <w:rsid w:val="00311742"/>
    <w:rsid w:val="00326A65"/>
    <w:rsid w:val="00331812"/>
    <w:rsid w:val="00353516"/>
    <w:rsid w:val="00367DFA"/>
    <w:rsid w:val="00375D58"/>
    <w:rsid w:val="00382FCC"/>
    <w:rsid w:val="00411396"/>
    <w:rsid w:val="004403BB"/>
    <w:rsid w:val="004502FE"/>
    <w:rsid w:val="00471DD4"/>
    <w:rsid w:val="00496A29"/>
    <w:rsid w:val="004F577F"/>
    <w:rsid w:val="00513AF2"/>
    <w:rsid w:val="0052665C"/>
    <w:rsid w:val="00545419"/>
    <w:rsid w:val="005637E0"/>
    <w:rsid w:val="00566E09"/>
    <w:rsid w:val="0056701A"/>
    <w:rsid w:val="00580BB6"/>
    <w:rsid w:val="005855CB"/>
    <w:rsid w:val="00590E21"/>
    <w:rsid w:val="00597C34"/>
    <w:rsid w:val="005E5D00"/>
    <w:rsid w:val="005F1BFF"/>
    <w:rsid w:val="005F4A4F"/>
    <w:rsid w:val="0060430C"/>
    <w:rsid w:val="00642019"/>
    <w:rsid w:val="00650CA8"/>
    <w:rsid w:val="006757A9"/>
    <w:rsid w:val="00695137"/>
    <w:rsid w:val="006A6064"/>
    <w:rsid w:val="006C5AC4"/>
    <w:rsid w:val="006D1228"/>
    <w:rsid w:val="006E2ABD"/>
    <w:rsid w:val="006E6F2F"/>
    <w:rsid w:val="00731F4D"/>
    <w:rsid w:val="00773CA0"/>
    <w:rsid w:val="007936D4"/>
    <w:rsid w:val="007954E0"/>
    <w:rsid w:val="007A007E"/>
    <w:rsid w:val="007A784A"/>
    <w:rsid w:val="007C0667"/>
    <w:rsid w:val="007D3997"/>
    <w:rsid w:val="007E58A8"/>
    <w:rsid w:val="00812619"/>
    <w:rsid w:val="00840A62"/>
    <w:rsid w:val="00841EE2"/>
    <w:rsid w:val="008659F3"/>
    <w:rsid w:val="008B5824"/>
    <w:rsid w:val="008C6437"/>
    <w:rsid w:val="00922839"/>
    <w:rsid w:val="00933362"/>
    <w:rsid w:val="0095703F"/>
    <w:rsid w:val="00971812"/>
    <w:rsid w:val="00973783"/>
    <w:rsid w:val="00976109"/>
    <w:rsid w:val="009A5A03"/>
    <w:rsid w:val="009B442A"/>
    <w:rsid w:val="009D6F00"/>
    <w:rsid w:val="00A2788E"/>
    <w:rsid w:val="00A81824"/>
    <w:rsid w:val="00A9789A"/>
    <w:rsid w:val="00AC0E36"/>
    <w:rsid w:val="00AE08EF"/>
    <w:rsid w:val="00AF28C9"/>
    <w:rsid w:val="00B13344"/>
    <w:rsid w:val="00B17797"/>
    <w:rsid w:val="00B20D1E"/>
    <w:rsid w:val="00B274CB"/>
    <w:rsid w:val="00B53920"/>
    <w:rsid w:val="00B637A6"/>
    <w:rsid w:val="00B946F9"/>
    <w:rsid w:val="00B972BA"/>
    <w:rsid w:val="00BB510A"/>
    <w:rsid w:val="00BC726C"/>
    <w:rsid w:val="00BF7CF5"/>
    <w:rsid w:val="00C27211"/>
    <w:rsid w:val="00C4419B"/>
    <w:rsid w:val="00C76C93"/>
    <w:rsid w:val="00C8211E"/>
    <w:rsid w:val="00CB7CED"/>
    <w:rsid w:val="00CD609C"/>
    <w:rsid w:val="00CD78BB"/>
    <w:rsid w:val="00D013AD"/>
    <w:rsid w:val="00D178C5"/>
    <w:rsid w:val="00D24F13"/>
    <w:rsid w:val="00D34CD6"/>
    <w:rsid w:val="00D8111C"/>
    <w:rsid w:val="00DA5314"/>
    <w:rsid w:val="00DB18D6"/>
    <w:rsid w:val="00DC668D"/>
    <w:rsid w:val="00DF04C0"/>
    <w:rsid w:val="00DF6D89"/>
    <w:rsid w:val="00E07904"/>
    <w:rsid w:val="00E17EA4"/>
    <w:rsid w:val="00E269FB"/>
    <w:rsid w:val="00E30AD3"/>
    <w:rsid w:val="00E404AD"/>
    <w:rsid w:val="00E47B91"/>
    <w:rsid w:val="00E8437D"/>
    <w:rsid w:val="00EB0878"/>
    <w:rsid w:val="00EB5AFA"/>
    <w:rsid w:val="00F27882"/>
    <w:rsid w:val="00F550A5"/>
    <w:rsid w:val="00F872E3"/>
    <w:rsid w:val="00FB728B"/>
    <w:rsid w:val="00FC4215"/>
    <w:rsid w:val="00FD3973"/>
    <w:rsid w:val="00FD7B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372B83"/>
  <w15:chartTrackingRefBased/>
  <w15:docId w15:val="{153ACD35-B094-4D5E-BAA3-5246D614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 Char Char1 Char,Footnote Text Char2 Char,Footnote Text Char3,Footnote Text Char3 Char Char Char Char Char"/>
    <w:link w:val="FootnoteTextChar"/>
    <w:pPr>
      <w:spacing w:after="120"/>
    </w:pPr>
  </w:style>
  <w:style w:type="character" w:styleId="FootnoteReference">
    <w:name w:val="footnote reference"/>
    <w:aliases w:val="(NECG) Footnote Reference,Appel note de bas de p,FR,Footnote Reference/,Style 12,Style 124,Style 13,Style 17,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 Char,Footnote Text Char Char1 Char Char Char Char,Footnote Text Char1 Char Char1 Char Char,Footnote Text Char2 Char Char,Footnote Text Char3 Char"/>
    <w:link w:val="FootnoteText"/>
    <w:rsid w:val="007E58A8"/>
  </w:style>
  <w:style w:type="paragraph" w:styleId="ListParagraph">
    <w:name w:val="List Paragraph"/>
    <w:basedOn w:val="Normal"/>
    <w:uiPriority w:val="34"/>
    <w:qFormat/>
    <w:rsid w:val="007E58A8"/>
    <w:pPr>
      <w:ind w:left="720"/>
      <w:contextualSpacing/>
    </w:pPr>
  </w:style>
  <w:style w:type="character" w:customStyle="1" w:styleId="ParaNumChar1">
    <w:name w:val="ParaNum Char1"/>
    <w:link w:val="ParaNum"/>
    <w:locked/>
    <w:rsid w:val="007E58A8"/>
    <w:rPr>
      <w:snapToGrid w:val="0"/>
      <w:kern w:val="28"/>
      <w:sz w:val="22"/>
    </w:rPr>
  </w:style>
  <w:style w:type="paragraph" w:styleId="Revision">
    <w:name w:val="Revision"/>
    <w:hidden/>
    <w:uiPriority w:val="99"/>
    <w:semiHidden/>
    <w:rsid w:val="006D1228"/>
    <w:rPr>
      <w:snapToGrid w:val="0"/>
      <w:kern w:val="28"/>
      <w:sz w:val="22"/>
    </w:rPr>
  </w:style>
  <w:style w:type="character" w:styleId="CommentReference">
    <w:name w:val="annotation reference"/>
    <w:basedOn w:val="DefaultParagraphFont"/>
    <w:uiPriority w:val="99"/>
    <w:semiHidden/>
    <w:unhideWhenUsed/>
    <w:rsid w:val="00E8437D"/>
    <w:rPr>
      <w:sz w:val="16"/>
      <w:szCs w:val="16"/>
    </w:rPr>
  </w:style>
  <w:style w:type="paragraph" w:styleId="CommentText">
    <w:name w:val="annotation text"/>
    <w:basedOn w:val="Normal"/>
    <w:link w:val="CommentTextChar"/>
    <w:uiPriority w:val="99"/>
    <w:semiHidden/>
    <w:unhideWhenUsed/>
    <w:rsid w:val="00E8437D"/>
    <w:rPr>
      <w:sz w:val="20"/>
    </w:rPr>
  </w:style>
  <w:style w:type="character" w:customStyle="1" w:styleId="CommentTextChar">
    <w:name w:val="Comment Text Char"/>
    <w:basedOn w:val="DefaultParagraphFont"/>
    <w:link w:val="CommentText"/>
    <w:uiPriority w:val="99"/>
    <w:semiHidden/>
    <w:rsid w:val="00E8437D"/>
    <w:rPr>
      <w:snapToGrid w:val="0"/>
      <w:kern w:val="28"/>
    </w:rPr>
  </w:style>
  <w:style w:type="paragraph" w:styleId="CommentSubject">
    <w:name w:val="annotation subject"/>
    <w:basedOn w:val="CommentText"/>
    <w:next w:val="CommentText"/>
    <w:link w:val="CommentSubjectChar"/>
    <w:uiPriority w:val="99"/>
    <w:semiHidden/>
    <w:unhideWhenUsed/>
    <w:rsid w:val="00E8437D"/>
    <w:rPr>
      <w:b/>
      <w:bCs/>
    </w:rPr>
  </w:style>
  <w:style w:type="character" w:customStyle="1" w:styleId="CommentSubjectChar">
    <w:name w:val="Comment Subject Char"/>
    <w:basedOn w:val="CommentTextChar"/>
    <w:link w:val="CommentSubject"/>
    <w:uiPriority w:val="99"/>
    <w:semiHidden/>
    <w:rsid w:val="00E8437D"/>
    <w:rPr>
      <w:b/>
      <w:bCs/>
      <w:snapToGrid w:val="0"/>
      <w:kern w:val="28"/>
    </w:rPr>
  </w:style>
  <w:style w:type="character" w:customStyle="1" w:styleId="stdref">
    <w:name w:val="stdref"/>
    <w:basedOn w:val="DefaultParagraphFont"/>
    <w:rsid w:val="0067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athy.Berthot@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