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C2BDE" w:rsidP="003C2BDE" w14:paraId="06EA373F" w14:textId="434D04AC">
      <w:pPr>
        <w:jc w:val="right"/>
        <w:rPr>
          <w:b/>
          <w:sz w:val="24"/>
        </w:rPr>
      </w:pPr>
      <w:r>
        <w:rPr>
          <w:b/>
          <w:sz w:val="24"/>
        </w:rPr>
        <w:fldChar w:fldCharType="begin">
          <w:ffData>
            <w:name w:val="Text1"/>
            <w:enabled/>
            <w:calcOnExit w:val="0"/>
            <w:textInput>
              <w:default w:val="DA 22-571"/>
            </w:textInput>
          </w:ffData>
        </w:fldChar>
      </w:r>
      <w:bookmarkStart w:id="0" w:name="Text1"/>
      <w:r>
        <w:rPr>
          <w:b/>
          <w:sz w:val="24"/>
        </w:rPr>
        <w:instrText xml:space="preserve"> FORMTEXT </w:instrText>
      </w:r>
      <w:r>
        <w:rPr>
          <w:b/>
          <w:sz w:val="24"/>
        </w:rPr>
        <w:fldChar w:fldCharType="separate"/>
      </w:r>
      <w:r>
        <w:rPr>
          <w:b/>
          <w:noProof/>
          <w:sz w:val="24"/>
        </w:rPr>
        <w:t>DA 22-571</w:t>
      </w:r>
      <w:r>
        <w:rPr>
          <w:b/>
          <w:sz w:val="24"/>
        </w:rPr>
        <w:fldChar w:fldCharType="end"/>
      </w:r>
      <w:bookmarkEnd w:id="0"/>
    </w:p>
    <w:p w:rsidR="003C2BDE" w:rsidP="003C2BDE" w14:paraId="62562248" w14:textId="77777777">
      <w:pPr>
        <w:spacing w:before="60"/>
        <w:jc w:val="right"/>
        <w:rPr>
          <w:b/>
          <w:sz w:val="24"/>
        </w:rPr>
      </w:pPr>
      <w:r>
        <w:rPr>
          <w:b/>
          <w:sz w:val="24"/>
        </w:rPr>
        <w:t>Released:  May 23, 2022</w:t>
      </w:r>
    </w:p>
    <w:p w:rsidR="003C2BDE" w:rsidP="003C2BDE" w14:paraId="1D6E1F6A" w14:textId="77777777">
      <w:pPr>
        <w:jc w:val="right"/>
        <w:rPr>
          <w:sz w:val="24"/>
        </w:rPr>
      </w:pPr>
    </w:p>
    <w:p w:rsidR="003C2BDE" w:rsidP="003C2BDE" w14:paraId="24B7F7A2" w14:textId="77777777">
      <w:pPr>
        <w:spacing w:after="240"/>
        <w:jc w:val="center"/>
        <w:rPr>
          <w:b/>
          <w:bCs/>
          <w:sz w:val="24"/>
          <w:szCs w:val="24"/>
        </w:rPr>
      </w:pPr>
      <w:r w:rsidRPr="0424F67D">
        <w:rPr>
          <w:b/>
          <w:bCs/>
        </w:rPr>
        <w:t>DOCKET ESTABLISHED FOR MONITORING T-MOBILE’S COMPLIANCE WITH CONDITIONS IMPOSED IN THE T-MOBILE-SPRINT TRANSFER OF CONTROL ORDER</w:t>
      </w:r>
    </w:p>
    <w:p w:rsidR="003C2BDE" w:rsidRPr="00BE6F98" w:rsidP="003C2BDE" w14:paraId="40A3B853" w14:textId="77777777">
      <w:pPr>
        <w:jc w:val="center"/>
        <w:rPr>
          <w:b/>
          <w:bCs/>
          <w:sz w:val="24"/>
          <w:szCs w:val="24"/>
        </w:rPr>
      </w:pPr>
      <w:r w:rsidRPr="50B7C47D">
        <w:rPr>
          <w:b/>
          <w:bCs/>
          <w:sz w:val="24"/>
          <w:szCs w:val="24"/>
        </w:rPr>
        <w:t xml:space="preserve"> WT Docket Nos. 18-197, 22-211</w:t>
      </w:r>
      <w:bookmarkStart w:id="1" w:name="TOChere"/>
    </w:p>
    <w:p w:rsidR="003C2BDE" w:rsidP="003C2BDE" w14:paraId="63E32403" w14:textId="77777777"/>
    <w:bookmarkEnd w:id="1"/>
    <w:p w:rsidR="003C2BDE" w:rsidP="003C2BDE" w14:paraId="1BE97B75" w14:textId="7727F4FF">
      <w:pPr>
        <w:widowControl/>
        <w:autoSpaceDE w:val="0"/>
        <w:autoSpaceDN w:val="0"/>
        <w:adjustRightInd w:val="0"/>
        <w:ind w:firstLine="720"/>
      </w:pPr>
      <w:r w:rsidRPr="00C45147">
        <w:t>By this Public Notice, the Wire</w:t>
      </w:r>
      <w:r>
        <w:t>less Telecommunications</w:t>
      </w:r>
      <w:r w:rsidRPr="00C45147">
        <w:t xml:space="preserve"> Bureau (Bureau) announces t</w:t>
      </w:r>
      <w:r>
        <w:t>he opening of a new docket to monitor compliance with buildout and other commitments imposed as conditions by the Commission.  On November 5, 2019, the Commission released an order approving the applications for the transfer of control of licenses, authorizations and spectrum leases from Sprint Corporation (Sprint) to T-Mobile USA, Inc. (T-Mobile).</w:t>
      </w:r>
      <w:r>
        <w:rPr>
          <w:rStyle w:val="FootnoteReference"/>
        </w:rPr>
        <w:footnoteReference w:id="3"/>
      </w:r>
      <w:r>
        <w:t xml:space="preserve">  As part of its approval, the Commission imposed as conditions various commitments made by T-Mobile to ensure that the proposed transaction served the public interest.</w:t>
      </w:r>
      <w:r>
        <w:rPr>
          <w:rStyle w:val="FootnoteReference"/>
        </w:rPr>
        <w:footnoteReference w:id="4"/>
      </w:r>
      <w:r>
        <w:t xml:space="preserve">  The conditions included monitoring of nationwide 5G network deployment coverage requirements and in-home broadband commitments as well as verification and enforcement of the conditions.</w:t>
      </w:r>
      <w:r>
        <w:rPr>
          <w:rStyle w:val="FootnoteReference"/>
        </w:rPr>
        <w:footnoteReference w:id="5"/>
      </w:r>
      <w:r>
        <w:t xml:space="preserve">  By this Public Notice, we are opening a new docket, </w:t>
      </w:r>
      <w:r w:rsidRPr="00BE6F98">
        <w:t>WT D</w:t>
      </w:r>
      <w:r>
        <w:t>ocket No. 22-211, for the purpose of monitoring compliance with the conditions imposed by the Commission, which is captioned “Monitoring T-Mobile's Compliance with Conditions Imposed in the T-Mobile-Sprint Transfer of Control Order.”</w:t>
      </w:r>
    </w:p>
    <w:p w:rsidR="003C2BDE" w:rsidP="003C2BDE" w14:paraId="6731EE59" w14:textId="77777777">
      <w:pPr>
        <w:widowControl/>
        <w:autoSpaceDE w:val="0"/>
        <w:autoSpaceDN w:val="0"/>
        <w:adjustRightInd w:val="0"/>
        <w:ind w:firstLine="720"/>
      </w:pPr>
    </w:p>
    <w:p w:rsidR="003C2BDE" w:rsidP="003C2BDE" w14:paraId="0191CB0A" w14:textId="77777777">
      <w:pPr>
        <w:widowControl/>
        <w:autoSpaceDE w:val="0"/>
        <w:autoSpaceDN w:val="0"/>
        <w:adjustRightInd w:val="0"/>
        <w:ind w:firstLine="720"/>
      </w:pPr>
      <w:r w:rsidRPr="4D9EE9AA">
        <w:rPr>
          <w:i/>
        </w:rPr>
        <w:t xml:space="preserve">Ex </w:t>
      </w:r>
      <w:r w:rsidRPr="4D9EE9AA">
        <w:rPr>
          <w:i/>
        </w:rPr>
        <w:t>Parte</w:t>
      </w:r>
      <w:r w:rsidRPr="4D9EE9AA">
        <w:rPr>
          <w:i/>
        </w:rPr>
        <w:t xml:space="preserve"> Rules</w:t>
      </w:r>
      <w:r w:rsidRPr="4D9EE9AA">
        <w:t xml:space="preserve">.  This proceeding shall be treated as a “permit-but-disclose” proceeding in accordance with the Commission’s </w:t>
      </w:r>
      <w:r w:rsidRPr="4D9EE9AA">
        <w:rPr>
          <w:i/>
        </w:rPr>
        <w:t xml:space="preserve">ex </w:t>
      </w:r>
      <w:r w:rsidRPr="4D9EE9AA">
        <w:rPr>
          <w:i/>
        </w:rPr>
        <w:t>parte</w:t>
      </w:r>
      <w:r w:rsidRPr="4D9EE9AA">
        <w:t xml:space="preserve"> rules.</w:t>
      </w:r>
      <w:r>
        <w:rPr>
          <w:rStyle w:val="FootnoteReference"/>
        </w:rPr>
        <w:footnoteReference w:id="6"/>
      </w:r>
      <w:r w:rsidRPr="4D9EE9AA">
        <w:t xml:space="preserve">  Persons making </w:t>
      </w:r>
      <w:r w:rsidRPr="4D9EE9AA">
        <w:rPr>
          <w:i/>
        </w:rPr>
        <w:t xml:space="preserve">ex </w:t>
      </w:r>
      <w:r w:rsidRPr="4D9EE9AA">
        <w:rPr>
          <w:i/>
        </w:rPr>
        <w:t>parte</w:t>
      </w:r>
      <w:r w:rsidRPr="4D9EE9A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D9EE9AA">
        <w:rPr>
          <w:i/>
        </w:rPr>
        <w:t xml:space="preserve">ex </w:t>
      </w:r>
      <w:r w:rsidRPr="4D9EE9AA">
        <w:rPr>
          <w:i/>
        </w:rPr>
        <w:t>parte</w:t>
      </w:r>
      <w:r w:rsidRPr="4D9EE9AA">
        <w:t xml:space="preserve"> presentations are reminded that memoranda summarizing the presentation must: (1) list all persons attending or otherwise participating in the meeting at which the </w:t>
      </w:r>
      <w:r w:rsidRPr="4D9EE9AA">
        <w:rPr>
          <w:i/>
        </w:rPr>
        <w:t xml:space="preserve">ex </w:t>
      </w:r>
      <w:r w:rsidRPr="4D9EE9AA">
        <w:rPr>
          <w:i/>
        </w:rPr>
        <w:t>parte</w:t>
      </w:r>
      <w:r w:rsidRPr="4D9EE9A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D9EE9AA">
        <w:rPr>
          <w:i/>
        </w:rPr>
        <w:t xml:space="preserve">ex </w:t>
      </w:r>
      <w:r w:rsidRPr="4D9EE9AA">
        <w:rPr>
          <w:i/>
        </w:rPr>
        <w:t>parte</w:t>
      </w:r>
      <w:r w:rsidRPr="4D9EE9AA">
        <w:t xml:space="preserve"> meetings are deemed to be written </w:t>
      </w:r>
      <w:r w:rsidRPr="4D9EE9AA">
        <w:rPr>
          <w:i/>
        </w:rPr>
        <w:t xml:space="preserve">ex </w:t>
      </w:r>
      <w:r w:rsidRPr="4D9EE9AA">
        <w:rPr>
          <w:i/>
        </w:rPr>
        <w:t>parte</w:t>
      </w:r>
      <w:r w:rsidRPr="4D9EE9AA">
        <w:t xml:space="preserve"> presentations and must be filed consistent with section 1.1206(b) of the Commission’s rules.  In proceedings governed by section 1.49(f) of the rules or for which the Commission has made available a method of electronic filing, written </w:t>
      </w:r>
      <w:r w:rsidRPr="4D9EE9AA">
        <w:rPr>
          <w:i/>
        </w:rPr>
        <w:t xml:space="preserve">ex </w:t>
      </w:r>
      <w:r w:rsidRPr="4D9EE9AA">
        <w:rPr>
          <w:i/>
        </w:rPr>
        <w:t>parte</w:t>
      </w:r>
      <w:r w:rsidRPr="4D9EE9AA">
        <w:t xml:space="preserve"> presentations and memoranda summarizing oral </w:t>
      </w:r>
      <w:r w:rsidRPr="4D9EE9AA">
        <w:rPr>
          <w:i/>
        </w:rPr>
        <w:t xml:space="preserve">ex </w:t>
      </w:r>
      <w:r w:rsidRPr="4D9EE9AA">
        <w:rPr>
          <w:i/>
        </w:rPr>
        <w:t>parte</w:t>
      </w:r>
      <w:r w:rsidRPr="4D9EE9AA">
        <w:rPr>
          <w:i/>
        </w:rPr>
        <w:t xml:space="preserve"> </w:t>
      </w:r>
      <w:r w:rsidRPr="4D9EE9AA">
        <w:t xml:space="preserve">presentations, and all attachments thereto, </w:t>
      </w:r>
      <w:r w:rsidRPr="4D9EE9AA">
        <w:t>must be filed through the electronic comment filing system available for that proceeding, and must be filed in their native format (</w:t>
      </w:r>
      <w:r w:rsidRPr="4D9EE9AA">
        <w:rPr>
          <w:i/>
        </w:rPr>
        <w:t>e.g.</w:t>
      </w:r>
      <w:r w:rsidRPr="4D9EE9AA">
        <w:t>, .doc, .xml., .ppt, searchable .pdf).</w:t>
      </w:r>
      <w:r>
        <w:rPr>
          <w:rStyle w:val="FootnoteReference"/>
        </w:rPr>
        <w:footnoteReference w:id="7"/>
      </w:r>
      <w:r w:rsidRPr="4D9EE9AA">
        <w:t xml:space="preserve">  Participants in this proceeding should familiarize themselves with the Commission’s </w:t>
      </w:r>
      <w:r w:rsidRPr="4D9EE9AA">
        <w:rPr>
          <w:i/>
        </w:rPr>
        <w:t xml:space="preserve">ex </w:t>
      </w:r>
      <w:r w:rsidRPr="4D9EE9AA">
        <w:rPr>
          <w:i/>
        </w:rPr>
        <w:t>parte</w:t>
      </w:r>
      <w:r w:rsidRPr="4D9EE9AA">
        <w:t xml:space="preserve"> rules.</w:t>
      </w:r>
    </w:p>
    <w:p w:rsidR="003C2BDE" w:rsidP="003C2BDE" w14:paraId="5126F807" w14:textId="77777777">
      <w:pPr>
        <w:widowControl/>
        <w:autoSpaceDE w:val="0"/>
        <w:autoSpaceDN w:val="0"/>
        <w:adjustRightInd w:val="0"/>
        <w:ind w:firstLine="720"/>
      </w:pPr>
    </w:p>
    <w:p w:rsidR="003C2BDE" w:rsidP="003C2BDE" w14:paraId="5F0603A0" w14:textId="77777777">
      <w:pPr>
        <w:pStyle w:val="ListParagraph"/>
        <w:ind w:left="0" w:firstLine="720"/>
        <w:rPr>
          <w:snapToGrid/>
          <w:szCs w:val="22"/>
        </w:rPr>
      </w:pPr>
      <w:r>
        <w:rPr>
          <w:szCs w:val="22"/>
        </w:rPr>
        <w:t xml:space="preserve">People with Disabilities:  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&amp; Government Affairs Bureau at (202) 418-0530. </w:t>
      </w:r>
    </w:p>
    <w:p w:rsidR="003C2BDE" w:rsidRPr="00C9551A" w:rsidP="003C2BDE" w14:paraId="04C609B0" w14:textId="77777777">
      <w:pPr>
        <w:widowControl/>
        <w:autoSpaceDE w:val="0"/>
        <w:autoSpaceDN w:val="0"/>
        <w:adjustRightInd w:val="0"/>
        <w:ind w:firstLine="720"/>
        <w:rPr>
          <w:snapToGrid/>
          <w:color w:val="010101"/>
          <w:kern w:val="0"/>
          <w:szCs w:val="22"/>
        </w:rPr>
      </w:pPr>
    </w:p>
    <w:p w:rsidR="003C2BDE" w:rsidP="003C2BDE" w14:paraId="3C6E6261" w14:textId="77777777">
      <w:pPr>
        <w:widowControl/>
        <w:autoSpaceDE w:val="0"/>
        <w:autoSpaceDN w:val="0"/>
        <w:adjustRightInd w:val="0"/>
        <w:ind w:firstLine="720"/>
      </w:pPr>
      <w:r w:rsidRPr="03AE99B6">
        <w:rPr>
          <w:color w:val="010101"/>
        </w:rPr>
        <w:t xml:space="preserve">For further information regarding this proceeding, please contact </w:t>
      </w:r>
      <w:bookmarkStart w:id="3" w:name="_Hlk103934661"/>
      <w:r w:rsidRPr="03AE99B6">
        <w:rPr>
          <w:color w:val="010101"/>
        </w:rPr>
        <w:t xml:space="preserve">Stacy Ferraro, </w:t>
      </w:r>
      <w:hyperlink r:id="rId6" w:history="1">
        <w:r w:rsidRPr="03AE99B6">
          <w:rPr>
            <w:rStyle w:val="Hyperlink"/>
          </w:rPr>
          <w:t>Stacy.Ferraro@fcc.gov</w:t>
        </w:r>
      </w:hyperlink>
      <w:r w:rsidRPr="03AE99B6">
        <w:rPr>
          <w:color w:val="010101"/>
        </w:rPr>
        <w:t xml:space="preserve">; Catherine Matraves, </w:t>
      </w:r>
      <w:hyperlink r:id="rId7" w:history="1">
        <w:r w:rsidRPr="03AE99B6">
          <w:rPr>
            <w:rStyle w:val="Hyperlink"/>
          </w:rPr>
          <w:t>Catherine.Matraves@fcc.gov</w:t>
        </w:r>
      </w:hyperlink>
      <w:r w:rsidRPr="03AE99B6">
        <w:rPr>
          <w:color w:val="010101"/>
        </w:rPr>
        <w:t xml:space="preserve">; and Joel Rabinovitz, </w:t>
      </w:r>
      <w:hyperlink r:id="rId8" w:history="1">
        <w:r w:rsidRPr="03AE99B6">
          <w:rPr>
            <w:rStyle w:val="Hyperlink"/>
          </w:rPr>
          <w:t>Joel.Rabinovitz@fcc.gov</w:t>
        </w:r>
      </w:hyperlink>
      <w:bookmarkEnd w:id="3"/>
      <w:r w:rsidRPr="03AE99B6">
        <w:rPr>
          <w:color w:val="010101"/>
        </w:rPr>
        <w:t xml:space="preserve">. </w:t>
      </w:r>
      <w:r>
        <w:t xml:space="preserve"> </w:t>
      </w:r>
    </w:p>
    <w:p w:rsidR="003C2BDE" w:rsidP="003C2BDE" w14:paraId="71C0FAFA" w14:textId="77777777">
      <w:pPr>
        <w:widowControl/>
        <w:autoSpaceDE w:val="0"/>
        <w:autoSpaceDN w:val="0"/>
        <w:adjustRightInd w:val="0"/>
        <w:ind w:firstLine="720"/>
      </w:pPr>
    </w:p>
    <w:p w:rsidR="003C2BDE" w:rsidRPr="00C9551A" w:rsidP="003C2BDE" w14:paraId="13693D90" w14:textId="77777777">
      <w:pPr>
        <w:widowControl/>
        <w:autoSpaceDE w:val="0"/>
        <w:autoSpaceDN w:val="0"/>
        <w:adjustRightInd w:val="0"/>
        <w:ind w:firstLine="720"/>
        <w:rPr>
          <w:snapToGrid/>
          <w:color w:val="010101"/>
          <w:kern w:val="0"/>
        </w:rPr>
      </w:pPr>
      <w:r>
        <w:rPr>
          <w:kern w:val="0"/>
          <w:szCs w:val="22"/>
        </w:rPr>
        <w:t>Action by Acting Chief, Wireless Telecommunications Bureau.</w:t>
      </w:r>
    </w:p>
    <w:p w:rsidR="003C2BDE" w:rsidP="003C2BDE" w14:paraId="476B70CA" w14:textId="77777777"/>
    <w:p w:rsidR="003C2BDE" w:rsidRPr="008801E1" w:rsidP="003C2BDE" w14:paraId="7FD2C70D" w14:textId="77777777">
      <w:pPr>
        <w:jc w:val="center"/>
        <w:rPr>
          <w:b/>
          <w:bCs/>
        </w:rPr>
      </w:pPr>
      <w:r w:rsidRPr="008801E1">
        <w:rPr>
          <w:b/>
          <w:bCs/>
        </w:rPr>
        <w:t>-FCC-</w:t>
      </w:r>
    </w:p>
    <w:p w:rsidR="003C2BDE" w:rsidRPr="003C2BDE" w:rsidP="003C2BDE" w14:paraId="570C6192" w14:textId="77777777"/>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9A" w14:paraId="72F41F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349A" w14:paraId="1A7837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9A" w14:paraId="2F5C98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9A" w14:paraId="6A8819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2BDE" w14:paraId="11080B5D" w14:textId="77777777">
      <w:r>
        <w:separator/>
      </w:r>
    </w:p>
  </w:footnote>
  <w:footnote w:type="continuationSeparator" w:id="1">
    <w:p w:rsidR="003C2BDE" w14:paraId="6C79D51B" w14:textId="77777777">
      <w:pPr>
        <w:rPr>
          <w:sz w:val="20"/>
        </w:rPr>
      </w:pPr>
      <w:r>
        <w:rPr>
          <w:sz w:val="20"/>
        </w:rPr>
        <w:t xml:space="preserve">(Continued from previous page)  </w:t>
      </w:r>
      <w:r>
        <w:rPr>
          <w:sz w:val="20"/>
        </w:rPr>
        <w:separator/>
      </w:r>
    </w:p>
  </w:footnote>
  <w:footnote w:type="continuationNotice" w:id="2">
    <w:p w:rsidR="003C2BDE" w14:paraId="7C8ED045" w14:textId="77777777">
      <w:pPr>
        <w:jc w:val="right"/>
        <w:rPr>
          <w:sz w:val="20"/>
        </w:rPr>
      </w:pPr>
      <w:r>
        <w:rPr>
          <w:sz w:val="20"/>
        </w:rPr>
        <w:t>(continued….)</w:t>
      </w:r>
    </w:p>
  </w:footnote>
  <w:footnote w:id="3">
    <w:p w:rsidR="003C2BDE" w:rsidP="003C2BDE" w14:paraId="19E23F9F" w14:textId="77777777">
      <w:pPr>
        <w:pStyle w:val="FootnoteText"/>
      </w:pPr>
      <w:r w:rsidRPr="55618240">
        <w:rPr>
          <w:rStyle w:val="FootnoteReference"/>
        </w:rPr>
        <w:footnoteRef/>
      </w:r>
      <w:r>
        <w:t xml:space="preserve"> </w:t>
      </w:r>
      <w:r>
        <w:rPr>
          <w:i/>
          <w:iCs/>
        </w:rPr>
        <w:t>Applications of T-Mobile US, Inc., and Sprint Corporation for Consent to Transfer Control of Licenses and Authorizations</w:t>
      </w:r>
      <w:r w:rsidRPr="00A56FF2">
        <w:t>,</w:t>
      </w:r>
      <w:r>
        <w:rPr>
          <w:i/>
          <w:iCs/>
        </w:rPr>
        <w:t xml:space="preserve"> </w:t>
      </w:r>
      <w:r w:rsidRPr="00A56FF2">
        <w:t>WT Docket No. 18-197, Memorandum Opinion and Order, Declaratory Ruling, and Order of Proposed Modification, 34 FCC</w:t>
      </w:r>
      <w:r>
        <w:t xml:space="preserve"> </w:t>
      </w:r>
      <w:r>
        <w:t>Rcd</w:t>
      </w:r>
      <w:r>
        <w:t xml:space="preserve"> </w:t>
      </w:r>
      <w:r w:rsidRPr="00A56FF2">
        <w:t>10578</w:t>
      </w:r>
      <w:r>
        <w:t>, 10801-28, Appendix G (2019) (</w:t>
      </w:r>
      <w:r w:rsidRPr="00A56FF2">
        <w:rPr>
          <w:i/>
          <w:iCs/>
        </w:rPr>
        <w:t>T-Mobile-Sprint Order</w:t>
      </w:r>
      <w:r>
        <w:t>).</w:t>
      </w:r>
    </w:p>
  </w:footnote>
  <w:footnote w:id="4">
    <w:p w:rsidR="003C2BDE" w:rsidP="003C2BDE" w14:paraId="17AF897C" w14:textId="77777777">
      <w:pPr>
        <w:pStyle w:val="FootnoteText"/>
      </w:pPr>
      <w:r>
        <w:rPr>
          <w:rStyle w:val="FootnoteReference"/>
        </w:rPr>
        <w:footnoteRef/>
      </w:r>
      <w:r>
        <w:t xml:space="preserve"> </w:t>
      </w:r>
      <w:r w:rsidRPr="009D1BF8">
        <w:rPr>
          <w:i/>
          <w:iCs/>
        </w:rPr>
        <w:t>T-Mobile-Sprint Order</w:t>
      </w:r>
      <w:r>
        <w:t xml:space="preserve">, 34 FCC </w:t>
      </w:r>
      <w:r>
        <w:t>Rcd</w:t>
      </w:r>
      <w:r>
        <w:t xml:space="preserve"> at 10746-47, paras. 387-93.</w:t>
      </w:r>
    </w:p>
  </w:footnote>
  <w:footnote w:id="5">
    <w:p w:rsidR="003C2BDE" w:rsidP="003C2BDE" w14:paraId="443A21E7" w14:textId="77777777">
      <w:pPr>
        <w:pStyle w:val="FootnoteText"/>
      </w:pPr>
      <w:r>
        <w:rPr>
          <w:rStyle w:val="FootnoteReference"/>
        </w:rPr>
        <w:footnoteRef/>
      </w:r>
      <w:r>
        <w:t xml:space="preserve"> </w:t>
      </w:r>
      <w:bookmarkStart w:id="2" w:name="_Hlk103841617"/>
      <w:r>
        <w:rPr>
          <w:i/>
          <w:iCs/>
        </w:rPr>
        <w:t>Id.</w:t>
      </w:r>
      <w:r>
        <w:t xml:space="preserve"> at 10801-28, Appendix G.</w:t>
      </w:r>
      <w:bookmarkEnd w:id="2"/>
    </w:p>
  </w:footnote>
  <w:footnote w:id="6">
    <w:p w:rsidR="003C2BDE" w:rsidRPr="00526349" w:rsidP="003C2BDE" w14:paraId="05337C2E"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7">
    <w:p w:rsidR="003C2BDE" w:rsidRPr="0014668A" w:rsidP="003C2BDE" w14:paraId="232F9B5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9A" w14:paraId="4BEB0B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9A" w14:paraId="62CAD7F6" w14:textId="62C9F2B5">
    <w:pPr>
      <w:tabs>
        <w:tab w:val="center" w:pos="4680"/>
        <w:tab w:val="right" w:pos="9360"/>
      </w:tabs>
    </w:pPr>
    <w:r>
      <w:rPr>
        <w:b/>
      </w:rPr>
      <w:tab/>
      <w:t>Federal Communications Commission</w:t>
    </w:r>
    <w:r>
      <w:rPr>
        <w:b/>
      </w:rPr>
      <w:tab/>
    </w:r>
    <w:r w:rsidR="0047243C">
      <w:rPr>
        <w:b/>
      </w:rPr>
      <w:t xml:space="preserve">DA </w:t>
    </w:r>
    <w:r w:rsidR="0047243C">
      <w:rPr>
        <w:b/>
      </w:rPr>
      <w:t>22-571</w:t>
    </w:r>
  </w:p>
  <w:p w:rsidR="00D3349A" w14:paraId="1ACBDE7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3349A" w14:paraId="1A2377B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9A" w14:paraId="5FD336C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DE"/>
    <w:rsid w:val="0014668A"/>
    <w:rsid w:val="003C2BDE"/>
    <w:rsid w:val="0047243C"/>
    <w:rsid w:val="00526349"/>
    <w:rsid w:val="006C09B1"/>
    <w:rsid w:val="008801E1"/>
    <w:rsid w:val="00982DC5"/>
    <w:rsid w:val="009D1BF8"/>
    <w:rsid w:val="00A56FF2"/>
    <w:rsid w:val="00BE6F98"/>
    <w:rsid w:val="00C45147"/>
    <w:rsid w:val="00C9551A"/>
    <w:rsid w:val="00D3349A"/>
    <w:rsid w:val="03AE99B6"/>
    <w:rsid w:val="0424F67D"/>
    <w:rsid w:val="4D9EE9AA"/>
    <w:rsid w:val="50B7C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225A41"/>
  <w15:chartTrackingRefBased/>
  <w15:docId w15:val="{40AA4CDB-76AA-45EB-B6BD-84E2C15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2BDE"/>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3C2BDE"/>
  </w:style>
  <w:style w:type="paragraph" w:styleId="ListParagraph">
    <w:name w:val="List Paragraph"/>
    <w:basedOn w:val="Normal"/>
    <w:uiPriority w:val="34"/>
    <w:qFormat/>
    <w:rsid w:val="003C2B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tacy.Ferraro@fcc.gov" TargetMode="External" /><Relationship Id="rId7" Type="http://schemas.openxmlformats.org/officeDocument/2006/relationships/hyperlink" Target="mailto:Catherine.Matraves@fcc.gov" TargetMode="External" /><Relationship Id="rId8" Type="http://schemas.openxmlformats.org/officeDocument/2006/relationships/hyperlink" Target="mailto:Joel.Rabinovitz@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