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40269" w:rsidP="00A40269" w14:paraId="5CFEE656" w14:textId="77777777">
      <w:pPr>
        <w:jc w:val="center"/>
        <w:outlineLvl w:val="1"/>
      </w:pPr>
      <w:r w:rsidRPr="0070224F">
        <w:rPr>
          <w:rFonts w:ascii="Times New Roman Bold" w:hAnsi="Times New Roman Bold"/>
          <w:b/>
          <w:kern w:val="0"/>
          <w:szCs w:val="22"/>
        </w:rPr>
        <w:t>Before</w:t>
      </w:r>
      <w:r>
        <w:rPr>
          <w:b/>
        </w:rPr>
        <w:t xml:space="preserve"> the</w:t>
      </w:r>
    </w:p>
    <w:p w:rsidR="00A40269" w:rsidP="00A40269" w14:paraId="39D7526D" w14:textId="77777777">
      <w:pPr>
        <w:pStyle w:val="StyleBoldCentered"/>
        <w:ind w:firstLine="720"/>
        <w:jc w:val="left"/>
      </w:pPr>
      <w:r>
        <w:t xml:space="preserve">                                      F</w:t>
      </w:r>
      <w:r>
        <w:rPr>
          <w:caps w:val="0"/>
        </w:rPr>
        <w:t>ederal Communications Commission</w:t>
      </w:r>
    </w:p>
    <w:p w:rsidR="00A40269" w:rsidP="00A40269" w14:paraId="1481E9A1" w14:textId="77777777">
      <w:pPr>
        <w:pStyle w:val="StyleBoldCentered"/>
      </w:pPr>
      <w:r>
        <w:rPr>
          <w:caps w:val="0"/>
        </w:rPr>
        <w:t>Washington, D.C. 20554</w:t>
      </w:r>
    </w:p>
    <w:p w:rsidR="00A40269" w:rsidP="00A40269" w14:paraId="56EC8AA5" w14:textId="77777777">
      <w:pPr>
        <w:jc w:val="center"/>
      </w:pPr>
    </w:p>
    <w:p w:rsidR="00A40269" w:rsidP="00A40269" w14:paraId="4B8FCEE2" w14:textId="77777777"/>
    <w:tbl>
      <w:tblPr>
        <w:tblW w:w="0" w:type="auto"/>
        <w:tblLayout w:type="fixed"/>
        <w:tblLook w:val="0000"/>
      </w:tblPr>
      <w:tblGrid>
        <w:gridCol w:w="4698"/>
        <w:gridCol w:w="630"/>
        <w:gridCol w:w="4248"/>
      </w:tblGrid>
      <w:tr w14:paraId="5CC3B872" w14:textId="77777777" w:rsidTr="00406980">
        <w:tblPrEx>
          <w:tblW w:w="0" w:type="auto"/>
          <w:tblLayout w:type="fixed"/>
          <w:tblLook w:val="0000"/>
        </w:tblPrEx>
        <w:tc>
          <w:tcPr>
            <w:tcW w:w="4698" w:type="dxa"/>
          </w:tcPr>
          <w:p w:rsidR="00A40269" w:rsidP="00406980" w14:paraId="67008000" w14:textId="77777777">
            <w:pPr>
              <w:tabs>
                <w:tab w:val="center" w:pos="4680"/>
              </w:tabs>
              <w:suppressAutoHyphens/>
              <w:rPr>
                <w:spacing w:val="-2"/>
              </w:rPr>
            </w:pPr>
            <w:r>
              <w:rPr>
                <w:spacing w:val="-2"/>
              </w:rPr>
              <w:t>In the Matter of</w:t>
            </w:r>
          </w:p>
          <w:p w:rsidR="00A40269" w:rsidP="00406980" w14:paraId="193B8048" w14:textId="77777777">
            <w:pPr>
              <w:tabs>
                <w:tab w:val="center" w:pos="4680"/>
              </w:tabs>
              <w:suppressAutoHyphens/>
              <w:rPr>
                <w:spacing w:val="-2"/>
              </w:rPr>
            </w:pPr>
          </w:p>
          <w:p w:rsidR="00A40269" w:rsidP="00406980" w14:paraId="1AB4FC70" w14:textId="77777777">
            <w:pPr>
              <w:tabs>
                <w:tab w:val="center" w:pos="4680"/>
              </w:tabs>
              <w:suppressAutoHyphens/>
              <w:rPr>
                <w:spacing w:val="-2"/>
              </w:rPr>
            </w:pPr>
            <w:r>
              <w:rPr>
                <w:spacing w:val="-2"/>
              </w:rPr>
              <w:t>Hiber</w:t>
            </w:r>
            <w:r>
              <w:rPr>
                <w:spacing w:val="-2"/>
              </w:rPr>
              <w:t xml:space="preserve">, Inc. </w:t>
            </w:r>
          </w:p>
          <w:p w:rsidR="00A40269" w:rsidP="00406980" w14:paraId="2C450398" w14:textId="77777777">
            <w:pPr>
              <w:tabs>
                <w:tab w:val="center" w:pos="4680"/>
              </w:tabs>
              <w:suppressAutoHyphens/>
              <w:rPr>
                <w:spacing w:val="-2"/>
              </w:rPr>
            </w:pPr>
          </w:p>
          <w:p w:rsidR="00A40269" w:rsidP="00406980" w14:paraId="6EA7ACD1" w14:textId="77777777">
            <w:pPr>
              <w:tabs>
                <w:tab w:val="center" w:pos="4680"/>
              </w:tabs>
              <w:suppressAutoHyphens/>
              <w:rPr>
                <w:spacing w:val="-2"/>
              </w:rPr>
            </w:pPr>
            <w:r>
              <w:rPr>
                <w:spacing w:val="-2"/>
              </w:rPr>
              <w:t xml:space="preserve">Request for Waiver or Reduction of Surety </w:t>
            </w:r>
          </w:p>
          <w:p w:rsidR="00A40269" w:rsidRPr="007115F7" w:rsidP="00406980" w14:paraId="319DBC85" w14:textId="77777777">
            <w:pPr>
              <w:tabs>
                <w:tab w:val="center" w:pos="4680"/>
              </w:tabs>
              <w:suppressAutoHyphens/>
              <w:rPr>
                <w:spacing w:val="-2"/>
              </w:rPr>
            </w:pPr>
            <w:r>
              <w:rPr>
                <w:spacing w:val="-2"/>
              </w:rPr>
              <w:t>Bond Default Payment</w:t>
            </w:r>
          </w:p>
        </w:tc>
        <w:tc>
          <w:tcPr>
            <w:tcW w:w="630" w:type="dxa"/>
          </w:tcPr>
          <w:p w:rsidR="00A40269" w:rsidP="00406980" w14:paraId="0B56180E" w14:textId="77777777">
            <w:pPr>
              <w:tabs>
                <w:tab w:val="center" w:pos="4680"/>
              </w:tabs>
              <w:suppressAutoHyphens/>
              <w:rPr>
                <w:b/>
                <w:spacing w:val="-2"/>
              </w:rPr>
            </w:pPr>
            <w:r>
              <w:rPr>
                <w:b/>
                <w:spacing w:val="-2"/>
              </w:rPr>
              <w:t>)</w:t>
            </w:r>
          </w:p>
          <w:p w:rsidR="00A40269" w:rsidP="00406980" w14:paraId="00E58D7B" w14:textId="77777777">
            <w:pPr>
              <w:tabs>
                <w:tab w:val="center" w:pos="4680"/>
              </w:tabs>
              <w:suppressAutoHyphens/>
              <w:rPr>
                <w:b/>
                <w:spacing w:val="-2"/>
              </w:rPr>
            </w:pPr>
            <w:r>
              <w:rPr>
                <w:b/>
                <w:spacing w:val="-2"/>
              </w:rPr>
              <w:t>)</w:t>
            </w:r>
          </w:p>
          <w:p w:rsidR="00A40269" w:rsidP="00406980" w14:paraId="01716A99" w14:textId="77777777">
            <w:pPr>
              <w:tabs>
                <w:tab w:val="center" w:pos="4680"/>
              </w:tabs>
              <w:suppressAutoHyphens/>
              <w:rPr>
                <w:b/>
                <w:spacing w:val="-2"/>
              </w:rPr>
            </w:pPr>
            <w:r>
              <w:rPr>
                <w:b/>
                <w:spacing w:val="-2"/>
              </w:rPr>
              <w:t>)</w:t>
            </w:r>
          </w:p>
          <w:p w:rsidR="00A40269" w:rsidP="00406980" w14:paraId="77132AEC" w14:textId="77777777">
            <w:pPr>
              <w:tabs>
                <w:tab w:val="center" w:pos="4680"/>
              </w:tabs>
              <w:suppressAutoHyphens/>
              <w:rPr>
                <w:b/>
                <w:spacing w:val="-2"/>
              </w:rPr>
            </w:pPr>
            <w:r>
              <w:rPr>
                <w:b/>
                <w:spacing w:val="-2"/>
              </w:rPr>
              <w:t>)</w:t>
            </w:r>
          </w:p>
          <w:p w:rsidR="00A40269" w:rsidRPr="00F81FCF" w:rsidP="00406980" w14:paraId="3562A60B" w14:textId="77777777">
            <w:pPr>
              <w:tabs>
                <w:tab w:val="center" w:pos="4680"/>
              </w:tabs>
              <w:suppressAutoHyphens/>
              <w:rPr>
                <w:b/>
                <w:bCs/>
                <w:spacing w:val="-2"/>
              </w:rPr>
            </w:pPr>
            <w:r w:rsidRPr="00F81FCF">
              <w:rPr>
                <w:b/>
                <w:bCs/>
                <w:spacing w:val="-2"/>
              </w:rPr>
              <w:t>)</w:t>
            </w:r>
          </w:p>
          <w:p w:rsidR="00A40269" w:rsidRPr="00F81FCF" w:rsidP="00406980" w14:paraId="2488BA5B" w14:textId="77777777">
            <w:pPr>
              <w:tabs>
                <w:tab w:val="center" w:pos="4680"/>
              </w:tabs>
              <w:suppressAutoHyphens/>
              <w:rPr>
                <w:b/>
                <w:bCs/>
                <w:spacing w:val="-2"/>
              </w:rPr>
            </w:pPr>
            <w:r w:rsidRPr="00F81FCF">
              <w:rPr>
                <w:b/>
                <w:bCs/>
                <w:spacing w:val="-2"/>
              </w:rPr>
              <w:t>)</w:t>
            </w:r>
          </w:p>
        </w:tc>
        <w:tc>
          <w:tcPr>
            <w:tcW w:w="4248" w:type="dxa"/>
          </w:tcPr>
          <w:p w:rsidR="00A40269" w:rsidP="00406980" w14:paraId="2C61FE0A" w14:textId="77777777">
            <w:pPr>
              <w:tabs>
                <w:tab w:val="center" w:pos="4680"/>
              </w:tabs>
              <w:suppressAutoHyphens/>
              <w:rPr>
                <w:spacing w:val="-2"/>
              </w:rPr>
            </w:pPr>
          </w:p>
          <w:p w:rsidR="00A40269" w:rsidP="00406980" w14:paraId="465B9C53" w14:textId="77777777">
            <w:pPr>
              <w:pStyle w:val="TOAHeading"/>
              <w:tabs>
                <w:tab w:val="center" w:pos="4680"/>
                <w:tab w:val="clear" w:pos="9360"/>
              </w:tabs>
              <w:rPr>
                <w:spacing w:val="-2"/>
              </w:rPr>
            </w:pPr>
          </w:p>
          <w:p w:rsidR="00A40269" w:rsidP="00406980" w14:paraId="4388FC10" w14:textId="77777777">
            <w:pPr>
              <w:tabs>
                <w:tab w:val="center" w:pos="4680"/>
              </w:tabs>
              <w:suppressAutoHyphens/>
              <w:rPr>
                <w:spacing w:val="-2"/>
              </w:rPr>
            </w:pPr>
            <w:r>
              <w:rPr>
                <w:spacing w:val="-2"/>
              </w:rPr>
              <w:t xml:space="preserve">IBFS File No.:  SAT-PDR-20180910-00069 </w:t>
            </w:r>
          </w:p>
          <w:p w:rsidR="00A40269" w:rsidRPr="00473A5A" w:rsidP="00406980" w14:paraId="793AB877" w14:textId="77777777">
            <w:pPr>
              <w:tabs>
                <w:tab w:val="center" w:pos="4680"/>
              </w:tabs>
              <w:suppressAutoHyphens/>
              <w:rPr>
                <w:i/>
                <w:iCs/>
                <w:color w:val="FF0000"/>
                <w:spacing w:val="-2"/>
                <w:sz w:val="18"/>
                <w:szCs w:val="18"/>
              </w:rPr>
            </w:pPr>
            <w:r>
              <w:rPr>
                <w:spacing w:val="-2"/>
              </w:rPr>
              <w:t>Call Sign S3038</w:t>
            </w:r>
          </w:p>
        </w:tc>
      </w:tr>
      <w:tr w14:paraId="3930DAF8" w14:textId="77777777" w:rsidTr="00406980">
        <w:tblPrEx>
          <w:tblW w:w="0" w:type="auto"/>
          <w:tblLayout w:type="fixed"/>
          <w:tblLook w:val="0000"/>
        </w:tblPrEx>
        <w:tc>
          <w:tcPr>
            <w:tcW w:w="4698" w:type="dxa"/>
          </w:tcPr>
          <w:p w:rsidR="00A40269" w:rsidP="00406980" w14:paraId="5B87DA22" w14:textId="77777777">
            <w:pPr>
              <w:tabs>
                <w:tab w:val="center" w:pos="4680"/>
              </w:tabs>
              <w:suppressAutoHyphens/>
              <w:rPr>
                <w:spacing w:val="-2"/>
              </w:rPr>
            </w:pPr>
          </w:p>
        </w:tc>
        <w:tc>
          <w:tcPr>
            <w:tcW w:w="630" w:type="dxa"/>
          </w:tcPr>
          <w:p w:rsidR="00A40269" w:rsidP="00406980" w14:paraId="05C839B3" w14:textId="77777777">
            <w:pPr>
              <w:tabs>
                <w:tab w:val="center" w:pos="4680"/>
              </w:tabs>
              <w:suppressAutoHyphens/>
              <w:rPr>
                <w:b/>
                <w:spacing w:val="-2"/>
              </w:rPr>
            </w:pPr>
          </w:p>
        </w:tc>
        <w:tc>
          <w:tcPr>
            <w:tcW w:w="4248" w:type="dxa"/>
          </w:tcPr>
          <w:p w:rsidR="00A40269" w:rsidP="00406980" w14:paraId="6D5A385B" w14:textId="77777777">
            <w:pPr>
              <w:tabs>
                <w:tab w:val="center" w:pos="4680"/>
              </w:tabs>
              <w:suppressAutoHyphens/>
              <w:rPr>
                <w:spacing w:val="-2"/>
              </w:rPr>
            </w:pPr>
          </w:p>
        </w:tc>
      </w:tr>
    </w:tbl>
    <w:p w:rsidR="00A40269" w:rsidP="00A40269" w14:paraId="224D22C1" w14:textId="77777777"/>
    <w:p w:rsidR="00A40269" w:rsidP="00A40269" w14:paraId="60809A5E" w14:textId="77777777">
      <w:pPr>
        <w:pStyle w:val="StyleBoldCentered"/>
      </w:pPr>
      <w:r>
        <w:t>Memorandum opinion and ordeR</w:t>
      </w:r>
    </w:p>
    <w:p w:rsidR="00A40269" w:rsidP="00A40269" w14:paraId="40AEEFD9" w14:textId="77777777">
      <w:pPr>
        <w:pStyle w:val="StyleBoldCentered"/>
      </w:pPr>
    </w:p>
    <w:p w:rsidR="00A40269" w:rsidRPr="004A4CF8" w:rsidP="00A40269" w14:paraId="123440A9" w14:textId="31C0C4F3">
      <w:pPr>
        <w:pStyle w:val="StyleBoldCentered"/>
        <w:jc w:val="left"/>
      </w:pPr>
      <w:r>
        <w:rPr>
          <w:caps w:val="0"/>
        </w:rPr>
        <w:t>Adopted</w:t>
      </w:r>
      <w:r>
        <w:rPr>
          <w:b w:val="0"/>
          <w:spacing w:val="-2"/>
        </w:rPr>
        <w:t xml:space="preserve">:  </w:t>
      </w:r>
      <w:r>
        <w:rPr>
          <w:b w:val="0"/>
          <w:caps w:val="0"/>
          <w:spacing w:val="-2"/>
        </w:rPr>
        <w:t xml:space="preserve">June </w:t>
      </w:r>
      <w:r w:rsidR="000B30F6">
        <w:rPr>
          <w:b w:val="0"/>
          <w:caps w:val="0"/>
          <w:spacing w:val="-2"/>
        </w:rPr>
        <w:t>2</w:t>
      </w:r>
      <w:r>
        <w:rPr>
          <w:b w:val="0"/>
          <w:caps w:val="0"/>
          <w:spacing w:val="-2"/>
        </w:rPr>
        <w:t>, 2022</w:t>
      </w:r>
      <w:r>
        <w:rPr>
          <w:b w:val="0"/>
          <w:spacing w:val="-2"/>
        </w:rPr>
        <w:tab/>
        <w:t xml:space="preserve">      </w:t>
      </w:r>
      <w:r>
        <w:rPr>
          <w:b w:val="0"/>
          <w:spacing w:val="-2"/>
        </w:rPr>
        <w:tab/>
      </w:r>
      <w:r>
        <w:rPr>
          <w:b w:val="0"/>
          <w:spacing w:val="-2"/>
        </w:rPr>
        <w:tab/>
      </w:r>
      <w:r>
        <w:rPr>
          <w:b w:val="0"/>
          <w:spacing w:val="-2"/>
        </w:rPr>
        <w:tab/>
        <w:t xml:space="preserve"> </w:t>
      </w:r>
      <w:r>
        <w:rPr>
          <w:b w:val="0"/>
          <w:spacing w:val="-2"/>
        </w:rPr>
        <w:tab/>
      </w:r>
      <w:r>
        <w:rPr>
          <w:b w:val="0"/>
          <w:spacing w:val="-2"/>
        </w:rPr>
        <w:tab/>
      </w:r>
      <w:r>
        <w:rPr>
          <w:b w:val="0"/>
          <w:spacing w:val="-2"/>
        </w:rPr>
        <w:tab/>
      </w:r>
      <w:r>
        <w:rPr>
          <w:b w:val="0"/>
          <w:spacing w:val="-2"/>
        </w:rPr>
        <w:tab/>
      </w:r>
      <w:r>
        <w:rPr>
          <w:b w:val="0"/>
          <w:caps w:val="0"/>
          <w:spacing w:val="-2"/>
        </w:rPr>
        <w:t>Released</w:t>
      </w:r>
      <w:r>
        <w:rPr>
          <w:b w:val="0"/>
          <w:spacing w:val="-2"/>
        </w:rPr>
        <w:t xml:space="preserve">:  </w:t>
      </w:r>
      <w:r>
        <w:rPr>
          <w:b w:val="0"/>
          <w:caps w:val="0"/>
          <w:spacing w:val="-2"/>
        </w:rPr>
        <w:t xml:space="preserve">June </w:t>
      </w:r>
      <w:r w:rsidR="000B30F6">
        <w:rPr>
          <w:b w:val="0"/>
          <w:caps w:val="0"/>
          <w:spacing w:val="-2"/>
        </w:rPr>
        <w:t>2</w:t>
      </w:r>
      <w:r>
        <w:rPr>
          <w:b w:val="0"/>
          <w:caps w:val="0"/>
          <w:spacing w:val="-2"/>
        </w:rPr>
        <w:t>, 2022</w:t>
      </w:r>
    </w:p>
    <w:p w:rsidR="00A40269" w:rsidP="00A40269" w14:paraId="2E99215B" w14:textId="77777777"/>
    <w:p w:rsidR="00A40269" w:rsidP="00A40269" w14:paraId="43A17F38" w14:textId="77777777">
      <w:r>
        <w:t xml:space="preserve">By the Chief, International Bureau:   </w:t>
      </w:r>
    </w:p>
    <w:p w:rsidR="00A40269" w:rsidP="00A40269" w14:paraId="259A550C" w14:textId="77777777">
      <w:r>
        <w:t xml:space="preserve"> </w:t>
      </w:r>
    </w:p>
    <w:p w:rsidR="00A40269" w:rsidP="00A40269" w14:paraId="2CBD6EB3" w14:textId="77777777">
      <w:pPr>
        <w:pStyle w:val="Heading1"/>
      </w:pPr>
      <w:r w:rsidRPr="0085523A">
        <w:t>INTRODUCTION</w:t>
      </w:r>
    </w:p>
    <w:p w:rsidR="00A40269" w:rsidP="00A40269" w14:paraId="7A4C8B7C" w14:textId="77777777">
      <w:pPr>
        <w:pStyle w:val="ParaNum"/>
        <w:tabs>
          <w:tab w:val="clear" w:pos="1080"/>
        </w:tabs>
      </w:pPr>
      <w:r>
        <w:t xml:space="preserve">By this Order, we deny the request of </w:t>
      </w:r>
      <w:r>
        <w:t>Hiber</w:t>
      </w:r>
      <w:r>
        <w:t xml:space="preserve">, Inc. to waive or reduce the surety bond associated with its grant of U.S. market access to provide non-voice, non-geostationary (NVNG) mobile satellite services (MSS).  On September 24, 2021, </w:t>
      </w:r>
      <w:r>
        <w:t>Hiber</w:t>
      </w:r>
      <w:r>
        <w:t xml:space="preserve"> surrendered its grant of U.S. market access which, under the Commission’s rules and as conditioned in the grant, results in the forfeiture of </w:t>
      </w:r>
      <w:r>
        <w:t>Hiber’s</w:t>
      </w:r>
      <w:r>
        <w:t xml:space="preserve"> surety bond.  We find that </w:t>
      </w:r>
      <w:r>
        <w:t>Hiber</w:t>
      </w:r>
      <w:r>
        <w:t xml:space="preserve"> has failed to demonstrate that a waiver or reduction of the bond would not undermine the purpose of the rule or that a waiver would serve the public interest.  </w:t>
      </w:r>
      <w:r w:rsidRPr="00A652F7">
        <w:t xml:space="preserve">Consequently, the outstanding balance on the bond </w:t>
      </w:r>
      <w:r>
        <w:t>is due and payable to the U.S. T</w:t>
      </w:r>
      <w:r w:rsidRPr="00A652F7">
        <w:t xml:space="preserve">reasury </w:t>
      </w:r>
      <w:r>
        <w:t>upon written notice from the Commission’s Office of Managing Director.</w:t>
      </w:r>
      <w:r>
        <w:rPr>
          <w:rStyle w:val="FootnoteReference"/>
        </w:rPr>
        <w:footnoteReference w:id="3"/>
      </w:r>
    </w:p>
    <w:p w:rsidR="00A40269" w:rsidRPr="000B0AAB" w:rsidP="00A40269" w14:paraId="659018AB" w14:textId="77777777">
      <w:pPr>
        <w:pStyle w:val="Heading1"/>
        <w:rPr>
          <w:b w:val="0"/>
          <w:bCs/>
        </w:rPr>
      </w:pPr>
      <w:r w:rsidRPr="000B0AAB">
        <w:t>BACKGROUND</w:t>
      </w:r>
    </w:p>
    <w:p w:rsidR="00A40269" w:rsidP="00733BFD" w14:paraId="640F4571" w14:textId="77777777">
      <w:pPr>
        <w:pStyle w:val="ParaNum"/>
        <w:widowControl/>
        <w:tabs>
          <w:tab w:val="clear" w:pos="1080"/>
        </w:tabs>
      </w:pPr>
      <w:r>
        <w:t xml:space="preserve">On May 6, 2020, the International Bureau granted </w:t>
      </w:r>
      <w:r>
        <w:t>Hiber’s</w:t>
      </w:r>
      <w:r>
        <w:t xml:space="preserve"> petition to access the U.S. market to provide NVNG MSS using a constellation of up to 24 low-Earth orbit satellites authorized by the Netherlands.</w:t>
      </w:r>
      <w:r>
        <w:rPr>
          <w:rStyle w:val="FootnoteReference"/>
        </w:rPr>
        <w:footnoteReference w:id="4"/>
      </w:r>
      <w:r>
        <w:t xml:space="preserve">  </w:t>
      </w:r>
      <w:r>
        <w:t>Hiber’s</w:t>
      </w:r>
      <w:r>
        <w:t xml:space="preserve"> petition was included as part of a processing round for NVNG MSS systems in the 399.9-400.05 MHz and 400.15-401 MHz bands.</w:t>
      </w:r>
      <w:r>
        <w:rPr>
          <w:rStyle w:val="FootnoteReference"/>
        </w:rPr>
        <w:footnoteReference w:id="5"/>
      </w:r>
      <w:r>
        <w:t xml:space="preserve">  As a condition to its grant, </w:t>
      </w:r>
      <w:r>
        <w:t>Hiber</w:t>
      </w:r>
      <w:r>
        <w:t xml:space="preserve"> was required to meet launch and operation milestones, specifically, launch and operate 50 percent (12) of its proposed space stations, no later than May 6, 2026, and launch and operate the remaining space stations by May 6, 2029.</w:t>
      </w:r>
      <w:r>
        <w:rPr>
          <w:rStyle w:val="FootnoteReference"/>
        </w:rPr>
        <w:footnoteReference w:id="6"/>
      </w:r>
      <w:r>
        <w:t xml:space="preserve">  </w:t>
      </w:r>
      <w:r>
        <w:t>Hiber</w:t>
      </w:r>
      <w:r>
        <w:t xml:space="preserve"> was also required to post a surety bond, and maintain the surety bond in accordance with section 25.165 of the Commission’s rules to assure payment in the event of failure to meet its milestone </w:t>
      </w:r>
      <w:r>
        <w:t>obligation to launch 50 percent of its proposed space stations.</w:t>
      </w:r>
      <w:r>
        <w:rPr>
          <w:rStyle w:val="FootnoteReference"/>
        </w:rPr>
        <w:footnoteReference w:id="7"/>
      </w:r>
      <w:r>
        <w:t xml:space="preserve">  </w:t>
      </w:r>
      <w:r>
        <w:t>Hiber’s</w:t>
      </w:r>
      <w:r>
        <w:t xml:space="preserve"> grant was conditioned accordingly.</w:t>
      </w:r>
      <w:r>
        <w:rPr>
          <w:rStyle w:val="FootnoteReference"/>
        </w:rPr>
        <w:footnoteReference w:id="8"/>
      </w:r>
    </w:p>
    <w:p w:rsidR="00A40269" w:rsidP="00A40269" w14:paraId="38E7DA6A" w14:textId="77777777">
      <w:pPr>
        <w:pStyle w:val="ParaNum"/>
        <w:tabs>
          <w:tab w:val="clear" w:pos="1080"/>
        </w:tabs>
      </w:pPr>
      <w:r>
        <w:t>Hiber</w:t>
      </w:r>
      <w:r>
        <w:t xml:space="preserve"> submitted its initial bond for $1.67 million on May 29, 2020, and filed a rider to the bond increasing the amount to $2,336,980 on April 6, 2021.</w:t>
      </w:r>
      <w:r>
        <w:rPr>
          <w:rStyle w:val="FootnoteReference"/>
        </w:rPr>
        <w:footnoteReference w:id="9"/>
      </w:r>
      <w:r>
        <w:t xml:space="preserve">  On September 24, 2021, </w:t>
      </w:r>
      <w:r>
        <w:t>Hiber</w:t>
      </w:r>
      <w:r>
        <w:t xml:space="preserve"> surrendered its grant of U.S. market access.</w:t>
      </w:r>
      <w:r>
        <w:rPr>
          <w:rStyle w:val="FootnoteReference"/>
        </w:rPr>
        <w:footnoteReference w:id="10"/>
      </w:r>
      <w:r>
        <w:t xml:space="preserve">  In its surrender letter, </w:t>
      </w:r>
      <w:r>
        <w:t>Hiber</w:t>
      </w:r>
      <w:r>
        <w:t xml:space="preserve"> explains that it was no longer developing its system, and no longer seeks to provide services to the United States through this system.  </w:t>
      </w:r>
      <w:r>
        <w:t>Hiber</w:t>
      </w:r>
      <w:r>
        <w:t xml:space="preserve"> acknowledged that its surety bond “will be used to pay the default payment specified in 47 C.F.R. § 25.165(c).”</w:t>
      </w:r>
      <w:r>
        <w:rPr>
          <w:rStyle w:val="FootnoteReference"/>
        </w:rPr>
        <w:footnoteReference w:id="11"/>
      </w:r>
      <w:r>
        <w:t xml:space="preserve">  However, in its surrender letter </w:t>
      </w:r>
      <w:r>
        <w:t>Hiber</w:t>
      </w:r>
      <w:r>
        <w:t xml:space="preserve">  requested a waiver or reduction of the surety bond default payment.  </w:t>
      </w:r>
    </w:p>
    <w:p w:rsidR="00A40269" w:rsidP="00A40269" w14:paraId="31B2F099" w14:textId="77777777">
      <w:pPr>
        <w:pStyle w:val="ParaNum"/>
        <w:tabs>
          <w:tab w:val="clear" w:pos="1080"/>
        </w:tabs>
      </w:pPr>
      <w:r>
        <w:t>Hiber</w:t>
      </w:r>
      <w:r>
        <w:t xml:space="preserve"> asserts there is good cause to grant a waiver or reduce the amount of the bond based on its good faith in taking tangible steps to deploy its system.</w:t>
      </w:r>
      <w:r>
        <w:rPr>
          <w:rStyle w:val="FootnoteReference"/>
        </w:rPr>
        <w:footnoteReference w:id="12"/>
      </w:r>
      <w:r>
        <w:t xml:space="preserve">  </w:t>
      </w:r>
      <w:r>
        <w:t>Hiber</w:t>
      </w:r>
      <w:r>
        <w:t xml:space="preserve"> states it was committed to building its network and did not engage in spectrum warehousing.  In support, </w:t>
      </w:r>
      <w:r>
        <w:t>Hiber</w:t>
      </w:r>
      <w:r>
        <w:t xml:space="preserve"> notes that it launched four of its 24 satellites, constructed two ground stations, and coordinated frequencies with a number of operators.</w:t>
      </w:r>
      <w:r>
        <w:rPr>
          <w:rStyle w:val="FootnoteReference"/>
        </w:rPr>
        <w:footnoteReference w:id="13"/>
      </w:r>
      <w:r>
        <w:t xml:space="preserve">  The costs associated with developing its system, </w:t>
      </w:r>
      <w:r>
        <w:t>Hiber</w:t>
      </w:r>
      <w:r>
        <w:t xml:space="preserve"> reports, including construction, launch, coordination, and other associated expenses totaled $33 million over approximately six years.</w:t>
      </w:r>
      <w:r>
        <w:rPr>
          <w:rStyle w:val="FootnoteReference"/>
        </w:rPr>
        <w:footnoteReference w:id="14"/>
      </w:r>
    </w:p>
    <w:p w:rsidR="00A40269" w:rsidP="00A40269" w14:paraId="38C4DA20" w14:textId="77777777">
      <w:pPr>
        <w:pStyle w:val="ParaNum"/>
        <w:tabs>
          <w:tab w:val="clear" w:pos="1080"/>
        </w:tabs>
      </w:pPr>
      <w:r>
        <w:t>Hiber</w:t>
      </w:r>
      <w:r>
        <w:t xml:space="preserve"> further explains that two of the four satellites it launched are non-operational, and that technical issues with the other two satellites prevent it from providing commercial service.  As a result of these issues, it has not been able to generate sufficient revenue to complete its system.  </w:t>
      </w:r>
      <w:r>
        <w:t>Hiber</w:t>
      </w:r>
      <w:r>
        <w:t xml:space="preserve"> also states that the Covid-19 pandemic prevented its representatives from traveling to the United States to meet with potential stakeholders, further constraining its ability to obtain investments to support construction of its constellation.</w:t>
      </w:r>
      <w:r>
        <w:rPr>
          <w:rStyle w:val="FootnoteReference"/>
        </w:rPr>
        <w:footnoteReference w:id="15"/>
      </w:r>
      <w:r>
        <w:t xml:space="preserve"> </w:t>
      </w:r>
    </w:p>
    <w:p w:rsidR="00A40269" w:rsidP="00A40269" w14:paraId="72F0CE78" w14:textId="77777777">
      <w:pPr>
        <w:pStyle w:val="ParaNum"/>
        <w:tabs>
          <w:tab w:val="clear" w:pos="1080"/>
        </w:tabs>
      </w:pPr>
      <w:r>
        <w:t xml:space="preserve">In the alternative to a complete waiver of the bond amount, </w:t>
      </w:r>
      <w:r>
        <w:t>Hiber</w:t>
      </w:r>
      <w:r>
        <w:t xml:space="preserve"> requests a reduction in the amount due under the bond.  Because </w:t>
      </w:r>
      <w:r>
        <w:t>Hiber</w:t>
      </w:r>
      <w:r>
        <w:t xml:space="preserve"> was able to construct and launch four of the 12 satellites required at the initial milestone, it seeks to reduce the amount due by 33 percent.</w:t>
      </w:r>
      <w:r>
        <w:rPr>
          <w:rStyle w:val="FootnoteReference"/>
        </w:rPr>
        <w:footnoteReference w:id="16"/>
      </w:r>
      <w:r>
        <w:t xml:space="preserve">  </w:t>
      </w:r>
      <w:r w:rsidRPr="00A45EBF">
        <w:t>Hiber</w:t>
      </w:r>
      <w:r w:rsidRPr="00A45EBF">
        <w:t xml:space="preserve"> concludes its letter</w:t>
      </w:r>
      <w:r>
        <w:t xml:space="preserve"> by stating that the “special circumstances” it has presented warrant a deviation from the bond requirement and a waiver or reduction of the bond due would serve the public interest better than strict adherence to the rule.</w:t>
      </w:r>
    </w:p>
    <w:p w:rsidR="00A40269" w:rsidRPr="000B0AAB" w:rsidP="00A40269" w14:paraId="1B2DD16D" w14:textId="77777777">
      <w:pPr>
        <w:pStyle w:val="Heading1"/>
        <w:rPr>
          <w:b w:val="0"/>
          <w:bCs/>
        </w:rPr>
      </w:pPr>
      <w:r w:rsidRPr="000B0AAB">
        <w:t>DISCUSSION</w:t>
      </w:r>
    </w:p>
    <w:p w:rsidR="00A40269" w:rsidP="00A40269" w14:paraId="47C7F194" w14:textId="77777777">
      <w:pPr>
        <w:pStyle w:val="ParaNum"/>
        <w:tabs>
          <w:tab w:val="clear" w:pos="1080"/>
        </w:tabs>
      </w:pPr>
      <w:r>
        <w:t>Prior to the initiation of the surety bond rule, the Commission required a financial qualification showing to determine whether an applicant had the financial resources needed to launch and operate a satellite for one year.</w:t>
      </w:r>
      <w:r>
        <w:rPr>
          <w:rStyle w:val="FootnoteReference"/>
        </w:rPr>
        <w:footnoteReference w:id="17"/>
      </w:r>
      <w:r>
        <w:t xml:space="preserve">  Under this process, entities could apply for and obtain a satellite license, and later abandon it based on economic changes in the marketplace without accountability.</w:t>
      </w:r>
      <w:r w:rsidRPr="00CF40BA">
        <w:t xml:space="preserve"> </w:t>
      </w:r>
      <w:r>
        <w:t xml:space="preserve"> The Commission found that changes in a licensee’s plan and delays in the provision of service precluded other interested parties from moving forward with satellite systems in a more timely manner.  In 2003, the Commission replaced the financial qualification showing with a bond requirement which, the Commission stated, required satellite licensees to make a financial commitment to construct and launch their satellites.</w:t>
      </w:r>
      <w:r>
        <w:rPr>
          <w:rStyle w:val="FootnoteReference"/>
        </w:rPr>
        <w:footnoteReference w:id="18"/>
      </w:r>
      <w:r>
        <w:t xml:space="preserve">  The bond requirement, as implemented, was a market-driven rather than regulatory determination, and the Commission reasoned that requiring satellite licensees to make a financial commitment to construct and launch their satellites would help deter speculative applications.</w:t>
      </w:r>
      <w:r>
        <w:rPr>
          <w:rStyle w:val="FootnoteReference"/>
        </w:rPr>
        <w:footnoteReference w:id="19"/>
      </w:r>
      <w:r>
        <w:t xml:space="preserve">  Thus, the Commission concluded, the bond requirement would prevent valuable spectrum resources from lying fallow when another party could put the resources into use.</w:t>
      </w:r>
      <w:r>
        <w:rPr>
          <w:rStyle w:val="FootnoteReference"/>
        </w:rPr>
        <w:footnoteReference w:id="20"/>
      </w:r>
      <w:r>
        <w:t xml:space="preserve">  Regardless of intent, the Commission noted that a licensee that obtains a license and surrenders it later has the same effect as a licensee that warehouses scarce orbit and spectrum resources.</w:t>
      </w:r>
      <w:r>
        <w:rPr>
          <w:rStyle w:val="FootnoteReference"/>
        </w:rPr>
        <w:footnoteReference w:id="21"/>
      </w:r>
      <w:r>
        <w:t xml:space="preserve">  </w:t>
      </w:r>
    </w:p>
    <w:p w:rsidR="00A40269" w:rsidP="00733BFD" w14:paraId="5C8B9055" w14:textId="77777777">
      <w:pPr>
        <w:pStyle w:val="ParaNum"/>
        <w:widowControl/>
        <w:tabs>
          <w:tab w:val="clear" w:pos="1080"/>
        </w:tabs>
      </w:pPr>
      <w:r>
        <w:t>In 2015, the Commission adopted a revised methodology to achieve its public interest goal respecting the timely and expeditious construction and deployment of new spacecraft.</w:t>
      </w:r>
      <w:r>
        <w:rPr>
          <w:rStyle w:val="FootnoteReference"/>
        </w:rPr>
        <w:footnoteReference w:id="22"/>
      </w:r>
      <w:r>
        <w:t xml:space="preserve">  The new “incentive” regulation eliminated interim milestones and modified the performance bond to increase liability over time.</w:t>
      </w:r>
      <w:r>
        <w:rPr>
          <w:rStyle w:val="FootnoteReference"/>
        </w:rPr>
        <w:footnoteReference w:id="23"/>
      </w:r>
      <w:r>
        <w:t xml:space="preserve">  </w:t>
      </w:r>
      <w:r w:rsidRPr="009F2AB8">
        <w:t>Although the</w:t>
      </w:r>
      <w:r>
        <w:t xml:space="preserve"> requirement was revised, the purpose of the bond remains the same--</w:t>
      </w:r>
      <w:r w:rsidRPr="00DA1820">
        <w:t xml:space="preserve">to encourage satellite operators to construct and launch spacecraft expeditiously or surrender their </w:t>
      </w:r>
      <w:r>
        <w:t>authorization</w:t>
      </w:r>
      <w:r w:rsidRPr="00DA1820">
        <w:t xml:space="preserve"> early if business plans changed</w:t>
      </w:r>
      <w:r>
        <w:t xml:space="preserve">, </w:t>
      </w:r>
      <w:r w:rsidRPr="00DA1820">
        <w:rPr>
          <w:szCs w:val="22"/>
        </w:rPr>
        <w:t xml:space="preserve">thereby </w:t>
      </w:r>
      <w:r w:rsidRPr="00DA1820">
        <w:rPr>
          <w:color w:val="3D3D3D"/>
          <w:szCs w:val="22"/>
          <w:shd w:val="clear" w:color="auto" w:fill="FFFFFF"/>
        </w:rPr>
        <w:t>deterring  warehousing of spectrum and orbital resource</w:t>
      </w:r>
      <w:r>
        <w:rPr>
          <w:color w:val="3D3D3D"/>
          <w:szCs w:val="22"/>
          <w:shd w:val="clear" w:color="auto" w:fill="FFFFFF"/>
        </w:rPr>
        <w:t>s</w:t>
      </w:r>
      <w:r w:rsidRPr="00DA1820">
        <w:rPr>
          <w:szCs w:val="22"/>
        </w:rPr>
        <w:t>.</w:t>
      </w:r>
      <w:r>
        <w:rPr>
          <w:rStyle w:val="FootnoteReference"/>
        </w:rPr>
        <w:footnoteReference w:id="24"/>
      </w:r>
      <w:r>
        <w:t xml:space="preserve">  The escalating bond requirement, the Commission noted, also permits licensees greater flexibility and reduces regulation.  As currently enacted, section 25.165 requires licensees, within 30 days of grant of a license or U.S. market access, to post and have on file with the Commission a surety bond of a specified penal amount payable through the Commission to the United States Treasury.</w:t>
      </w:r>
      <w:r>
        <w:rPr>
          <w:rStyle w:val="FootnoteReference"/>
        </w:rPr>
        <w:footnoteReference w:id="25"/>
      </w:r>
      <w:r>
        <w:t xml:space="preserve">  As a </w:t>
      </w:r>
      <w:r>
        <w:t>condition of its license or grant of U.S. market access, each licensee or market access grantee must maintain the bond pursuant to the formula set forth in the rule or the license or grant is null and void.</w:t>
      </w:r>
      <w:r>
        <w:rPr>
          <w:rStyle w:val="FootnoteReference"/>
        </w:rPr>
        <w:footnoteReference w:id="26"/>
      </w:r>
      <w:r>
        <w:t xml:space="preserve">  </w:t>
      </w:r>
    </w:p>
    <w:p w:rsidR="00A40269" w:rsidRPr="000B0AAB" w:rsidP="00A40269" w14:paraId="712CF759" w14:textId="77777777">
      <w:pPr>
        <w:pStyle w:val="ParaNum"/>
        <w:tabs>
          <w:tab w:val="clear" w:pos="1080"/>
        </w:tabs>
        <w:rPr>
          <w:szCs w:val="22"/>
        </w:rPr>
      </w:pPr>
      <w:r>
        <w:rPr>
          <w:i/>
          <w:iCs/>
        </w:rPr>
        <w:t xml:space="preserve">Waiver Analysis.  </w:t>
      </w:r>
      <w:r>
        <w:t xml:space="preserve">A waiver is appropriate </w:t>
      </w:r>
      <w:r w:rsidRPr="00382164">
        <w:rPr>
          <w:szCs w:val="22"/>
        </w:rPr>
        <w:t>only if both (1) special circumstances warrant a deviation from the general rule, and (2) such deviation better serves the public interest.</w:t>
      </w:r>
      <w:r>
        <w:rPr>
          <w:rStyle w:val="FootnoteReference"/>
          <w:sz w:val="22"/>
          <w:szCs w:val="22"/>
        </w:rPr>
        <w:footnoteReference w:id="27"/>
      </w:r>
      <w:r w:rsidRPr="00382164">
        <w:rPr>
          <w:szCs w:val="22"/>
        </w:rPr>
        <w:t xml:space="preserve"> </w:t>
      </w:r>
      <w:r w:rsidRPr="004F2529">
        <w:t xml:space="preserve"> Generally, the Commission may waive any rule </w:t>
      </w:r>
      <w:r>
        <w:t>if there is good cause to do so and,</w:t>
      </w:r>
      <w:r w:rsidRPr="00790C14">
        <w:t xml:space="preserve"> </w:t>
      </w:r>
      <w:r w:rsidRPr="004F2529">
        <w:t xml:space="preserve">in making this determination, may take into account considerations </w:t>
      </w:r>
      <w:r>
        <w:t>such as hardship, equity, or more effective implementation of overall policy on an individual basis</w:t>
      </w:r>
      <w:r w:rsidRPr="003A72DF">
        <w:t>.</w:t>
      </w:r>
      <w:r>
        <w:rPr>
          <w:rStyle w:val="FootnoteReference"/>
        </w:rPr>
        <w:footnoteReference w:id="28"/>
      </w:r>
      <w:r>
        <w:t xml:space="preserve">  </w:t>
      </w:r>
      <w:r>
        <w:t>Hiber</w:t>
      </w:r>
      <w:r>
        <w:t xml:space="preserve"> asserts there is good cause to waive its bond obligation.  We disagree.  Rather, the reasons presented by </w:t>
      </w:r>
      <w:r>
        <w:t>Hiber</w:t>
      </w:r>
      <w:r>
        <w:t>--technical and financing issues--do not constitute special circumstances warranting a waiver.  Taking “good faith” tangible steps toward implementation, including in this case constructing and launching four satellites and spending $33 million over the course of seven years, is the expected course of action for operators benefitting from market access grants and not a basis to waive the bond requirement.</w:t>
      </w:r>
      <w:r>
        <w:rPr>
          <w:rStyle w:val="FootnoteReference"/>
        </w:rPr>
        <w:footnoteReference w:id="29"/>
      </w:r>
      <w:r>
        <w:t xml:space="preserve">  </w:t>
      </w:r>
      <w:r>
        <w:t>Hiber</w:t>
      </w:r>
      <w:r>
        <w:t xml:space="preserve"> also claims the global pandemic was devastating to its ability to obtain additional investments to support construction of its system.</w:t>
      </w:r>
      <w:r>
        <w:rPr>
          <w:rStyle w:val="FootnoteReference"/>
        </w:rPr>
        <w:footnoteReference w:id="30"/>
      </w:r>
      <w:r>
        <w:t xml:space="preserve">  While licensees are not required to have committed funds at the beginning of its satellite manufacturing project, they are not excused from the consequences of proceeding without having secured sufficient funding, including consequences “exacerbated by difficult economic conditions or an unfavorable business climate.”</w:t>
      </w:r>
      <w:r>
        <w:rPr>
          <w:rStyle w:val="FootnoteReference"/>
        </w:rPr>
        <w:footnoteReference w:id="31"/>
      </w:r>
      <w:r>
        <w:t xml:space="preserve">  The Commission has clearly stated that where satellite entrepreneurs freely apply for and obtain licenses, and later abandon them due to </w:t>
      </w:r>
      <w:r w:rsidRPr="00BE678A">
        <w:t xml:space="preserve">changes in the marketplace, such practices are inconsistent with the public </w:t>
      </w:r>
      <w:r w:rsidRPr="00A31615">
        <w:rPr>
          <w:szCs w:val="22"/>
        </w:rPr>
        <w:t xml:space="preserve">interest by </w:t>
      </w:r>
      <w:r w:rsidRPr="00FE60D8">
        <w:rPr>
          <w:szCs w:val="22"/>
          <w:shd w:val="clear" w:color="auto" w:fill="FFFFFF"/>
        </w:rPr>
        <w:t xml:space="preserve">precluding some other interested company from making use of </w:t>
      </w:r>
      <w:r w:rsidRPr="00FE60D8">
        <w:t xml:space="preserve">valuable spectrum and orbital </w:t>
      </w:r>
      <w:r w:rsidRPr="00FE60D8">
        <w:t xml:space="preserve">resources </w:t>
      </w:r>
      <w:r w:rsidRPr="00FE60D8">
        <w:rPr>
          <w:szCs w:val="22"/>
          <w:shd w:val="clear" w:color="auto" w:fill="FFFFFF"/>
        </w:rPr>
        <w:t>in a more timely fashion.</w:t>
      </w:r>
      <w:r>
        <w:rPr>
          <w:rStyle w:val="FootnoteReference"/>
          <w:sz w:val="22"/>
          <w:szCs w:val="22"/>
        </w:rPr>
        <w:footnoteReference w:id="32"/>
      </w:r>
      <w:r w:rsidRPr="00FE60D8">
        <w:rPr>
          <w:szCs w:val="22"/>
        </w:rPr>
        <w:t xml:space="preserve"> </w:t>
      </w:r>
      <w:r w:rsidRPr="00FE60D8">
        <w:rPr>
          <w:szCs w:val="22"/>
          <w:shd w:val="clear" w:color="auto" w:fill="FFFFFF"/>
        </w:rPr>
        <w:t xml:space="preserve"> The Commission explained that a bond requirement “create[s] incentives for companies to consider their business risks before applying for a license.</w:t>
      </w:r>
      <w:r w:rsidRPr="00FE60D8">
        <w:rPr>
          <w:szCs w:val="22"/>
        </w:rPr>
        <w:t>”</w:t>
      </w:r>
      <w:r>
        <w:rPr>
          <w:rStyle w:val="FootnoteReference"/>
          <w:sz w:val="22"/>
          <w:szCs w:val="22"/>
        </w:rPr>
        <w:footnoteReference w:id="33"/>
      </w:r>
      <w:r w:rsidRPr="00FE60D8">
        <w:rPr>
          <w:szCs w:val="22"/>
        </w:rPr>
        <w:t xml:space="preserve">  In sum, “[a]</w:t>
      </w:r>
      <w:r w:rsidRPr="00FE60D8">
        <w:rPr>
          <w:szCs w:val="22"/>
          <w:shd w:val="clear" w:color="auto" w:fill="FFFFFF"/>
        </w:rPr>
        <w:t>llowing</w:t>
      </w:r>
      <w:r w:rsidRPr="00FE60D8">
        <w:rPr>
          <w:szCs w:val="22"/>
          <w:shd w:val="clear" w:color="auto" w:fill="FFFFFF"/>
        </w:rPr>
        <w:t xml:space="preserve"> entities to file applications, with the knowledge that they may well be able to obtain a waiver of the bond if they are unable to proceed with implementation, could eviscerate the Commission’s </w:t>
      </w:r>
      <w:r w:rsidRPr="00622E50">
        <w:rPr>
          <w:szCs w:val="22"/>
          <w:shd w:val="clear" w:color="auto" w:fill="FFFFFF"/>
        </w:rPr>
        <w:t>safeguards against speculation and warehousing.”</w:t>
      </w:r>
      <w:r>
        <w:rPr>
          <w:rStyle w:val="FootnoteReference"/>
          <w:sz w:val="22"/>
          <w:szCs w:val="22"/>
          <w:shd w:val="clear" w:color="auto" w:fill="FFFFFF"/>
        </w:rPr>
        <w:footnoteReference w:id="34"/>
      </w:r>
    </w:p>
    <w:p w:rsidR="00A40269" w:rsidRPr="000B0AAB" w:rsidP="00A40269" w14:paraId="651A15CE" w14:textId="77777777">
      <w:pPr>
        <w:pStyle w:val="ParaNum"/>
        <w:tabs>
          <w:tab w:val="clear" w:pos="1080"/>
        </w:tabs>
        <w:rPr>
          <w:szCs w:val="22"/>
        </w:rPr>
      </w:pPr>
      <w:r>
        <w:t xml:space="preserve">Similarly, we do not find good cause to reduce the amount of the bond due.  </w:t>
      </w:r>
      <w:r>
        <w:t>Hiber</w:t>
      </w:r>
      <w:r>
        <w:t xml:space="preserve"> seeks a reduction of the bond by 33 percent, representing the percentage of satellites it launched as required under the milestone.</w:t>
      </w:r>
      <w:r>
        <w:rPr>
          <w:rStyle w:val="FootnoteReference"/>
        </w:rPr>
        <w:footnoteReference w:id="35"/>
      </w:r>
      <w:r>
        <w:t xml:space="preserve">  </w:t>
      </w:r>
      <w:r>
        <w:t>Hiber</w:t>
      </w:r>
      <w:r>
        <w:t xml:space="preserve"> cannot reliably assert it met any portion of the milestone, which required </w:t>
      </w:r>
      <w:r>
        <w:t>Hiber</w:t>
      </w:r>
      <w:r>
        <w:t xml:space="preserve"> </w:t>
      </w:r>
      <w:r w:rsidRPr="009E15CB">
        <w:rPr>
          <w:szCs w:val="22"/>
        </w:rPr>
        <w:t xml:space="preserve">to launch </w:t>
      </w:r>
      <w:r w:rsidRPr="009E15CB">
        <w:rPr>
          <w:color w:val="000000"/>
          <w:szCs w:val="22"/>
        </w:rPr>
        <w:t>50 percent of the maximum number of proposed space stations (that is, 12 out of 24 satellites)</w:t>
      </w:r>
      <w:r>
        <w:rPr>
          <w:color w:val="000000"/>
          <w:szCs w:val="22"/>
        </w:rPr>
        <w:t xml:space="preserve"> and “</w:t>
      </w:r>
      <w:r w:rsidRPr="009E15CB">
        <w:rPr>
          <w:color w:val="000000"/>
          <w:szCs w:val="22"/>
        </w:rPr>
        <w:t>place them in the assigned orbits, and operate them in accordance with the grant</w:t>
      </w:r>
      <w:r>
        <w:rPr>
          <w:color w:val="000000"/>
          <w:szCs w:val="22"/>
        </w:rPr>
        <w:t>”</w:t>
      </w:r>
      <w:r w:rsidRPr="009E15CB">
        <w:rPr>
          <w:color w:val="000000"/>
          <w:szCs w:val="22"/>
        </w:rPr>
        <w:t xml:space="preserve"> no later than May 6, 2026</w:t>
      </w:r>
      <w:r>
        <w:t>.</w:t>
      </w:r>
      <w:r>
        <w:rPr>
          <w:rStyle w:val="FootnoteReference"/>
        </w:rPr>
        <w:footnoteReference w:id="36"/>
      </w:r>
      <w:r>
        <w:t xml:space="preserve">  </w:t>
      </w:r>
      <w:r w:rsidRPr="00622E50">
        <w:rPr>
          <w:szCs w:val="22"/>
        </w:rPr>
        <w:t xml:space="preserve">As </w:t>
      </w:r>
      <w:r w:rsidRPr="00622E50">
        <w:rPr>
          <w:szCs w:val="22"/>
        </w:rPr>
        <w:t>Hiber</w:t>
      </w:r>
      <w:r w:rsidRPr="00622E50">
        <w:rPr>
          <w:szCs w:val="22"/>
        </w:rPr>
        <w:t xml:space="preserve"> notes, </w:t>
      </w:r>
      <w:r>
        <w:rPr>
          <w:szCs w:val="22"/>
        </w:rPr>
        <w:t xml:space="preserve">it launched only four of the 12 satellites, </w:t>
      </w:r>
      <w:r w:rsidRPr="00622E50">
        <w:rPr>
          <w:szCs w:val="22"/>
        </w:rPr>
        <w:t>none of the four satellites launched were able to provide service</w:t>
      </w:r>
      <w:r>
        <w:rPr>
          <w:szCs w:val="22"/>
        </w:rPr>
        <w:t xml:space="preserve">, </w:t>
      </w:r>
      <w:r w:rsidRPr="008E79F4">
        <w:rPr>
          <w:szCs w:val="22"/>
        </w:rPr>
        <w:t>and</w:t>
      </w:r>
      <w:r w:rsidRPr="00287946">
        <w:rPr>
          <w:szCs w:val="22"/>
        </w:rPr>
        <w:t xml:space="preserve"> </w:t>
      </w:r>
      <w:r w:rsidRPr="00287946">
        <w:rPr>
          <w:szCs w:val="22"/>
        </w:rPr>
        <w:t>Hiber</w:t>
      </w:r>
      <w:r w:rsidRPr="00287946">
        <w:rPr>
          <w:szCs w:val="22"/>
        </w:rPr>
        <w:t xml:space="preserve"> has surrendered its authorization to </w:t>
      </w:r>
      <w:r>
        <w:rPr>
          <w:szCs w:val="22"/>
        </w:rPr>
        <w:t>provide service to the U.S. market</w:t>
      </w:r>
      <w:r w:rsidRPr="00622E50">
        <w:rPr>
          <w:szCs w:val="22"/>
        </w:rPr>
        <w:t>.</w:t>
      </w:r>
      <w:r>
        <w:rPr>
          <w:rStyle w:val="FootnoteReference"/>
          <w:sz w:val="22"/>
          <w:szCs w:val="22"/>
        </w:rPr>
        <w:footnoteReference w:id="37"/>
      </w:r>
      <w:r w:rsidRPr="00622E50">
        <w:rPr>
          <w:szCs w:val="22"/>
        </w:rPr>
        <w:t xml:space="preserve"> </w:t>
      </w:r>
      <w:r>
        <w:rPr>
          <w:szCs w:val="22"/>
        </w:rPr>
        <w:t xml:space="preserve"> In any event,</w:t>
      </w:r>
      <w:r w:rsidRPr="00622E50">
        <w:rPr>
          <w:szCs w:val="22"/>
        </w:rPr>
        <w:t xml:space="preserve"> </w:t>
      </w:r>
      <w:r w:rsidRPr="00622E50">
        <w:rPr>
          <w:szCs w:val="22"/>
          <w:shd w:val="clear" w:color="auto" w:fill="FFFFFF"/>
        </w:rPr>
        <w:t xml:space="preserve">even a partial waiver of the bond </w:t>
      </w:r>
      <w:r w:rsidRPr="00FE60D8">
        <w:rPr>
          <w:szCs w:val="22"/>
          <w:shd w:val="clear" w:color="auto" w:fill="FFFFFF"/>
        </w:rPr>
        <w:t>payment due would be “fundamentally inconsistent” with the underlying purpose of the bond requirement to deter warehousing of spectrum and orbital resources.</w:t>
      </w:r>
      <w:r>
        <w:rPr>
          <w:rStyle w:val="FootnoteReference"/>
          <w:sz w:val="22"/>
          <w:szCs w:val="22"/>
          <w:shd w:val="clear" w:color="auto" w:fill="FFFFFF"/>
        </w:rPr>
        <w:footnoteReference w:id="38"/>
      </w:r>
    </w:p>
    <w:p w:rsidR="00A40269" w:rsidRPr="000B0AAB" w:rsidP="00A40269" w14:paraId="34C35F12" w14:textId="77777777">
      <w:pPr>
        <w:pStyle w:val="Heading1"/>
        <w:rPr>
          <w:b w:val="0"/>
          <w:bCs/>
        </w:rPr>
      </w:pPr>
      <w:r w:rsidRPr="000B0AAB">
        <w:t>CONCLUSION</w:t>
      </w:r>
      <w:r>
        <w:rPr>
          <w:bCs/>
        </w:rPr>
        <w:t xml:space="preserve"> AND ORDERING CLAUSE </w:t>
      </w:r>
    </w:p>
    <w:p w:rsidR="00A40269" w:rsidRPr="002E79F7" w:rsidP="00A40269" w14:paraId="46230A35" w14:textId="77777777">
      <w:pPr>
        <w:pStyle w:val="ParaNum"/>
        <w:tabs>
          <w:tab w:val="clear" w:pos="1080"/>
          <w:tab w:val="num" w:pos="1440"/>
        </w:tabs>
        <w:rPr>
          <w:b/>
          <w:bCs/>
        </w:rPr>
      </w:pPr>
      <w:r>
        <w:t>For the foregoing reasons, IT IS ORDERED, pursuant to sections 0.51, and 0.261 of the Commission's rules,</w:t>
      </w:r>
      <w:hyperlink r:id="rId5" w:history="1">
        <w:r>
          <w:t xml:space="preserve"> 47 CFR §§ 0.51, 0.261,</w:t>
        </w:r>
      </w:hyperlink>
      <w:r>
        <w:t xml:space="preserve"> that </w:t>
      </w:r>
      <w:r>
        <w:t>Hiber</w:t>
      </w:r>
      <w:r>
        <w:t xml:space="preserve">, Inc.’s request for a waiver or reduction of the surety bond due to the United States Treasury for the surrender of its market access grant for a NVNG MSS system is DENIED. </w:t>
      </w:r>
    </w:p>
    <w:p w:rsidR="00A40269" w:rsidRPr="002E79F7" w:rsidP="00A40269" w14:paraId="494B76D5" w14:textId="77777777">
      <w:pPr>
        <w:pStyle w:val="ParaNum"/>
        <w:tabs>
          <w:tab w:val="clear" w:pos="1080"/>
          <w:tab w:val="num" w:pos="1440"/>
        </w:tabs>
        <w:rPr>
          <w:b/>
          <w:bCs/>
        </w:rPr>
      </w:pPr>
      <w:r>
        <w:t xml:space="preserve">IT IS FURTHER ORDERED that the full amount of </w:t>
      </w:r>
      <w:r>
        <w:t>Hiber</w:t>
      </w:r>
      <w:r>
        <w:t>, Inc.’s surety bond payment of $1,920,000 will be due and payable to the U.S. T</w:t>
      </w:r>
      <w:r w:rsidRPr="00A652F7">
        <w:t xml:space="preserve">reasury </w:t>
      </w:r>
      <w:r>
        <w:t>upon written notice from the Office of Managing Director.</w:t>
      </w:r>
    </w:p>
    <w:p w:rsidR="00A40269" w:rsidP="00A40269" w14:paraId="6F1AB293" w14:textId="77777777">
      <w:pPr>
        <w:outlineLvl w:val="0"/>
        <w:rPr>
          <w:b/>
          <w:bCs/>
        </w:rPr>
      </w:pPr>
    </w:p>
    <w:p w:rsidR="00A40269" w:rsidP="00A40269" w14:paraId="6E41B280" w14:textId="77777777">
      <w:pPr>
        <w:ind w:left="2880" w:firstLine="720"/>
        <w:outlineLvl w:val="0"/>
      </w:pPr>
    </w:p>
    <w:p w:rsidR="00A40269" w:rsidP="00A40269" w14:paraId="6969D780" w14:textId="77777777">
      <w:pPr>
        <w:ind w:left="2880" w:firstLine="720"/>
        <w:outlineLvl w:val="0"/>
      </w:pPr>
      <w:r w:rsidRPr="009A38C3">
        <w:t>FEDERAL COMMUNICATIONS COMMISSION</w:t>
      </w:r>
    </w:p>
    <w:p w:rsidR="00A40269" w:rsidP="00A40269" w14:paraId="1C7D4536" w14:textId="77777777">
      <w:pPr>
        <w:ind w:left="2880" w:firstLine="720"/>
        <w:outlineLvl w:val="0"/>
      </w:pPr>
    </w:p>
    <w:p w:rsidR="00A40269" w:rsidP="00A40269" w14:paraId="0CD4D7D3" w14:textId="77777777">
      <w:pPr>
        <w:ind w:left="2880" w:firstLine="720"/>
        <w:outlineLvl w:val="0"/>
      </w:pPr>
    </w:p>
    <w:p w:rsidR="00A40269" w:rsidP="00A40269" w14:paraId="5C687DC3" w14:textId="77777777">
      <w:pPr>
        <w:ind w:left="2880" w:firstLine="720"/>
        <w:outlineLvl w:val="0"/>
      </w:pPr>
    </w:p>
    <w:p w:rsidR="00A40269" w:rsidP="00A40269" w14:paraId="2FAD7FF3" w14:textId="77777777">
      <w:pPr>
        <w:pStyle w:val="ParaNum"/>
        <w:numPr>
          <w:ilvl w:val="0"/>
          <w:numId w:val="0"/>
        </w:numPr>
        <w:spacing w:after="0"/>
        <w:ind w:left="3594" w:firstLine="6"/>
      </w:pPr>
      <w:r>
        <w:t>Thomas P. Sullivan</w:t>
      </w:r>
    </w:p>
    <w:p w:rsidR="00A40269" w:rsidP="00A40269" w14:paraId="2E126C83" w14:textId="77777777">
      <w:pPr>
        <w:pStyle w:val="ParaNum"/>
        <w:numPr>
          <w:ilvl w:val="0"/>
          <w:numId w:val="0"/>
        </w:numPr>
        <w:spacing w:after="0"/>
        <w:ind w:left="1434"/>
      </w:pPr>
      <w:r>
        <w:tab/>
      </w:r>
      <w:r>
        <w:tab/>
      </w:r>
      <w:r>
        <w:tab/>
      </w:r>
      <w:r>
        <w:tab/>
        <w:t>Chief</w:t>
      </w:r>
    </w:p>
    <w:p w:rsidR="00A40269" w:rsidRPr="009A38C3" w:rsidP="00A40269" w14:paraId="13D9B243" w14:textId="77777777">
      <w:pPr>
        <w:pStyle w:val="ParaNum"/>
        <w:numPr>
          <w:ilvl w:val="0"/>
          <w:numId w:val="0"/>
        </w:numPr>
        <w:spacing w:after="0"/>
        <w:ind w:left="1434" w:firstLine="6"/>
      </w:pPr>
      <w:r>
        <w:t xml:space="preserve">                                       International Bureau </w:t>
      </w:r>
    </w:p>
    <w:p w:rsidR="00412FC5" w:rsidRPr="00A40269" w:rsidP="00A40269" w14:paraId="2198718F"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78F2A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01DC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EDC54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5949B8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9C595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24C0" w14:paraId="0EBB1900" w14:textId="77777777">
      <w:r>
        <w:separator/>
      </w:r>
    </w:p>
  </w:footnote>
  <w:footnote w:type="continuationSeparator" w:id="1">
    <w:p w:rsidR="006524C0" w:rsidP="00C721AC" w14:paraId="2AD4E00E" w14:textId="77777777">
      <w:pPr>
        <w:spacing w:before="120"/>
        <w:rPr>
          <w:sz w:val="20"/>
        </w:rPr>
      </w:pPr>
      <w:r>
        <w:rPr>
          <w:sz w:val="20"/>
        </w:rPr>
        <w:t xml:space="preserve">(Continued from previous page)  </w:t>
      </w:r>
      <w:r>
        <w:rPr>
          <w:sz w:val="20"/>
        </w:rPr>
        <w:separator/>
      </w:r>
    </w:p>
  </w:footnote>
  <w:footnote w:type="continuationNotice" w:id="2">
    <w:p w:rsidR="006524C0" w:rsidP="00C721AC" w14:paraId="0E792907" w14:textId="77777777">
      <w:pPr>
        <w:jc w:val="right"/>
        <w:rPr>
          <w:sz w:val="20"/>
        </w:rPr>
      </w:pPr>
      <w:r>
        <w:rPr>
          <w:sz w:val="20"/>
        </w:rPr>
        <w:t>(continued….)</w:t>
      </w:r>
    </w:p>
  </w:footnote>
  <w:footnote w:id="3">
    <w:p w:rsidR="00A40269" w:rsidP="00A40269" w14:paraId="2C4F8762" w14:textId="77777777">
      <w:pPr>
        <w:pStyle w:val="FootnoteText"/>
      </w:pPr>
      <w:r>
        <w:rPr>
          <w:rStyle w:val="FootnoteReference"/>
        </w:rPr>
        <w:footnoteRef/>
      </w:r>
      <w:r>
        <w:t xml:space="preserve"> </w:t>
      </w:r>
      <w:r w:rsidRPr="00F8080C">
        <w:rPr>
          <w:i/>
          <w:iCs/>
        </w:rPr>
        <w:t>International Bureau Updates Procedures For Filing and Maintaining Surety Bonds Pursuant to Revised Milestone and Escalating Bond Requirements</w:t>
      </w:r>
      <w:r>
        <w:t xml:space="preserve">, Public Notice 31 FCC </w:t>
      </w:r>
      <w:r>
        <w:t>Rcd</w:t>
      </w:r>
      <w:r>
        <w:t xml:space="preserve"> 11054 (Int’l Bur. 2016). </w:t>
      </w:r>
    </w:p>
  </w:footnote>
  <w:footnote w:id="4">
    <w:p w:rsidR="00A40269" w:rsidP="00A40269" w14:paraId="020983D0" w14:textId="77777777">
      <w:pPr>
        <w:pStyle w:val="FootnoteText"/>
      </w:pPr>
      <w:r>
        <w:rPr>
          <w:rStyle w:val="FootnoteReference"/>
        </w:rPr>
        <w:footnoteRef/>
      </w:r>
      <w:r>
        <w:t xml:space="preserve"> </w:t>
      </w:r>
      <w:r w:rsidRPr="0085523A">
        <w:rPr>
          <w:i/>
          <w:iCs/>
        </w:rPr>
        <w:t>Hiber</w:t>
      </w:r>
      <w:r w:rsidRPr="0085523A">
        <w:rPr>
          <w:i/>
          <w:iCs/>
        </w:rPr>
        <w:t>, Inc.</w:t>
      </w:r>
      <w:r w:rsidRPr="0085523A">
        <w:rPr>
          <w:i/>
          <w:iCs/>
          <w:spacing w:val="-2"/>
          <w:szCs w:val="22"/>
        </w:rPr>
        <w:t xml:space="preserve"> Petition for Declaratory Ruling to Access U.S. Market Using the </w:t>
      </w:r>
      <w:r w:rsidRPr="0085523A">
        <w:rPr>
          <w:i/>
          <w:iCs/>
          <w:spacing w:val="-2"/>
          <w:szCs w:val="22"/>
        </w:rPr>
        <w:t>Hiberband</w:t>
      </w:r>
      <w:r w:rsidRPr="0085523A">
        <w:rPr>
          <w:i/>
          <w:iCs/>
          <w:spacing w:val="-2"/>
          <w:szCs w:val="22"/>
        </w:rPr>
        <w:t xml:space="preserve"> Low-Earth Orbit System</w:t>
      </w:r>
      <w:r>
        <w:t xml:space="preserve">, </w:t>
      </w:r>
      <w:r w:rsidRPr="0085523A">
        <w:t>Order and Declaratory Ruling</w:t>
      </w:r>
      <w:r>
        <w:t xml:space="preserve">, 35 FCC </w:t>
      </w:r>
      <w:r>
        <w:t>Rcd</w:t>
      </w:r>
      <w:r>
        <w:t xml:space="preserve"> 4619 (IB 2020) (</w:t>
      </w:r>
      <w:r>
        <w:t>Hiber</w:t>
      </w:r>
      <w:r>
        <w:t xml:space="preserve"> Order). </w:t>
      </w:r>
    </w:p>
  </w:footnote>
  <w:footnote w:id="5">
    <w:p w:rsidR="00A40269" w:rsidP="00A40269" w14:paraId="4212616F" w14:textId="77777777">
      <w:pPr>
        <w:pStyle w:val="FootnoteText"/>
      </w:pPr>
      <w:r>
        <w:rPr>
          <w:rStyle w:val="FootnoteReference"/>
        </w:rPr>
        <w:footnoteRef/>
      </w:r>
      <w:r>
        <w:t xml:space="preserve"> </w:t>
      </w:r>
      <w:r w:rsidRPr="0085523A">
        <w:rPr>
          <w:i/>
          <w:iCs/>
        </w:rPr>
        <w:t xml:space="preserve">Satellite Policy Branch Information, </w:t>
      </w:r>
      <w:r w:rsidRPr="0085523A">
        <w:rPr>
          <w:i/>
          <w:iCs/>
        </w:rPr>
        <w:t>Myriota</w:t>
      </w:r>
      <w:r w:rsidRPr="0085523A">
        <w:rPr>
          <w:i/>
          <w:iCs/>
        </w:rPr>
        <w:t xml:space="preserve"> Pty. Ltd. Petition accepted for filing, IBFS File No. SAT-PDR-20190328-00020 Cut-Off Established for Additional NVNG MSS Applications or Petitions for Operations in the 399.9-400.05 MHz and 400.15-401 MHz Bands</w:t>
      </w:r>
      <w:r>
        <w:t xml:space="preserve">, Public Notice, 34 FCC </w:t>
      </w:r>
      <w:r>
        <w:t>Rcd</w:t>
      </w:r>
      <w:r>
        <w:t xml:space="preserve"> 7185 (Int’l Bur. 2019). </w:t>
      </w:r>
    </w:p>
  </w:footnote>
  <w:footnote w:id="6">
    <w:p w:rsidR="00A40269" w:rsidP="00A40269" w14:paraId="5630B2DF" w14:textId="77777777">
      <w:pPr>
        <w:pStyle w:val="FootnoteText"/>
      </w:pPr>
      <w:r>
        <w:rPr>
          <w:rStyle w:val="FootnoteReference"/>
        </w:rPr>
        <w:footnoteRef/>
      </w:r>
      <w:r>
        <w:t xml:space="preserve"> </w:t>
      </w:r>
      <w:r>
        <w:t>Hiber</w:t>
      </w:r>
      <w:r>
        <w:t xml:space="preserve"> Order at para. 29 (b). </w:t>
      </w:r>
    </w:p>
  </w:footnote>
  <w:footnote w:id="7">
    <w:p w:rsidR="00A40269" w:rsidP="00A40269" w14:paraId="254AF3CC" w14:textId="77777777">
      <w:pPr>
        <w:pStyle w:val="FootnoteText"/>
      </w:pPr>
      <w:r>
        <w:rPr>
          <w:rStyle w:val="FootnoteReference"/>
        </w:rPr>
        <w:footnoteRef/>
      </w:r>
      <w:r>
        <w:t xml:space="preserve"> 47 CFR § 25.165(d).</w:t>
      </w:r>
    </w:p>
  </w:footnote>
  <w:footnote w:id="8">
    <w:p w:rsidR="00A40269" w:rsidP="00A40269" w14:paraId="4777AA55" w14:textId="77777777">
      <w:pPr>
        <w:pStyle w:val="FootnoteText"/>
      </w:pPr>
      <w:r>
        <w:rPr>
          <w:rStyle w:val="FootnoteReference"/>
        </w:rPr>
        <w:footnoteRef/>
      </w:r>
      <w:r>
        <w:t xml:space="preserve"> </w:t>
      </w:r>
      <w:r>
        <w:t>Hiber</w:t>
      </w:r>
      <w:r>
        <w:t xml:space="preserve"> Order at para. 29 (c). </w:t>
      </w:r>
    </w:p>
  </w:footnote>
  <w:footnote w:id="9">
    <w:p w:rsidR="00A40269" w:rsidP="00A40269" w14:paraId="54CE54D2" w14:textId="77777777">
      <w:pPr>
        <w:pStyle w:val="FootnoteText"/>
      </w:pPr>
      <w:r>
        <w:rPr>
          <w:rStyle w:val="FootnoteReference"/>
        </w:rPr>
        <w:footnoteRef/>
      </w:r>
      <w:r>
        <w:t xml:space="preserve"> Letters from Tony Lin, Counsel to </w:t>
      </w:r>
      <w:r>
        <w:t>Hiber</w:t>
      </w:r>
      <w:r>
        <w:t>, to Marlene H. Dortch, Secretary, FCC, (May 29, 2020 and April 6, 2021).</w:t>
      </w:r>
    </w:p>
  </w:footnote>
  <w:footnote w:id="10">
    <w:p w:rsidR="00A40269" w:rsidP="00A40269" w14:paraId="0A98E33E" w14:textId="77777777">
      <w:pPr>
        <w:pStyle w:val="FootnoteText"/>
      </w:pPr>
      <w:r>
        <w:rPr>
          <w:rStyle w:val="FootnoteReference"/>
        </w:rPr>
        <w:footnoteRef/>
      </w:r>
      <w:r>
        <w:t xml:space="preserve"> Letter from Bruce Henock, General Counsel, </w:t>
      </w:r>
      <w:r>
        <w:t>Hiber</w:t>
      </w:r>
      <w:r>
        <w:t>, Inc, to Marlene H. Dortch, Secretary, FCC (Sept. 24, 2021) (</w:t>
      </w:r>
      <w:r>
        <w:t>Hiber</w:t>
      </w:r>
      <w:r>
        <w:t xml:space="preserve"> Surrender Letter).  In this letter, </w:t>
      </w:r>
      <w:r>
        <w:t>Hiber</w:t>
      </w:r>
      <w:r>
        <w:t xml:space="preserve"> states that it is also surrendering its blanket license to operate 10,000 mobile earth terminals with its system, IBFS File No. SES-LIC-20191217-01739.  This information was placed on Public Notice.  No comments were filed in response to the notice. Satellite Policy Branch, Actions Taken, DA 21-1238 (Oct. 1, 2021). </w:t>
      </w:r>
    </w:p>
  </w:footnote>
  <w:footnote w:id="11">
    <w:p w:rsidR="00A40269" w:rsidP="00A40269" w14:paraId="26528B08" w14:textId="77777777">
      <w:pPr>
        <w:pStyle w:val="FootnoteText"/>
      </w:pPr>
      <w:r>
        <w:rPr>
          <w:rStyle w:val="FootnoteReference"/>
        </w:rPr>
        <w:footnoteRef/>
      </w:r>
      <w:r>
        <w:t xml:space="preserve"> </w:t>
      </w:r>
      <w:r>
        <w:t>Hiber</w:t>
      </w:r>
      <w:r>
        <w:t xml:space="preserve"> Surrender Letter at 1. </w:t>
      </w:r>
    </w:p>
  </w:footnote>
  <w:footnote w:id="12">
    <w:p w:rsidR="00A40269" w:rsidP="00A40269" w14:paraId="47AC6CA6" w14:textId="77777777">
      <w:pPr>
        <w:pStyle w:val="FootnoteText"/>
      </w:pPr>
      <w:r>
        <w:rPr>
          <w:rStyle w:val="FootnoteReference"/>
        </w:rPr>
        <w:footnoteRef/>
      </w:r>
      <w:r>
        <w:t xml:space="preserve"> </w:t>
      </w:r>
      <w:r w:rsidRPr="00CC478F">
        <w:rPr>
          <w:i/>
          <w:iCs/>
        </w:rPr>
        <w:t>Id</w:t>
      </w:r>
      <w:r>
        <w:t>. at 2.</w:t>
      </w:r>
    </w:p>
  </w:footnote>
  <w:footnote w:id="13">
    <w:p w:rsidR="00A40269" w:rsidP="00A40269" w14:paraId="3CD105BB" w14:textId="77777777">
      <w:pPr>
        <w:pStyle w:val="FootnoteText"/>
      </w:pPr>
      <w:r>
        <w:rPr>
          <w:rStyle w:val="FootnoteReference"/>
        </w:rPr>
        <w:footnoteRef/>
      </w:r>
      <w:r>
        <w:t xml:space="preserve"> </w:t>
      </w:r>
      <w:r w:rsidRPr="00724D7E">
        <w:rPr>
          <w:i/>
          <w:iCs/>
        </w:rPr>
        <w:t>Id</w:t>
      </w:r>
      <w:r>
        <w:t xml:space="preserve">. </w:t>
      </w:r>
    </w:p>
  </w:footnote>
  <w:footnote w:id="14">
    <w:p w:rsidR="00A40269" w:rsidP="00A40269" w14:paraId="39D5A037" w14:textId="77777777">
      <w:pPr>
        <w:pStyle w:val="FootnoteText"/>
      </w:pPr>
      <w:r>
        <w:rPr>
          <w:rStyle w:val="FootnoteReference"/>
        </w:rPr>
        <w:footnoteRef/>
      </w:r>
      <w:r>
        <w:t xml:space="preserve"> </w:t>
      </w:r>
      <w:r w:rsidRPr="00DA53FC">
        <w:rPr>
          <w:i/>
          <w:iCs/>
        </w:rPr>
        <w:t>I</w:t>
      </w:r>
      <w:r>
        <w:rPr>
          <w:i/>
          <w:iCs/>
        </w:rPr>
        <w:t>d</w:t>
      </w:r>
      <w:r>
        <w:t xml:space="preserve">. </w:t>
      </w:r>
    </w:p>
  </w:footnote>
  <w:footnote w:id="15">
    <w:p w:rsidR="00A40269" w:rsidP="00A40269" w14:paraId="53702A2F" w14:textId="77777777">
      <w:pPr>
        <w:pStyle w:val="FootnoteText"/>
      </w:pPr>
      <w:r>
        <w:rPr>
          <w:rStyle w:val="FootnoteReference"/>
        </w:rPr>
        <w:footnoteRef/>
      </w:r>
      <w:r>
        <w:t xml:space="preserve"> </w:t>
      </w:r>
      <w:r w:rsidRPr="00027D38">
        <w:rPr>
          <w:i/>
          <w:iCs/>
        </w:rPr>
        <w:t>Id</w:t>
      </w:r>
      <w:r>
        <w:t xml:space="preserve">. </w:t>
      </w:r>
    </w:p>
  </w:footnote>
  <w:footnote w:id="16">
    <w:p w:rsidR="00A40269" w:rsidP="00A40269" w14:paraId="110F1C80" w14:textId="77777777">
      <w:pPr>
        <w:pStyle w:val="FootnoteText"/>
      </w:pPr>
      <w:r>
        <w:rPr>
          <w:rStyle w:val="FootnoteReference"/>
        </w:rPr>
        <w:footnoteRef/>
      </w:r>
      <w:r>
        <w:t xml:space="preserve"> </w:t>
      </w:r>
      <w:r w:rsidRPr="0001579B">
        <w:rPr>
          <w:i/>
          <w:iCs/>
        </w:rPr>
        <w:t>Id</w:t>
      </w:r>
      <w:r>
        <w:t xml:space="preserve">. at 3. </w:t>
      </w:r>
    </w:p>
  </w:footnote>
  <w:footnote w:id="17">
    <w:p w:rsidR="00A40269" w:rsidP="00A40269" w14:paraId="0BC522A9" w14:textId="77777777">
      <w:pPr>
        <w:pStyle w:val="FootnoteText"/>
      </w:pPr>
      <w:r>
        <w:rPr>
          <w:rStyle w:val="FootnoteReference"/>
        </w:rPr>
        <w:footnoteRef/>
      </w:r>
      <w:r>
        <w:t xml:space="preserve"> </w:t>
      </w:r>
      <w:r w:rsidRPr="0085523A">
        <w:rPr>
          <w:i/>
          <w:iCs/>
        </w:rPr>
        <w:t>Amendment of the Commission’s Space Station Licensing Rules and Policies</w:t>
      </w:r>
      <w:r>
        <w:t xml:space="preserve">, </w:t>
      </w:r>
      <w:r w:rsidRPr="0085523A">
        <w:t>First Report and Order and Further Notice of Proposed Rulemaking</w:t>
      </w:r>
      <w:r>
        <w:t xml:space="preserve">, 18 FCC </w:t>
      </w:r>
      <w:r>
        <w:t>Rcd</w:t>
      </w:r>
      <w:r>
        <w:t xml:space="preserve"> 12674, 10766 at para. 6 (2003) (</w:t>
      </w:r>
      <w:r w:rsidRPr="004E7FBC">
        <w:rPr>
          <w:i/>
          <w:iCs/>
        </w:rPr>
        <w:t>First Report and Order</w:t>
      </w:r>
      <w:r>
        <w:t>).</w:t>
      </w:r>
    </w:p>
  </w:footnote>
  <w:footnote w:id="18">
    <w:p w:rsidR="00A40269" w:rsidP="00A40269" w14:paraId="24CF5DCD" w14:textId="77777777">
      <w:pPr>
        <w:pStyle w:val="FootnoteText"/>
      </w:pPr>
      <w:r>
        <w:rPr>
          <w:rStyle w:val="FootnoteReference"/>
        </w:rPr>
        <w:footnoteRef/>
      </w:r>
      <w:r>
        <w:t xml:space="preserve"> </w:t>
      </w:r>
      <w:r w:rsidRPr="00FB6C6C">
        <w:rPr>
          <w:i/>
          <w:iCs/>
        </w:rPr>
        <w:t>Id</w:t>
      </w:r>
      <w:r>
        <w:t xml:space="preserve">. at 10824, para. 166.  </w:t>
      </w:r>
    </w:p>
  </w:footnote>
  <w:footnote w:id="19">
    <w:p w:rsidR="00A40269" w:rsidP="00A40269" w14:paraId="424E41FC" w14:textId="77777777">
      <w:pPr>
        <w:pStyle w:val="FootnoteText"/>
      </w:pPr>
      <w:r>
        <w:rPr>
          <w:rStyle w:val="FootnoteReference"/>
        </w:rPr>
        <w:footnoteRef/>
      </w:r>
      <w:r>
        <w:t xml:space="preserve"> </w:t>
      </w:r>
      <w:r w:rsidRPr="004E7FBC">
        <w:rPr>
          <w:i/>
          <w:iCs/>
        </w:rPr>
        <w:t>Id</w:t>
      </w:r>
      <w:r>
        <w:t xml:space="preserve">. </w:t>
      </w:r>
    </w:p>
  </w:footnote>
  <w:footnote w:id="20">
    <w:p w:rsidR="00A40269" w:rsidP="00A40269" w14:paraId="4F464972" w14:textId="77777777">
      <w:pPr>
        <w:pStyle w:val="FootnoteText"/>
      </w:pPr>
      <w:r>
        <w:rPr>
          <w:rStyle w:val="FootnoteReference"/>
        </w:rPr>
        <w:footnoteRef/>
      </w:r>
      <w:r>
        <w:t xml:space="preserve"> </w:t>
      </w:r>
      <w:r w:rsidRPr="008C75DA">
        <w:rPr>
          <w:i/>
          <w:iCs/>
        </w:rPr>
        <w:t>Id</w:t>
      </w:r>
      <w:r>
        <w:t xml:space="preserve">. </w:t>
      </w:r>
    </w:p>
  </w:footnote>
  <w:footnote w:id="21">
    <w:p w:rsidR="00A40269" w:rsidP="00A40269" w14:paraId="567C7FA4" w14:textId="77777777">
      <w:pPr>
        <w:pStyle w:val="FootnoteText"/>
      </w:pPr>
      <w:r>
        <w:rPr>
          <w:rStyle w:val="FootnoteReference"/>
        </w:rPr>
        <w:footnoteRef/>
      </w:r>
      <w:r>
        <w:t xml:space="preserve"> </w:t>
      </w:r>
      <w:r w:rsidRPr="0085523A">
        <w:rPr>
          <w:i/>
          <w:iCs/>
        </w:rPr>
        <w:t>Amendment of the Commission’s Space Station Licensing Rules and Policies</w:t>
      </w:r>
      <w:r>
        <w:t xml:space="preserve">, </w:t>
      </w:r>
      <w:r w:rsidRPr="0085523A">
        <w:t>First Order on Reconsideration and Fifth Report and Order</w:t>
      </w:r>
      <w:r>
        <w:t xml:space="preserve">, 19 FCC </w:t>
      </w:r>
      <w:r>
        <w:t>Rcd</w:t>
      </w:r>
      <w:r>
        <w:t xml:space="preserve"> 12637, 12652 at para. 37 (2004) (</w:t>
      </w:r>
      <w:r w:rsidRPr="001274AD">
        <w:rPr>
          <w:i/>
          <w:iCs/>
        </w:rPr>
        <w:t>First Order on Reconsideration</w:t>
      </w:r>
      <w:r>
        <w:t>).</w:t>
      </w:r>
    </w:p>
  </w:footnote>
  <w:footnote w:id="22">
    <w:p w:rsidR="00A40269" w:rsidP="00A40269" w14:paraId="01399FA2" w14:textId="77777777">
      <w:pPr>
        <w:pStyle w:val="FootnoteText"/>
      </w:pPr>
      <w:r>
        <w:rPr>
          <w:rStyle w:val="FootnoteReference"/>
        </w:rPr>
        <w:footnoteRef/>
      </w:r>
      <w:r>
        <w:t xml:space="preserve"> </w:t>
      </w:r>
      <w:bookmarkStart w:id="0" w:name="_Hlk98146946"/>
      <w:r w:rsidRPr="0085523A">
        <w:rPr>
          <w:i/>
          <w:iCs/>
        </w:rPr>
        <w:t>Comprehensive Review of Licensing and Operating Rules for Satellite Services</w:t>
      </w:r>
      <w:r>
        <w:t xml:space="preserve">, </w:t>
      </w:r>
      <w:r w:rsidRPr="0085523A">
        <w:t>Second Report and Order</w:t>
      </w:r>
      <w:r>
        <w:t xml:space="preserve">, 30 FCC </w:t>
      </w:r>
      <w:r>
        <w:t>Rcd</w:t>
      </w:r>
      <w:r>
        <w:t xml:space="preserve"> 14713, 14734 at paras. 50-51 (2015) (</w:t>
      </w:r>
      <w:r w:rsidRPr="00A64AC3">
        <w:rPr>
          <w:i/>
          <w:iCs/>
        </w:rPr>
        <w:t>Second Report and Order</w:t>
      </w:r>
      <w:r>
        <w:t>).</w:t>
      </w:r>
      <w:bookmarkEnd w:id="0"/>
    </w:p>
  </w:footnote>
  <w:footnote w:id="23">
    <w:p w:rsidR="00A40269" w:rsidP="00A40269" w14:paraId="1AADB04B" w14:textId="77777777">
      <w:pPr>
        <w:pStyle w:val="FootnoteText"/>
      </w:pPr>
      <w:r>
        <w:rPr>
          <w:rStyle w:val="FootnoteReference"/>
        </w:rPr>
        <w:footnoteRef/>
      </w:r>
      <w:r>
        <w:t xml:space="preserve"> The Commission eliminated all of the space station construction milestones except the requirement to bring the space station(s) into operation at a specified period of time.  </w:t>
      </w:r>
      <w:r w:rsidRPr="00C04042">
        <w:rPr>
          <w:i/>
          <w:iCs/>
        </w:rPr>
        <w:t>Id</w:t>
      </w:r>
      <w:r>
        <w:t xml:space="preserve">. at para. 59.  In 2017, the Commission modified the milestone for NGSO systems to require the launch and operation of 50 percent of the authorized system within six years of grant, and complete their systems within 9 years of grant.  </w:t>
      </w:r>
      <w:r w:rsidRPr="0085523A">
        <w:rPr>
          <w:i/>
          <w:iCs/>
        </w:rPr>
        <w:t>Update to Parts 2 and 25 Concerning Non-Geostationary, Fixed-Satellite Service Systems and Related Matters</w:t>
      </w:r>
      <w:r>
        <w:t xml:space="preserve">, </w:t>
      </w:r>
      <w:r w:rsidRPr="0085523A">
        <w:t>Report and Order and Further Notice of Proposed Rulemaking</w:t>
      </w:r>
      <w:r>
        <w:t xml:space="preserve">, 32 FCC </w:t>
      </w:r>
      <w:r>
        <w:t>Rcd</w:t>
      </w:r>
      <w:r>
        <w:t xml:space="preserve"> 7809, 7831 at para. 67 (2017).</w:t>
      </w:r>
    </w:p>
  </w:footnote>
  <w:footnote w:id="24">
    <w:p w:rsidR="00A40269" w:rsidP="00A40269" w14:paraId="1450E7B2" w14:textId="77777777">
      <w:pPr>
        <w:pStyle w:val="FootnoteText"/>
      </w:pPr>
      <w:r>
        <w:rPr>
          <w:rStyle w:val="FootnoteReference"/>
        </w:rPr>
        <w:footnoteRef/>
      </w:r>
      <w:r>
        <w:t xml:space="preserve"> Under the escalating bond requirement, liability increases from $1 million to $3 million for geostationary satellites, and $1 million to $5 million for NGSO systems.  The total potential liability of $3 million for GSO satellites and $5 million for NGSO systems did not change under the new rule. </w:t>
      </w:r>
      <w:r w:rsidRPr="00A64AC3">
        <w:rPr>
          <w:i/>
          <w:iCs/>
        </w:rPr>
        <w:t>Second Report and Order</w:t>
      </w:r>
      <w:r>
        <w:t xml:space="preserve">, 30 FCC </w:t>
      </w:r>
      <w:r>
        <w:t>Rcd</w:t>
      </w:r>
      <w:r>
        <w:t xml:space="preserve"> 14741 at para. 70. </w:t>
      </w:r>
    </w:p>
  </w:footnote>
  <w:footnote w:id="25">
    <w:p w:rsidR="00A40269" w:rsidP="00A40269" w14:paraId="7ED54A59" w14:textId="77777777">
      <w:pPr>
        <w:pStyle w:val="FootnoteText"/>
      </w:pPr>
      <w:r>
        <w:rPr>
          <w:rStyle w:val="FootnoteReference"/>
        </w:rPr>
        <w:footnoteRef/>
      </w:r>
      <w:r>
        <w:t xml:space="preserve"> 47 CFR § 25.165. </w:t>
      </w:r>
    </w:p>
  </w:footnote>
  <w:footnote w:id="26">
    <w:p w:rsidR="00A40269" w:rsidP="00A40269" w14:paraId="5792471B" w14:textId="77777777">
      <w:pPr>
        <w:widowControl/>
        <w:rPr>
          <w:snapToGrid/>
          <w:kern w:val="0"/>
          <w:sz w:val="20"/>
        </w:rPr>
      </w:pPr>
      <w:r>
        <w:rPr>
          <w:rStyle w:val="FootnoteReference"/>
        </w:rPr>
        <w:footnoteRef/>
      </w:r>
      <w:r>
        <w:t xml:space="preserve"> </w:t>
      </w:r>
      <w:r w:rsidRPr="00E00656">
        <w:rPr>
          <w:snapToGrid/>
          <w:kern w:val="0"/>
          <w:sz w:val="20"/>
        </w:rPr>
        <w:t xml:space="preserve">The surety bond payment liability in the event of default is calculated pursuant to the formulas in </w:t>
      </w:r>
      <w:hyperlink r:id="rId1" w:history="1">
        <w:r w:rsidRPr="00E00656">
          <w:rPr>
            <w:snapToGrid/>
            <w:kern w:val="0"/>
            <w:sz w:val="20"/>
          </w:rPr>
          <w:t>section 25.165</w:t>
        </w:r>
      </w:hyperlink>
      <w:r w:rsidRPr="00E00656">
        <w:rPr>
          <w:snapToGrid/>
          <w:kern w:val="0"/>
          <w:sz w:val="20"/>
        </w:rPr>
        <w:t xml:space="preserve"> </w:t>
      </w:r>
      <w:hyperlink r:id="rId2" w:anchor="co_pp_7b9b000044381" w:history="1">
        <w:r w:rsidRPr="00E00656">
          <w:rPr>
            <w:snapToGrid/>
            <w:kern w:val="0"/>
            <w:sz w:val="20"/>
          </w:rPr>
          <w:t>47 CFR § 25.165 (a)(1), (2)</w:t>
        </w:r>
      </w:hyperlink>
      <w:r w:rsidRPr="00E00656">
        <w:rPr>
          <w:snapToGrid/>
          <w:kern w:val="0"/>
          <w:sz w:val="20"/>
        </w:rPr>
        <w:t xml:space="preserve">.  For an NGSO licensee or holder of a grant of U.S. market access, the amount of the surety bond must require payment in the event of a default in an amount, at a minimum, according to the following formula, with the resulting dollar amount rounded to the nearest $10,000: A=$1,000,000+$4,000,000 * D/2192, where A is the amount to be paid and D is the lesser of 2192 or the number of days that elapsed from the date of the license grant until the date when the license was surrendered. </w:t>
      </w:r>
    </w:p>
    <w:p w:rsidR="00A40269" w:rsidP="00A40269" w14:paraId="21BEC854" w14:textId="77777777">
      <w:pPr>
        <w:widowControl/>
      </w:pPr>
    </w:p>
  </w:footnote>
  <w:footnote w:id="27">
    <w:p w:rsidR="00A40269" w:rsidRPr="004F2529" w:rsidP="00A40269" w14:paraId="2F17F91C" w14:textId="77777777">
      <w:pPr>
        <w:pStyle w:val="FootnoteText"/>
      </w:pPr>
      <w:r w:rsidRPr="004F2529">
        <w:rPr>
          <w:rStyle w:val="FootnoteReference"/>
        </w:rPr>
        <w:footnoteRef/>
      </w:r>
      <w:r w:rsidRPr="004F2529">
        <w:t xml:space="preserve"> </w:t>
      </w:r>
      <w:r w:rsidRPr="004F2529">
        <w:rPr>
          <w:i/>
        </w:rPr>
        <w:t>NetworkIP</w:t>
      </w:r>
      <w:r w:rsidRPr="004F2529">
        <w:rPr>
          <w:i/>
        </w:rPr>
        <w:t>, LLC v. FCC</w:t>
      </w:r>
      <w:r w:rsidRPr="004F2529">
        <w:t xml:space="preserve">, 548 F.3d 116, 125-128 (D.C. Cir. 2008) (citing </w:t>
      </w:r>
      <w:r w:rsidRPr="004F2529">
        <w:rPr>
          <w:i/>
        </w:rPr>
        <w:t>Northeast Cellular Telephone Co.</w:t>
      </w:r>
      <w:r w:rsidRPr="004F2529">
        <w:t>, 897 F.2d 1164, 1166 (1990)).</w:t>
      </w:r>
    </w:p>
  </w:footnote>
  <w:footnote w:id="28">
    <w:p w:rsidR="00A40269" w:rsidP="00A40269" w14:paraId="45BC82A9" w14:textId="77777777">
      <w:pPr>
        <w:pStyle w:val="FootnoteText"/>
      </w:pPr>
      <w:r w:rsidRPr="00056E05">
        <w:rPr>
          <w:rStyle w:val="FootnoteReference"/>
        </w:rPr>
        <w:footnoteRef/>
      </w:r>
      <w:r w:rsidRPr="00CC0DD2">
        <w:t xml:space="preserve"> </w:t>
      </w:r>
      <w:hyperlink r:id="rId3" w:history="1">
        <w:r w:rsidRPr="00061269">
          <w:rPr>
            <w:snapToGrid w:val="0"/>
            <w:kern w:val="28"/>
          </w:rPr>
          <w:t>47 CFR § 1.3</w:t>
        </w:r>
      </w:hyperlink>
      <w:r w:rsidRPr="00061269">
        <w:rPr>
          <w:snapToGrid w:val="0"/>
          <w:kern w:val="28"/>
        </w:rPr>
        <w:t>.</w:t>
      </w:r>
      <w:r>
        <w:rPr>
          <w:snapToGrid w:val="0"/>
          <w:kern w:val="28"/>
        </w:rPr>
        <w:t xml:space="preserve"> </w:t>
      </w:r>
      <w:r w:rsidRPr="00061269">
        <w:rPr>
          <w:snapToGrid w:val="0"/>
          <w:kern w:val="28"/>
        </w:rPr>
        <w:t xml:space="preserve"> </w:t>
      </w:r>
      <w:r w:rsidRPr="00CC0DD2">
        <w:rPr>
          <w:i/>
          <w:iCs/>
        </w:rPr>
        <w:t>See Northeast Cellular</w:t>
      </w:r>
      <w:r w:rsidRPr="00CC0DD2">
        <w:t xml:space="preserve">, 897 F.2d </w:t>
      </w:r>
      <w:r>
        <w:t xml:space="preserve">at </w:t>
      </w:r>
      <w:r w:rsidRPr="00CC0DD2">
        <w:t xml:space="preserve">1166 </w:t>
      </w:r>
      <w:r w:rsidRPr="00BB0EE5">
        <w:t>(“</w:t>
      </w:r>
      <w:r w:rsidRPr="00BB0EE5">
        <w:rPr>
          <w:color w:val="000000"/>
          <w:shd w:val="clear" w:color="auto" w:fill="FFFFFF"/>
        </w:rPr>
        <w:t>[A] waiver is appropriate only if special circumstances warrant a deviation from the general rule and such deviation will serve the public interest. The agency must explain why deviation better serves the public interest and articulate the nature of the special circumstances to prevent discriminatory application and to put future parties on notice as to its operation”)</w:t>
      </w:r>
      <w:r w:rsidRPr="00BB0EE5">
        <w:t xml:space="preserve">; </w:t>
      </w:r>
      <w:r w:rsidRPr="00BB0EE5">
        <w:rPr>
          <w:i/>
          <w:iCs/>
        </w:rPr>
        <w:t>WAIT Radio v. FCC</w:t>
      </w:r>
      <w:r w:rsidRPr="00BB0EE5">
        <w:t>, 418 F.2d 1153, 1159 (D.C. Cir. 1969) (“</w:t>
      </w:r>
      <w:r w:rsidRPr="00BB0EE5">
        <w:rPr>
          <w:color w:val="000000"/>
          <w:shd w:val="clear" w:color="auto" w:fill="FFFFFF"/>
        </w:rPr>
        <w:t>The agency</w:t>
      </w:r>
      <w:r>
        <w:rPr>
          <w:color w:val="000000"/>
          <w:shd w:val="clear" w:color="auto" w:fill="FFFFFF"/>
        </w:rPr>
        <w:t>’</w:t>
      </w:r>
      <w:r w:rsidRPr="00BB0EE5">
        <w:rPr>
          <w:color w:val="000000"/>
          <w:shd w:val="clear" w:color="auto" w:fill="FFFFFF"/>
        </w:rPr>
        <w:t>s discretion to proceed in difficult areas through general rules is intimately linked to the existence of a safety valve procedure for consideration of an application for exemption based on special circumstances.”)</w:t>
      </w:r>
      <w:r w:rsidRPr="00BB0EE5">
        <w:t xml:space="preserve">.  </w:t>
      </w:r>
    </w:p>
  </w:footnote>
  <w:footnote w:id="29">
    <w:p w:rsidR="00A40269" w:rsidP="00A40269" w14:paraId="6BED5EEA" w14:textId="77777777">
      <w:pPr>
        <w:pStyle w:val="FootnoteText"/>
      </w:pPr>
      <w:r>
        <w:rPr>
          <w:rStyle w:val="FootnoteReference"/>
        </w:rPr>
        <w:footnoteRef/>
      </w:r>
      <w:r>
        <w:t xml:space="preserve"> </w:t>
      </w:r>
      <w:r>
        <w:t>Hiber</w:t>
      </w:r>
      <w:r>
        <w:t xml:space="preserve"> Order, at para. 29 (b); </w:t>
      </w:r>
      <w:r>
        <w:t>Hiber</w:t>
      </w:r>
      <w:r>
        <w:t xml:space="preserve"> Surrender Letter at 2.  </w:t>
      </w:r>
      <w:r w:rsidRPr="00F431A8">
        <w:rPr>
          <w:i/>
          <w:iCs/>
        </w:rPr>
        <w:t>See</w:t>
      </w:r>
      <w:r>
        <w:t xml:space="preserve"> </w:t>
      </w:r>
      <w:r w:rsidRPr="0085523A">
        <w:rPr>
          <w:i/>
          <w:iCs/>
        </w:rPr>
        <w:t>AtContact</w:t>
      </w:r>
      <w:r w:rsidRPr="0085523A">
        <w:rPr>
          <w:i/>
          <w:iCs/>
        </w:rPr>
        <w:t xml:space="preserve"> Communications, LLC</w:t>
      </w:r>
      <w:r>
        <w:t xml:space="preserve">, </w:t>
      </w:r>
      <w:r w:rsidRPr="0085523A">
        <w:t>Order</w:t>
      </w:r>
      <w:r>
        <w:t xml:space="preserve">, 25 FCC </w:t>
      </w:r>
      <w:r>
        <w:t>Rcd</w:t>
      </w:r>
      <w:r>
        <w:t xml:space="preserve"> 7567, 7585 at para. 53 (2010) (</w:t>
      </w:r>
      <w:r w:rsidRPr="00795EB6">
        <w:rPr>
          <w:i/>
          <w:iCs/>
        </w:rPr>
        <w:t>AtContact</w:t>
      </w:r>
      <w:r w:rsidRPr="00795EB6">
        <w:rPr>
          <w:i/>
          <w:iCs/>
        </w:rPr>
        <w:t xml:space="preserve"> Order</w:t>
      </w:r>
      <w:r>
        <w:t xml:space="preserve">) (reliance on an applicant’s “good faith efforts” to succeed will tend to undermine the bond requirement, which was designed to obviate subjective assessments of the licensee’s motives). </w:t>
      </w:r>
    </w:p>
  </w:footnote>
  <w:footnote w:id="30">
    <w:p w:rsidR="00A40269" w:rsidP="00A40269" w14:paraId="0C5F28D4" w14:textId="77777777">
      <w:pPr>
        <w:pStyle w:val="FootnoteText"/>
      </w:pPr>
      <w:r>
        <w:rPr>
          <w:rStyle w:val="FootnoteReference"/>
        </w:rPr>
        <w:footnoteRef/>
      </w:r>
      <w:r>
        <w:t xml:space="preserve"> We note that two other licensees surrendered space station authorizations within six months of </w:t>
      </w:r>
      <w:r>
        <w:t>Hiber</w:t>
      </w:r>
      <w:r w:rsidRPr="00F431A8">
        <w:t xml:space="preserve"> </w:t>
      </w:r>
      <w:r>
        <w:t xml:space="preserve">during the ongoing global pandemic, and no bond waivers were requested.  </w:t>
      </w:r>
      <w:r w:rsidRPr="000F7C1E">
        <w:rPr>
          <w:i/>
          <w:iCs/>
        </w:rPr>
        <w:t>See</w:t>
      </w:r>
      <w:r>
        <w:t xml:space="preserve"> </w:t>
      </w:r>
      <w:r>
        <w:t>Directv</w:t>
      </w:r>
      <w:r>
        <w:t xml:space="preserve"> Enterprises, LLC, IBFS File No. SAT-LOA-20130205-00016, Letter from Jennifer D. Hindin, Counsel to </w:t>
      </w:r>
      <w:r>
        <w:t>Directv</w:t>
      </w:r>
      <w:r>
        <w:t xml:space="preserve">, to Marlene H. Dortch, Secretary FCC (May 28, 2021), and </w:t>
      </w:r>
      <w:r>
        <w:t>Karousel</w:t>
      </w:r>
      <w:r>
        <w:t xml:space="preserve"> Satellite LLC, IBFS File No. SAT-LOA-20161115-00113, Letter from Monish Kundra, </w:t>
      </w:r>
      <w:r>
        <w:t>Karousel</w:t>
      </w:r>
      <w:r>
        <w:t xml:space="preserve">, to Marlene H, Dortch, Secretary FCC (Aug. 13, 2021).  </w:t>
      </w:r>
    </w:p>
  </w:footnote>
  <w:footnote w:id="31">
    <w:p w:rsidR="00A40269" w:rsidP="00A40269" w14:paraId="39ADFD32" w14:textId="77777777">
      <w:pPr>
        <w:widowControl/>
        <w:rPr>
          <w:snapToGrid/>
          <w:kern w:val="0"/>
          <w:sz w:val="20"/>
        </w:rPr>
      </w:pPr>
      <w:r>
        <w:rPr>
          <w:rStyle w:val="FootnoteReference"/>
        </w:rPr>
        <w:footnoteRef/>
      </w:r>
      <w:r>
        <w:t xml:space="preserve"> </w:t>
      </w:r>
      <w:r w:rsidRPr="0085523A">
        <w:rPr>
          <w:i/>
          <w:iCs/>
          <w:sz w:val="20"/>
        </w:rPr>
        <w:t>Globalstar</w:t>
      </w:r>
      <w:r w:rsidRPr="0085523A">
        <w:rPr>
          <w:i/>
          <w:iCs/>
          <w:sz w:val="20"/>
        </w:rPr>
        <w:t xml:space="preserve"> Licensee LLC</w:t>
      </w:r>
      <w:r w:rsidRPr="00C94EE8">
        <w:rPr>
          <w:sz w:val="20"/>
        </w:rPr>
        <w:t xml:space="preserve">, </w:t>
      </w:r>
      <w:r w:rsidRPr="0085523A">
        <w:rPr>
          <w:sz w:val="20"/>
        </w:rPr>
        <w:t>Order</w:t>
      </w:r>
      <w:r w:rsidRPr="00C94EE8">
        <w:rPr>
          <w:sz w:val="20"/>
        </w:rPr>
        <w:t xml:space="preserve">, 25 FCC </w:t>
      </w:r>
      <w:r w:rsidRPr="00C94EE8">
        <w:rPr>
          <w:sz w:val="20"/>
        </w:rPr>
        <w:t>Rcd</w:t>
      </w:r>
      <w:r w:rsidRPr="00C94EE8">
        <w:rPr>
          <w:sz w:val="20"/>
        </w:rPr>
        <w:t xml:space="preserve"> 13114, 13125</w:t>
      </w:r>
      <w:r>
        <w:rPr>
          <w:sz w:val="20"/>
        </w:rPr>
        <w:t>, ¶</w:t>
      </w:r>
      <w:r w:rsidRPr="00C94EE8">
        <w:rPr>
          <w:sz w:val="20"/>
        </w:rPr>
        <w:t xml:space="preserve"> 25</w:t>
      </w:r>
      <w:r>
        <w:rPr>
          <w:sz w:val="20"/>
        </w:rPr>
        <w:t xml:space="preserve"> (IB, OET, WTB, 2010)</w:t>
      </w:r>
      <w:r w:rsidRPr="00C94EE8">
        <w:rPr>
          <w:sz w:val="20"/>
        </w:rPr>
        <w:t xml:space="preserve">; </w:t>
      </w:r>
      <w:r w:rsidRPr="00134F5A">
        <w:rPr>
          <w:i/>
          <w:iCs/>
          <w:sz w:val="20"/>
        </w:rPr>
        <w:t>see also</w:t>
      </w:r>
      <w:r>
        <w:rPr>
          <w:sz w:val="20"/>
        </w:rPr>
        <w:t xml:space="preserve"> </w:t>
      </w:r>
      <w:hyperlink r:id="rId4" w:history="1">
        <w:r w:rsidRPr="00C94EE8">
          <w:rPr>
            <w:i/>
            <w:iCs/>
            <w:snapToGrid/>
            <w:kern w:val="0"/>
            <w:sz w:val="20"/>
          </w:rPr>
          <w:t>Constellation Communications Holdings, Inc.</w:t>
        </w:r>
        <w:r w:rsidRPr="00C94EE8">
          <w:rPr>
            <w:snapToGrid/>
            <w:kern w:val="0"/>
            <w:sz w:val="20"/>
          </w:rPr>
          <w:t xml:space="preserve">, </w:t>
        </w:r>
        <w:r>
          <w:rPr>
            <w:snapToGrid/>
            <w:kern w:val="0"/>
            <w:sz w:val="20"/>
          </w:rPr>
          <w:t xml:space="preserve">18 FCC </w:t>
        </w:r>
        <w:r>
          <w:rPr>
            <w:snapToGrid/>
            <w:kern w:val="0"/>
            <w:sz w:val="20"/>
          </w:rPr>
          <w:t>Rcd</w:t>
        </w:r>
        <w:r>
          <w:rPr>
            <w:snapToGrid/>
            <w:kern w:val="0"/>
            <w:sz w:val="20"/>
          </w:rPr>
          <w:t xml:space="preserve"> 18822, 18825 at para. 7 </w:t>
        </w:r>
        <w:r w:rsidRPr="00C94EE8">
          <w:rPr>
            <w:snapToGrid/>
            <w:kern w:val="0"/>
            <w:sz w:val="20"/>
          </w:rPr>
          <w:t>(2003)</w:t>
        </w:r>
      </w:hyperlink>
      <w:r w:rsidRPr="00C94EE8">
        <w:rPr>
          <w:snapToGrid/>
          <w:kern w:val="0"/>
          <w:sz w:val="20"/>
        </w:rPr>
        <w:t xml:space="preserve"> (“failure to attract investors, an uncertain business situation, or an unfavorable business climate in general does not justify an extension of a licensee</w:t>
      </w:r>
      <w:r>
        <w:rPr>
          <w:snapToGrid/>
          <w:kern w:val="0"/>
          <w:sz w:val="20"/>
        </w:rPr>
        <w:t>’</w:t>
      </w:r>
      <w:r w:rsidRPr="00C94EE8">
        <w:rPr>
          <w:snapToGrid/>
          <w:kern w:val="0"/>
          <w:sz w:val="20"/>
        </w:rPr>
        <w:t xml:space="preserve">s construction timetable”); </w:t>
      </w:r>
      <w:r w:rsidRPr="0085523A">
        <w:rPr>
          <w:i/>
          <w:iCs/>
          <w:snapToGrid/>
          <w:kern w:val="0"/>
          <w:sz w:val="20"/>
        </w:rPr>
        <w:t>NetSat</w:t>
      </w:r>
      <w:r w:rsidRPr="0085523A">
        <w:rPr>
          <w:i/>
          <w:iCs/>
          <w:snapToGrid/>
          <w:kern w:val="0"/>
          <w:sz w:val="20"/>
        </w:rPr>
        <w:t xml:space="preserve"> 28 Company LLC</w:t>
      </w:r>
      <w:r w:rsidRPr="00C94EE8">
        <w:rPr>
          <w:snapToGrid/>
          <w:kern w:val="0"/>
          <w:sz w:val="20"/>
        </w:rPr>
        <w:t>,</w:t>
      </w:r>
      <w:r>
        <w:rPr>
          <w:snapToGrid/>
          <w:kern w:val="0"/>
          <w:sz w:val="20"/>
        </w:rPr>
        <w:t xml:space="preserve"> </w:t>
      </w:r>
      <w:r w:rsidRPr="0085523A">
        <w:rPr>
          <w:snapToGrid/>
          <w:kern w:val="0"/>
          <w:sz w:val="20"/>
        </w:rPr>
        <w:t>Memorandum Opinion and Order</w:t>
      </w:r>
      <w:r>
        <w:rPr>
          <w:snapToGrid/>
          <w:kern w:val="0"/>
          <w:sz w:val="20"/>
        </w:rPr>
        <w:t xml:space="preserve">, 19 FCC </w:t>
      </w:r>
      <w:r>
        <w:rPr>
          <w:snapToGrid/>
          <w:kern w:val="0"/>
          <w:sz w:val="20"/>
        </w:rPr>
        <w:t>Rcd</w:t>
      </w:r>
      <w:r>
        <w:rPr>
          <w:snapToGrid/>
          <w:kern w:val="0"/>
          <w:sz w:val="20"/>
        </w:rPr>
        <w:t xml:space="preserve"> 17722, 17728</w:t>
      </w:r>
      <w:r w:rsidRPr="00C94EE8">
        <w:rPr>
          <w:snapToGrid/>
          <w:kern w:val="0"/>
          <w:sz w:val="20"/>
        </w:rPr>
        <w:t xml:space="preserve"> at </w:t>
      </w:r>
      <w:r>
        <w:rPr>
          <w:snapToGrid/>
          <w:kern w:val="0"/>
          <w:sz w:val="20"/>
        </w:rPr>
        <w:t xml:space="preserve">para. </w:t>
      </w:r>
      <w:r w:rsidRPr="00C94EE8">
        <w:rPr>
          <w:snapToGrid/>
          <w:kern w:val="0"/>
          <w:sz w:val="20"/>
        </w:rPr>
        <w:t xml:space="preserve">14 </w:t>
      </w:r>
      <w:r>
        <w:rPr>
          <w:snapToGrid/>
          <w:kern w:val="0"/>
          <w:sz w:val="20"/>
        </w:rPr>
        <w:t xml:space="preserve">(IB, 2004) </w:t>
      </w:r>
      <w:r w:rsidRPr="00C94EE8">
        <w:rPr>
          <w:snapToGrid/>
          <w:kern w:val="0"/>
          <w:sz w:val="20"/>
        </w:rPr>
        <w:t>(</w:t>
      </w:r>
      <w:r>
        <w:rPr>
          <w:snapToGrid/>
          <w:kern w:val="0"/>
          <w:sz w:val="20"/>
        </w:rPr>
        <w:t xml:space="preserve">failure to attract investors or an unfavorable business climate does not warrant an extension of a licensee’s milestones). </w:t>
      </w:r>
    </w:p>
    <w:p w:rsidR="00A40269" w:rsidRPr="00C94EE8" w:rsidP="00A40269" w14:paraId="62D73922" w14:textId="77777777">
      <w:pPr>
        <w:widowControl/>
      </w:pPr>
    </w:p>
  </w:footnote>
  <w:footnote w:id="32">
    <w:p w:rsidR="00A40269" w:rsidP="00A40269" w14:paraId="75B7C29D" w14:textId="77777777">
      <w:pPr>
        <w:pStyle w:val="FootnoteText"/>
      </w:pPr>
      <w:r>
        <w:rPr>
          <w:rStyle w:val="FootnoteReference"/>
        </w:rPr>
        <w:footnoteRef/>
      </w:r>
      <w:r>
        <w:t xml:space="preserve"> </w:t>
      </w:r>
      <w:r w:rsidRPr="00A041FE">
        <w:rPr>
          <w:i/>
          <w:iCs/>
        </w:rPr>
        <w:t>First Order on Reconsideration</w:t>
      </w:r>
      <w:r>
        <w:t xml:space="preserve">, 19 FCC </w:t>
      </w:r>
      <w:r>
        <w:t>Rcd</w:t>
      </w:r>
      <w:r>
        <w:t xml:space="preserve"> at 12652, para. 37.</w:t>
      </w:r>
    </w:p>
  </w:footnote>
  <w:footnote w:id="33">
    <w:p w:rsidR="00A40269" w:rsidP="00A40269" w14:paraId="25B1E524" w14:textId="77777777">
      <w:pPr>
        <w:pStyle w:val="FootnoteText"/>
      </w:pPr>
      <w:r>
        <w:rPr>
          <w:rStyle w:val="FootnoteReference"/>
        </w:rPr>
        <w:footnoteRef/>
      </w:r>
      <w:r>
        <w:rPr>
          <w:i/>
          <w:iCs/>
        </w:rPr>
        <w:t xml:space="preserve"> </w:t>
      </w:r>
      <w:r w:rsidRPr="001F5F5F">
        <w:rPr>
          <w:i/>
          <w:iCs/>
        </w:rPr>
        <w:t>Id</w:t>
      </w:r>
      <w:r>
        <w:t>.</w:t>
      </w:r>
    </w:p>
  </w:footnote>
  <w:footnote w:id="34">
    <w:p w:rsidR="00A40269" w:rsidP="00A40269" w14:paraId="34B06355" w14:textId="77777777">
      <w:pPr>
        <w:pStyle w:val="FootnoteText"/>
      </w:pPr>
      <w:r>
        <w:rPr>
          <w:rStyle w:val="FootnoteReference"/>
        </w:rPr>
        <w:footnoteRef/>
      </w:r>
      <w:r>
        <w:t xml:space="preserve"> </w:t>
      </w:r>
      <w:r w:rsidRPr="00134F5A">
        <w:rPr>
          <w:i/>
          <w:iCs/>
        </w:rPr>
        <w:t>AtContact</w:t>
      </w:r>
      <w:r w:rsidRPr="00134F5A">
        <w:rPr>
          <w:i/>
          <w:iCs/>
        </w:rPr>
        <w:t xml:space="preserve"> Order</w:t>
      </w:r>
      <w:r>
        <w:t xml:space="preserve">, 25 FCC </w:t>
      </w:r>
      <w:r>
        <w:t>Rcd</w:t>
      </w:r>
      <w:r>
        <w:t xml:space="preserve"> at </w:t>
      </w:r>
      <w:r w:rsidRPr="00034A53">
        <w:t>7586</w:t>
      </w:r>
      <w:r>
        <w:t>, para. 55</w:t>
      </w:r>
      <w:r w:rsidRPr="00034A53">
        <w:t>.</w:t>
      </w:r>
      <w:r>
        <w:t xml:space="preserve">  </w:t>
      </w:r>
      <w:r w:rsidRPr="00BE678A">
        <w:rPr>
          <w:i/>
          <w:iCs/>
        </w:rPr>
        <w:t>See also</w:t>
      </w:r>
      <w:r>
        <w:t xml:space="preserve"> </w:t>
      </w:r>
      <w:r w:rsidRPr="0085523A">
        <w:rPr>
          <w:i/>
          <w:iCs/>
        </w:rPr>
        <w:t>Kepler Communications Inc.,</w:t>
      </w:r>
      <w:r>
        <w:t xml:space="preserve"> </w:t>
      </w:r>
      <w:r w:rsidRPr="0085523A">
        <w:t>Order and Declaratory Ruling</w:t>
      </w:r>
      <w:r>
        <w:t xml:space="preserve">, 33 FCC </w:t>
      </w:r>
      <w:r>
        <w:t>Rcd</w:t>
      </w:r>
      <w:r>
        <w:t xml:space="preserve"> 11453, 11460 at para. 18 (2018) (rejecting Kepler’s assertion that a preemptive waiver of the surety bond requirement will minimize operational risk for the launch of its system and accommodate replacement satellites because these reasons do not rise to the level of special circumstances warranting a waiver of the rule). </w:t>
      </w:r>
    </w:p>
  </w:footnote>
  <w:footnote w:id="35">
    <w:p w:rsidR="00A40269" w:rsidP="00A40269" w14:paraId="6DDF71C4" w14:textId="77777777">
      <w:pPr>
        <w:pStyle w:val="FootnoteText"/>
      </w:pPr>
      <w:r>
        <w:rPr>
          <w:rStyle w:val="FootnoteReference"/>
        </w:rPr>
        <w:footnoteRef/>
      </w:r>
      <w:r>
        <w:t xml:space="preserve"> </w:t>
      </w:r>
      <w:r>
        <w:t>Hiber</w:t>
      </w:r>
      <w:r>
        <w:t xml:space="preserve"> Surrender Letter at 3. </w:t>
      </w:r>
    </w:p>
  </w:footnote>
  <w:footnote w:id="36">
    <w:p w:rsidR="00A40269" w:rsidP="00A40269" w14:paraId="301C6DC1" w14:textId="77777777">
      <w:pPr>
        <w:pStyle w:val="FootnoteText"/>
      </w:pPr>
      <w:r>
        <w:rPr>
          <w:rStyle w:val="FootnoteReference"/>
        </w:rPr>
        <w:footnoteRef/>
      </w:r>
      <w:r>
        <w:t xml:space="preserve"> </w:t>
      </w:r>
      <w:r>
        <w:t>Hiber</w:t>
      </w:r>
      <w:r>
        <w:t xml:space="preserve"> Order at 29 (b).</w:t>
      </w:r>
    </w:p>
  </w:footnote>
  <w:footnote w:id="37">
    <w:p w:rsidR="00A40269" w:rsidP="00A40269" w14:paraId="4DAB6133" w14:textId="77777777">
      <w:pPr>
        <w:pStyle w:val="FootnoteText"/>
      </w:pPr>
      <w:r>
        <w:rPr>
          <w:rStyle w:val="FootnoteReference"/>
        </w:rPr>
        <w:footnoteRef/>
      </w:r>
      <w:r>
        <w:t xml:space="preserve"> </w:t>
      </w:r>
      <w:r>
        <w:t>Hiber</w:t>
      </w:r>
      <w:r>
        <w:t xml:space="preserve"> Surrender Letter at 3. </w:t>
      </w:r>
    </w:p>
  </w:footnote>
  <w:footnote w:id="38">
    <w:p w:rsidR="00A40269" w:rsidP="00A40269" w14:paraId="42BCC46F" w14:textId="77777777">
      <w:pPr>
        <w:pStyle w:val="FootnoteText"/>
      </w:pPr>
      <w:r>
        <w:rPr>
          <w:rStyle w:val="FootnoteReference"/>
        </w:rPr>
        <w:footnoteRef/>
      </w:r>
      <w:r>
        <w:t xml:space="preserve"> </w:t>
      </w:r>
      <w:r w:rsidRPr="00134F5A">
        <w:rPr>
          <w:i/>
          <w:iCs/>
        </w:rPr>
        <w:t>AtContac</w:t>
      </w:r>
      <w:r>
        <w:t>t</w:t>
      </w:r>
      <w:r>
        <w:t xml:space="preserve"> </w:t>
      </w:r>
      <w:r w:rsidRPr="00134F5A">
        <w:rPr>
          <w:i/>
          <w:iCs/>
        </w:rPr>
        <w:t>Order</w:t>
      </w:r>
      <w:r>
        <w:t xml:space="preserve">, 25 FCC </w:t>
      </w:r>
      <w:r>
        <w:t>Rcd</w:t>
      </w:r>
      <w:r>
        <w:t xml:space="preserve"> at 7581, para. 40.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B54FC6" w14:textId="312BCF0E">
    <w:pPr>
      <w:pStyle w:val="Header"/>
      <w:rPr>
        <w:b w:val="0"/>
      </w:rPr>
    </w:pPr>
    <w:r>
      <w:tab/>
      <w:t>Federal Communications Commission</w:t>
    </w:r>
    <w:r>
      <w:tab/>
    </w:r>
    <w:r w:rsidR="00D53C1F">
      <w:t>DA 22-595</w:t>
    </w:r>
  </w:p>
  <w:p w:rsidR="00D25FB5" w14:paraId="71C21686" w14:textId="7B08E70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DE70A5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3083E6" w14:textId="6C5F731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06E02">
      <w:rPr>
        <w:spacing w:val="-2"/>
      </w:rPr>
      <w:t>DA 22-595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A8004AE"/>
    <w:lvl w:ilvl="0">
      <w:start w:val="1"/>
      <w:numFmt w:val="decimal"/>
      <w:pStyle w:val="ParaNum"/>
      <w:lvlText w:val="%1."/>
      <w:lvlJc w:val="left"/>
      <w:pPr>
        <w:tabs>
          <w:tab w:val="num" w:pos="1080"/>
        </w:tabs>
        <w:ind w:left="0" w:firstLine="720"/>
      </w:pPr>
      <w:rPr>
        <w:b w:val="0"/>
        <w:bCs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69"/>
    <w:rsid w:val="0001579B"/>
    <w:rsid w:val="00027D38"/>
    <w:rsid w:val="00034A53"/>
    <w:rsid w:val="00036039"/>
    <w:rsid w:val="00037F90"/>
    <w:rsid w:val="00061269"/>
    <w:rsid w:val="000875BF"/>
    <w:rsid w:val="00096D8C"/>
    <w:rsid w:val="000B0AAB"/>
    <w:rsid w:val="000B30F6"/>
    <w:rsid w:val="000C0B65"/>
    <w:rsid w:val="000E05FE"/>
    <w:rsid w:val="000E3D42"/>
    <w:rsid w:val="000F7C1E"/>
    <w:rsid w:val="00122BD5"/>
    <w:rsid w:val="001274AD"/>
    <w:rsid w:val="00133F79"/>
    <w:rsid w:val="00134F5A"/>
    <w:rsid w:val="00194A66"/>
    <w:rsid w:val="001D6BCF"/>
    <w:rsid w:val="001E01CA"/>
    <w:rsid w:val="001F5F5F"/>
    <w:rsid w:val="00275CF5"/>
    <w:rsid w:val="0028301F"/>
    <w:rsid w:val="00285017"/>
    <w:rsid w:val="00287946"/>
    <w:rsid w:val="002A2D2E"/>
    <w:rsid w:val="002C00E8"/>
    <w:rsid w:val="002E79F7"/>
    <w:rsid w:val="00343749"/>
    <w:rsid w:val="003660ED"/>
    <w:rsid w:val="00382164"/>
    <w:rsid w:val="003A72DF"/>
    <w:rsid w:val="003B0550"/>
    <w:rsid w:val="003B694F"/>
    <w:rsid w:val="003F171C"/>
    <w:rsid w:val="00406980"/>
    <w:rsid w:val="00412FC5"/>
    <w:rsid w:val="00422276"/>
    <w:rsid w:val="004242F1"/>
    <w:rsid w:val="00445A00"/>
    <w:rsid w:val="00451B0F"/>
    <w:rsid w:val="00473A5A"/>
    <w:rsid w:val="004A4CF8"/>
    <w:rsid w:val="004C2EE3"/>
    <w:rsid w:val="004E4A22"/>
    <w:rsid w:val="004E7FBC"/>
    <w:rsid w:val="004F2529"/>
    <w:rsid w:val="00511968"/>
    <w:rsid w:val="0055614C"/>
    <w:rsid w:val="00566D06"/>
    <w:rsid w:val="005E14C2"/>
    <w:rsid w:val="00607BA5"/>
    <w:rsid w:val="0061180A"/>
    <w:rsid w:val="00622E50"/>
    <w:rsid w:val="00626EB6"/>
    <w:rsid w:val="006524C0"/>
    <w:rsid w:val="00655D03"/>
    <w:rsid w:val="0066713D"/>
    <w:rsid w:val="00683388"/>
    <w:rsid w:val="00683F84"/>
    <w:rsid w:val="006A6A81"/>
    <w:rsid w:val="006F7393"/>
    <w:rsid w:val="0070224F"/>
    <w:rsid w:val="007115F7"/>
    <w:rsid w:val="00724D7E"/>
    <w:rsid w:val="00733BFD"/>
    <w:rsid w:val="00785689"/>
    <w:rsid w:val="00790C14"/>
    <w:rsid w:val="00795EB6"/>
    <w:rsid w:val="0079754B"/>
    <w:rsid w:val="007A1E6D"/>
    <w:rsid w:val="007B0EB2"/>
    <w:rsid w:val="00806E02"/>
    <w:rsid w:val="00810B6F"/>
    <w:rsid w:val="00822CE0"/>
    <w:rsid w:val="00841AB1"/>
    <w:rsid w:val="0085523A"/>
    <w:rsid w:val="008C68F1"/>
    <w:rsid w:val="008C75DA"/>
    <w:rsid w:val="008E79F4"/>
    <w:rsid w:val="00921803"/>
    <w:rsid w:val="00926503"/>
    <w:rsid w:val="009726D8"/>
    <w:rsid w:val="009A38C3"/>
    <w:rsid w:val="009D7308"/>
    <w:rsid w:val="009E15CB"/>
    <w:rsid w:val="009F2AB8"/>
    <w:rsid w:val="009F76DB"/>
    <w:rsid w:val="00A041FE"/>
    <w:rsid w:val="00A31615"/>
    <w:rsid w:val="00A32C3B"/>
    <w:rsid w:val="00A40269"/>
    <w:rsid w:val="00A45EBF"/>
    <w:rsid w:val="00A45F4F"/>
    <w:rsid w:val="00A600A9"/>
    <w:rsid w:val="00A64AC3"/>
    <w:rsid w:val="00A652F7"/>
    <w:rsid w:val="00AA55B7"/>
    <w:rsid w:val="00AA5B9E"/>
    <w:rsid w:val="00AB2407"/>
    <w:rsid w:val="00AB53DF"/>
    <w:rsid w:val="00B07E5C"/>
    <w:rsid w:val="00B811F7"/>
    <w:rsid w:val="00BA5DC6"/>
    <w:rsid w:val="00BA6196"/>
    <w:rsid w:val="00BB0EE5"/>
    <w:rsid w:val="00BC6D8C"/>
    <w:rsid w:val="00BE678A"/>
    <w:rsid w:val="00C04042"/>
    <w:rsid w:val="00C34006"/>
    <w:rsid w:val="00C36B4C"/>
    <w:rsid w:val="00C426B1"/>
    <w:rsid w:val="00C66160"/>
    <w:rsid w:val="00C721AC"/>
    <w:rsid w:val="00C90D6A"/>
    <w:rsid w:val="00C94EE8"/>
    <w:rsid w:val="00CA247E"/>
    <w:rsid w:val="00CA6D21"/>
    <w:rsid w:val="00CC0DD2"/>
    <w:rsid w:val="00CC478F"/>
    <w:rsid w:val="00CC72B6"/>
    <w:rsid w:val="00CF40BA"/>
    <w:rsid w:val="00D0218D"/>
    <w:rsid w:val="00D25FB5"/>
    <w:rsid w:val="00D44223"/>
    <w:rsid w:val="00D53C1F"/>
    <w:rsid w:val="00DA1820"/>
    <w:rsid w:val="00DA2529"/>
    <w:rsid w:val="00DA53FC"/>
    <w:rsid w:val="00DB130A"/>
    <w:rsid w:val="00DB2EBB"/>
    <w:rsid w:val="00DC10A1"/>
    <w:rsid w:val="00DC655F"/>
    <w:rsid w:val="00DD0B59"/>
    <w:rsid w:val="00DD7EBD"/>
    <w:rsid w:val="00DF62B6"/>
    <w:rsid w:val="00E00656"/>
    <w:rsid w:val="00E07225"/>
    <w:rsid w:val="00E46B21"/>
    <w:rsid w:val="00E5409F"/>
    <w:rsid w:val="00EE6488"/>
    <w:rsid w:val="00F021FA"/>
    <w:rsid w:val="00F431A8"/>
    <w:rsid w:val="00F62E97"/>
    <w:rsid w:val="00F64209"/>
    <w:rsid w:val="00F8080C"/>
    <w:rsid w:val="00F81FCF"/>
    <w:rsid w:val="00F93BF5"/>
    <w:rsid w:val="00FB6C6C"/>
    <w:rsid w:val="00FE60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C72FCE"/>
  <w15:chartTrackingRefBased/>
  <w15:docId w15:val="{927E0A60-CAC4-4D0E-B9D2-4A7570F0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4026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fn,fn Cha,fn Char Char"/>
    <w:link w:val="FootnoteTextChar"/>
    <w:rsid w:val="000E3D42"/>
    <w:pPr>
      <w:spacing w:after="120"/>
    </w:pPr>
  </w:style>
  <w:style w:type="character" w:styleId="FootnoteReference">
    <w:name w:val="footnote reference"/>
    <w:aliases w:val="(NECG) Footnote Reference,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 Char"/>
    <w:link w:val="FootnoteText"/>
    <w:locked/>
    <w:rsid w:val="00A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L&amp;pubNum=1000547&amp;cite=47CFRS0.261&amp;originatingDoc=Ib64f5c852bde11dbbb4d83d7c3c3a165&amp;refType=LQ&amp;originationContext=document&amp;transitionType=DocumentItem&amp;contextData=(sc.Search)"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25.165&amp;originatingDoc=I79716d2bdf0711e69822eed485bc7ca1&amp;refType=LQ&amp;originationContext=document&amp;transitionType=DocumentItem&amp;ppcid=9f0c815239134848ad1ba29e81f3fa96&amp;contextData=(sc.Search)" TargetMode="External" /><Relationship Id="rId2" Type="http://schemas.openxmlformats.org/officeDocument/2006/relationships/hyperlink" Target="https://1.next.westlaw.com/Link/Document/FullText?findType=L&amp;pubNum=1000547&amp;cite=47CFRS25.165&amp;originatingDoc=I79716d2bdf0711e69822eed485bc7ca1&amp;refType=RB&amp;originationContext=document&amp;transitionType=DocumentItem&amp;ppcid=9f0c815239134848ad1ba29e81f3fa96&amp;contextData=(sc.Search)" TargetMode="External" /><Relationship Id="rId3" Type="http://schemas.openxmlformats.org/officeDocument/2006/relationships/hyperlink" Target="https://1.next.westlaw.com/Link/Document/FullText?findType=L&amp;pubNum=1000547&amp;cite=47CFRS1.3&amp;originatingDoc=I951a1b81b05011dba10be1078cee05f1&amp;refType=LQ&amp;originationContext=document&amp;transitionType=DocumentItem&amp;ppcid=fd10b7893a5c465f8de6a4c6610bb52a&amp;contextData=(sc.Search)" TargetMode="External" /><Relationship Id="rId4" Type="http://schemas.openxmlformats.org/officeDocument/2006/relationships/hyperlink" Target="https://1.next.westlaw.com/Link/Document/FullText?findType=Y&amp;serNum=2003630876&amp;pubNum=1016&amp;originatingDoc=I3585ee77c16d11df952a80d2993fba83&amp;refType=CA&amp;originationContext=document&amp;transitionType=DocumentItem&amp;ppcid=5213fe8013a245468ba6f4110607b403&amp;contextData=(sc.DocLink)"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