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30FE1" w:rsidP="00CB5F08" w14:paraId="25B46D58" w14:textId="277668B1">
      <w:pPr>
        <w:tabs>
          <w:tab w:val="left" w:pos="6480"/>
        </w:tabs>
        <w:ind w:left="5760" w:firstLine="720"/>
        <w:rPr>
          <w:sz w:val="22"/>
          <w:szCs w:val="22"/>
        </w:rPr>
      </w:pPr>
      <w:r>
        <w:rPr>
          <w:sz w:val="22"/>
          <w:szCs w:val="22"/>
        </w:rPr>
        <w:t xml:space="preserve">DA </w:t>
      </w:r>
      <w:r w:rsidR="00465A8A">
        <w:rPr>
          <w:sz w:val="22"/>
          <w:szCs w:val="22"/>
        </w:rPr>
        <w:t>22-602</w:t>
      </w:r>
    </w:p>
    <w:p w:rsidR="00CB5F08" w:rsidRPr="006549E2" w:rsidP="00CB5F08" w14:paraId="6AF39997" w14:textId="477E5C83">
      <w:pPr>
        <w:tabs>
          <w:tab w:val="left" w:pos="6480"/>
        </w:tabs>
        <w:ind w:left="5760" w:firstLine="720"/>
        <w:rPr>
          <w:sz w:val="22"/>
          <w:szCs w:val="22"/>
        </w:rPr>
      </w:pPr>
      <w:r w:rsidRPr="006549E2">
        <w:rPr>
          <w:sz w:val="22"/>
          <w:szCs w:val="22"/>
        </w:rPr>
        <w:t>In Reply Refer To:</w:t>
      </w:r>
    </w:p>
    <w:p w:rsidR="00CB5F08" w:rsidP="00CB5F08" w14:paraId="1E581B50" w14:textId="2CF42A1A">
      <w:pPr>
        <w:tabs>
          <w:tab w:val="left" w:pos="6480"/>
        </w:tabs>
        <w:ind w:firstLine="720"/>
        <w:rPr>
          <w:sz w:val="22"/>
          <w:szCs w:val="22"/>
        </w:rPr>
      </w:pPr>
      <w:r w:rsidRPr="006549E2">
        <w:rPr>
          <w:sz w:val="22"/>
          <w:szCs w:val="22"/>
        </w:rPr>
        <w:tab/>
        <w:t>1800B3-SDW</w:t>
      </w:r>
    </w:p>
    <w:p w:rsidR="00630FE1" w:rsidRPr="006549E2" w:rsidP="00CB5F08" w14:paraId="2DFFE842" w14:textId="27446F05">
      <w:pPr>
        <w:tabs>
          <w:tab w:val="left" w:pos="6480"/>
        </w:tabs>
        <w:ind w:firstLine="720"/>
        <w:rPr>
          <w:sz w:val="22"/>
          <w:szCs w:val="22"/>
        </w:rPr>
      </w:pPr>
      <w:r>
        <w:rPr>
          <w:sz w:val="22"/>
          <w:szCs w:val="22"/>
        </w:rPr>
        <w:tab/>
        <w:t xml:space="preserve">Released June </w:t>
      </w:r>
      <w:r w:rsidR="00465A8A">
        <w:rPr>
          <w:sz w:val="22"/>
          <w:szCs w:val="22"/>
        </w:rPr>
        <w:t>3, 2022</w:t>
      </w:r>
    </w:p>
    <w:p w:rsidR="00CB5F08" w:rsidRPr="006549E2" w:rsidP="00CB5F08" w14:paraId="351C7D71" w14:textId="77777777">
      <w:pPr>
        <w:tabs>
          <w:tab w:val="left" w:pos="6480"/>
        </w:tabs>
        <w:ind w:firstLine="720"/>
        <w:rPr>
          <w:sz w:val="22"/>
          <w:szCs w:val="22"/>
        </w:rPr>
      </w:pPr>
      <w:r w:rsidRPr="006549E2">
        <w:rPr>
          <w:sz w:val="22"/>
          <w:szCs w:val="22"/>
        </w:rPr>
        <w:tab/>
      </w:r>
    </w:p>
    <w:p w:rsidR="00CB5F08" w:rsidRPr="006549E2" w:rsidP="00CB5F08" w14:paraId="2105266E" w14:textId="77777777">
      <w:pPr>
        <w:tabs>
          <w:tab w:val="left" w:pos="6480"/>
        </w:tabs>
        <w:rPr>
          <w:b/>
          <w:sz w:val="22"/>
          <w:szCs w:val="22"/>
          <w:u w:val="single"/>
        </w:rPr>
      </w:pPr>
    </w:p>
    <w:p w:rsidR="00CB5F08" w:rsidRPr="006549E2" w:rsidP="00CB5F08" w14:paraId="5D9FFD49" w14:textId="77777777">
      <w:pPr>
        <w:rPr>
          <w:sz w:val="22"/>
          <w:szCs w:val="22"/>
        </w:rPr>
      </w:pPr>
      <w:r w:rsidRPr="006549E2">
        <w:rPr>
          <w:sz w:val="22"/>
          <w:szCs w:val="22"/>
        </w:rPr>
        <w:t>Albert Adam David</w:t>
      </w:r>
    </w:p>
    <w:p w:rsidR="00CB5F08" w:rsidRPr="006549E2" w:rsidP="00CB5F08" w14:paraId="5DC4C39E" w14:textId="77777777">
      <w:pPr>
        <w:rPr>
          <w:sz w:val="22"/>
          <w:szCs w:val="22"/>
        </w:rPr>
      </w:pPr>
      <w:r w:rsidRPr="006549E2">
        <w:rPr>
          <w:sz w:val="22"/>
          <w:szCs w:val="22"/>
        </w:rPr>
        <w:t xml:space="preserve">2632 Kenilworth Ave. </w:t>
      </w:r>
    </w:p>
    <w:p w:rsidR="00CB5F08" w:rsidRPr="006549E2" w:rsidP="00CB5F08" w14:paraId="60916607" w14:textId="77777777">
      <w:pPr>
        <w:rPr>
          <w:sz w:val="22"/>
          <w:szCs w:val="22"/>
        </w:rPr>
      </w:pPr>
      <w:r w:rsidRPr="006549E2">
        <w:rPr>
          <w:sz w:val="22"/>
          <w:szCs w:val="22"/>
        </w:rPr>
        <w:t>Berwyn, IL 60402</w:t>
      </w:r>
    </w:p>
    <w:p w:rsidR="00CB5F08" w:rsidRPr="00193E2F" w:rsidP="00193E2F" w14:paraId="45040E62" w14:textId="77777777">
      <w:pPr>
        <w:pStyle w:val="NormalWeb"/>
        <w:shd w:val="clear" w:color="auto" w:fill="FFFFFF"/>
        <w:spacing w:before="0" w:beforeAutospacing="0" w:after="0" w:afterAutospacing="0"/>
        <w:rPr>
          <w:sz w:val="22"/>
          <w:szCs w:val="22"/>
        </w:rPr>
      </w:pPr>
      <w:r w:rsidRPr="00193E2F">
        <w:rPr>
          <w:sz w:val="22"/>
          <w:szCs w:val="22"/>
        </w:rPr>
        <w:t>(sent by electronic email to: albert.a.david@hotmail.com)</w:t>
      </w:r>
    </w:p>
    <w:p w:rsidR="00CB5F08" w:rsidRPr="006549E2" w:rsidP="00193E2F" w14:paraId="47A89866" w14:textId="77777777">
      <w:pPr>
        <w:pStyle w:val="Heading2"/>
      </w:pPr>
    </w:p>
    <w:p w:rsidR="00CB5F08" w:rsidRPr="006549E2" w:rsidP="00CB5F08" w14:paraId="29EB4FE2" w14:textId="77777777">
      <w:pPr>
        <w:pStyle w:val="NormalWeb"/>
        <w:shd w:val="clear" w:color="auto" w:fill="FFFFFF"/>
        <w:spacing w:before="0" w:beforeAutospacing="0" w:after="0" w:afterAutospacing="0"/>
        <w:rPr>
          <w:sz w:val="22"/>
          <w:szCs w:val="22"/>
        </w:rPr>
      </w:pPr>
      <w:r w:rsidRPr="006549E2">
        <w:rPr>
          <w:sz w:val="22"/>
          <w:szCs w:val="22"/>
        </w:rPr>
        <w:t>David M. Riek</w:t>
      </w:r>
    </w:p>
    <w:p w:rsidR="00CB5F08" w:rsidRPr="006549E2" w:rsidP="00CB5F08" w14:paraId="436447E0" w14:textId="77777777">
      <w:pPr>
        <w:rPr>
          <w:sz w:val="22"/>
          <w:szCs w:val="22"/>
        </w:rPr>
      </w:pPr>
      <w:r w:rsidRPr="006549E2">
        <w:rPr>
          <w:sz w:val="22"/>
          <w:szCs w:val="22"/>
        </w:rPr>
        <w:t>Arizona Western College</w:t>
      </w:r>
    </w:p>
    <w:p w:rsidR="00CB5F08" w:rsidRPr="006549E2" w:rsidP="00CB5F08" w14:paraId="79262DBE" w14:textId="77777777">
      <w:pPr>
        <w:pStyle w:val="NormalWeb"/>
        <w:shd w:val="clear" w:color="auto" w:fill="FFFFFF"/>
        <w:spacing w:before="0" w:beforeAutospacing="0" w:after="0" w:afterAutospacing="0"/>
        <w:rPr>
          <w:sz w:val="22"/>
          <w:szCs w:val="22"/>
        </w:rPr>
      </w:pPr>
      <w:r w:rsidRPr="006549E2">
        <w:rPr>
          <w:sz w:val="22"/>
          <w:szCs w:val="22"/>
        </w:rPr>
        <w:t>PO Box 929</w:t>
      </w:r>
    </w:p>
    <w:p w:rsidR="00CB5F08" w:rsidRPr="006549E2" w:rsidP="00CB5F08" w14:paraId="48B5DC44" w14:textId="77777777">
      <w:pPr>
        <w:pStyle w:val="NormalWeb"/>
        <w:shd w:val="clear" w:color="auto" w:fill="FFFFFF"/>
        <w:spacing w:before="0" w:beforeAutospacing="0" w:after="0" w:afterAutospacing="0"/>
        <w:rPr>
          <w:sz w:val="22"/>
          <w:szCs w:val="22"/>
        </w:rPr>
      </w:pPr>
      <w:r w:rsidRPr="006549E2">
        <w:rPr>
          <w:sz w:val="22"/>
          <w:szCs w:val="22"/>
        </w:rPr>
        <w:t>Yuma, AZ 83565</w:t>
      </w:r>
    </w:p>
    <w:p w:rsidR="00CB5F08" w:rsidRPr="006549E2" w:rsidP="00CB5F08" w14:paraId="03CFFB7E" w14:textId="77777777">
      <w:pPr>
        <w:rPr>
          <w:sz w:val="22"/>
          <w:szCs w:val="22"/>
        </w:rPr>
      </w:pPr>
      <w:r w:rsidRPr="006549E2">
        <w:rPr>
          <w:sz w:val="22"/>
          <w:szCs w:val="22"/>
        </w:rPr>
        <w:t xml:space="preserve">(sent by electronic email to: </w:t>
      </w:r>
      <w:r w:rsidRPr="006549E2">
        <w:rPr>
          <w:sz w:val="22"/>
          <w:szCs w:val="22"/>
          <w:shd w:val="clear" w:color="auto" w:fill="FFFFFF"/>
        </w:rPr>
        <w:t>dave.riek@azwestern.edu)</w:t>
      </w:r>
    </w:p>
    <w:p w:rsidR="00CB5F08" w:rsidRPr="006549E2" w:rsidP="00CB5F08" w14:paraId="5CEFBBA2" w14:textId="77777777">
      <w:pPr>
        <w:pStyle w:val="NormalWeb"/>
        <w:shd w:val="clear" w:color="auto" w:fill="FFFFFF"/>
        <w:spacing w:before="0" w:beforeAutospacing="0" w:after="0" w:afterAutospacing="0"/>
        <w:rPr>
          <w:sz w:val="22"/>
          <w:szCs w:val="22"/>
        </w:rPr>
      </w:pPr>
    </w:p>
    <w:p w:rsidR="00CB5F08" w:rsidRPr="006549E2" w:rsidP="00CB5F08" w14:paraId="73FE0BCB" w14:textId="77777777">
      <w:pPr>
        <w:rPr>
          <w:sz w:val="22"/>
          <w:szCs w:val="22"/>
        </w:rPr>
      </w:pPr>
    </w:p>
    <w:p w:rsidR="00CB5F08" w:rsidRPr="006549E2" w:rsidP="00CB5F08" w14:paraId="741751B2" w14:textId="77777777">
      <w:pPr>
        <w:rPr>
          <w:sz w:val="22"/>
          <w:szCs w:val="22"/>
        </w:rPr>
      </w:pPr>
    </w:p>
    <w:p w:rsidR="00CB5F08" w:rsidRPr="006549E2" w:rsidP="00880B6F" w14:paraId="3DA609AF" w14:textId="77777777">
      <w:pPr>
        <w:tabs>
          <w:tab w:val="left" w:pos="0"/>
        </w:tabs>
        <w:suppressAutoHyphens/>
        <w:ind w:left="5760" w:hanging="5040"/>
        <w:rPr>
          <w:b/>
          <w:sz w:val="22"/>
          <w:szCs w:val="22"/>
        </w:rPr>
      </w:pPr>
      <w:r w:rsidRPr="006549E2">
        <w:rPr>
          <w:sz w:val="22"/>
          <w:szCs w:val="22"/>
        </w:rPr>
        <w:t xml:space="preserve">                                                                    In re:</w:t>
      </w:r>
      <w:r w:rsidRPr="006549E2">
        <w:rPr>
          <w:sz w:val="22"/>
          <w:szCs w:val="22"/>
        </w:rPr>
        <w:tab/>
      </w:r>
      <w:r w:rsidRPr="006549E2">
        <w:rPr>
          <w:b/>
          <w:sz w:val="22"/>
          <w:szCs w:val="22"/>
        </w:rPr>
        <w:t>NCE MX Group 22</w:t>
      </w:r>
    </w:p>
    <w:p w:rsidR="00CB5F08" w:rsidRPr="006549E2" w:rsidP="00880B6F" w14:paraId="25CE4755" w14:textId="77777777">
      <w:pPr>
        <w:tabs>
          <w:tab w:val="left" w:pos="0"/>
        </w:tabs>
        <w:suppressAutoHyphens/>
        <w:ind w:left="5760" w:hanging="5040"/>
        <w:rPr>
          <w:b/>
          <w:sz w:val="22"/>
          <w:szCs w:val="22"/>
        </w:rPr>
      </w:pPr>
      <w:r w:rsidRPr="006549E2">
        <w:rPr>
          <w:b/>
          <w:sz w:val="22"/>
          <w:szCs w:val="22"/>
        </w:rPr>
        <w:tab/>
      </w:r>
    </w:p>
    <w:p w:rsidR="00CB5F08" w:rsidRPr="006549E2" w:rsidP="00880B6F" w14:paraId="759349AA" w14:textId="77777777">
      <w:pPr>
        <w:ind w:left="5040" w:firstLine="720"/>
        <w:rPr>
          <w:b/>
          <w:bCs/>
          <w:sz w:val="22"/>
          <w:szCs w:val="22"/>
        </w:rPr>
      </w:pPr>
      <w:r w:rsidRPr="006549E2">
        <w:rPr>
          <w:b/>
          <w:bCs/>
          <w:sz w:val="22"/>
          <w:szCs w:val="22"/>
        </w:rPr>
        <w:t>Arizona Western College</w:t>
      </w:r>
    </w:p>
    <w:p w:rsidR="00CB5F08" w:rsidRPr="006549E2" w:rsidP="00880B6F" w14:paraId="2E7DEB08" w14:textId="77777777">
      <w:pPr>
        <w:tabs>
          <w:tab w:val="left" w:pos="0"/>
        </w:tabs>
        <w:suppressAutoHyphens/>
        <w:ind w:left="5760" w:hanging="5040"/>
        <w:rPr>
          <w:bCs/>
          <w:sz w:val="22"/>
          <w:szCs w:val="22"/>
        </w:rPr>
      </w:pPr>
      <w:r w:rsidRPr="006549E2">
        <w:rPr>
          <w:bCs/>
          <w:sz w:val="22"/>
          <w:szCs w:val="22"/>
        </w:rPr>
        <w:tab/>
        <w:t>New NCE (FM), Quartzsite, AZ</w:t>
      </w:r>
      <w:r w:rsidRPr="006549E2">
        <w:rPr>
          <w:bCs/>
          <w:sz w:val="22"/>
          <w:szCs w:val="22"/>
        </w:rPr>
        <w:tab/>
      </w:r>
    </w:p>
    <w:p w:rsidR="00CB5F08" w:rsidRPr="006549E2" w:rsidP="00880B6F" w14:paraId="2FAE5784" w14:textId="77777777">
      <w:pPr>
        <w:ind w:left="5040" w:firstLine="720"/>
        <w:rPr>
          <w:sz w:val="22"/>
          <w:szCs w:val="22"/>
        </w:rPr>
      </w:pPr>
      <w:r w:rsidRPr="006549E2">
        <w:rPr>
          <w:sz w:val="22"/>
          <w:szCs w:val="22"/>
        </w:rPr>
        <w:t>Facility ID No. 766433</w:t>
      </w:r>
    </w:p>
    <w:p w:rsidR="00CB5F08" w:rsidP="00880B6F" w14:paraId="4E6032FA" w14:textId="6C49AD7A">
      <w:pPr>
        <w:tabs>
          <w:tab w:val="left" w:pos="0"/>
        </w:tabs>
        <w:suppressAutoHyphens/>
        <w:ind w:left="5760" w:hanging="5040"/>
        <w:rPr>
          <w:sz w:val="22"/>
          <w:szCs w:val="22"/>
        </w:rPr>
      </w:pPr>
      <w:r w:rsidRPr="006549E2">
        <w:rPr>
          <w:sz w:val="22"/>
          <w:szCs w:val="22"/>
        </w:rPr>
        <w:tab/>
        <w:t>File No. 0</w:t>
      </w:r>
      <w:hyperlink r:id="rId5" w:tgtFrame="lm" w:history="1">
        <w:r w:rsidRPr="006549E2">
          <w:rPr>
            <w:sz w:val="22"/>
            <w:szCs w:val="22"/>
          </w:rPr>
          <w:t>000166975</w:t>
        </w:r>
      </w:hyperlink>
    </w:p>
    <w:p w:rsidR="001A1C4E" w:rsidP="00880B6F" w14:paraId="61910952" w14:textId="0302C29B">
      <w:pPr>
        <w:tabs>
          <w:tab w:val="left" w:pos="0"/>
        </w:tabs>
        <w:suppressAutoHyphens/>
        <w:ind w:left="5760" w:hanging="5040"/>
        <w:rPr>
          <w:sz w:val="22"/>
          <w:szCs w:val="22"/>
        </w:rPr>
      </w:pPr>
    </w:p>
    <w:p w:rsidR="001A1C4E" w:rsidP="00880B6F" w14:paraId="1BF060BE" w14:textId="0BF38BAC">
      <w:pPr>
        <w:tabs>
          <w:tab w:val="left" w:pos="0"/>
        </w:tabs>
        <w:suppressAutoHyphens/>
        <w:ind w:left="5760" w:hanging="5040"/>
        <w:rPr>
          <w:b/>
          <w:bCs/>
          <w:sz w:val="22"/>
          <w:szCs w:val="22"/>
        </w:rPr>
      </w:pPr>
      <w:r>
        <w:rPr>
          <w:sz w:val="22"/>
          <w:szCs w:val="22"/>
        </w:rPr>
        <w:tab/>
      </w:r>
      <w:r>
        <w:rPr>
          <w:b/>
          <w:bCs/>
          <w:sz w:val="22"/>
          <w:szCs w:val="22"/>
        </w:rPr>
        <w:t>Remanente Broadcasting Network</w:t>
      </w:r>
    </w:p>
    <w:p w:rsidR="001A1C4E" w:rsidRPr="006A5A06" w:rsidP="00880B6F" w14:paraId="34729B19" w14:textId="606C852D">
      <w:pPr>
        <w:tabs>
          <w:tab w:val="left" w:pos="0"/>
        </w:tabs>
        <w:suppressAutoHyphens/>
        <w:ind w:left="5760" w:hanging="5040"/>
        <w:rPr>
          <w:sz w:val="22"/>
          <w:szCs w:val="22"/>
          <w:lang w:val="es-ES"/>
        </w:rPr>
      </w:pPr>
      <w:r>
        <w:rPr>
          <w:b/>
          <w:bCs/>
          <w:sz w:val="22"/>
          <w:szCs w:val="22"/>
        </w:rPr>
        <w:tab/>
      </w:r>
      <w:r w:rsidRPr="006A5A06">
        <w:rPr>
          <w:sz w:val="22"/>
          <w:szCs w:val="22"/>
          <w:lang w:val="es-ES"/>
        </w:rPr>
        <w:t xml:space="preserve">New NCE (FM), </w:t>
      </w:r>
      <w:r w:rsidRPr="006A5A06" w:rsidR="002018EA">
        <w:rPr>
          <w:sz w:val="22"/>
          <w:szCs w:val="22"/>
          <w:lang w:val="es-ES"/>
        </w:rPr>
        <w:t>La Paz Valley, AZ</w:t>
      </w:r>
      <w:r w:rsidRPr="006A5A06">
        <w:rPr>
          <w:sz w:val="22"/>
          <w:szCs w:val="22"/>
          <w:lang w:val="es-ES"/>
        </w:rPr>
        <w:tab/>
      </w:r>
    </w:p>
    <w:p w:rsidR="001A1C4E" w:rsidRPr="006549E2" w:rsidP="002018EA" w14:paraId="2BB4EF31" w14:textId="7C6782CB">
      <w:pPr>
        <w:tabs>
          <w:tab w:val="left" w:pos="0"/>
        </w:tabs>
        <w:suppressAutoHyphens/>
        <w:ind w:left="5760" w:hanging="5040"/>
        <w:rPr>
          <w:sz w:val="22"/>
          <w:szCs w:val="22"/>
        </w:rPr>
      </w:pPr>
      <w:r w:rsidRPr="006A5A06">
        <w:rPr>
          <w:sz w:val="22"/>
          <w:szCs w:val="22"/>
          <w:lang w:val="es-ES"/>
        </w:rPr>
        <w:tab/>
      </w:r>
      <w:r w:rsidRPr="006549E2">
        <w:rPr>
          <w:sz w:val="22"/>
          <w:szCs w:val="22"/>
        </w:rPr>
        <w:t>Facility ID No.</w:t>
      </w:r>
      <w:r>
        <w:rPr>
          <w:sz w:val="22"/>
          <w:szCs w:val="22"/>
        </w:rPr>
        <w:t xml:space="preserve"> </w:t>
      </w:r>
      <w:r w:rsidRPr="002018EA">
        <w:rPr>
          <w:sz w:val="22"/>
          <w:szCs w:val="22"/>
        </w:rPr>
        <w:t>766061</w:t>
      </w:r>
    </w:p>
    <w:p w:rsidR="001A1C4E" w:rsidP="00880B6F" w14:paraId="5748EDDC" w14:textId="18CCF667">
      <w:pPr>
        <w:tabs>
          <w:tab w:val="left" w:pos="0"/>
        </w:tabs>
        <w:suppressAutoHyphens/>
        <w:ind w:left="5760" w:hanging="5040"/>
        <w:rPr>
          <w:sz w:val="22"/>
          <w:szCs w:val="22"/>
        </w:rPr>
      </w:pPr>
      <w:r w:rsidRPr="006549E2">
        <w:rPr>
          <w:sz w:val="22"/>
          <w:szCs w:val="22"/>
        </w:rPr>
        <w:tab/>
        <w:t xml:space="preserve">File No. </w:t>
      </w:r>
      <w:r w:rsidRPr="002018EA" w:rsidR="002018EA">
        <w:rPr>
          <w:sz w:val="22"/>
          <w:szCs w:val="22"/>
        </w:rPr>
        <w:t>0000167392</w:t>
      </w:r>
    </w:p>
    <w:p w:rsidR="001A1C4E" w:rsidP="00880B6F" w14:paraId="1941FEE2" w14:textId="23DA0091">
      <w:pPr>
        <w:tabs>
          <w:tab w:val="left" w:pos="0"/>
        </w:tabs>
        <w:suppressAutoHyphens/>
        <w:ind w:left="5760" w:hanging="5040"/>
        <w:rPr>
          <w:b/>
          <w:bCs/>
          <w:sz w:val="22"/>
          <w:szCs w:val="22"/>
        </w:rPr>
      </w:pPr>
    </w:p>
    <w:p w:rsidR="001A1C4E" w:rsidRPr="002018EA" w:rsidP="001A1C4E" w14:paraId="2505C51F" w14:textId="392F50BF">
      <w:pPr>
        <w:tabs>
          <w:tab w:val="left" w:pos="0"/>
        </w:tabs>
        <w:suppressAutoHyphens/>
        <w:ind w:left="5760" w:hanging="5040"/>
        <w:rPr>
          <w:sz w:val="22"/>
          <w:szCs w:val="22"/>
        </w:rPr>
      </w:pPr>
      <w:r>
        <w:rPr>
          <w:b/>
          <w:bCs/>
          <w:sz w:val="22"/>
          <w:szCs w:val="22"/>
        </w:rPr>
        <w:tab/>
        <w:t>The Association for</w:t>
      </w:r>
      <w:r w:rsidRPr="002018EA">
        <w:rPr>
          <w:b/>
          <w:bCs/>
          <w:sz w:val="22"/>
          <w:szCs w:val="22"/>
        </w:rPr>
        <w:t xml:space="preserve"> </w:t>
      </w:r>
      <w:r w:rsidRPr="002018EA" w:rsidR="002018EA">
        <w:rPr>
          <w:b/>
          <w:bCs/>
          <w:sz w:val="22"/>
          <w:szCs w:val="22"/>
        </w:rPr>
        <w:t>Community</w:t>
      </w:r>
      <w:r w:rsidRPr="002018EA">
        <w:rPr>
          <w:b/>
          <w:bCs/>
          <w:sz w:val="22"/>
          <w:szCs w:val="22"/>
        </w:rPr>
        <w:t xml:space="preserve"> Education, Inc.</w:t>
      </w:r>
    </w:p>
    <w:p w:rsidR="001A1C4E" w:rsidRPr="002018EA" w:rsidP="001A1C4E" w14:paraId="20C0B520" w14:textId="22BA459E">
      <w:pPr>
        <w:tabs>
          <w:tab w:val="left" w:pos="0"/>
        </w:tabs>
        <w:suppressAutoHyphens/>
        <w:ind w:left="5760" w:hanging="5040"/>
        <w:rPr>
          <w:sz w:val="22"/>
          <w:szCs w:val="22"/>
        </w:rPr>
      </w:pPr>
      <w:r w:rsidRPr="002018EA">
        <w:rPr>
          <w:sz w:val="22"/>
          <w:szCs w:val="22"/>
        </w:rPr>
        <w:tab/>
        <w:t xml:space="preserve">New NCE (FM), </w:t>
      </w:r>
      <w:r w:rsidRPr="002018EA" w:rsidR="002018EA">
        <w:rPr>
          <w:sz w:val="22"/>
          <w:szCs w:val="22"/>
        </w:rPr>
        <w:t>Desert Center, CA</w:t>
      </w:r>
    </w:p>
    <w:p w:rsidR="001A1C4E" w:rsidRPr="006549E2" w:rsidP="001A1C4E" w14:paraId="1BF14A12" w14:textId="5F0D90AB">
      <w:pPr>
        <w:ind w:left="5040" w:firstLine="720"/>
        <w:rPr>
          <w:sz w:val="22"/>
          <w:szCs w:val="22"/>
        </w:rPr>
      </w:pPr>
      <w:r w:rsidRPr="006549E2">
        <w:rPr>
          <w:sz w:val="22"/>
          <w:szCs w:val="22"/>
        </w:rPr>
        <w:t>Facility ID No.</w:t>
      </w:r>
      <w:r>
        <w:rPr>
          <w:sz w:val="22"/>
          <w:szCs w:val="22"/>
        </w:rPr>
        <w:t xml:space="preserve"> </w:t>
      </w:r>
      <w:r w:rsidRPr="002018EA" w:rsidR="002018EA">
        <w:rPr>
          <w:sz w:val="22"/>
          <w:szCs w:val="22"/>
        </w:rPr>
        <w:t>767325</w:t>
      </w:r>
    </w:p>
    <w:p w:rsidR="001A1C4E" w:rsidP="001A1C4E" w14:paraId="12B345EB" w14:textId="45A156D0">
      <w:pPr>
        <w:tabs>
          <w:tab w:val="left" w:pos="0"/>
        </w:tabs>
        <w:suppressAutoHyphens/>
        <w:ind w:left="5760" w:hanging="5040"/>
        <w:rPr>
          <w:sz w:val="22"/>
          <w:szCs w:val="22"/>
        </w:rPr>
      </w:pPr>
      <w:r w:rsidRPr="006549E2">
        <w:rPr>
          <w:sz w:val="22"/>
          <w:szCs w:val="22"/>
        </w:rPr>
        <w:tab/>
        <w:t xml:space="preserve">File No. </w:t>
      </w:r>
      <w:r w:rsidRPr="002018EA" w:rsidR="002018EA">
        <w:rPr>
          <w:sz w:val="22"/>
          <w:szCs w:val="22"/>
        </w:rPr>
        <w:t>0000167307</w:t>
      </w:r>
    </w:p>
    <w:p w:rsidR="001A1C4E" w:rsidRPr="00880B6F" w:rsidP="00880B6F" w14:paraId="45C54C6D" w14:textId="028E16C0">
      <w:pPr>
        <w:tabs>
          <w:tab w:val="left" w:pos="0"/>
        </w:tabs>
        <w:suppressAutoHyphens/>
        <w:ind w:left="5760" w:hanging="5040"/>
        <w:rPr>
          <w:b/>
          <w:bCs/>
          <w:sz w:val="22"/>
          <w:szCs w:val="22"/>
        </w:rPr>
      </w:pPr>
    </w:p>
    <w:p w:rsidR="00CB5F08" w:rsidRPr="006549E2" w:rsidP="00880B6F" w14:paraId="50B2F795" w14:textId="77777777">
      <w:pPr>
        <w:tabs>
          <w:tab w:val="left" w:pos="0"/>
        </w:tabs>
        <w:suppressAutoHyphens/>
        <w:ind w:left="5760" w:hanging="5040"/>
        <w:rPr>
          <w:b/>
          <w:sz w:val="22"/>
          <w:szCs w:val="22"/>
        </w:rPr>
      </w:pPr>
      <w:r w:rsidRPr="006549E2">
        <w:rPr>
          <w:sz w:val="22"/>
          <w:szCs w:val="22"/>
        </w:rPr>
        <w:tab/>
      </w:r>
      <w:r w:rsidRPr="006549E2">
        <w:rPr>
          <w:b/>
          <w:sz w:val="22"/>
          <w:szCs w:val="22"/>
        </w:rPr>
        <w:t>Informal Objection</w:t>
      </w:r>
    </w:p>
    <w:p w:rsidR="00CB5F08" w:rsidRPr="006549E2" w:rsidP="00CB5F08" w14:paraId="7CD0F900" w14:textId="77777777">
      <w:pPr>
        <w:tabs>
          <w:tab w:val="left" w:pos="4680"/>
          <w:tab w:val="left" w:pos="5040"/>
        </w:tabs>
        <w:rPr>
          <w:sz w:val="22"/>
          <w:szCs w:val="22"/>
        </w:rPr>
      </w:pPr>
      <w:r w:rsidRPr="006549E2">
        <w:rPr>
          <w:sz w:val="22"/>
          <w:szCs w:val="22"/>
        </w:rPr>
        <w:tab/>
      </w:r>
      <w:r w:rsidRPr="006549E2">
        <w:rPr>
          <w:sz w:val="22"/>
          <w:szCs w:val="22"/>
        </w:rPr>
        <w:tab/>
      </w:r>
    </w:p>
    <w:p w:rsidR="00CB5F08" w:rsidRPr="006549E2" w:rsidP="00CB5F08" w14:paraId="77ED6816" w14:textId="77777777">
      <w:pPr>
        <w:tabs>
          <w:tab w:val="left" w:pos="6840"/>
        </w:tabs>
        <w:rPr>
          <w:sz w:val="22"/>
          <w:szCs w:val="22"/>
        </w:rPr>
      </w:pPr>
      <w:r w:rsidRPr="006549E2">
        <w:rPr>
          <w:sz w:val="22"/>
          <w:szCs w:val="22"/>
        </w:rPr>
        <w:t>Dear Applicant and Objector:</w:t>
      </w:r>
    </w:p>
    <w:p w:rsidR="00CB5F08" w:rsidRPr="006549E2" w:rsidP="00CB5F08" w14:paraId="69BF1431" w14:textId="77777777">
      <w:pPr>
        <w:tabs>
          <w:tab w:val="left" w:pos="6840"/>
        </w:tabs>
        <w:rPr>
          <w:sz w:val="22"/>
          <w:szCs w:val="22"/>
        </w:rPr>
      </w:pPr>
    </w:p>
    <w:p w:rsidR="00CB5F08" w:rsidRPr="006549E2" w:rsidP="00CB5F08" w14:paraId="627693E9" w14:textId="71B381AF">
      <w:pPr>
        <w:pStyle w:val="ParaNum"/>
        <w:widowControl/>
        <w:numPr>
          <w:ilvl w:val="0"/>
          <w:numId w:val="0"/>
        </w:numPr>
        <w:ind w:firstLine="720"/>
        <w:rPr>
          <w:szCs w:val="22"/>
        </w:rPr>
      </w:pPr>
      <w:r w:rsidRPr="006549E2">
        <w:rPr>
          <w:szCs w:val="22"/>
        </w:rPr>
        <w:t>We have before us three mutually exclusive</w:t>
      </w:r>
      <w:r w:rsidR="00FF3D4D">
        <w:rPr>
          <w:szCs w:val="22"/>
        </w:rPr>
        <w:t xml:space="preserve"> (MX)</w:t>
      </w:r>
      <w:r w:rsidRPr="006549E2">
        <w:rPr>
          <w:szCs w:val="22"/>
        </w:rPr>
        <w:t xml:space="preserve"> applications filed by Arizona Western College (AWC), </w:t>
      </w:r>
      <w:r w:rsidRPr="006549E2">
        <w:rPr>
          <w:rFonts w:eastAsia="Calibri"/>
          <w:iCs/>
          <w:snapToGrid/>
          <w:szCs w:val="22"/>
        </w:rPr>
        <w:t>Reman</w:t>
      </w:r>
      <w:r w:rsidR="006530BD">
        <w:rPr>
          <w:rFonts w:eastAsia="Calibri"/>
          <w:iCs/>
          <w:snapToGrid/>
          <w:szCs w:val="22"/>
        </w:rPr>
        <w:t>en</w:t>
      </w:r>
      <w:r w:rsidRPr="006549E2">
        <w:rPr>
          <w:rFonts w:eastAsia="Calibri"/>
          <w:iCs/>
          <w:snapToGrid/>
          <w:szCs w:val="22"/>
        </w:rPr>
        <w:t xml:space="preserve">te Broadcasting Network (RBN), and The Association for Community Education, Inc., (ACE) </w:t>
      </w:r>
      <w:r w:rsidRPr="006549E2">
        <w:rPr>
          <w:szCs w:val="22"/>
        </w:rPr>
        <w:t xml:space="preserve">for construction permits for new noncommercial educational (NCE) FM stations in various communities in California and Arizona, which the Media Bureau (Bureau) designated as NCE MX Group </w:t>
      </w:r>
      <w:r w:rsidRPr="006549E2">
        <w:rPr>
          <w:szCs w:val="22"/>
        </w:rPr>
        <w:t>22.</w:t>
      </w:r>
      <w:r>
        <w:rPr>
          <w:rStyle w:val="FootnoteReference"/>
          <w:rFonts w:ascii="Times New Roman" w:hAnsi="Times New Roman"/>
          <w:sz w:val="22"/>
          <w:szCs w:val="22"/>
        </w:rPr>
        <w:footnoteReference w:id="3"/>
      </w:r>
      <w:r w:rsidRPr="006549E2">
        <w:rPr>
          <w:szCs w:val="22"/>
        </w:rPr>
        <w:t xml:space="preserve">  The Bureau identified the AWC Application as the tentative selectee of the group.</w:t>
      </w:r>
      <w:r>
        <w:rPr>
          <w:rStyle w:val="FootnoteReference"/>
          <w:rFonts w:ascii="Times New Roman" w:hAnsi="Times New Roman"/>
          <w:sz w:val="22"/>
          <w:szCs w:val="22"/>
        </w:rPr>
        <w:footnoteReference w:id="4"/>
      </w:r>
      <w:r w:rsidRPr="006549E2">
        <w:rPr>
          <w:szCs w:val="22"/>
        </w:rPr>
        <w:t xml:space="preserve">  We also have before us an Informal Objection (Objection) to the AWC Application filed on April 21, 2022, by Albert Adam David (David), and related pleadings.</w:t>
      </w:r>
      <w:r>
        <w:rPr>
          <w:rStyle w:val="FootnoteReference"/>
          <w:rFonts w:ascii="Times New Roman" w:hAnsi="Times New Roman"/>
          <w:sz w:val="22"/>
          <w:szCs w:val="22"/>
        </w:rPr>
        <w:footnoteReference w:id="5"/>
      </w:r>
      <w:r w:rsidRPr="006549E2">
        <w:rPr>
          <w:szCs w:val="22"/>
        </w:rPr>
        <w:t xml:space="preserve">  For the reasons set forth below, we deny the Objection and grant the AWC Application.  </w:t>
      </w:r>
    </w:p>
    <w:p w:rsidR="00CB5F08" w:rsidRPr="006549E2" w:rsidP="00CB5F08" w14:paraId="7A153200" w14:textId="77777777">
      <w:pPr>
        <w:autoSpaceDE w:val="0"/>
        <w:autoSpaceDN w:val="0"/>
        <w:adjustRightInd w:val="0"/>
        <w:ind w:firstLine="720"/>
        <w:rPr>
          <w:sz w:val="22"/>
          <w:szCs w:val="22"/>
        </w:rPr>
      </w:pPr>
    </w:p>
    <w:p w:rsidR="00CB5F08" w:rsidRPr="006549E2" w:rsidP="00CB5F08" w14:paraId="1A2C1A78" w14:textId="4E6984F4">
      <w:pPr>
        <w:ind w:firstLine="720"/>
        <w:rPr>
          <w:rFonts w:eastAsia="Calibri"/>
          <w:iCs/>
          <w:sz w:val="22"/>
          <w:szCs w:val="22"/>
        </w:rPr>
      </w:pPr>
      <w:r w:rsidRPr="006549E2">
        <w:rPr>
          <w:rFonts w:eastAsia="Calibri"/>
          <w:i/>
          <w:sz w:val="22"/>
          <w:szCs w:val="22"/>
        </w:rPr>
        <w:t xml:space="preserve">Background. </w:t>
      </w:r>
      <w:r w:rsidRPr="006549E2">
        <w:rPr>
          <w:rFonts w:eastAsia="Calibri"/>
          <w:iCs/>
          <w:sz w:val="22"/>
          <w:szCs w:val="22"/>
        </w:rPr>
        <w:t xml:space="preserve"> </w:t>
      </w:r>
      <w:r w:rsidRPr="006549E2">
        <w:rPr>
          <w:sz w:val="22"/>
          <w:szCs w:val="22"/>
        </w:rPr>
        <w:t>The subject applications were filed during the 2021 NCE filing window, which was open from November 2, 2021, until November 9, 2021.</w:t>
      </w:r>
      <w:r>
        <w:rPr>
          <w:rStyle w:val="FootnoteReference"/>
          <w:rFonts w:ascii="Times New Roman" w:hAnsi="Times New Roman"/>
          <w:sz w:val="22"/>
          <w:szCs w:val="22"/>
        </w:rPr>
        <w:footnoteReference w:id="6"/>
      </w:r>
      <w:r w:rsidRPr="006549E2">
        <w:rPr>
          <w:sz w:val="22"/>
          <w:szCs w:val="22"/>
        </w:rPr>
        <w:t xml:space="preserve">  </w:t>
      </w:r>
      <w:r w:rsidRPr="00222B32">
        <w:rPr>
          <w:rFonts w:eastAsia="Calibri"/>
          <w:iCs/>
          <w:sz w:val="22"/>
          <w:szCs w:val="22"/>
        </w:rPr>
        <w:t xml:space="preserve">In the </w:t>
      </w:r>
      <w:r w:rsidRPr="002A4866" w:rsidR="000D7A76">
        <w:rPr>
          <w:i/>
          <w:iCs/>
          <w:sz w:val="22"/>
          <w:szCs w:val="22"/>
        </w:rPr>
        <w:t>Fair Distribution MO&amp;O</w:t>
      </w:r>
      <w:r w:rsidRPr="00222B32">
        <w:rPr>
          <w:rFonts w:eastAsia="Calibri"/>
          <w:iCs/>
          <w:sz w:val="22"/>
          <w:szCs w:val="22"/>
        </w:rPr>
        <w:t xml:space="preserve"> </w:t>
      </w:r>
      <w:r w:rsidRPr="00222B32">
        <w:rPr>
          <w:sz w:val="22"/>
          <w:szCs w:val="22"/>
        </w:rPr>
        <w:t>the Bureau</w:t>
      </w:r>
      <w:r w:rsidRPr="006549E2">
        <w:rPr>
          <w:sz w:val="22"/>
          <w:szCs w:val="22"/>
        </w:rPr>
        <w:t xml:space="preserve"> conducted a fair distribution analysis pursuant to section 307(b) of the Communications Act of 1934, as amended (Act),</w:t>
      </w:r>
      <w:r>
        <w:rPr>
          <w:rStyle w:val="FootnoteReference"/>
          <w:rFonts w:ascii="Times New Roman" w:hAnsi="Times New Roman"/>
          <w:sz w:val="22"/>
          <w:szCs w:val="22"/>
        </w:rPr>
        <w:footnoteReference w:id="7"/>
      </w:r>
      <w:r w:rsidRPr="006549E2">
        <w:rPr>
          <w:rFonts w:eastAsia="Calibri"/>
          <w:iCs/>
          <w:sz w:val="22"/>
          <w:szCs w:val="22"/>
        </w:rPr>
        <w:t xml:space="preserve"> in which it </w:t>
      </w:r>
      <w:r w:rsidR="006530BD">
        <w:rPr>
          <w:rFonts w:eastAsia="Calibri"/>
          <w:iCs/>
          <w:sz w:val="22"/>
          <w:szCs w:val="22"/>
        </w:rPr>
        <w:t>rejected ACE’s</w:t>
      </w:r>
      <w:r w:rsidRPr="006549E2">
        <w:rPr>
          <w:rFonts w:eastAsia="Calibri"/>
          <w:iCs/>
          <w:sz w:val="22"/>
          <w:szCs w:val="22"/>
        </w:rPr>
        <w:t xml:space="preserve"> first NCE service claim because it failed to satisfy the 2,000 people minimum </w:t>
      </w:r>
      <w:r w:rsidR="00B21AA6">
        <w:rPr>
          <w:rFonts w:eastAsia="Calibri"/>
          <w:iCs/>
          <w:sz w:val="22"/>
          <w:szCs w:val="22"/>
        </w:rPr>
        <w:t>threshold</w:t>
      </w:r>
      <w:r w:rsidR="006530BD">
        <w:rPr>
          <w:rFonts w:eastAsia="Calibri"/>
          <w:iCs/>
          <w:sz w:val="22"/>
          <w:szCs w:val="22"/>
        </w:rPr>
        <w:t>, eliminated the ACE Application,</w:t>
      </w:r>
      <w:r w:rsidRPr="006549E2">
        <w:rPr>
          <w:rFonts w:eastAsia="Calibri"/>
          <w:iCs/>
          <w:sz w:val="22"/>
          <w:szCs w:val="22"/>
        </w:rPr>
        <w:t xml:space="preserve"> and tentatively selected the AWC Application because it would provide a new second NCE service to at least 5,000 more people than the RBM Application.</w:t>
      </w:r>
      <w:r>
        <w:rPr>
          <w:rStyle w:val="FootnoteReference"/>
          <w:rFonts w:ascii="Times New Roman" w:eastAsia="Calibri" w:hAnsi="Times New Roman"/>
          <w:iCs/>
          <w:sz w:val="22"/>
          <w:szCs w:val="22"/>
        </w:rPr>
        <w:footnoteReference w:id="8"/>
      </w:r>
      <w:r w:rsidRPr="006549E2">
        <w:rPr>
          <w:rFonts w:eastAsia="Calibri"/>
          <w:iCs/>
          <w:sz w:val="22"/>
          <w:szCs w:val="22"/>
        </w:rPr>
        <w:t xml:space="preserve">  The Bureau established a 30-day period for filing petitions to deny.</w:t>
      </w:r>
      <w:r>
        <w:rPr>
          <w:rStyle w:val="FootnoteReference"/>
          <w:rFonts w:ascii="Times New Roman" w:eastAsia="Calibri" w:hAnsi="Times New Roman"/>
          <w:iCs/>
          <w:sz w:val="22"/>
          <w:szCs w:val="22"/>
        </w:rPr>
        <w:footnoteReference w:id="9"/>
      </w:r>
      <w:r w:rsidRPr="006549E2">
        <w:rPr>
          <w:rFonts w:eastAsia="Calibri"/>
          <w:iCs/>
          <w:sz w:val="22"/>
          <w:szCs w:val="22"/>
        </w:rPr>
        <w:t xml:space="preserve">  On April 21, 2022, David timely filed </w:t>
      </w:r>
      <w:r w:rsidR="00B21AA6">
        <w:rPr>
          <w:rFonts w:eastAsia="Calibri"/>
          <w:iCs/>
          <w:sz w:val="22"/>
          <w:szCs w:val="22"/>
        </w:rPr>
        <w:t>his</w:t>
      </w:r>
      <w:r w:rsidRPr="006549E2">
        <w:rPr>
          <w:rFonts w:eastAsia="Calibri"/>
          <w:iCs/>
          <w:sz w:val="22"/>
          <w:szCs w:val="22"/>
        </w:rPr>
        <w:t xml:space="preserve"> Objection. </w:t>
      </w:r>
    </w:p>
    <w:p w:rsidR="00CB5F08" w:rsidRPr="006549E2" w:rsidP="00CB5F08" w14:paraId="290039CC" w14:textId="77777777">
      <w:pPr>
        <w:ind w:firstLine="720"/>
        <w:rPr>
          <w:rFonts w:eastAsia="Calibri"/>
          <w:iCs/>
          <w:sz w:val="22"/>
          <w:szCs w:val="22"/>
        </w:rPr>
      </w:pPr>
    </w:p>
    <w:p w:rsidR="00CB5F08" w:rsidRPr="006549E2" w:rsidP="00CB5F08" w14:paraId="08B61689" w14:textId="1771EFB8">
      <w:pPr>
        <w:ind w:firstLine="720"/>
        <w:rPr>
          <w:rFonts w:eastAsia="Calibri"/>
          <w:iCs/>
          <w:sz w:val="22"/>
          <w:szCs w:val="22"/>
        </w:rPr>
      </w:pPr>
      <w:r w:rsidRPr="006549E2">
        <w:rPr>
          <w:rFonts w:eastAsia="Calibri"/>
          <w:iCs/>
          <w:sz w:val="22"/>
          <w:szCs w:val="22"/>
        </w:rPr>
        <w:t>In the Objection, David argues that the Bureau</w:t>
      </w:r>
      <w:r w:rsidR="00B21AA6">
        <w:rPr>
          <w:rFonts w:eastAsia="Calibri"/>
          <w:iCs/>
          <w:sz w:val="22"/>
          <w:szCs w:val="22"/>
        </w:rPr>
        <w:t xml:space="preserve"> improperly</w:t>
      </w:r>
      <w:r w:rsidRPr="006549E2">
        <w:rPr>
          <w:rFonts w:eastAsia="Calibri"/>
          <w:iCs/>
          <w:sz w:val="22"/>
          <w:szCs w:val="22"/>
        </w:rPr>
        <w:t xml:space="preserve"> conducted the fair distribution analysis for Group 22.</w:t>
      </w:r>
      <w:r>
        <w:rPr>
          <w:rStyle w:val="FootnoteReference"/>
          <w:rFonts w:ascii="Times New Roman" w:eastAsia="Calibri" w:hAnsi="Times New Roman"/>
          <w:iCs/>
          <w:sz w:val="22"/>
          <w:szCs w:val="22"/>
        </w:rPr>
        <w:footnoteReference w:id="10"/>
      </w:r>
      <w:r w:rsidRPr="006549E2">
        <w:rPr>
          <w:rFonts w:eastAsia="Calibri"/>
          <w:iCs/>
          <w:sz w:val="22"/>
          <w:szCs w:val="22"/>
        </w:rPr>
        <w:t xml:space="preserve">  Specifically, David argues that the Bureau should have selected the ACE Application based on a first aural reception service preference.</w:t>
      </w:r>
      <w:r>
        <w:rPr>
          <w:rStyle w:val="FootnoteReference"/>
          <w:rFonts w:ascii="Times New Roman" w:eastAsia="Calibri" w:hAnsi="Times New Roman"/>
          <w:iCs/>
          <w:sz w:val="22"/>
          <w:szCs w:val="22"/>
        </w:rPr>
        <w:footnoteReference w:id="11"/>
      </w:r>
      <w:r w:rsidRPr="006549E2">
        <w:rPr>
          <w:rFonts w:eastAsia="Calibri"/>
          <w:iCs/>
          <w:sz w:val="22"/>
          <w:szCs w:val="22"/>
        </w:rPr>
        <w:t xml:space="preserve">  David explains that because the ACE Application “qualifies for the first aural reception service preference,” the Bureau should not have considered the first and second NCE preference claims contained in the AWC and RBN Applications.</w:t>
      </w:r>
      <w:r>
        <w:rPr>
          <w:rStyle w:val="FootnoteReference"/>
          <w:rFonts w:ascii="Times New Roman" w:eastAsia="Calibri" w:hAnsi="Times New Roman"/>
          <w:iCs/>
          <w:sz w:val="22"/>
          <w:szCs w:val="22"/>
        </w:rPr>
        <w:footnoteReference w:id="12"/>
      </w:r>
      <w:r w:rsidRPr="006549E2">
        <w:rPr>
          <w:rFonts w:eastAsia="Calibri"/>
          <w:iCs/>
          <w:sz w:val="22"/>
          <w:szCs w:val="22"/>
        </w:rPr>
        <w:t xml:space="preserve">  David argues that the Bureau failed to follow the comparative review guidelines set forth in the </w:t>
      </w:r>
      <w:r w:rsidR="001B4FC9">
        <w:rPr>
          <w:rFonts w:eastAsia="Calibri"/>
          <w:i/>
          <w:sz w:val="22"/>
          <w:szCs w:val="22"/>
        </w:rPr>
        <w:t xml:space="preserve">Procedures </w:t>
      </w:r>
      <w:r w:rsidRPr="006549E2">
        <w:rPr>
          <w:rFonts w:eastAsia="Calibri"/>
          <w:i/>
          <w:sz w:val="22"/>
          <w:szCs w:val="22"/>
        </w:rPr>
        <w:t>Public Notice</w:t>
      </w:r>
      <w:r w:rsidRPr="00880B6F">
        <w:rPr>
          <w:rFonts w:eastAsia="Calibri"/>
          <w:iCs/>
          <w:sz w:val="22"/>
          <w:szCs w:val="22"/>
        </w:rPr>
        <w:t>,</w:t>
      </w:r>
      <w:r>
        <w:rPr>
          <w:rStyle w:val="FootnoteReference"/>
          <w:rFonts w:ascii="Times New Roman" w:eastAsia="Calibri" w:hAnsi="Times New Roman"/>
          <w:iCs/>
          <w:sz w:val="22"/>
          <w:szCs w:val="22"/>
        </w:rPr>
        <w:footnoteReference w:id="13"/>
      </w:r>
      <w:r w:rsidRPr="006549E2">
        <w:rPr>
          <w:rFonts w:eastAsia="Calibri"/>
          <w:i/>
          <w:sz w:val="22"/>
          <w:szCs w:val="22"/>
        </w:rPr>
        <w:t xml:space="preserve"> </w:t>
      </w:r>
      <w:r w:rsidRPr="006549E2">
        <w:rPr>
          <w:rFonts w:eastAsia="Calibri"/>
          <w:iCs/>
          <w:sz w:val="22"/>
          <w:szCs w:val="22"/>
        </w:rPr>
        <w:t xml:space="preserve">and contends that the </w:t>
      </w:r>
      <w:r w:rsidR="001B4FC9">
        <w:rPr>
          <w:rFonts w:eastAsia="Calibri"/>
          <w:i/>
          <w:sz w:val="22"/>
          <w:szCs w:val="22"/>
        </w:rPr>
        <w:t xml:space="preserve">Allotments </w:t>
      </w:r>
      <w:r w:rsidRPr="006549E2">
        <w:rPr>
          <w:rFonts w:eastAsia="Calibri"/>
          <w:i/>
          <w:sz w:val="22"/>
          <w:szCs w:val="22"/>
        </w:rPr>
        <w:t>Report and Order</w:t>
      </w:r>
      <w:r w:rsidRPr="006549E2">
        <w:rPr>
          <w:rFonts w:eastAsia="Calibri"/>
          <w:iCs/>
          <w:sz w:val="22"/>
          <w:szCs w:val="22"/>
        </w:rPr>
        <w:t xml:space="preserve"> supports his proposition that the Bureau should not have </w:t>
      </w:r>
      <w:r w:rsidRPr="006549E2">
        <w:rPr>
          <w:rFonts w:eastAsia="Calibri"/>
          <w:iCs/>
          <w:sz w:val="22"/>
          <w:szCs w:val="22"/>
        </w:rPr>
        <w:t>compared first or second NCE service totals in its fair distribution analysis.</w:t>
      </w:r>
      <w:r>
        <w:rPr>
          <w:rStyle w:val="FootnoteReference"/>
          <w:rFonts w:ascii="Times New Roman" w:eastAsia="Calibri" w:hAnsi="Times New Roman"/>
          <w:iCs/>
          <w:sz w:val="22"/>
          <w:szCs w:val="22"/>
        </w:rPr>
        <w:footnoteReference w:id="14"/>
      </w:r>
      <w:r w:rsidRPr="006549E2">
        <w:rPr>
          <w:rFonts w:eastAsia="Calibri"/>
          <w:iCs/>
          <w:sz w:val="22"/>
          <w:szCs w:val="22"/>
        </w:rPr>
        <w:t xml:space="preserve">  David posits that the ACE Application’s “first aural service to a population of 223 people would be a greater benefit to the public interest” rather than “either of the competing proposals, which merely propose second noncommercial educational service.”</w:t>
      </w:r>
      <w:r>
        <w:rPr>
          <w:rStyle w:val="FootnoteReference"/>
          <w:rFonts w:ascii="Times New Roman" w:eastAsia="Calibri" w:hAnsi="Times New Roman"/>
          <w:iCs/>
          <w:sz w:val="22"/>
          <w:szCs w:val="22"/>
        </w:rPr>
        <w:footnoteReference w:id="15"/>
      </w:r>
      <w:r w:rsidRPr="006549E2">
        <w:rPr>
          <w:rFonts w:eastAsia="Calibri"/>
          <w:iCs/>
          <w:sz w:val="22"/>
          <w:szCs w:val="22"/>
        </w:rPr>
        <w:t xml:space="preserve">  Accordingly, David urges the Commission to select ACE over the competing applicants.  </w:t>
      </w:r>
    </w:p>
    <w:p w:rsidR="00CB5F08" w:rsidRPr="006549E2" w:rsidP="00CB5F08" w14:paraId="4C8B4DED" w14:textId="77777777">
      <w:pPr>
        <w:ind w:firstLine="720"/>
        <w:rPr>
          <w:rFonts w:eastAsia="Calibri"/>
          <w:iCs/>
          <w:sz w:val="22"/>
          <w:szCs w:val="22"/>
        </w:rPr>
      </w:pPr>
    </w:p>
    <w:p w:rsidR="00CB5F08" w:rsidRPr="006549E2" w:rsidP="00CB5F08" w14:paraId="173953DE" w14:textId="5DC39C66">
      <w:pPr>
        <w:ind w:firstLine="720"/>
        <w:rPr>
          <w:rFonts w:eastAsia="Calibri"/>
          <w:sz w:val="22"/>
          <w:szCs w:val="22"/>
        </w:rPr>
      </w:pPr>
      <w:r w:rsidRPr="006549E2">
        <w:rPr>
          <w:rFonts w:eastAsia="Calibri"/>
          <w:sz w:val="22"/>
          <w:szCs w:val="22"/>
        </w:rPr>
        <w:t xml:space="preserve">In the Opposition, AWC states that the Bureau’s </w:t>
      </w:r>
      <w:r w:rsidRPr="006549E2">
        <w:rPr>
          <w:rFonts w:eastAsia="Calibri"/>
          <w:iCs/>
          <w:sz w:val="22"/>
          <w:szCs w:val="22"/>
        </w:rPr>
        <w:t xml:space="preserve">fair distribution analysis for Group 22 was correct.  AWC argues that, pursuant to </w:t>
      </w:r>
      <w:r>
        <w:rPr>
          <w:rFonts w:eastAsia="Calibri"/>
          <w:iCs/>
          <w:sz w:val="22"/>
          <w:szCs w:val="22"/>
        </w:rPr>
        <w:t>s</w:t>
      </w:r>
      <w:r w:rsidRPr="006549E2">
        <w:rPr>
          <w:rFonts w:eastAsia="Calibri"/>
          <w:iCs/>
          <w:sz w:val="22"/>
          <w:szCs w:val="22"/>
        </w:rPr>
        <w:t xml:space="preserve">ection </w:t>
      </w:r>
      <w:r w:rsidRPr="006549E2">
        <w:rPr>
          <w:sz w:val="22"/>
          <w:szCs w:val="22"/>
        </w:rPr>
        <w:t>73.7002(b) of the Commission’s rules (Rules),</w:t>
      </w:r>
      <w:r>
        <w:rPr>
          <w:rStyle w:val="FootnoteReference"/>
          <w:rFonts w:ascii="Times New Roman" w:hAnsi="Times New Roman"/>
          <w:sz w:val="22"/>
          <w:szCs w:val="22"/>
        </w:rPr>
        <w:footnoteReference w:id="16"/>
      </w:r>
      <w:r w:rsidRPr="006549E2">
        <w:rPr>
          <w:sz w:val="22"/>
          <w:szCs w:val="22"/>
        </w:rPr>
        <w:t xml:space="preserve"> the </w:t>
      </w:r>
      <w:r w:rsidR="001B4FC9">
        <w:rPr>
          <w:i/>
          <w:iCs/>
          <w:sz w:val="22"/>
          <w:szCs w:val="22"/>
        </w:rPr>
        <w:t xml:space="preserve">Procedures </w:t>
      </w:r>
      <w:r w:rsidRPr="006549E2">
        <w:rPr>
          <w:i/>
          <w:iCs/>
          <w:sz w:val="22"/>
          <w:szCs w:val="22"/>
        </w:rPr>
        <w:t>Public Notice</w:t>
      </w:r>
      <w:r w:rsidRPr="006549E2">
        <w:rPr>
          <w:sz w:val="22"/>
          <w:szCs w:val="22"/>
        </w:rPr>
        <w:t>,</w:t>
      </w:r>
      <w:r>
        <w:rPr>
          <w:rStyle w:val="FootnoteReference"/>
          <w:rFonts w:ascii="Times New Roman" w:hAnsi="Times New Roman"/>
          <w:sz w:val="22"/>
          <w:szCs w:val="22"/>
        </w:rPr>
        <w:footnoteReference w:id="17"/>
      </w:r>
      <w:r w:rsidRPr="006549E2">
        <w:rPr>
          <w:sz w:val="22"/>
          <w:szCs w:val="22"/>
        </w:rPr>
        <w:t xml:space="preserve"> the </w:t>
      </w:r>
      <w:r w:rsidRPr="006549E2">
        <w:rPr>
          <w:i/>
          <w:iCs/>
          <w:sz w:val="22"/>
          <w:szCs w:val="22"/>
        </w:rPr>
        <w:t xml:space="preserve">Rural </w:t>
      </w:r>
      <w:r w:rsidR="00FF3D4D">
        <w:rPr>
          <w:i/>
          <w:iCs/>
          <w:sz w:val="22"/>
          <w:szCs w:val="22"/>
        </w:rPr>
        <w:t xml:space="preserve">Radio </w:t>
      </w:r>
      <w:r w:rsidRPr="006549E2">
        <w:rPr>
          <w:i/>
          <w:iCs/>
          <w:sz w:val="22"/>
          <w:szCs w:val="22"/>
        </w:rPr>
        <w:t>First Report and Order</w:t>
      </w:r>
      <w:r w:rsidRPr="006549E2">
        <w:rPr>
          <w:sz w:val="22"/>
          <w:szCs w:val="22"/>
        </w:rPr>
        <w:t>,</w:t>
      </w:r>
      <w:r>
        <w:rPr>
          <w:rStyle w:val="FootnoteReference"/>
          <w:rFonts w:ascii="Times New Roman" w:hAnsi="Times New Roman"/>
          <w:sz w:val="22"/>
          <w:szCs w:val="22"/>
        </w:rPr>
        <w:footnoteReference w:id="18"/>
      </w:r>
      <w:r w:rsidRPr="006549E2">
        <w:rPr>
          <w:sz w:val="22"/>
          <w:szCs w:val="22"/>
        </w:rPr>
        <w:t xml:space="preserve"> and the Schedule 340 Instructions,</w:t>
      </w:r>
      <w:r>
        <w:rPr>
          <w:rStyle w:val="FootnoteReference"/>
          <w:rFonts w:ascii="Times New Roman" w:hAnsi="Times New Roman"/>
          <w:sz w:val="22"/>
          <w:szCs w:val="22"/>
        </w:rPr>
        <w:footnoteReference w:id="19"/>
      </w:r>
      <w:r w:rsidRPr="006549E2">
        <w:rPr>
          <w:sz w:val="22"/>
          <w:szCs w:val="22"/>
        </w:rPr>
        <w:t xml:space="preserve"> </w:t>
      </w:r>
      <w:r w:rsidRPr="006549E2">
        <w:rPr>
          <w:rFonts w:eastAsia="Calibri"/>
          <w:iCs/>
          <w:sz w:val="22"/>
          <w:szCs w:val="22"/>
        </w:rPr>
        <w:t xml:space="preserve">the Commission only considers </w:t>
      </w:r>
      <w:r w:rsidRPr="006549E2">
        <w:rPr>
          <w:rFonts w:eastAsia="Calibri"/>
          <w:sz w:val="22"/>
          <w:szCs w:val="22"/>
        </w:rPr>
        <w:t>first aural service in situations where one of the mutually exclusive applicants claims a Tribal Priority.</w:t>
      </w:r>
      <w:r>
        <w:rPr>
          <w:rStyle w:val="FootnoteReference"/>
          <w:rFonts w:ascii="Times New Roman" w:eastAsia="Calibri" w:hAnsi="Times New Roman"/>
          <w:sz w:val="22"/>
          <w:szCs w:val="22"/>
        </w:rPr>
        <w:footnoteReference w:id="20"/>
      </w:r>
      <w:r w:rsidRPr="006549E2">
        <w:rPr>
          <w:rFonts w:eastAsia="Calibri"/>
          <w:sz w:val="22"/>
          <w:szCs w:val="22"/>
        </w:rPr>
        <w:t xml:space="preserve">  AWC argues that David seeks to create a “non-existent preference that would consider first aural reception service despite the absence of a tribal applicant.”</w:t>
      </w:r>
      <w:r>
        <w:rPr>
          <w:rStyle w:val="FootnoteReference"/>
          <w:rFonts w:ascii="Times New Roman" w:eastAsia="Calibri" w:hAnsi="Times New Roman"/>
          <w:sz w:val="22"/>
          <w:szCs w:val="22"/>
        </w:rPr>
        <w:footnoteReference w:id="21"/>
      </w:r>
      <w:r w:rsidRPr="006549E2">
        <w:rPr>
          <w:rFonts w:eastAsia="Calibri"/>
          <w:sz w:val="22"/>
          <w:szCs w:val="22"/>
        </w:rPr>
        <w:t xml:space="preserve">  AWC requests that the Commission dismiss the Objection and grant the AWC Application.  </w:t>
      </w:r>
    </w:p>
    <w:p w:rsidR="00CB5F08" w:rsidRPr="006549E2" w:rsidP="00CB5F08" w14:paraId="0D532C2A" w14:textId="77777777">
      <w:pPr>
        <w:ind w:firstLine="720"/>
        <w:rPr>
          <w:rFonts w:eastAsia="Calibri"/>
          <w:sz w:val="22"/>
          <w:szCs w:val="22"/>
        </w:rPr>
      </w:pPr>
    </w:p>
    <w:p w:rsidR="00CB5F08" w:rsidRPr="006549E2" w:rsidP="00CB5F08" w14:paraId="4AD209CB" w14:textId="32E27927">
      <w:pPr>
        <w:ind w:firstLine="720"/>
        <w:rPr>
          <w:rFonts w:eastAsia="Calibri"/>
          <w:sz w:val="22"/>
          <w:szCs w:val="22"/>
        </w:rPr>
      </w:pPr>
      <w:r w:rsidRPr="006549E2">
        <w:rPr>
          <w:rFonts w:eastAsia="Calibri"/>
          <w:sz w:val="22"/>
          <w:szCs w:val="22"/>
        </w:rPr>
        <w:t xml:space="preserve">In the Reply, David reiterates </w:t>
      </w:r>
      <w:r w:rsidR="00700E52">
        <w:rPr>
          <w:rFonts w:eastAsia="Calibri"/>
          <w:sz w:val="22"/>
          <w:szCs w:val="22"/>
        </w:rPr>
        <w:t>his</w:t>
      </w:r>
      <w:r w:rsidRPr="006549E2" w:rsidR="00700E52">
        <w:rPr>
          <w:rFonts w:eastAsia="Calibri"/>
          <w:sz w:val="22"/>
          <w:szCs w:val="22"/>
        </w:rPr>
        <w:t xml:space="preserve"> </w:t>
      </w:r>
      <w:r w:rsidRPr="006549E2">
        <w:rPr>
          <w:rFonts w:eastAsia="Calibri"/>
          <w:sz w:val="22"/>
          <w:szCs w:val="22"/>
        </w:rPr>
        <w:t xml:space="preserve">argument that </w:t>
      </w:r>
      <w:r w:rsidRPr="006549E2">
        <w:rPr>
          <w:rFonts w:eastAsia="Calibri"/>
          <w:iCs/>
          <w:sz w:val="22"/>
          <w:szCs w:val="22"/>
        </w:rPr>
        <w:t xml:space="preserve">the </w:t>
      </w:r>
      <w:r w:rsidR="001B4FC9">
        <w:rPr>
          <w:rFonts w:eastAsia="Calibri"/>
          <w:i/>
          <w:sz w:val="22"/>
          <w:szCs w:val="22"/>
        </w:rPr>
        <w:t xml:space="preserve">Procedures </w:t>
      </w:r>
      <w:r w:rsidRPr="006549E2">
        <w:rPr>
          <w:rFonts w:eastAsia="Calibri"/>
          <w:i/>
          <w:sz w:val="22"/>
          <w:szCs w:val="22"/>
        </w:rPr>
        <w:t xml:space="preserve">Public Notice </w:t>
      </w:r>
      <w:r w:rsidRPr="006549E2">
        <w:rPr>
          <w:rFonts w:eastAsia="Calibri"/>
          <w:iCs/>
          <w:sz w:val="22"/>
          <w:szCs w:val="22"/>
        </w:rPr>
        <w:t>supports his contention that the Bureau should not have compared first or second NCE service in its comparative analysis of the applicants in Group 22.</w:t>
      </w:r>
      <w:r>
        <w:rPr>
          <w:rStyle w:val="FootnoteReference"/>
          <w:rFonts w:ascii="Times New Roman" w:eastAsia="Calibri" w:hAnsi="Times New Roman"/>
          <w:iCs/>
          <w:sz w:val="22"/>
          <w:szCs w:val="22"/>
        </w:rPr>
        <w:footnoteReference w:id="22"/>
      </w:r>
      <w:r w:rsidRPr="006549E2">
        <w:rPr>
          <w:rFonts w:eastAsia="Calibri"/>
          <w:iCs/>
          <w:sz w:val="22"/>
          <w:szCs w:val="22"/>
        </w:rPr>
        <w:t xml:space="preserve"> </w:t>
      </w:r>
      <w:r w:rsidR="00222B32">
        <w:rPr>
          <w:rFonts w:eastAsia="Calibri"/>
          <w:iCs/>
          <w:sz w:val="22"/>
          <w:szCs w:val="22"/>
        </w:rPr>
        <w:t xml:space="preserve"> </w:t>
      </w:r>
      <w:r w:rsidR="00C227DC">
        <w:rPr>
          <w:rFonts w:eastAsia="Calibri"/>
          <w:iCs/>
          <w:sz w:val="22"/>
          <w:szCs w:val="22"/>
        </w:rPr>
        <w:t>David further argues that it is not in the public interest t</w:t>
      </w:r>
      <w:r w:rsidR="00C33E50">
        <w:rPr>
          <w:rFonts w:eastAsia="Calibri"/>
          <w:iCs/>
          <w:sz w:val="22"/>
          <w:szCs w:val="22"/>
        </w:rPr>
        <w:t>o have a first aural reception preference only in instances where there is a Tribal applicant because it creates a system that is inconsistent and inequitable.</w:t>
      </w:r>
      <w:r>
        <w:rPr>
          <w:rStyle w:val="FootnoteReference"/>
          <w:rFonts w:eastAsia="Calibri"/>
          <w:iCs/>
          <w:szCs w:val="22"/>
        </w:rPr>
        <w:footnoteReference w:id="23"/>
      </w:r>
    </w:p>
    <w:p w:rsidR="00CB5F08" w:rsidRPr="006549E2" w:rsidP="00CB5F08" w14:paraId="76CE95F9" w14:textId="77777777">
      <w:pPr>
        <w:ind w:firstLine="720"/>
        <w:rPr>
          <w:rFonts w:eastAsia="Calibri"/>
          <w:sz w:val="22"/>
          <w:szCs w:val="22"/>
        </w:rPr>
      </w:pPr>
    </w:p>
    <w:p w:rsidR="00CB5F08" w:rsidRPr="006549E2" w:rsidP="00CB5F08" w14:paraId="6E5C5A81" w14:textId="77777777">
      <w:pPr>
        <w:ind w:firstLine="720"/>
        <w:rPr>
          <w:sz w:val="22"/>
          <w:szCs w:val="22"/>
        </w:rPr>
      </w:pPr>
      <w:r w:rsidRPr="006549E2">
        <w:rPr>
          <w:i/>
          <w:iCs/>
          <w:sz w:val="22"/>
          <w:szCs w:val="22"/>
        </w:rPr>
        <w:t>Discussion</w:t>
      </w:r>
      <w:r w:rsidRPr="006549E2">
        <w:rPr>
          <w:sz w:val="22"/>
          <w:szCs w:val="22"/>
        </w:rPr>
        <w:t>.  Pursuant to section 309(d) of the Act,</w:t>
      </w:r>
      <w:bookmarkStart w:id="0" w:name="co_fnRef_FN_F5_ID0ETHAC_1"/>
      <w:bookmarkEnd w:id="0"/>
      <w:r>
        <w:rPr>
          <w:rStyle w:val="FootnoteReference"/>
          <w:rFonts w:ascii="Times New Roman" w:hAnsi="Times New Roman"/>
          <w:sz w:val="22"/>
          <w:szCs w:val="22"/>
        </w:rPr>
        <w:footnoteReference w:id="24"/>
      </w:r>
      <w:r w:rsidRPr="006549E2">
        <w:rPr>
          <w:sz w:val="22"/>
          <w:szCs w:val="22"/>
        </w:rPr>
        <w:t xml:space="preserve"> petitions to deny and informal objections must provide properly supported allegations of fact that, if true, would establish a substantial and material question of fact that grant of the application would be </w:t>
      </w:r>
      <w:r w:rsidRPr="006549E2">
        <w:rPr>
          <w:i/>
          <w:iCs/>
          <w:sz w:val="22"/>
          <w:szCs w:val="22"/>
        </w:rPr>
        <w:t>prima facie</w:t>
      </w:r>
      <w:r w:rsidRPr="006549E2">
        <w:rPr>
          <w:sz w:val="22"/>
          <w:szCs w:val="22"/>
        </w:rPr>
        <w:t xml:space="preserve"> inconsistent with the public interest.</w:t>
      </w:r>
      <w:bookmarkStart w:id="1" w:name="co_fnRef_FN_F6_ID0ERIAC_1"/>
      <w:bookmarkEnd w:id="1"/>
      <w:r>
        <w:rPr>
          <w:rStyle w:val="FootnoteReference"/>
          <w:rFonts w:ascii="Times New Roman" w:hAnsi="Times New Roman"/>
          <w:sz w:val="22"/>
          <w:szCs w:val="22"/>
        </w:rPr>
        <w:footnoteReference w:id="25"/>
      </w:r>
      <w:r w:rsidRPr="006549E2">
        <w:rPr>
          <w:sz w:val="22"/>
          <w:szCs w:val="22"/>
        </w:rPr>
        <w:t xml:space="preserve"> </w:t>
      </w:r>
    </w:p>
    <w:p w:rsidR="00CB5F08" w:rsidRPr="006549E2" w:rsidP="00CB5F08" w14:paraId="6808FA2D" w14:textId="77777777">
      <w:pPr>
        <w:ind w:firstLine="720"/>
        <w:rPr>
          <w:sz w:val="22"/>
          <w:szCs w:val="22"/>
        </w:rPr>
      </w:pPr>
    </w:p>
    <w:p w:rsidR="00CB5F08" w:rsidRPr="000503CA" w:rsidP="00CB5F08" w14:paraId="3B727F2B" w14:textId="058F543B">
      <w:pPr>
        <w:ind w:firstLine="720"/>
        <w:rPr>
          <w:sz w:val="22"/>
          <w:szCs w:val="22"/>
        </w:rPr>
      </w:pPr>
      <w:r w:rsidRPr="006549E2">
        <w:rPr>
          <w:sz w:val="22"/>
          <w:szCs w:val="22"/>
        </w:rPr>
        <w:t xml:space="preserve">The Commission has been clear regarding its process for considering </w:t>
      </w:r>
      <w:r w:rsidR="00700E52">
        <w:rPr>
          <w:sz w:val="22"/>
          <w:szCs w:val="22"/>
        </w:rPr>
        <w:t>mutually exclusive (</w:t>
      </w:r>
      <w:r w:rsidRPr="006549E2">
        <w:rPr>
          <w:sz w:val="22"/>
          <w:szCs w:val="22"/>
        </w:rPr>
        <w:t>MX</w:t>
      </w:r>
      <w:r w:rsidR="00700E52">
        <w:rPr>
          <w:sz w:val="22"/>
          <w:szCs w:val="22"/>
        </w:rPr>
        <w:t>)</w:t>
      </w:r>
      <w:r w:rsidRPr="006549E2">
        <w:rPr>
          <w:sz w:val="22"/>
          <w:szCs w:val="22"/>
        </w:rPr>
        <w:t xml:space="preserve"> applications within its NCE FM comparative review process.  Specifically, when applicants in a MX NCE FM group propose to serve different communities, the Commission performs a threshold “fair distribution” analysis”</w:t>
      </w:r>
      <w:r>
        <w:rPr>
          <w:rStyle w:val="FootnoteReference"/>
          <w:rFonts w:ascii="Times New Roman" w:hAnsi="Times New Roman"/>
          <w:sz w:val="22"/>
          <w:szCs w:val="22"/>
        </w:rPr>
        <w:footnoteReference w:id="26"/>
      </w:r>
      <w:r w:rsidRPr="006549E2">
        <w:rPr>
          <w:sz w:val="22"/>
          <w:szCs w:val="22"/>
        </w:rPr>
        <w:t xml:space="preserve"> to ascertain whether grant of any of the applications would best further the objectives set forth in section 307(b) of the Act to “provide a fair, efficient, and equitable distribution” of broadcast service among the states and communities.</w:t>
      </w:r>
      <w:r>
        <w:rPr>
          <w:rStyle w:val="FootnoteReference"/>
          <w:rFonts w:ascii="Times New Roman" w:hAnsi="Times New Roman"/>
          <w:sz w:val="22"/>
          <w:szCs w:val="22"/>
        </w:rPr>
        <w:footnoteReference w:id="27"/>
      </w:r>
      <w:r w:rsidRPr="006549E2">
        <w:rPr>
          <w:sz w:val="22"/>
          <w:szCs w:val="22"/>
        </w:rPr>
        <w:t xml:space="preserve">  In the </w:t>
      </w:r>
      <w:r w:rsidRPr="006549E2">
        <w:rPr>
          <w:i/>
          <w:iCs/>
          <w:sz w:val="22"/>
          <w:szCs w:val="22"/>
        </w:rPr>
        <w:t>first</w:t>
      </w:r>
      <w:r w:rsidRPr="006549E2">
        <w:rPr>
          <w:sz w:val="22"/>
          <w:szCs w:val="22"/>
        </w:rPr>
        <w:t xml:space="preserve"> step of the Commission’s </w:t>
      </w:r>
      <w:r w:rsidR="00D76D33">
        <w:rPr>
          <w:sz w:val="22"/>
          <w:szCs w:val="22"/>
        </w:rPr>
        <w:t>s</w:t>
      </w:r>
      <w:r w:rsidRPr="006549E2">
        <w:rPr>
          <w:sz w:val="22"/>
          <w:szCs w:val="22"/>
        </w:rPr>
        <w:t>ection 307(b) fair distribution analysis, the Bureau determines whether any of the applicants in the MX group is a federally recognized Native American Tribe or Alaska Native Village proposing to serve Tribal Lands and claims the Tribal Priority.</w:t>
      </w:r>
      <w:r>
        <w:rPr>
          <w:rStyle w:val="FootnoteReference"/>
          <w:rFonts w:ascii="Times New Roman" w:hAnsi="Times New Roman"/>
          <w:sz w:val="22"/>
          <w:szCs w:val="22"/>
        </w:rPr>
        <w:footnoteReference w:id="28"/>
      </w:r>
      <w:r w:rsidRPr="006549E2">
        <w:rPr>
          <w:sz w:val="22"/>
          <w:szCs w:val="22"/>
        </w:rPr>
        <w:t xml:space="preserve">  If there is no applicant within the MX group claiming the Tribal Priority, the Bureau proceeds to the </w:t>
      </w:r>
      <w:r w:rsidRPr="006549E2">
        <w:rPr>
          <w:i/>
          <w:iCs/>
          <w:sz w:val="22"/>
          <w:szCs w:val="22"/>
        </w:rPr>
        <w:t>second</w:t>
      </w:r>
      <w:r w:rsidRPr="006549E2">
        <w:rPr>
          <w:sz w:val="22"/>
          <w:szCs w:val="22"/>
        </w:rPr>
        <w:t xml:space="preserve"> step in the analysis and determines whether any applicant would provide a first or second reserved band channel NCE aural service to a substantial population (the First or Second NCE Service Preference) and compares population coverage totals.</w:t>
      </w:r>
      <w:r>
        <w:rPr>
          <w:rStyle w:val="FootnoteReference"/>
          <w:rFonts w:ascii="Times New Roman" w:hAnsi="Times New Roman"/>
          <w:sz w:val="22"/>
          <w:szCs w:val="22"/>
        </w:rPr>
        <w:footnoteReference w:id="29"/>
      </w:r>
      <w:r w:rsidRPr="006549E2">
        <w:rPr>
          <w:sz w:val="22"/>
          <w:szCs w:val="22"/>
        </w:rPr>
        <w:t xml:space="preserve">  Section 73.7002(b) of the Rules</w:t>
      </w:r>
      <w:r>
        <w:rPr>
          <w:sz w:val="22"/>
          <w:szCs w:val="22"/>
        </w:rPr>
        <w:t xml:space="preserve"> </w:t>
      </w:r>
      <w:r w:rsidRPr="006549E2">
        <w:rPr>
          <w:sz w:val="22"/>
          <w:szCs w:val="22"/>
        </w:rPr>
        <w:t xml:space="preserve">explicitly instructs that in a </w:t>
      </w:r>
      <w:r w:rsidR="00000C3A">
        <w:rPr>
          <w:sz w:val="22"/>
          <w:szCs w:val="22"/>
        </w:rPr>
        <w:t>s</w:t>
      </w:r>
      <w:r w:rsidRPr="006549E2">
        <w:rPr>
          <w:sz w:val="22"/>
          <w:szCs w:val="22"/>
        </w:rPr>
        <w:t>ection 307(b) fair distribution analysis “that does not include a Tribal Applicant,” the Commission must next compare the first or second NCE service population totals of the mutually exclusive applicants</w:t>
      </w:r>
      <w:r w:rsidR="005B46CD">
        <w:rPr>
          <w:sz w:val="22"/>
          <w:szCs w:val="22"/>
        </w:rPr>
        <w:t xml:space="preserve">, </w:t>
      </w:r>
      <w:r w:rsidR="00880B6F">
        <w:rPr>
          <w:sz w:val="22"/>
          <w:szCs w:val="22"/>
        </w:rPr>
        <w:t xml:space="preserve">and </w:t>
      </w:r>
      <w:r w:rsidR="005B46CD">
        <w:rPr>
          <w:sz w:val="22"/>
          <w:szCs w:val="22"/>
        </w:rPr>
        <w:t xml:space="preserve">that first </w:t>
      </w:r>
      <w:r w:rsidR="00D76D33">
        <w:rPr>
          <w:sz w:val="22"/>
          <w:szCs w:val="22"/>
        </w:rPr>
        <w:t xml:space="preserve">or second </w:t>
      </w:r>
      <w:r w:rsidR="005B46CD">
        <w:rPr>
          <w:sz w:val="22"/>
          <w:szCs w:val="22"/>
        </w:rPr>
        <w:t>service to fewer than 2,000 people will be considered insignificant</w:t>
      </w:r>
      <w:r w:rsidRPr="006549E2">
        <w:rPr>
          <w:sz w:val="22"/>
          <w:szCs w:val="22"/>
        </w:rPr>
        <w:t>.</w:t>
      </w:r>
      <w:r>
        <w:rPr>
          <w:rStyle w:val="FootnoteReference"/>
          <w:rFonts w:ascii="Times New Roman" w:hAnsi="Times New Roman"/>
          <w:sz w:val="22"/>
          <w:szCs w:val="22"/>
        </w:rPr>
        <w:footnoteReference w:id="30"/>
      </w:r>
      <w:r w:rsidRPr="006549E2">
        <w:rPr>
          <w:sz w:val="22"/>
          <w:szCs w:val="22"/>
        </w:rPr>
        <w:t xml:space="preserve"> </w:t>
      </w:r>
      <w:r w:rsidR="000503CA">
        <w:rPr>
          <w:sz w:val="22"/>
          <w:szCs w:val="22"/>
        </w:rPr>
        <w:t xml:space="preserve"> </w:t>
      </w:r>
    </w:p>
    <w:p w:rsidR="00CB5F08" w:rsidRPr="006549E2" w:rsidP="00CB5F08" w14:paraId="328560E6" w14:textId="77777777">
      <w:pPr>
        <w:ind w:firstLine="720"/>
        <w:rPr>
          <w:sz w:val="22"/>
          <w:szCs w:val="22"/>
        </w:rPr>
      </w:pPr>
    </w:p>
    <w:p w:rsidR="00CB5F08" w:rsidRPr="006549E2" w:rsidP="00CB5F08" w14:paraId="43668750" w14:textId="194BA52D">
      <w:pPr>
        <w:ind w:firstLine="720"/>
        <w:rPr>
          <w:b/>
          <w:bCs/>
          <w:sz w:val="22"/>
          <w:szCs w:val="22"/>
        </w:rPr>
      </w:pPr>
      <w:r w:rsidRPr="006549E2">
        <w:rPr>
          <w:sz w:val="22"/>
          <w:szCs w:val="22"/>
          <w:shd w:val="clear" w:color="auto" w:fill="FFFFFF"/>
        </w:rPr>
        <w:t xml:space="preserve">Within this comparative analysis framework, the Commission has </w:t>
      </w:r>
      <w:r w:rsidR="00114003">
        <w:rPr>
          <w:sz w:val="22"/>
          <w:szCs w:val="22"/>
          <w:shd w:val="clear" w:color="auto" w:fill="FFFFFF"/>
        </w:rPr>
        <w:t>explained</w:t>
      </w:r>
      <w:r w:rsidRPr="006549E2">
        <w:rPr>
          <w:sz w:val="22"/>
          <w:szCs w:val="22"/>
        </w:rPr>
        <w:t xml:space="preserve"> the circumstances under which it will consider an applicant’s claim of first aural reception service. </w:t>
      </w:r>
      <w:r w:rsidR="00F5017C">
        <w:rPr>
          <w:sz w:val="22"/>
          <w:szCs w:val="22"/>
        </w:rPr>
        <w:t xml:space="preserve"> </w:t>
      </w:r>
      <w:r w:rsidRPr="006549E2">
        <w:rPr>
          <w:sz w:val="22"/>
          <w:szCs w:val="22"/>
        </w:rPr>
        <w:t xml:space="preserve">Specifically, in the </w:t>
      </w:r>
      <w:r w:rsidR="00CA0298">
        <w:rPr>
          <w:sz w:val="22"/>
          <w:szCs w:val="22"/>
        </w:rPr>
        <w:t xml:space="preserve">Form 2100, </w:t>
      </w:r>
      <w:r w:rsidRPr="006549E2">
        <w:rPr>
          <w:sz w:val="22"/>
          <w:szCs w:val="22"/>
        </w:rPr>
        <w:t>Schedule 340 Instructions, the Commission explicitly instructs that it will only consider an applicant’s first aural certification claim if the application is mutually exclusive with another application claiming the Tribal Priority.</w:t>
      </w:r>
      <w:r>
        <w:rPr>
          <w:rStyle w:val="FootnoteReference"/>
          <w:rFonts w:ascii="Times New Roman" w:hAnsi="Times New Roman"/>
          <w:sz w:val="22"/>
          <w:szCs w:val="22"/>
        </w:rPr>
        <w:footnoteReference w:id="31"/>
      </w:r>
      <w:r w:rsidRPr="006549E2">
        <w:rPr>
          <w:sz w:val="22"/>
          <w:szCs w:val="22"/>
        </w:rPr>
        <w:t xml:space="preserve">  Similarly, the </w:t>
      </w:r>
      <w:r w:rsidRPr="006549E2">
        <w:rPr>
          <w:i/>
          <w:iCs/>
          <w:sz w:val="22"/>
          <w:szCs w:val="22"/>
        </w:rPr>
        <w:t xml:space="preserve">Rural </w:t>
      </w:r>
      <w:r w:rsidR="006A5A06">
        <w:rPr>
          <w:i/>
          <w:iCs/>
          <w:sz w:val="22"/>
          <w:szCs w:val="22"/>
        </w:rPr>
        <w:t xml:space="preserve">Radio </w:t>
      </w:r>
      <w:r w:rsidRPr="006549E2">
        <w:rPr>
          <w:i/>
          <w:iCs/>
          <w:sz w:val="22"/>
          <w:szCs w:val="22"/>
        </w:rPr>
        <w:t>First Report and Order</w:t>
      </w:r>
      <w:r w:rsidRPr="006549E2">
        <w:rPr>
          <w:sz w:val="22"/>
          <w:szCs w:val="22"/>
        </w:rPr>
        <w:t xml:space="preserve"> </w:t>
      </w:r>
      <w:r w:rsidR="00733F0B">
        <w:rPr>
          <w:sz w:val="22"/>
          <w:szCs w:val="22"/>
        </w:rPr>
        <w:t>states</w:t>
      </w:r>
      <w:r w:rsidRPr="006549E2">
        <w:rPr>
          <w:sz w:val="22"/>
          <w:szCs w:val="22"/>
        </w:rPr>
        <w:t xml:space="preserve"> that an applicant </w:t>
      </w:r>
      <w:r w:rsidRPr="006549E2">
        <w:rPr>
          <w:sz w:val="22"/>
          <w:szCs w:val="22"/>
        </w:rPr>
        <w:t xml:space="preserve">that qualifies for the Tribal Priority will not be compared to other mutually exclusive applicants on a fair distribution basis, but will be the tentative selectee, except that the Tribal Priority will not prevail where mutual exclusivity exists with a </w:t>
      </w:r>
      <w:r w:rsidRPr="006549E2">
        <w:rPr>
          <w:i/>
          <w:iCs/>
          <w:sz w:val="22"/>
          <w:szCs w:val="22"/>
        </w:rPr>
        <w:t>bona fide</w:t>
      </w:r>
      <w:r w:rsidRPr="006549E2">
        <w:rPr>
          <w:sz w:val="22"/>
          <w:szCs w:val="22"/>
        </w:rPr>
        <w:t xml:space="preserve"> proposal to provide first aural reception service to a significant population.</w:t>
      </w:r>
      <w:r>
        <w:rPr>
          <w:rStyle w:val="FootnoteReference"/>
          <w:rFonts w:ascii="Times New Roman" w:hAnsi="Times New Roman"/>
          <w:sz w:val="22"/>
          <w:szCs w:val="22"/>
        </w:rPr>
        <w:footnoteReference w:id="32"/>
      </w:r>
      <w:r w:rsidRPr="006549E2">
        <w:rPr>
          <w:b/>
          <w:bCs/>
          <w:sz w:val="22"/>
          <w:szCs w:val="22"/>
        </w:rPr>
        <w:t xml:space="preserve">  </w:t>
      </w:r>
      <w:r w:rsidR="008E66B4">
        <w:rPr>
          <w:sz w:val="22"/>
          <w:szCs w:val="22"/>
        </w:rPr>
        <w:t xml:space="preserve">The Commission has </w:t>
      </w:r>
      <w:r w:rsidRPr="006A5A06" w:rsidR="008E66B4">
        <w:rPr>
          <w:i/>
          <w:iCs/>
          <w:sz w:val="22"/>
          <w:szCs w:val="22"/>
        </w:rPr>
        <w:t>never</w:t>
      </w:r>
      <w:r w:rsidR="008E66B4">
        <w:rPr>
          <w:sz w:val="22"/>
          <w:szCs w:val="22"/>
        </w:rPr>
        <w:t xml:space="preserve"> provided for a first aural reception service preference </w:t>
      </w:r>
      <w:r w:rsidR="00EE043E">
        <w:rPr>
          <w:sz w:val="22"/>
          <w:szCs w:val="22"/>
        </w:rPr>
        <w:t xml:space="preserve">in the NCE context </w:t>
      </w:r>
      <w:r w:rsidR="0081630F">
        <w:rPr>
          <w:sz w:val="22"/>
          <w:szCs w:val="22"/>
        </w:rPr>
        <w:t>prior to</w:t>
      </w:r>
      <w:r w:rsidR="008E66B4">
        <w:rPr>
          <w:sz w:val="22"/>
          <w:szCs w:val="22"/>
        </w:rPr>
        <w:t xml:space="preserve"> the </w:t>
      </w:r>
      <w:r w:rsidR="0081630F">
        <w:rPr>
          <w:sz w:val="22"/>
          <w:szCs w:val="22"/>
        </w:rPr>
        <w:t xml:space="preserve">establishment of the </w:t>
      </w:r>
      <w:r w:rsidR="008E66B4">
        <w:rPr>
          <w:sz w:val="22"/>
          <w:szCs w:val="22"/>
        </w:rPr>
        <w:t>Tribal Priority</w:t>
      </w:r>
      <w:r w:rsidR="00EE043E">
        <w:rPr>
          <w:sz w:val="22"/>
          <w:szCs w:val="22"/>
        </w:rPr>
        <w:t>.</w:t>
      </w:r>
    </w:p>
    <w:p w:rsidR="006A5A06" w:rsidP="00CB5F08" w14:paraId="7859666C" w14:textId="77777777">
      <w:pPr>
        <w:ind w:firstLine="720"/>
        <w:rPr>
          <w:sz w:val="22"/>
          <w:szCs w:val="22"/>
        </w:rPr>
      </w:pPr>
    </w:p>
    <w:p w:rsidR="00CB5F08" w:rsidRPr="006549E2" w:rsidP="00CB5F08" w14:paraId="4F61DF34" w14:textId="7339DF60">
      <w:pPr>
        <w:ind w:firstLine="720"/>
        <w:rPr>
          <w:b/>
          <w:bCs/>
          <w:sz w:val="22"/>
          <w:szCs w:val="22"/>
        </w:rPr>
      </w:pPr>
      <w:r w:rsidRPr="006549E2">
        <w:rPr>
          <w:sz w:val="22"/>
          <w:szCs w:val="22"/>
        </w:rPr>
        <w:t xml:space="preserve">Based upon this </w:t>
      </w:r>
      <w:r w:rsidRPr="006549E2">
        <w:rPr>
          <w:sz w:val="22"/>
          <w:szCs w:val="22"/>
          <w:shd w:val="clear" w:color="auto" w:fill="FFFFFF"/>
        </w:rPr>
        <w:t>framework</w:t>
      </w:r>
      <w:r w:rsidRPr="006549E2">
        <w:rPr>
          <w:sz w:val="22"/>
          <w:szCs w:val="22"/>
        </w:rPr>
        <w:t xml:space="preserve">, we reject David’s contention that the </w:t>
      </w:r>
      <w:r w:rsidRPr="006549E2">
        <w:rPr>
          <w:rFonts w:eastAsia="Calibri"/>
          <w:iCs/>
          <w:sz w:val="22"/>
          <w:szCs w:val="22"/>
        </w:rPr>
        <w:t xml:space="preserve">Bureau </w:t>
      </w:r>
      <w:r w:rsidRPr="006549E2" w:rsidR="00840E5A">
        <w:rPr>
          <w:rFonts w:eastAsia="Calibri"/>
          <w:iCs/>
          <w:sz w:val="22"/>
          <w:szCs w:val="22"/>
        </w:rPr>
        <w:t xml:space="preserve">improperly </w:t>
      </w:r>
      <w:r w:rsidRPr="006549E2">
        <w:rPr>
          <w:rFonts w:eastAsia="Calibri"/>
          <w:iCs/>
          <w:sz w:val="22"/>
          <w:szCs w:val="22"/>
        </w:rPr>
        <w:t xml:space="preserve">conducted the fair distribution analysis for Group 22.  </w:t>
      </w:r>
      <w:r w:rsidR="00DF2885">
        <w:rPr>
          <w:sz w:val="22"/>
          <w:szCs w:val="22"/>
        </w:rPr>
        <w:t>N</w:t>
      </w:r>
      <w:r w:rsidRPr="006549E2">
        <w:rPr>
          <w:sz w:val="22"/>
          <w:szCs w:val="22"/>
        </w:rPr>
        <w:t>o applicant within Group 22 claimed a Tribal Priority</w:t>
      </w:r>
      <w:r w:rsidR="00DF2885">
        <w:rPr>
          <w:sz w:val="22"/>
          <w:szCs w:val="22"/>
        </w:rPr>
        <w:t>,</w:t>
      </w:r>
      <w:r w:rsidRPr="006549E2">
        <w:rPr>
          <w:sz w:val="22"/>
          <w:szCs w:val="22"/>
        </w:rPr>
        <w:t xml:space="preserve"> and</w:t>
      </w:r>
      <w:r w:rsidR="00F5763D">
        <w:rPr>
          <w:sz w:val="22"/>
          <w:szCs w:val="22"/>
        </w:rPr>
        <w:t>,</w:t>
      </w:r>
      <w:r w:rsidRPr="006549E2">
        <w:rPr>
          <w:sz w:val="22"/>
          <w:szCs w:val="22"/>
        </w:rPr>
        <w:t xml:space="preserve"> therefore</w:t>
      </w:r>
      <w:r w:rsidR="00F5763D">
        <w:rPr>
          <w:sz w:val="22"/>
          <w:szCs w:val="22"/>
        </w:rPr>
        <w:t>,</w:t>
      </w:r>
      <w:r w:rsidRPr="006549E2">
        <w:rPr>
          <w:sz w:val="22"/>
          <w:szCs w:val="22"/>
        </w:rPr>
        <w:t xml:space="preserve"> the Bureau was correct to proceed to the second step in the fair distribution analysis—comparing the First or Second NCE Service Preference totals of AWC and RBN.</w:t>
      </w:r>
      <w:r w:rsidR="00A84109">
        <w:rPr>
          <w:sz w:val="22"/>
          <w:szCs w:val="22"/>
        </w:rPr>
        <w:t xml:space="preserve">  </w:t>
      </w:r>
      <w:r w:rsidRPr="006549E2">
        <w:rPr>
          <w:sz w:val="22"/>
          <w:szCs w:val="22"/>
        </w:rPr>
        <w:t xml:space="preserve">ACE’s first aural reception service claim need not be considered in the absence of a competing application claiming the Tribal Priority.  The Bureau </w:t>
      </w:r>
      <w:r w:rsidRPr="006549E2">
        <w:rPr>
          <w:rFonts w:eastAsia="Calibri"/>
          <w:iCs/>
          <w:sz w:val="22"/>
          <w:szCs w:val="22"/>
        </w:rPr>
        <w:t>tentatively selected the AWC Application because it would provide a new second NCE service to at least 5,000 more people than the RBN Application</w:t>
      </w:r>
      <w:r w:rsidRPr="006549E2">
        <w:rPr>
          <w:sz w:val="22"/>
          <w:szCs w:val="22"/>
        </w:rPr>
        <w:t xml:space="preserve">, and David does not challenge the Bureau’s second NCE service analysis between the AWC and RBN Applications.  Accordingly, the Bureau’s selection of AWC was proper.  </w:t>
      </w:r>
    </w:p>
    <w:p w:rsidR="00CB5F08" w:rsidRPr="006549E2" w:rsidP="00CB5F08" w14:paraId="78BCB13E" w14:textId="77777777">
      <w:pPr>
        <w:ind w:firstLine="720"/>
        <w:rPr>
          <w:sz w:val="22"/>
          <w:szCs w:val="22"/>
        </w:rPr>
      </w:pPr>
    </w:p>
    <w:p w:rsidR="00CB5F08" w:rsidRPr="006549E2" w:rsidP="00CB5F08" w14:paraId="79E8922E" w14:textId="4B181E6F">
      <w:pPr>
        <w:autoSpaceDE w:val="0"/>
        <w:autoSpaceDN w:val="0"/>
        <w:adjustRightInd w:val="0"/>
        <w:ind w:firstLine="720"/>
        <w:rPr>
          <w:rFonts w:eastAsiaTheme="minorHAnsi"/>
          <w:sz w:val="22"/>
          <w:szCs w:val="22"/>
        </w:rPr>
      </w:pPr>
      <w:r w:rsidRPr="006549E2">
        <w:rPr>
          <w:sz w:val="22"/>
          <w:szCs w:val="22"/>
        </w:rPr>
        <w:t xml:space="preserve">We reject David’s argument that the </w:t>
      </w:r>
      <w:r w:rsidR="009354D0">
        <w:rPr>
          <w:i/>
          <w:iCs/>
          <w:sz w:val="22"/>
          <w:szCs w:val="22"/>
        </w:rPr>
        <w:t xml:space="preserve">Procedures </w:t>
      </w:r>
      <w:r w:rsidRPr="006549E2">
        <w:rPr>
          <w:i/>
          <w:iCs/>
          <w:sz w:val="22"/>
          <w:szCs w:val="22"/>
        </w:rPr>
        <w:t xml:space="preserve">Public Notice </w:t>
      </w:r>
      <w:r w:rsidRPr="006549E2">
        <w:rPr>
          <w:sz w:val="22"/>
          <w:szCs w:val="22"/>
        </w:rPr>
        <w:t xml:space="preserve">supports </w:t>
      </w:r>
      <w:r w:rsidR="008F2F77">
        <w:rPr>
          <w:sz w:val="22"/>
          <w:szCs w:val="22"/>
        </w:rPr>
        <w:t>his</w:t>
      </w:r>
      <w:r w:rsidRPr="006549E2" w:rsidR="008F2F77">
        <w:rPr>
          <w:sz w:val="22"/>
          <w:szCs w:val="22"/>
        </w:rPr>
        <w:t xml:space="preserve"> </w:t>
      </w:r>
      <w:r w:rsidRPr="006549E2">
        <w:rPr>
          <w:sz w:val="22"/>
          <w:szCs w:val="22"/>
        </w:rPr>
        <w:t>argument that the Bureau erred i</w:t>
      </w:r>
      <w:r>
        <w:rPr>
          <w:sz w:val="22"/>
          <w:szCs w:val="22"/>
        </w:rPr>
        <w:t>n</w:t>
      </w:r>
      <w:r w:rsidRPr="006549E2">
        <w:rPr>
          <w:sz w:val="22"/>
          <w:szCs w:val="22"/>
        </w:rPr>
        <w:t xml:space="preserve"> its </w:t>
      </w:r>
      <w:r w:rsidR="00B53CD3">
        <w:rPr>
          <w:sz w:val="22"/>
          <w:szCs w:val="22"/>
        </w:rPr>
        <w:t>fair distribution</w:t>
      </w:r>
      <w:r w:rsidRPr="006549E2" w:rsidR="00B53CD3">
        <w:rPr>
          <w:sz w:val="22"/>
          <w:szCs w:val="22"/>
        </w:rPr>
        <w:t xml:space="preserve"> </w:t>
      </w:r>
      <w:r w:rsidRPr="006549E2">
        <w:rPr>
          <w:sz w:val="22"/>
          <w:szCs w:val="22"/>
        </w:rPr>
        <w:t>review process.</w:t>
      </w:r>
      <w:r w:rsidRPr="006549E2">
        <w:rPr>
          <w:i/>
          <w:iCs/>
          <w:sz w:val="22"/>
          <w:szCs w:val="22"/>
        </w:rPr>
        <w:t xml:space="preserve">  </w:t>
      </w:r>
      <w:r w:rsidRPr="006549E2">
        <w:rPr>
          <w:sz w:val="22"/>
          <w:szCs w:val="22"/>
        </w:rPr>
        <w:t xml:space="preserve">Specifically, David cites a portion of the </w:t>
      </w:r>
      <w:r w:rsidR="009354D0">
        <w:rPr>
          <w:i/>
          <w:iCs/>
          <w:sz w:val="22"/>
          <w:szCs w:val="22"/>
        </w:rPr>
        <w:t xml:space="preserve">Procedures </w:t>
      </w:r>
      <w:r w:rsidRPr="006549E2">
        <w:rPr>
          <w:i/>
          <w:iCs/>
          <w:sz w:val="22"/>
          <w:szCs w:val="22"/>
        </w:rPr>
        <w:t>Public Notice</w:t>
      </w:r>
      <w:r w:rsidRPr="006549E2">
        <w:rPr>
          <w:sz w:val="22"/>
          <w:szCs w:val="22"/>
        </w:rPr>
        <w:t xml:space="preserve"> that states: </w:t>
      </w:r>
      <w:r w:rsidRPr="006549E2">
        <w:rPr>
          <w:sz w:val="22"/>
          <w:szCs w:val="22"/>
          <w:shd w:val="clear" w:color="auto" w:fill="FFFFFF"/>
        </w:rPr>
        <w:t>“If no applicant in an MX group qualifies for either the first aural reception service preference or the Tribal Priority, the Bureau will use the applicants’ service area and population data certifications to compare first and second NCE aural radio service.”</w:t>
      </w:r>
      <w:r>
        <w:rPr>
          <w:rStyle w:val="FootnoteReference"/>
          <w:rFonts w:ascii="Times New Roman" w:hAnsi="Times New Roman"/>
          <w:sz w:val="22"/>
          <w:szCs w:val="22"/>
          <w:shd w:val="clear" w:color="auto" w:fill="FFFFFF"/>
        </w:rPr>
        <w:footnoteReference w:id="33"/>
      </w:r>
      <w:r w:rsidRPr="006549E2">
        <w:rPr>
          <w:sz w:val="22"/>
          <w:szCs w:val="22"/>
        </w:rPr>
        <w:t xml:space="preserve">  David contends that the Commission’s use of the word “either</w:t>
      </w:r>
      <w:r>
        <w:rPr>
          <w:sz w:val="22"/>
          <w:szCs w:val="22"/>
        </w:rPr>
        <w:t>,</w:t>
      </w:r>
      <w:r w:rsidRPr="006549E2">
        <w:rPr>
          <w:sz w:val="22"/>
          <w:szCs w:val="22"/>
        </w:rPr>
        <w:t xml:space="preserve">” when referring to </w:t>
      </w:r>
      <w:r w:rsidRPr="006549E2">
        <w:rPr>
          <w:sz w:val="22"/>
          <w:szCs w:val="22"/>
          <w:shd w:val="clear" w:color="auto" w:fill="FFFFFF"/>
        </w:rPr>
        <w:t>the first aural reception service preference or the Tribal Priority</w:t>
      </w:r>
      <w:r>
        <w:rPr>
          <w:sz w:val="22"/>
          <w:szCs w:val="22"/>
          <w:shd w:val="clear" w:color="auto" w:fill="FFFFFF"/>
        </w:rPr>
        <w:t>,</w:t>
      </w:r>
      <w:r w:rsidRPr="006549E2">
        <w:rPr>
          <w:sz w:val="22"/>
          <w:szCs w:val="22"/>
          <w:shd w:val="clear" w:color="auto" w:fill="FFFFFF"/>
        </w:rPr>
        <w:t xml:space="preserve"> “</w:t>
      </w:r>
      <w:r w:rsidRPr="006549E2">
        <w:rPr>
          <w:rFonts w:eastAsiaTheme="minorHAnsi"/>
          <w:sz w:val="22"/>
          <w:szCs w:val="22"/>
        </w:rPr>
        <w:t>explicitly means that one is not dependent on the other.”</w:t>
      </w:r>
      <w:r>
        <w:rPr>
          <w:rStyle w:val="FootnoteReference"/>
          <w:rFonts w:ascii="Times New Roman" w:hAnsi="Times New Roman" w:eastAsiaTheme="minorHAnsi"/>
          <w:sz w:val="22"/>
          <w:szCs w:val="22"/>
        </w:rPr>
        <w:footnoteReference w:id="34"/>
      </w:r>
      <w:r w:rsidRPr="006549E2">
        <w:rPr>
          <w:rFonts w:eastAsiaTheme="minorHAnsi"/>
          <w:sz w:val="22"/>
          <w:szCs w:val="22"/>
        </w:rPr>
        <w:t xml:space="preserve"> </w:t>
      </w:r>
      <w:r w:rsidRPr="006549E2">
        <w:rPr>
          <w:sz w:val="22"/>
          <w:szCs w:val="22"/>
        </w:rPr>
        <w:t xml:space="preserve"> David posits that, “following this guideline,” the Bureau should not have compared the AWC and RBN Application’s </w:t>
      </w:r>
      <w:r>
        <w:rPr>
          <w:sz w:val="22"/>
          <w:szCs w:val="22"/>
        </w:rPr>
        <w:t>F</w:t>
      </w:r>
      <w:r w:rsidRPr="006549E2">
        <w:rPr>
          <w:sz w:val="22"/>
          <w:szCs w:val="22"/>
        </w:rPr>
        <w:t xml:space="preserve">irst or </w:t>
      </w:r>
      <w:r>
        <w:rPr>
          <w:sz w:val="22"/>
          <w:szCs w:val="22"/>
        </w:rPr>
        <w:t>S</w:t>
      </w:r>
      <w:r w:rsidRPr="006549E2">
        <w:rPr>
          <w:sz w:val="22"/>
          <w:szCs w:val="22"/>
        </w:rPr>
        <w:t xml:space="preserve">econd NCE </w:t>
      </w:r>
      <w:r>
        <w:rPr>
          <w:sz w:val="22"/>
          <w:szCs w:val="22"/>
        </w:rPr>
        <w:t>S</w:t>
      </w:r>
      <w:r w:rsidRPr="006549E2">
        <w:rPr>
          <w:sz w:val="22"/>
          <w:szCs w:val="22"/>
        </w:rPr>
        <w:t>ervice</w:t>
      </w:r>
      <w:r>
        <w:rPr>
          <w:sz w:val="22"/>
          <w:szCs w:val="22"/>
        </w:rPr>
        <w:t xml:space="preserve"> Preference</w:t>
      </w:r>
      <w:r w:rsidRPr="006549E2">
        <w:rPr>
          <w:sz w:val="22"/>
          <w:szCs w:val="22"/>
        </w:rPr>
        <w:t xml:space="preserve"> claims because the ACE Application “qualifies for the first aural reception service preference.”</w:t>
      </w:r>
      <w:r>
        <w:rPr>
          <w:rStyle w:val="FootnoteReference"/>
          <w:rFonts w:ascii="Times New Roman" w:hAnsi="Times New Roman"/>
          <w:sz w:val="22"/>
          <w:szCs w:val="22"/>
        </w:rPr>
        <w:footnoteReference w:id="35"/>
      </w:r>
      <w:r w:rsidRPr="006549E2">
        <w:rPr>
          <w:sz w:val="22"/>
          <w:szCs w:val="22"/>
        </w:rPr>
        <w:t xml:space="preserve">  We find that David misreads this portion of the </w:t>
      </w:r>
      <w:r w:rsidR="00FF2815">
        <w:rPr>
          <w:i/>
          <w:iCs/>
          <w:sz w:val="22"/>
          <w:szCs w:val="22"/>
        </w:rPr>
        <w:t xml:space="preserve">Procedures </w:t>
      </w:r>
      <w:r w:rsidRPr="006549E2">
        <w:rPr>
          <w:i/>
          <w:iCs/>
          <w:sz w:val="22"/>
          <w:szCs w:val="22"/>
        </w:rPr>
        <w:t>Public Notice</w:t>
      </w:r>
      <w:r w:rsidR="00EA3F19">
        <w:rPr>
          <w:sz w:val="22"/>
          <w:szCs w:val="22"/>
        </w:rPr>
        <w:t xml:space="preserve">, which </w:t>
      </w:r>
      <w:r w:rsidR="0081630F">
        <w:rPr>
          <w:sz w:val="22"/>
          <w:szCs w:val="22"/>
        </w:rPr>
        <w:t xml:space="preserve">only </w:t>
      </w:r>
      <w:r w:rsidR="00EA3F19">
        <w:rPr>
          <w:sz w:val="22"/>
          <w:szCs w:val="22"/>
        </w:rPr>
        <w:t xml:space="preserve">explained how the Commission would evaluate MX groups that included a Tribal Applicant, not MX groups that do </w:t>
      </w:r>
      <w:r w:rsidR="00EA3F19">
        <w:rPr>
          <w:i/>
          <w:iCs/>
          <w:sz w:val="22"/>
          <w:szCs w:val="22"/>
        </w:rPr>
        <w:t>not</w:t>
      </w:r>
      <w:r w:rsidR="00EA3F19">
        <w:rPr>
          <w:sz w:val="22"/>
          <w:szCs w:val="22"/>
        </w:rPr>
        <w:t xml:space="preserve"> include a Tribal Applicant, which is the case here</w:t>
      </w:r>
      <w:r w:rsidRPr="006549E2">
        <w:rPr>
          <w:sz w:val="22"/>
          <w:szCs w:val="22"/>
        </w:rPr>
        <w:t xml:space="preserve">.  The </w:t>
      </w:r>
      <w:r w:rsidR="00FF2815">
        <w:rPr>
          <w:i/>
          <w:iCs/>
          <w:sz w:val="22"/>
          <w:szCs w:val="22"/>
        </w:rPr>
        <w:t xml:space="preserve">Procedures </w:t>
      </w:r>
      <w:r w:rsidRPr="006549E2">
        <w:rPr>
          <w:i/>
          <w:iCs/>
          <w:sz w:val="22"/>
          <w:szCs w:val="22"/>
        </w:rPr>
        <w:t>Public Notice</w:t>
      </w:r>
      <w:r w:rsidRPr="006549E2">
        <w:rPr>
          <w:sz w:val="22"/>
          <w:szCs w:val="22"/>
        </w:rPr>
        <w:t xml:space="preserve"> makes clear that </w:t>
      </w:r>
      <w:r w:rsidRPr="006549E2">
        <w:rPr>
          <w:sz w:val="22"/>
          <w:szCs w:val="22"/>
          <w:shd w:val="clear" w:color="auto" w:fill="FFFFFF"/>
        </w:rPr>
        <w:t xml:space="preserve">for MX groups in which NCE FM applicants propose service to different communities, the Commission conducts the threshold fair distribution analysis as set forth in </w:t>
      </w:r>
      <w:r>
        <w:rPr>
          <w:sz w:val="22"/>
          <w:szCs w:val="22"/>
          <w:shd w:val="clear" w:color="auto" w:fill="FFFFFF"/>
        </w:rPr>
        <w:t>s</w:t>
      </w:r>
      <w:r w:rsidRPr="006549E2">
        <w:rPr>
          <w:sz w:val="22"/>
          <w:szCs w:val="22"/>
          <w:shd w:val="clear" w:color="auto" w:fill="FFFFFF"/>
        </w:rPr>
        <w:t xml:space="preserve">ection </w:t>
      </w:r>
      <w:r w:rsidRPr="006549E2">
        <w:rPr>
          <w:sz w:val="22"/>
          <w:szCs w:val="22"/>
        </w:rPr>
        <w:t>73.7002 of the Rules.</w:t>
      </w:r>
      <w:r>
        <w:rPr>
          <w:rStyle w:val="FootnoteReference"/>
          <w:rFonts w:ascii="Times New Roman" w:hAnsi="Times New Roman"/>
          <w:sz w:val="22"/>
          <w:szCs w:val="22"/>
        </w:rPr>
        <w:footnoteReference w:id="36"/>
      </w:r>
      <w:r w:rsidRPr="006549E2">
        <w:rPr>
          <w:sz w:val="22"/>
          <w:szCs w:val="22"/>
        </w:rPr>
        <w:t xml:space="preserve">  As discussed above, </w:t>
      </w:r>
      <w:r>
        <w:rPr>
          <w:sz w:val="22"/>
          <w:szCs w:val="22"/>
        </w:rPr>
        <w:t>s</w:t>
      </w:r>
      <w:r w:rsidRPr="006549E2">
        <w:rPr>
          <w:sz w:val="22"/>
          <w:szCs w:val="22"/>
        </w:rPr>
        <w:t xml:space="preserve">ection 73.7002 specifically details that, in circumstances where there is no applicant claiming the Tribal Priority, the Commission compares the first and second NCE service population totals of mutually exclusive applicants.  The </w:t>
      </w:r>
      <w:r w:rsidR="00D160AD">
        <w:rPr>
          <w:i/>
          <w:iCs/>
          <w:sz w:val="22"/>
          <w:szCs w:val="22"/>
        </w:rPr>
        <w:t xml:space="preserve">Procedures </w:t>
      </w:r>
      <w:r w:rsidRPr="006549E2">
        <w:rPr>
          <w:i/>
          <w:iCs/>
          <w:sz w:val="22"/>
          <w:szCs w:val="22"/>
        </w:rPr>
        <w:t>Public Notice</w:t>
      </w:r>
      <w:r w:rsidRPr="006549E2">
        <w:rPr>
          <w:sz w:val="22"/>
          <w:szCs w:val="22"/>
        </w:rPr>
        <w:t xml:space="preserve"> also directs applicants to the </w:t>
      </w:r>
      <w:r w:rsidR="00500AB3">
        <w:rPr>
          <w:sz w:val="22"/>
          <w:szCs w:val="22"/>
        </w:rPr>
        <w:t xml:space="preserve">Form 2100 </w:t>
      </w:r>
      <w:r w:rsidRPr="006549E2">
        <w:rPr>
          <w:sz w:val="22"/>
          <w:szCs w:val="22"/>
        </w:rPr>
        <w:t xml:space="preserve">Schedule 340 Instructions, which explicitly inform applicants that the </w:t>
      </w:r>
      <w:r w:rsidRPr="006549E2">
        <w:rPr>
          <w:sz w:val="22"/>
          <w:szCs w:val="22"/>
        </w:rPr>
        <w:t>first aural certification is considered only where the application is mutually exclusive with an application claiming the Tribal Priority.</w:t>
      </w:r>
      <w:r>
        <w:rPr>
          <w:rStyle w:val="FootnoteReference"/>
          <w:rFonts w:ascii="Times New Roman" w:hAnsi="Times New Roman"/>
          <w:sz w:val="22"/>
          <w:szCs w:val="22"/>
        </w:rPr>
        <w:footnoteReference w:id="37"/>
      </w:r>
      <w:r w:rsidRPr="006549E2">
        <w:rPr>
          <w:sz w:val="22"/>
          <w:szCs w:val="22"/>
        </w:rPr>
        <w:t xml:space="preserve"> We therefore find David’s argument unavailing.</w:t>
      </w:r>
    </w:p>
    <w:p w:rsidR="00CB5F08" w:rsidRPr="006549E2" w:rsidP="002A4866" w14:paraId="6A3CD5E3" w14:textId="77777777">
      <w:pPr>
        <w:ind w:firstLine="720"/>
        <w:rPr>
          <w:sz w:val="22"/>
          <w:szCs w:val="22"/>
        </w:rPr>
      </w:pPr>
    </w:p>
    <w:p w:rsidR="00C33E50" w:rsidP="00CB5F08" w14:paraId="1E318C92" w14:textId="77777777">
      <w:pPr>
        <w:ind w:firstLine="720"/>
        <w:rPr>
          <w:sz w:val="22"/>
          <w:szCs w:val="22"/>
        </w:rPr>
      </w:pPr>
      <w:r w:rsidRPr="006549E2">
        <w:rPr>
          <w:sz w:val="22"/>
          <w:szCs w:val="22"/>
        </w:rPr>
        <w:t xml:space="preserve">We similarly reject David’s contention that the </w:t>
      </w:r>
      <w:r w:rsidR="00FF2815">
        <w:rPr>
          <w:i/>
          <w:iCs/>
          <w:sz w:val="22"/>
          <w:szCs w:val="22"/>
        </w:rPr>
        <w:t xml:space="preserve">Allotments </w:t>
      </w:r>
      <w:r w:rsidRPr="006549E2">
        <w:rPr>
          <w:i/>
          <w:iCs/>
          <w:sz w:val="22"/>
          <w:szCs w:val="22"/>
        </w:rPr>
        <w:t>Report and Order</w:t>
      </w:r>
      <w:r w:rsidRPr="006549E2">
        <w:rPr>
          <w:sz w:val="22"/>
          <w:szCs w:val="22"/>
        </w:rPr>
        <w:t xml:space="preserve"> serves as precedent for “giving one applicant preference over competing applicants based on first aural service.”</w:t>
      </w:r>
      <w:r>
        <w:rPr>
          <w:rStyle w:val="FootnoteReference"/>
          <w:rFonts w:ascii="Times New Roman" w:hAnsi="Times New Roman"/>
          <w:sz w:val="22"/>
          <w:szCs w:val="22"/>
        </w:rPr>
        <w:footnoteReference w:id="38"/>
      </w:r>
      <w:r w:rsidRPr="006549E2">
        <w:rPr>
          <w:sz w:val="22"/>
          <w:szCs w:val="22"/>
        </w:rPr>
        <w:t xml:space="preserve">  We find David’s reliance on the </w:t>
      </w:r>
      <w:r w:rsidR="00FF2815">
        <w:rPr>
          <w:i/>
          <w:iCs/>
          <w:sz w:val="22"/>
          <w:szCs w:val="22"/>
        </w:rPr>
        <w:t xml:space="preserve">Allotments </w:t>
      </w:r>
      <w:r w:rsidRPr="006549E2">
        <w:rPr>
          <w:i/>
          <w:iCs/>
          <w:sz w:val="22"/>
          <w:szCs w:val="22"/>
        </w:rPr>
        <w:t>Report and Order</w:t>
      </w:r>
      <w:r w:rsidRPr="006549E2">
        <w:rPr>
          <w:sz w:val="22"/>
          <w:szCs w:val="22"/>
        </w:rPr>
        <w:t xml:space="preserve"> to be misplaced because it does not deal with the matter at hand—MX </w:t>
      </w:r>
      <w:r w:rsidR="00FF2815">
        <w:rPr>
          <w:sz w:val="22"/>
          <w:szCs w:val="22"/>
        </w:rPr>
        <w:t xml:space="preserve">NCE </w:t>
      </w:r>
      <w:r w:rsidRPr="006549E2">
        <w:rPr>
          <w:sz w:val="22"/>
          <w:szCs w:val="22"/>
        </w:rPr>
        <w:t xml:space="preserve">applications, submitted within a filing window, for permits to construct new noncommercial educational FM stations, and for which the Commission, pursuant to </w:t>
      </w:r>
      <w:r>
        <w:rPr>
          <w:sz w:val="22"/>
          <w:szCs w:val="22"/>
          <w:shd w:val="clear" w:color="auto" w:fill="FFFFFF"/>
        </w:rPr>
        <w:t>s</w:t>
      </w:r>
      <w:r w:rsidRPr="006549E2">
        <w:rPr>
          <w:sz w:val="22"/>
          <w:szCs w:val="22"/>
          <w:shd w:val="clear" w:color="auto" w:fill="FFFFFF"/>
        </w:rPr>
        <w:t xml:space="preserve">ection </w:t>
      </w:r>
      <w:r w:rsidRPr="006549E2">
        <w:rPr>
          <w:sz w:val="22"/>
          <w:szCs w:val="22"/>
        </w:rPr>
        <w:t xml:space="preserve">73.7002 of the Rules, resolves through a fair distribution analysis.  Conversely, the </w:t>
      </w:r>
      <w:r w:rsidR="00FF2815">
        <w:rPr>
          <w:i/>
          <w:iCs/>
          <w:sz w:val="22"/>
          <w:szCs w:val="22"/>
        </w:rPr>
        <w:t xml:space="preserve">Allotments </w:t>
      </w:r>
      <w:r w:rsidRPr="006549E2">
        <w:rPr>
          <w:i/>
          <w:iCs/>
          <w:sz w:val="22"/>
          <w:szCs w:val="22"/>
        </w:rPr>
        <w:t>Report and Order</w:t>
      </w:r>
      <w:r w:rsidRPr="006549E2">
        <w:rPr>
          <w:sz w:val="22"/>
          <w:szCs w:val="22"/>
        </w:rPr>
        <w:t xml:space="preserve"> involves a proposal to amend the FM Table of Allotments for commercial radio stations, and for which the Commission applied the FM Allotment priories to resolve competing proposals.</w:t>
      </w:r>
      <w:r>
        <w:rPr>
          <w:rStyle w:val="FootnoteReference"/>
          <w:rFonts w:ascii="Times New Roman" w:hAnsi="Times New Roman"/>
          <w:sz w:val="22"/>
          <w:szCs w:val="22"/>
        </w:rPr>
        <w:footnoteReference w:id="39"/>
      </w:r>
      <w:r>
        <w:rPr>
          <w:sz w:val="22"/>
          <w:szCs w:val="22"/>
        </w:rPr>
        <w:t xml:space="preserve">  </w:t>
      </w:r>
    </w:p>
    <w:p w:rsidR="00C33E50" w:rsidP="00CB5F08" w14:paraId="7D3A592C" w14:textId="77777777">
      <w:pPr>
        <w:ind w:firstLine="720"/>
        <w:rPr>
          <w:sz w:val="22"/>
          <w:szCs w:val="22"/>
        </w:rPr>
      </w:pPr>
    </w:p>
    <w:p w:rsidR="00CB5F08" w:rsidRPr="006549E2" w:rsidP="00CB5F08" w14:paraId="3AE643F3" w14:textId="1369B166">
      <w:pPr>
        <w:ind w:firstLine="720"/>
        <w:rPr>
          <w:sz w:val="22"/>
          <w:szCs w:val="22"/>
        </w:rPr>
      </w:pPr>
      <w:r>
        <w:rPr>
          <w:sz w:val="22"/>
          <w:szCs w:val="22"/>
        </w:rPr>
        <w:t xml:space="preserve">Finally, to the extent that David disapproves of a first aural </w:t>
      </w:r>
      <w:r w:rsidR="00FF3D4D">
        <w:rPr>
          <w:sz w:val="22"/>
          <w:szCs w:val="22"/>
        </w:rPr>
        <w:t xml:space="preserve">service </w:t>
      </w:r>
      <w:r>
        <w:rPr>
          <w:sz w:val="22"/>
          <w:szCs w:val="22"/>
        </w:rPr>
        <w:t xml:space="preserve">preference solely in </w:t>
      </w:r>
      <w:r w:rsidR="000F7F2F">
        <w:rPr>
          <w:sz w:val="22"/>
          <w:szCs w:val="22"/>
        </w:rPr>
        <w:t xml:space="preserve">instances involving a Tribal Applicant, the Commission adopted this policy through a notice and comment rulemaking, and David is untimely seeking reconsideration of the </w:t>
      </w:r>
      <w:r w:rsidRPr="009F5C71" w:rsidR="007D6AF2">
        <w:rPr>
          <w:i/>
          <w:iCs/>
          <w:sz w:val="22"/>
          <w:szCs w:val="22"/>
        </w:rPr>
        <w:t xml:space="preserve">Rural </w:t>
      </w:r>
      <w:r w:rsidRPr="002846F7" w:rsidR="000F7F2F">
        <w:rPr>
          <w:i/>
          <w:iCs/>
          <w:sz w:val="22"/>
          <w:szCs w:val="22"/>
        </w:rPr>
        <w:t>Report and Order</w:t>
      </w:r>
      <w:r w:rsidR="000F7F2F">
        <w:rPr>
          <w:sz w:val="22"/>
          <w:szCs w:val="22"/>
        </w:rPr>
        <w:t xml:space="preserve"> establishing the Tribal Priority.</w:t>
      </w:r>
      <w:r w:rsidR="00FF3D4D">
        <w:rPr>
          <w:sz w:val="22"/>
          <w:szCs w:val="22"/>
        </w:rPr>
        <w:t xml:space="preserve">  We thus reject this argument.</w:t>
      </w:r>
    </w:p>
    <w:p w:rsidR="00CB5F08" w:rsidRPr="006549E2" w:rsidP="00CB5F08" w14:paraId="2EC99CFE" w14:textId="77777777">
      <w:pPr>
        <w:rPr>
          <w:rFonts w:eastAsia="Calibri"/>
          <w:sz w:val="22"/>
          <w:szCs w:val="22"/>
        </w:rPr>
      </w:pPr>
    </w:p>
    <w:p w:rsidR="00CB5F08" w:rsidRPr="006549E2" w:rsidP="00CB5F08" w14:paraId="07987C57" w14:textId="77777777">
      <w:pPr>
        <w:rPr>
          <w:sz w:val="22"/>
          <w:szCs w:val="22"/>
        </w:rPr>
      </w:pPr>
      <w:r w:rsidRPr="006549E2">
        <w:rPr>
          <w:rFonts w:eastAsia="Calibri"/>
          <w:sz w:val="22"/>
          <w:szCs w:val="22"/>
        </w:rPr>
        <w:tab/>
      </w:r>
      <w:r w:rsidRPr="006549E2">
        <w:rPr>
          <w:rFonts w:eastAsia="Calibri"/>
          <w:i/>
          <w:sz w:val="22"/>
          <w:szCs w:val="22"/>
        </w:rPr>
        <w:t>Conclusion/Actions.</w:t>
      </w:r>
      <w:r w:rsidRPr="006549E2">
        <w:rPr>
          <w:rFonts w:eastAsia="Calibri"/>
          <w:b/>
          <w:sz w:val="22"/>
          <w:szCs w:val="22"/>
        </w:rPr>
        <w:t xml:space="preserve">  </w:t>
      </w:r>
      <w:r w:rsidRPr="006549E2">
        <w:rPr>
          <w:rFonts w:eastAsia="Calibri"/>
          <w:bCs/>
          <w:sz w:val="22"/>
          <w:szCs w:val="22"/>
        </w:rPr>
        <w:t>For the reasons set forth above</w:t>
      </w:r>
      <w:r w:rsidRPr="006549E2">
        <w:rPr>
          <w:rFonts w:eastAsia="Calibri"/>
          <w:sz w:val="22"/>
          <w:szCs w:val="22"/>
        </w:rPr>
        <w:t xml:space="preserve">, IT IS ORDERED that the Informal Objection, filed by </w:t>
      </w:r>
      <w:r w:rsidRPr="006549E2">
        <w:rPr>
          <w:sz w:val="22"/>
          <w:szCs w:val="22"/>
        </w:rPr>
        <w:t>Albert Adam David</w:t>
      </w:r>
      <w:r w:rsidRPr="006549E2">
        <w:rPr>
          <w:rFonts w:eastAsia="Calibri"/>
          <w:sz w:val="22"/>
          <w:szCs w:val="22"/>
        </w:rPr>
        <w:t xml:space="preserve"> on </w:t>
      </w:r>
      <w:r w:rsidRPr="006549E2">
        <w:rPr>
          <w:sz w:val="22"/>
          <w:szCs w:val="22"/>
        </w:rPr>
        <w:t>April 21, 2022</w:t>
      </w:r>
      <w:r w:rsidRPr="006549E2">
        <w:rPr>
          <w:rFonts w:eastAsia="Calibri"/>
          <w:sz w:val="22"/>
          <w:szCs w:val="22"/>
        </w:rPr>
        <w:t xml:space="preserve">, IS DENIED. </w:t>
      </w:r>
    </w:p>
    <w:p w:rsidR="00CB5F08" w:rsidRPr="006549E2" w:rsidP="00CB5F08" w14:paraId="7FE6D4B1" w14:textId="77777777">
      <w:pPr>
        <w:rPr>
          <w:rFonts w:eastAsia="Calibri"/>
          <w:sz w:val="22"/>
          <w:szCs w:val="22"/>
        </w:rPr>
      </w:pPr>
    </w:p>
    <w:p w:rsidR="00CB5F08" w:rsidRPr="006549E2" w:rsidP="002A4866" w14:paraId="557A8841" w14:textId="6E75BC03">
      <w:pPr>
        <w:rPr>
          <w:rFonts w:eastAsia="Calibri"/>
          <w:bCs/>
          <w:snapToGrid w:val="0"/>
          <w:sz w:val="22"/>
          <w:szCs w:val="22"/>
        </w:rPr>
      </w:pPr>
      <w:r w:rsidRPr="006549E2">
        <w:rPr>
          <w:rFonts w:eastAsia="Calibri"/>
          <w:sz w:val="22"/>
          <w:szCs w:val="22"/>
        </w:rPr>
        <w:tab/>
      </w:r>
      <w:r w:rsidRPr="006549E2">
        <w:rPr>
          <w:rFonts w:eastAsia="Calibri"/>
          <w:bCs/>
          <w:sz w:val="22"/>
          <w:szCs w:val="22"/>
        </w:rPr>
        <w:t xml:space="preserve">IT IS FURTHER ORDERED that the </w:t>
      </w:r>
      <w:r w:rsidRPr="006549E2">
        <w:rPr>
          <w:rFonts w:eastAsia="Calibri"/>
          <w:bCs/>
          <w:snapToGrid w:val="0"/>
          <w:sz w:val="22"/>
          <w:szCs w:val="22"/>
        </w:rPr>
        <w:t xml:space="preserve">Application filed by Arizona Western College (File No. </w:t>
      </w:r>
      <w:r w:rsidR="005F235B">
        <w:rPr>
          <w:rFonts w:eastAsia="Calibri"/>
          <w:bCs/>
          <w:snapToGrid w:val="0"/>
          <w:sz w:val="22"/>
          <w:szCs w:val="22"/>
        </w:rPr>
        <w:t>0000</w:t>
      </w:r>
      <w:r w:rsidRPr="006549E2">
        <w:rPr>
          <w:rFonts w:eastAsia="Calibri"/>
          <w:bCs/>
          <w:snapToGrid w:val="0"/>
          <w:sz w:val="22"/>
          <w:szCs w:val="22"/>
        </w:rPr>
        <w:t xml:space="preserve">166975) </w:t>
      </w:r>
      <w:r w:rsidR="00FF2815">
        <w:rPr>
          <w:rFonts w:eastAsia="Calibri"/>
          <w:bCs/>
          <w:snapToGrid w:val="0"/>
          <w:sz w:val="22"/>
          <w:szCs w:val="22"/>
        </w:rPr>
        <w:t>for</w:t>
      </w:r>
      <w:r w:rsidRPr="006549E2">
        <w:rPr>
          <w:rFonts w:eastAsia="Calibri"/>
          <w:bCs/>
          <w:snapToGrid w:val="0"/>
          <w:sz w:val="22"/>
          <w:szCs w:val="22"/>
        </w:rPr>
        <w:t xml:space="preserve"> a construction permit for a new NCE FM station in Quartzsite, Arizona</w:t>
      </w:r>
      <w:r w:rsidR="005F235B">
        <w:rPr>
          <w:rFonts w:eastAsia="Calibri"/>
          <w:bCs/>
          <w:snapToGrid w:val="0"/>
          <w:sz w:val="22"/>
          <w:szCs w:val="22"/>
        </w:rPr>
        <w:t xml:space="preserve"> IS GRANTED</w:t>
      </w:r>
      <w:r w:rsidRPr="005F235B" w:rsidR="005F235B">
        <w:rPr>
          <w:rFonts w:eastAsia="Calibri"/>
          <w:bCs/>
          <w:snapToGrid w:val="0"/>
          <w:sz w:val="22"/>
          <w:szCs w:val="22"/>
        </w:rPr>
        <w:t xml:space="preserve"> </w:t>
      </w:r>
      <w:r w:rsidRPr="006549E2" w:rsidR="005F235B">
        <w:rPr>
          <w:rFonts w:eastAsia="Calibri"/>
          <w:bCs/>
          <w:snapToGrid w:val="0"/>
          <w:sz w:val="22"/>
          <w:szCs w:val="22"/>
        </w:rPr>
        <w:t xml:space="preserve">CONDITIONED UPON that selectee’s compliance with </w:t>
      </w:r>
      <w:r w:rsidR="005F235B">
        <w:rPr>
          <w:rFonts w:eastAsia="Calibri"/>
          <w:bCs/>
          <w:snapToGrid w:val="0"/>
          <w:sz w:val="22"/>
          <w:szCs w:val="22"/>
        </w:rPr>
        <w:t>s</w:t>
      </w:r>
      <w:r w:rsidRPr="006549E2" w:rsidR="005F235B">
        <w:rPr>
          <w:rFonts w:eastAsia="Calibri"/>
          <w:bCs/>
          <w:snapToGrid w:val="0"/>
          <w:sz w:val="22"/>
          <w:szCs w:val="22"/>
        </w:rPr>
        <w:t xml:space="preserve">ection 73.7002(c) of the Commission’s Rules, </w:t>
      </w:r>
      <w:hyperlink r:id="rId5" w:anchor="co_pp_4b24000003ba5" w:history="1">
        <w:r w:rsidRPr="006549E2" w:rsidR="005F235B">
          <w:rPr>
            <w:rFonts w:eastAsia="Calibri"/>
            <w:bCs/>
            <w:snapToGrid w:val="0"/>
            <w:sz w:val="22"/>
            <w:szCs w:val="22"/>
          </w:rPr>
          <w:t>47 CFR § 73.7002(c)</w:t>
        </w:r>
      </w:hyperlink>
      <w:r w:rsidRPr="006549E2" w:rsidR="005F235B">
        <w:rPr>
          <w:rFonts w:eastAsia="Calibri"/>
          <w:bCs/>
          <w:snapToGrid w:val="0"/>
          <w:sz w:val="22"/>
          <w:szCs w:val="22"/>
        </w:rPr>
        <w:t>, which sets forth a four-year period of on-</w:t>
      </w:r>
      <w:r w:rsidRPr="002A4866" w:rsidR="005F235B">
        <w:rPr>
          <w:sz w:val="22"/>
          <w:szCs w:val="22"/>
        </w:rPr>
        <w:t>air</w:t>
      </w:r>
      <w:r w:rsidRPr="006549E2" w:rsidR="005F235B">
        <w:rPr>
          <w:rFonts w:eastAsia="Calibri"/>
          <w:bCs/>
          <w:snapToGrid w:val="0"/>
          <w:sz w:val="22"/>
          <w:szCs w:val="22"/>
        </w:rPr>
        <w:t xml:space="preserve"> operations substantially as proposed.</w:t>
      </w:r>
      <w:r w:rsidR="005F235B">
        <w:rPr>
          <w:rFonts w:eastAsia="Calibri"/>
          <w:bCs/>
          <w:snapToGrid w:val="0"/>
          <w:sz w:val="22"/>
          <w:szCs w:val="22"/>
        </w:rPr>
        <w:t xml:space="preserve">  IT IS FURTHER ORDERED that</w:t>
      </w:r>
      <w:r w:rsidRPr="006549E2">
        <w:rPr>
          <w:rFonts w:eastAsia="Calibri"/>
          <w:bCs/>
          <w:snapToGrid w:val="0"/>
          <w:sz w:val="22"/>
          <w:szCs w:val="22"/>
        </w:rPr>
        <w:t xml:space="preserve"> the mutually exclusive applications of Reman</w:t>
      </w:r>
      <w:r w:rsidR="005F235B">
        <w:rPr>
          <w:rFonts w:eastAsia="Calibri"/>
          <w:bCs/>
          <w:snapToGrid w:val="0"/>
          <w:sz w:val="22"/>
          <w:szCs w:val="22"/>
        </w:rPr>
        <w:t>en</w:t>
      </w:r>
      <w:r w:rsidRPr="006549E2">
        <w:rPr>
          <w:rFonts w:eastAsia="Calibri"/>
          <w:bCs/>
          <w:snapToGrid w:val="0"/>
          <w:sz w:val="22"/>
          <w:szCs w:val="22"/>
        </w:rPr>
        <w:t xml:space="preserve">te Broadcasting Network (File No. </w:t>
      </w:r>
      <w:r w:rsidR="005F235B">
        <w:rPr>
          <w:rFonts w:eastAsia="Calibri"/>
          <w:bCs/>
          <w:snapToGrid w:val="0"/>
          <w:sz w:val="22"/>
          <w:szCs w:val="22"/>
        </w:rPr>
        <w:t>0000</w:t>
      </w:r>
      <w:r w:rsidRPr="006549E2">
        <w:rPr>
          <w:rFonts w:eastAsia="Calibri"/>
          <w:bCs/>
          <w:snapToGrid w:val="0"/>
          <w:sz w:val="22"/>
          <w:szCs w:val="22"/>
        </w:rPr>
        <w:t xml:space="preserve">167392) and The Association for Community Education, Inc. (File No. </w:t>
      </w:r>
      <w:r w:rsidR="005F235B">
        <w:rPr>
          <w:rFonts w:eastAsia="Calibri"/>
          <w:bCs/>
          <w:snapToGrid w:val="0"/>
          <w:sz w:val="22"/>
          <w:szCs w:val="22"/>
        </w:rPr>
        <w:t>0000</w:t>
      </w:r>
      <w:r w:rsidRPr="006549E2">
        <w:rPr>
          <w:rFonts w:eastAsia="Calibri"/>
          <w:bCs/>
          <w:snapToGrid w:val="0"/>
          <w:sz w:val="22"/>
          <w:szCs w:val="22"/>
        </w:rPr>
        <w:t>167307)</w:t>
      </w:r>
      <w:r w:rsidR="005F235B">
        <w:rPr>
          <w:rFonts w:eastAsia="Calibri"/>
          <w:bCs/>
          <w:snapToGrid w:val="0"/>
          <w:sz w:val="22"/>
          <w:szCs w:val="22"/>
        </w:rPr>
        <w:t xml:space="preserve"> ARE DISMISSED.</w:t>
      </w:r>
      <w:r w:rsidRPr="006549E2" w:rsidR="005F235B">
        <w:rPr>
          <w:rFonts w:eastAsia="Calibri"/>
          <w:bCs/>
          <w:snapToGrid w:val="0"/>
          <w:sz w:val="22"/>
          <w:szCs w:val="22"/>
        </w:rPr>
        <w:t xml:space="preserve"> </w:t>
      </w:r>
    </w:p>
    <w:p w:rsidR="00CB5F08" w:rsidRPr="006549E2" w:rsidP="00CB5F08" w14:paraId="58CA0C7D" w14:textId="77777777">
      <w:pPr>
        <w:rPr>
          <w:rFonts w:eastAsia="Calibri"/>
          <w:sz w:val="22"/>
          <w:szCs w:val="22"/>
        </w:rPr>
      </w:pPr>
    </w:p>
    <w:p w:rsidR="00CB5F08" w:rsidRPr="006549E2" w:rsidP="00CB5F08" w14:paraId="5A4E004F" w14:textId="77777777">
      <w:pPr>
        <w:ind w:firstLine="720"/>
        <w:rPr>
          <w:rFonts w:eastAsia="Calibri"/>
          <w:sz w:val="22"/>
          <w:szCs w:val="22"/>
        </w:rPr>
      </w:pPr>
    </w:p>
    <w:p w:rsidR="00CB5F08" w:rsidRPr="002846F7" w:rsidP="00CB5F08" w14:paraId="7D6EBBED" w14:textId="77777777">
      <w:pPr>
        <w:ind w:firstLine="720"/>
        <w:rPr>
          <w:sz w:val="22"/>
          <w:szCs w:val="22"/>
        </w:rPr>
      </w:pPr>
    </w:p>
    <w:p w:rsidR="00CB5F08" w:rsidRPr="006549E2" w:rsidP="00CB5F08" w14:paraId="1C2C5C26" w14:textId="77777777">
      <w:pPr>
        <w:pStyle w:val="BodyText"/>
        <w:ind w:left="5040"/>
        <w:rPr>
          <w:sz w:val="22"/>
          <w:szCs w:val="22"/>
        </w:rPr>
      </w:pPr>
      <w:r w:rsidRPr="006549E2">
        <w:rPr>
          <w:sz w:val="22"/>
          <w:szCs w:val="22"/>
        </w:rPr>
        <w:t>Sincerely,</w:t>
      </w:r>
    </w:p>
    <w:p w:rsidR="00CB5F08" w:rsidRPr="006549E2" w:rsidP="00CB5F08" w14:paraId="6CD7EAC1" w14:textId="77777777">
      <w:pPr>
        <w:pStyle w:val="BodyText"/>
        <w:rPr>
          <w:sz w:val="22"/>
          <w:szCs w:val="22"/>
        </w:rPr>
      </w:pPr>
    </w:p>
    <w:p w:rsidR="00CB5F08" w:rsidRPr="006549E2" w:rsidP="00CB5F08" w14:paraId="3255DCDC" w14:textId="77777777">
      <w:pPr>
        <w:pStyle w:val="BodyText"/>
        <w:rPr>
          <w:sz w:val="22"/>
          <w:szCs w:val="22"/>
        </w:rPr>
      </w:pPr>
    </w:p>
    <w:p w:rsidR="00CB5F08" w:rsidRPr="006549E2" w:rsidP="00CB5F08" w14:paraId="2306A962" w14:textId="77777777">
      <w:pPr>
        <w:pStyle w:val="BodyText"/>
        <w:rPr>
          <w:sz w:val="22"/>
          <w:szCs w:val="22"/>
        </w:rPr>
      </w:pPr>
    </w:p>
    <w:p w:rsidR="00CB5F08" w:rsidRPr="006549E2" w:rsidP="00CB5F08" w14:paraId="519CD6B0" w14:textId="77777777">
      <w:pPr>
        <w:pStyle w:val="BodyText"/>
        <w:rPr>
          <w:sz w:val="22"/>
          <w:szCs w:val="22"/>
        </w:rPr>
      </w:pPr>
      <w:r w:rsidRPr="006549E2">
        <w:rPr>
          <w:sz w:val="22"/>
          <w:szCs w:val="22"/>
        </w:rPr>
        <w:tab/>
      </w:r>
      <w:r w:rsidRPr="006549E2">
        <w:rPr>
          <w:sz w:val="22"/>
          <w:szCs w:val="22"/>
        </w:rPr>
        <w:tab/>
      </w:r>
      <w:r w:rsidRPr="006549E2">
        <w:rPr>
          <w:sz w:val="22"/>
          <w:szCs w:val="22"/>
        </w:rPr>
        <w:tab/>
      </w:r>
      <w:r w:rsidRPr="006549E2">
        <w:rPr>
          <w:sz w:val="22"/>
          <w:szCs w:val="22"/>
        </w:rPr>
        <w:tab/>
      </w:r>
      <w:r w:rsidRPr="006549E2">
        <w:rPr>
          <w:sz w:val="22"/>
          <w:szCs w:val="22"/>
        </w:rPr>
        <w:tab/>
      </w:r>
      <w:r w:rsidRPr="006549E2">
        <w:rPr>
          <w:sz w:val="22"/>
          <w:szCs w:val="22"/>
        </w:rPr>
        <w:tab/>
      </w:r>
      <w:r w:rsidRPr="006549E2">
        <w:rPr>
          <w:sz w:val="22"/>
          <w:szCs w:val="22"/>
        </w:rPr>
        <w:tab/>
        <w:t>Albert Shuldiner</w:t>
      </w:r>
    </w:p>
    <w:p w:rsidR="00CB5F08" w:rsidRPr="006549E2" w:rsidP="00CB5F08" w14:paraId="08E4FFB9" w14:textId="77777777">
      <w:pPr>
        <w:pStyle w:val="BodyText"/>
        <w:rPr>
          <w:sz w:val="22"/>
          <w:szCs w:val="22"/>
        </w:rPr>
      </w:pPr>
      <w:r w:rsidRPr="006549E2">
        <w:rPr>
          <w:sz w:val="22"/>
          <w:szCs w:val="22"/>
        </w:rPr>
        <w:tab/>
      </w:r>
      <w:r w:rsidRPr="006549E2">
        <w:rPr>
          <w:sz w:val="22"/>
          <w:szCs w:val="22"/>
        </w:rPr>
        <w:tab/>
      </w:r>
      <w:r w:rsidRPr="006549E2">
        <w:rPr>
          <w:sz w:val="22"/>
          <w:szCs w:val="22"/>
        </w:rPr>
        <w:tab/>
      </w:r>
      <w:r w:rsidRPr="006549E2">
        <w:rPr>
          <w:sz w:val="22"/>
          <w:szCs w:val="22"/>
        </w:rPr>
        <w:tab/>
      </w:r>
      <w:r w:rsidRPr="006549E2">
        <w:rPr>
          <w:sz w:val="22"/>
          <w:szCs w:val="22"/>
        </w:rPr>
        <w:tab/>
      </w:r>
      <w:r w:rsidRPr="006549E2">
        <w:rPr>
          <w:sz w:val="22"/>
          <w:szCs w:val="22"/>
        </w:rPr>
        <w:tab/>
      </w:r>
      <w:r w:rsidRPr="006549E2">
        <w:rPr>
          <w:sz w:val="22"/>
          <w:szCs w:val="22"/>
        </w:rPr>
        <w:tab/>
        <w:t>Chief, Audio Division</w:t>
      </w:r>
    </w:p>
    <w:p w:rsidR="00CB5F08" w:rsidRPr="006549E2" w:rsidP="00CB5F08" w14:paraId="54331141" w14:textId="77777777">
      <w:pPr>
        <w:ind w:left="2160" w:firstLine="720"/>
        <w:rPr>
          <w:sz w:val="22"/>
          <w:szCs w:val="22"/>
        </w:rPr>
      </w:pPr>
      <w:r w:rsidRPr="006549E2">
        <w:rPr>
          <w:sz w:val="22"/>
          <w:szCs w:val="22"/>
        </w:rPr>
        <w:tab/>
      </w:r>
      <w:r w:rsidRPr="006549E2">
        <w:rPr>
          <w:sz w:val="22"/>
          <w:szCs w:val="22"/>
        </w:rPr>
        <w:tab/>
      </w:r>
      <w:r w:rsidRPr="006549E2">
        <w:rPr>
          <w:sz w:val="22"/>
          <w:szCs w:val="22"/>
        </w:rPr>
        <w:tab/>
        <w:t>Media Bureau</w:t>
      </w:r>
    </w:p>
    <w:p w:rsidR="00CB5F08" w:rsidRPr="006549E2" w:rsidP="00CB5F08" w14:paraId="4629DB88" w14:textId="77777777">
      <w:pPr>
        <w:ind w:left="2160" w:firstLine="720"/>
        <w:rPr>
          <w:sz w:val="22"/>
          <w:szCs w:val="22"/>
        </w:rPr>
      </w:pPr>
    </w:p>
    <w:p w:rsidR="00CB5F08" w:rsidRPr="006549E2" w:rsidP="00CB5F08" w14:paraId="4ED7BFFB" w14:textId="77777777">
      <w:pPr>
        <w:ind w:left="2160" w:firstLine="720"/>
        <w:rPr>
          <w:sz w:val="22"/>
          <w:szCs w:val="22"/>
        </w:rPr>
      </w:pPr>
    </w:p>
    <w:p w:rsidR="00080023" w:rsidRPr="00A109F9" w:rsidP="00C043F9" w14:paraId="5AF49B60" w14:textId="77777777"/>
    <w:sectPr>
      <w:headerReference w:type="first" r:id="rId6"/>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579F2" w14:paraId="000209E1" w14:textId="77777777">
      <w:r>
        <w:separator/>
      </w:r>
    </w:p>
  </w:footnote>
  <w:footnote w:type="continuationSeparator" w:id="1">
    <w:p w:rsidR="006579F2" w14:paraId="187F3ABE" w14:textId="77777777">
      <w:r>
        <w:continuationSeparator/>
      </w:r>
    </w:p>
  </w:footnote>
  <w:footnote w:type="continuationNotice" w:id="2">
    <w:p w:rsidR="006579F2" w14:paraId="06DD5475" w14:textId="77777777"/>
  </w:footnote>
  <w:footnote w:id="3">
    <w:p w:rsidR="00CB5F08" w:rsidRPr="006549E2" w:rsidP="00CB5F08" w14:paraId="45ECD647" w14:textId="4A871E5C">
      <w:pPr>
        <w:pStyle w:val="FootnoteText"/>
      </w:pPr>
      <w:r w:rsidRPr="00016891">
        <w:rPr>
          <w:rStyle w:val="FootnoteReference"/>
          <w:rFonts w:ascii="Times New Roman" w:hAnsi="Times New Roman"/>
        </w:rPr>
        <w:footnoteRef/>
      </w:r>
      <w:r w:rsidRPr="00016891">
        <w:t xml:space="preserve"> </w:t>
      </w:r>
      <w:r w:rsidRPr="00016891">
        <w:rPr>
          <w:i/>
          <w:iCs/>
        </w:rPr>
        <w:t>Th</w:t>
      </w:r>
      <w:r w:rsidRPr="006549E2">
        <w:rPr>
          <w:i/>
          <w:iCs/>
        </w:rPr>
        <w:t>reshold Fair Distribution Analysis of 19 Groups of Mutually Exclusive Applications for Permits to Construct New Noncommercial Educational FM Stations</w:t>
      </w:r>
      <w:r w:rsidRPr="006549E2">
        <w:t xml:space="preserve">, Memorandum Opinion and Order, </w:t>
      </w:r>
      <w:r w:rsidRPr="006549E2">
        <w:rPr>
          <w:shd w:val="clear" w:color="auto" w:fill="FFFFFF"/>
        </w:rPr>
        <w:t xml:space="preserve">DA 22-314, </w:t>
      </w:r>
      <w:r w:rsidRPr="006549E2">
        <w:t>2022 WL 905218 (MB Mar. 24, 2022) (</w:t>
      </w:r>
      <w:r w:rsidR="00B475D5">
        <w:rPr>
          <w:i/>
          <w:iCs/>
        </w:rPr>
        <w:t>Fair Distribution MO&amp;O</w:t>
      </w:r>
      <w:r w:rsidRPr="006549E2">
        <w:t xml:space="preserve">). </w:t>
      </w:r>
      <w:r>
        <w:rPr>
          <w:i/>
          <w:iCs/>
        </w:rPr>
        <w:t>S</w:t>
      </w:r>
      <w:r w:rsidRPr="006549E2">
        <w:rPr>
          <w:i/>
          <w:iCs/>
        </w:rPr>
        <w:t>ee also</w:t>
      </w:r>
      <w:r w:rsidRPr="006549E2">
        <w:t xml:space="preserve"> </w:t>
      </w:r>
      <w:r w:rsidR="002D3ED0">
        <w:t xml:space="preserve">Application </w:t>
      </w:r>
      <w:r w:rsidRPr="006549E2">
        <w:t>File Nos. 0000167392 (RBN Application), 0000166975 (AWC Application), and 0000167307 (ACE Application).</w:t>
      </w:r>
    </w:p>
  </w:footnote>
  <w:footnote w:id="4">
    <w:p w:rsidR="00CB5F08" w:rsidRPr="006549E2" w:rsidP="00CB5F08" w14:paraId="29E53052" w14:textId="71537DE1">
      <w:pPr>
        <w:pStyle w:val="FootnoteText"/>
      </w:pPr>
      <w:r w:rsidRPr="006549E2">
        <w:rPr>
          <w:rStyle w:val="FootnoteReference"/>
          <w:rFonts w:ascii="Times New Roman" w:hAnsi="Times New Roman"/>
        </w:rPr>
        <w:footnoteRef/>
      </w:r>
      <w:r w:rsidRPr="006549E2">
        <w:t xml:space="preserve"> </w:t>
      </w:r>
      <w:r w:rsidR="00000C3A">
        <w:rPr>
          <w:i/>
          <w:iCs/>
        </w:rPr>
        <w:t>Fair Distribution MO&amp;O</w:t>
      </w:r>
      <w:r>
        <w:rPr>
          <w:i/>
          <w:iCs/>
        </w:rPr>
        <w:t xml:space="preserve"> </w:t>
      </w:r>
      <w:r w:rsidRPr="00133BFB">
        <w:t>at *2, para. 8.</w:t>
      </w:r>
      <w:r>
        <w:rPr>
          <w:i/>
          <w:iCs/>
        </w:rPr>
        <w:t xml:space="preserve"> </w:t>
      </w:r>
    </w:p>
  </w:footnote>
  <w:footnote w:id="5">
    <w:p w:rsidR="00CB5F08" w:rsidRPr="006549E2" w:rsidP="00CB5F08" w14:paraId="587B7B0D" w14:textId="3F50594C">
      <w:pPr>
        <w:pStyle w:val="FootnoteText"/>
      </w:pPr>
      <w:r w:rsidRPr="006549E2">
        <w:rPr>
          <w:rStyle w:val="FootnoteReference"/>
          <w:rFonts w:ascii="Times New Roman" w:hAnsi="Times New Roman"/>
        </w:rPr>
        <w:footnoteRef/>
      </w:r>
      <w:r w:rsidRPr="006549E2">
        <w:t xml:space="preserve"> Pleading File No. </w:t>
      </w:r>
      <w:r w:rsidRPr="00EA3F19" w:rsidR="002018EA">
        <w:t>0000189575</w:t>
      </w:r>
      <w:r w:rsidRPr="006549E2">
        <w:t xml:space="preserve">.  AWC filed an Opposition to Informal Objection (Opposition) on April 25, 2022.  Pleading File No. </w:t>
      </w:r>
      <w:r w:rsidRPr="00EA3F19" w:rsidR="002018EA">
        <w:t>0000189680</w:t>
      </w:r>
      <w:r w:rsidRPr="006549E2">
        <w:t xml:space="preserve">.  David filed a Reply to AWC’s Opposition on May 9, 2022 (Reply).  Pleading File </w:t>
      </w:r>
      <w:r w:rsidRPr="00EA3F19">
        <w:t xml:space="preserve">No. </w:t>
      </w:r>
      <w:r w:rsidRPr="00EA3F19" w:rsidR="002018EA">
        <w:t>0000190270</w:t>
      </w:r>
      <w:r w:rsidRPr="006549E2">
        <w:t xml:space="preserve">.  </w:t>
      </w:r>
    </w:p>
  </w:footnote>
  <w:footnote w:id="6">
    <w:p w:rsidR="00CB5F08" w:rsidRPr="006549E2" w:rsidP="00CB5F08" w14:paraId="142C8395" w14:textId="77777777">
      <w:pPr>
        <w:pStyle w:val="FootnoteText"/>
      </w:pPr>
      <w:r w:rsidRPr="006549E2">
        <w:rPr>
          <w:rStyle w:val="FootnoteReference"/>
          <w:rFonts w:ascii="Times New Roman" w:hAnsi="Times New Roman"/>
        </w:rPr>
        <w:footnoteRef/>
      </w:r>
      <w:r w:rsidRPr="006549E2">
        <w:t xml:space="preserve"> </w:t>
      </w:r>
      <w:r w:rsidRPr="006549E2">
        <w:rPr>
          <w:i/>
          <w:iCs/>
        </w:rPr>
        <w:t>Media Bureau Announces NCE FM New Station Application Filing Window; Window Open from November 2, 2021, to November 9, 2021</w:t>
      </w:r>
      <w:r w:rsidRPr="006549E2">
        <w:t xml:space="preserve">, MB Docket No. 20-343, Public Notice, </w:t>
      </w:r>
      <w:r w:rsidRPr="006549E2">
        <w:rPr>
          <w:shd w:val="clear" w:color="auto" w:fill="FFFFFF"/>
        </w:rPr>
        <w:t>DA 21-1362, 2021 WL 5056358</w:t>
      </w:r>
      <w:r w:rsidRPr="006549E2">
        <w:t xml:space="preserve"> (MB 2021).</w:t>
      </w:r>
    </w:p>
  </w:footnote>
  <w:footnote w:id="7">
    <w:p w:rsidR="00CB5F08" w:rsidRPr="006549E2" w:rsidP="00CB5F08" w14:paraId="0AC0A726" w14:textId="2B11181A">
      <w:pPr>
        <w:pStyle w:val="FootnoteText"/>
      </w:pPr>
      <w:r w:rsidRPr="006549E2">
        <w:rPr>
          <w:rStyle w:val="FootnoteReference"/>
          <w:rFonts w:ascii="Times New Roman" w:hAnsi="Times New Roman"/>
        </w:rPr>
        <w:footnoteRef/>
      </w:r>
      <w:r w:rsidRPr="006549E2">
        <w:t xml:space="preserve"> </w:t>
      </w:r>
      <w:r w:rsidRPr="006549E2">
        <w:rPr>
          <w:i/>
          <w:iCs/>
        </w:rPr>
        <w:t xml:space="preserve">See </w:t>
      </w:r>
      <w:r w:rsidR="000D7A76">
        <w:rPr>
          <w:i/>
          <w:iCs/>
        </w:rPr>
        <w:t>Fair Distribution MO&amp;O</w:t>
      </w:r>
      <w:r w:rsidRPr="006549E2">
        <w:t xml:space="preserve"> at *2, para. 8.</w:t>
      </w:r>
    </w:p>
  </w:footnote>
  <w:footnote w:id="8">
    <w:p w:rsidR="00CB5F08" w:rsidRPr="006549E2" w:rsidP="00CB5F08" w14:paraId="1BD9233D" w14:textId="77777777">
      <w:pPr>
        <w:pStyle w:val="FootnoteText"/>
      </w:pPr>
      <w:r w:rsidRPr="006549E2">
        <w:rPr>
          <w:rStyle w:val="FootnoteReference"/>
          <w:rFonts w:ascii="Times New Roman" w:hAnsi="Times New Roman"/>
        </w:rPr>
        <w:footnoteRef/>
      </w:r>
      <w:r w:rsidRPr="006549E2">
        <w:t xml:space="preserve"> </w:t>
      </w:r>
      <w:r w:rsidRPr="006549E2">
        <w:rPr>
          <w:i/>
          <w:iCs/>
        </w:rPr>
        <w:t>Id</w:t>
      </w:r>
      <w:r w:rsidRPr="006549E2">
        <w:t xml:space="preserve">. </w:t>
      </w:r>
    </w:p>
  </w:footnote>
  <w:footnote w:id="9">
    <w:p w:rsidR="00CB5F08" w:rsidRPr="006549E2" w:rsidP="00CB5F08" w14:paraId="7429AB1B" w14:textId="77777777">
      <w:pPr>
        <w:pStyle w:val="FootnoteText"/>
      </w:pPr>
      <w:r w:rsidRPr="006549E2">
        <w:rPr>
          <w:rStyle w:val="FootnoteReference"/>
          <w:rFonts w:ascii="Times New Roman" w:hAnsi="Times New Roman"/>
        </w:rPr>
        <w:footnoteRef/>
      </w:r>
      <w:r w:rsidRPr="006549E2">
        <w:t xml:space="preserve"> </w:t>
      </w:r>
      <w:r w:rsidRPr="006549E2">
        <w:rPr>
          <w:i/>
          <w:iCs/>
        </w:rPr>
        <w:t>Id</w:t>
      </w:r>
      <w:r w:rsidRPr="006549E2">
        <w:t>. at *7, para. 31.</w:t>
      </w:r>
    </w:p>
  </w:footnote>
  <w:footnote w:id="10">
    <w:p w:rsidR="00CB5F08" w:rsidRPr="006549E2" w:rsidP="00CB5F08" w14:paraId="7D9623BD" w14:textId="77777777">
      <w:pPr>
        <w:pStyle w:val="FootnoteText"/>
      </w:pPr>
      <w:r w:rsidRPr="006549E2">
        <w:rPr>
          <w:rStyle w:val="FootnoteReference"/>
          <w:rFonts w:ascii="Times New Roman" w:hAnsi="Times New Roman"/>
        </w:rPr>
        <w:footnoteRef/>
      </w:r>
      <w:r w:rsidRPr="006549E2">
        <w:t xml:space="preserve"> Objection at 1-2. </w:t>
      </w:r>
    </w:p>
  </w:footnote>
  <w:footnote w:id="11">
    <w:p w:rsidR="00CB5F08" w:rsidRPr="006549E2" w:rsidP="00CB5F08" w14:paraId="03E61076" w14:textId="77777777">
      <w:pPr>
        <w:pStyle w:val="FootnoteText"/>
      </w:pPr>
      <w:r w:rsidRPr="006549E2">
        <w:rPr>
          <w:rStyle w:val="FootnoteReference"/>
          <w:rFonts w:ascii="Times New Roman" w:hAnsi="Times New Roman"/>
        </w:rPr>
        <w:footnoteRef/>
      </w:r>
      <w:r w:rsidRPr="006549E2">
        <w:t xml:space="preserve"> </w:t>
      </w:r>
      <w:r w:rsidRPr="006549E2">
        <w:rPr>
          <w:i/>
          <w:iCs/>
        </w:rPr>
        <w:t>Id</w:t>
      </w:r>
      <w:r w:rsidRPr="006549E2">
        <w:t xml:space="preserve">. </w:t>
      </w:r>
    </w:p>
  </w:footnote>
  <w:footnote w:id="12">
    <w:p w:rsidR="00CB5F08" w:rsidRPr="006549E2" w:rsidP="00CB5F08" w14:paraId="2C1229A7" w14:textId="77777777">
      <w:pPr>
        <w:pStyle w:val="FootnoteText"/>
      </w:pPr>
      <w:r w:rsidRPr="006549E2">
        <w:rPr>
          <w:rStyle w:val="FootnoteReference"/>
          <w:rFonts w:ascii="Times New Roman" w:hAnsi="Times New Roman"/>
        </w:rPr>
        <w:footnoteRef/>
      </w:r>
      <w:r w:rsidRPr="006549E2">
        <w:t xml:space="preserve"> </w:t>
      </w:r>
      <w:r w:rsidRPr="006549E2">
        <w:rPr>
          <w:i/>
          <w:iCs/>
        </w:rPr>
        <w:t>Id</w:t>
      </w:r>
      <w:r w:rsidRPr="006549E2">
        <w:t xml:space="preserve">. at 2.  </w:t>
      </w:r>
    </w:p>
  </w:footnote>
  <w:footnote w:id="13">
    <w:p w:rsidR="00CB5F08" w:rsidRPr="006549E2" w:rsidP="00CB5F08" w14:paraId="4FD4BAA4" w14:textId="2408AC80">
      <w:pPr>
        <w:pStyle w:val="FootnoteText"/>
      </w:pPr>
      <w:r w:rsidRPr="006549E2">
        <w:rPr>
          <w:rStyle w:val="FootnoteReference"/>
          <w:rFonts w:ascii="Times New Roman" w:hAnsi="Times New Roman"/>
        </w:rPr>
        <w:footnoteRef/>
      </w:r>
      <w:r w:rsidRPr="006549E2">
        <w:t xml:space="preserve"> </w:t>
      </w:r>
      <w:r w:rsidRPr="006549E2">
        <w:rPr>
          <w:i/>
          <w:iCs/>
        </w:rPr>
        <w:t>Id</w:t>
      </w:r>
      <w:r w:rsidRPr="006549E2">
        <w:t xml:space="preserve">. (citing </w:t>
      </w:r>
      <w:r w:rsidRPr="006549E2">
        <w:rPr>
          <w:i/>
          <w:iCs/>
        </w:rPr>
        <w:t>Media Bureau Announces NCE FM New Station Filing Procedures and Requirements for November 2-9, 2021, Window Limited Application Filing Freeze to Commence on October 5, 2021</w:t>
      </w:r>
      <w:r w:rsidRPr="006549E2">
        <w:t xml:space="preserve">, Public Notice, </w:t>
      </w:r>
      <w:r w:rsidRPr="006549E2">
        <w:rPr>
          <w:shd w:val="clear" w:color="auto" w:fill="FFFFFF"/>
        </w:rPr>
        <w:t>DA 21-885, 2021 WL 3158377 (MB July 23, 2021)) (</w:t>
      </w:r>
      <w:r w:rsidRPr="00880B6F" w:rsidR="005B46CD">
        <w:rPr>
          <w:i/>
          <w:iCs/>
          <w:shd w:val="clear" w:color="auto" w:fill="FFFFFF"/>
        </w:rPr>
        <w:t>Procedures</w:t>
      </w:r>
      <w:r w:rsidR="005B46CD">
        <w:rPr>
          <w:shd w:val="clear" w:color="auto" w:fill="FFFFFF"/>
        </w:rPr>
        <w:t xml:space="preserve"> </w:t>
      </w:r>
      <w:r w:rsidRPr="006549E2">
        <w:rPr>
          <w:i/>
          <w:iCs/>
          <w:shd w:val="clear" w:color="auto" w:fill="FFFFFF"/>
        </w:rPr>
        <w:t>Public Notice</w:t>
      </w:r>
      <w:r w:rsidRPr="006549E2">
        <w:rPr>
          <w:shd w:val="clear" w:color="auto" w:fill="FFFFFF"/>
        </w:rPr>
        <w:t>).</w:t>
      </w:r>
    </w:p>
  </w:footnote>
  <w:footnote w:id="14">
    <w:p w:rsidR="00CB5F08" w:rsidRPr="006549E2" w:rsidP="00CB5F08" w14:paraId="2F0910A7" w14:textId="2A326C7A">
      <w:pPr>
        <w:pStyle w:val="FootnoteText"/>
      </w:pPr>
      <w:r w:rsidRPr="006549E2">
        <w:rPr>
          <w:rStyle w:val="FootnoteReference"/>
          <w:rFonts w:ascii="Times New Roman" w:hAnsi="Times New Roman"/>
        </w:rPr>
        <w:footnoteRef/>
      </w:r>
      <w:r w:rsidRPr="006549E2">
        <w:t xml:space="preserve"> </w:t>
      </w:r>
      <w:r w:rsidRPr="006549E2">
        <w:rPr>
          <w:i/>
          <w:iCs/>
        </w:rPr>
        <w:t>Id</w:t>
      </w:r>
      <w:r w:rsidRPr="006549E2">
        <w:t xml:space="preserve">. at 2 (citing </w:t>
      </w:r>
      <w:r w:rsidRPr="006549E2">
        <w:rPr>
          <w:i/>
          <w:iCs/>
        </w:rPr>
        <w:t>Amendment of Section 73.202(B), Table of Allotments, FM Broadcast Stations (Cheyenne, Wyoming and Gering, Nebraska</w:t>
      </w:r>
      <w:r w:rsidRPr="006549E2">
        <w:t xml:space="preserve">, MM Docket No. 97-106, Report and Order, 15 FCC </w:t>
      </w:r>
      <w:r w:rsidRPr="006549E2">
        <w:t>Rcd</w:t>
      </w:r>
      <w:r w:rsidRPr="006549E2">
        <w:t xml:space="preserve"> 7528 (MMB 2000) (</w:t>
      </w:r>
      <w:r w:rsidR="00FF2815">
        <w:rPr>
          <w:i/>
          <w:iCs/>
        </w:rPr>
        <w:t xml:space="preserve">Allotments </w:t>
      </w:r>
      <w:r w:rsidRPr="006549E2">
        <w:rPr>
          <w:i/>
          <w:iCs/>
        </w:rPr>
        <w:t>Report and Order</w:t>
      </w:r>
      <w:r w:rsidRPr="006549E2">
        <w:t>).</w:t>
      </w:r>
    </w:p>
  </w:footnote>
  <w:footnote w:id="15">
    <w:p w:rsidR="00CB5F08" w:rsidRPr="006549E2" w:rsidP="00CB5F08" w14:paraId="09D09FCD" w14:textId="77777777">
      <w:pPr>
        <w:pStyle w:val="FootnoteText"/>
      </w:pPr>
      <w:r w:rsidRPr="006549E2">
        <w:rPr>
          <w:rStyle w:val="FootnoteReference"/>
          <w:rFonts w:ascii="Times New Roman" w:hAnsi="Times New Roman"/>
        </w:rPr>
        <w:footnoteRef/>
      </w:r>
      <w:r w:rsidRPr="006549E2">
        <w:t xml:space="preserve"> </w:t>
      </w:r>
      <w:r w:rsidRPr="006549E2">
        <w:rPr>
          <w:i/>
          <w:iCs/>
        </w:rPr>
        <w:t>Id</w:t>
      </w:r>
      <w:r w:rsidRPr="006549E2">
        <w:t>.</w:t>
      </w:r>
    </w:p>
  </w:footnote>
  <w:footnote w:id="16">
    <w:p w:rsidR="00CB5F08" w:rsidRPr="006549E2" w:rsidP="00CB5F08" w14:paraId="238F39BD" w14:textId="77777777">
      <w:pPr>
        <w:pStyle w:val="FootnoteText"/>
      </w:pPr>
      <w:r w:rsidRPr="006549E2">
        <w:rPr>
          <w:rStyle w:val="FootnoteReference"/>
          <w:rFonts w:ascii="Times New Roman" w:hAnsi="Times New Roman"/>
        </w:rPr>
        <w:footnoteRef/>
      </w:r>
      <w:r w:rsidRPr="006549E2">
        <w:t xml:space="preserve"> Opposition at 2 (citing 47 CFR § 73.7002(b)). </w:t>
      </w:r>
    </w:p>
  </w:footnote>
  <w:footnote w:id="17">
    <w:p w:rsidR="00CB5F08" w:rsidRPr="006549E2" w:rsidP="00CB5F08" w14:paraId="48A6DF53" w14:textId="722F6CD8">
      <w:pPr>
        <w:pStyle w:val="FootnoteText"/>
      </w:pPr>
      <w:r w:rsidRPr="006549E2">
        <w:rPr>
          <w:rStyle w:val="FootnoteReference"/>
          <w:rFonts w:ascii="Times New Roman" w:hAnsi="Times New Roman"/>
        </w:rPr>
        <w:footnoteRef/>
      </w:r>
      <w:r w:rsidRPr="006549E2">
        <w:t xml:space="preserve"> </w:t>
      </w:r>
      <w:r w:rsidRPr="006549E2">
        <w:rPr>
          <w:i/>
          <w:iCs/>
        </w:rPr>
        <w:t>Id</w:t>
      </w:r>
      <w:r w:rsidRPr="006549E2">
        <w:t xml:space="preserve">. (citing </w:t>
      </w:r>
      <w:r w:rsidR="009354D0">
        <w:rPr>
          <w:i/>
          <w:iCs/>
        </w:rPr>
        <w:t xml:space="preserve">Procedures </w:t>
      </w:r>
      <w:r w:rsidRPr="006549E2">
        <w:rPr>
          <w:i/>
          <w:iCs/>
        </w:rPr>
        <w:t>Public Notice</w:t>
      </w:r>
      <w:r w:rsidRPr="006549E2">
        <w:t xml:space="preserve">). </w:t>
      </w:r>
    </w:p>
  </w:footnote>
  <w:footnote w:id="18">
    <w:p w:rsidR="00CB5F08" w:rsidRPr="006549E2" w:rsidP="00CB5F08" w14:paraId="44D260EC" w14:textId="58EE78CB">
      <w:pPr>
        <w:pStyle w:val="FootnoteText"/>
      </w:pPr>
      <w:r w:rsidRPr="006549E2">
        <w:rPr>
          <w:rStyle w:val="FootnoteReference"/>
          <w:rFonts w:ascii="Times New Roman" w:hAnsi="Times New Roman"/>
        </w:rPr>
        <w:footnoteRef/>
      </w:r>
      <w:r w:rsidRPr="006549E2">
        <w:t xml:space="preserve"> </w:t>
      </w:r>
      <w:r w:rsidRPr="006549E2">
        <w:rPr>
          <w:i/>
          <w:iCs/>
        </w:rPr>
        <w:t>Id</w:t>
      </w:r>
      <w:r w:rsidRPr="006549E2">
        <w:t xml:space="preserve">. at 3. (citing </w:t>
      </w:r>
      <w:r w:rsidRPr="006549E2">
        <w:rPr>
          <w:i/>
          <w:iCs/>
        </w:rPr>
        <w:t>Policies to Promote Rural Radio Service and to Streamline Auction, Allotment and Assignment Policies</w:t>
      </w:r>
      <w:r w:rsidRPr="006549E2">
        <w:t xml:space="preserve">, First Report and Order, 25 FCC </w:t>
      </w:r>
      <w:r w:rsidRPr="006549E2">
        <w:t>Rcd</w:t>
      </w:r>
      <w:r w:rsidRPr="006549E2">
        <w:t xml:space="preserve"> 1583, 1594, para. 22 (2010) (</w:t>
      </w:r>
      <w:r w:rsidRPr="006549E2">
        <w:rPr>
          <w:i/>
          <w:iCs/>
        </w:rPr>
        <w:t xml:space="preserve">Rural </w:t>
      </w:r>
      <w:r w:rsidR="00FF3D4D">
        <w:rPr>
          <w:i/>
          <w:iCs/>
        </w:rPr>
        <w:t xml:space="preserve">Radio </w:t>
      </w:r>
      <w:r w:rsidRPr="006549E2">
        <w:rPr>
          <w:i/>
          <w:iCs/>
        </w:rPr>
        <w:t>First Report and Order</w:t>
      </w:r>
      <w:r w:rsidRPr="006549E2">
        <w:t>)).</w:t>
      </w:r>
    </w:p>
  </w:footnote>
  <w:footnote w:id="19">
    <w:p w:rsidR="00CB5F08" w:rsidRPr="006549E2" w:rsidP="00CB5F08" w14:paraId="55DD1B8B" w14:textId="289B49BA">
      <w:pPr>
        <w:pStyle w:val="FootnoteText"/>
      </w:pPr>
      <w:r w:rsidRPr="006549E2">
        <w:rPr>
          <w:rStyle w:val="FootnoteReference"/>
          <w:rFonts w:ascii="Times New Roman" w:hAnsi="Times New Roman"/>
        </w:rPr>
        <w:footnoteRef/>
      </w:r>
      <w:r w:rsidRPr="006549E2">
        <w:t xml:space="preserve"> </w:t>
      </w:r>
      <w:r w:rsidR="00C33E50">
        <w:t>Opposition at 3</w:t>
      </w:r>
      <w:r w:rsidRPr="006549E2">
        <w:t xml:space="preserve"> (citing</w:t>
      </w:r>
      <w:r w:rsidRPr="006549E2">
        <w:rPr>
          <w:i/>
          <w:iCs/>
        </w:rPr>
        <w:t xml:space="preserve"> </w:t>
      </w:r>
      <w:r w:rsidRPr="006549E2">
        <w:t>Form 2100, Schedule 340 Instructions at 12-13) (</w:t>
      </w:r>
      <w:r w:rsidRPr="006549E2">
        <w:rPr>
          <w:i/>
          <w:iCs/>
        </w:rPr>
        <w:t>Schedule 340 Instructions</w:t>
      </w:r>
      <w:r w:rsidRPr="006549E2">
        <w:t xml:space="preserve">). </w:t>
      </w:r>
    </w:p>
  </w:footnote>
  <w:footnote w:id="20">
    <w:p w:rsidR="00CB5F08" w:rsidRPr="006549E2" w:rsidP="00CB5F08" w14:paraId="1E768D39" w14:textId="1AD62F0E">
      <w:pPr>
        <w:pStyle w:val="FootnoteText"/>
      </w:pPr>
      <w:r w:rsidRPr="006549E2">
        <w:rPr>
          <w:rStyle w:val="FootnoteReference"/>
          <w:rFonts w:ascii="Times New Roman" w:hAnsi="Times New Roman"/>
        </w:rPr>
        <w:footnoteRef/>
      </w:r>
      <w:r w:rsidRPr="006549E2">
        <w:t xml:space="preserve"> </w:t>
      </w:r>
      <w:r w:rsidRPr="006549E2">
        <w:rPr>
          <w:i/>
          <w:iCs/>
        </w:rPr>
        <w:t>Id</w:t>
      </w:r>
      <w:r w:rsidRPr="006549E2">
        <w:t>. at 2-</w:t>
      </w:r>
      <w:r w:rsidR="00D76D33">
        <w:t>4</w:t>
      </w:r>
      <w:r w:rsidRPr="006549E2">
        <w:t xml:space="preserve">. </w:t>
      </w:r>
    </w:p>
  </w:footnote>
  <w:footnote w:id="21">
    <w:p w:rsidR="00CB5F08" w:rsidRPr="006549E2" w:rsidP="00CB5F08" w14:paraId="4514827F" w14:textId="77777777">
      <w:pPr>
        <w:pStyle w:val="FootnoteText"/>
      </w:pPr>
      <w:r w:rsidRPr="006549E2">
        <w:rPr>
          <w:rStyle w:val="FootnoteReference"/>
          <w:rFonts w:ascii="Times New Roman" w:hAnsi="Times New Roman"/>
        </w:rPr>
        <w:footnoteRef/>
      </w:r>
      <w:r w:rsidRPr="006549E2">
        <w:t xml:space="preserve"> </w:t>
      </w:r>
      <w:r w:rsidRPr="006549E2">
        <w:rPr>
          <w:i/>
          <w:iCs/>
        </w:rPr>
        <w:t>Id</w:t>
      </w:r>
      <w:r w:rsidRPr="006549E2">
        <w:t xml:space="preserve">. at 4. </w:t>
      </w:r>
    </w:p>
  </w:footnote>
  <w:footnote w:id="22">
    <w:p w:rsidR="00CB5F08" w:rsidRPr="006549E2" w:rsidP="00CB5F08" w14:paraId="3EDF2438" w14:textId="77777777">
      <w:pPr>
        <w:pStyle w:val="FootnoteText"/>
      </w:pPr>
      <w:r w:rsidRPr="006549E2">
        <w:rPr>
          <w:rStyle w:val="FootnoteReference"/>
          <w:rFonts w:ascii="Times New Roman" w:hAnsi="Times New Roman"/>
        </w:rPr>
        <w:footnoteRef/>
      </w:r>
      <w:r w:rsidRPr="006549E2">
        <w:t xml:space="preserve"> Reply at 1-2. </w:t>
      </w:r>
    </w:p>
  </w:footnote>
  <w:footnote w:id="23">
    <w:p w:rsidR="00C33E50" w:rsidRPr="00C33E50" w14:paraId="42C60104" w14:textId="129A838E">
      <w:pPr>
        <w:pStyle w:val="FootnoteText"/>
      </w:pPr>
      <w:r>
        <w:rPr>
          <w:rStyle w:val="FootnoteReference"/>
        </w:rPr>
        <w:footnoteRef/>
      </w:r>
      <w:r>
        <w:t xml:space="preserve"> </w:t>
      </w:r>
      <w:r>
        <w:rPr>
          <w:i/>
          <w:iCs/>
        </w:rPr>
        <w:t>Id</w:t>
      </w:r>
      <w:r>
        <w:t>. at 2.</w:t>
      </w:r>
    </w:p>
  </w:footnote>
  <w:footnote w:id="24">
    <w:p w:rsidR="00CB5F08" w:rsidRPr="006549E2" w:rsidP="00CB5F08" w14:paraId="117D4945" w14:textId="77777777">
      <w:pPr>
        <w:pStyle w:val="FootnoteText"/>
      </w:pPr>
      <w:r w:rsidRPr="006549E2">
        <w:rPr>
          <w:rStyle w:val="FootnoteReference"/>
          <w:rFonts w:ascii="Times New Roman" w:hAnsi="Times New Roman"/>
        </w:rPr>
        <w:footnoteRef/>
      </w:r>
      <w:r w:rsidRPr="006549E2">
        <w:t xml:space="preserve"> 47 U.S.C. § 309(d).  </w:t>
      </w:r>
    </w:p>
  </w:footnote>
  <w:footnote w:id="25">
    <w:p w:rsidR="00CB5F08" w:rsidRPr="006549E2" w:rsidP="00880B6F" w14:paraId="0E709624" w14:textId="77777777">
      <w:pPr>
        <w:autoSpaceDE w:val="0"/>
        <w:autoSpaceDN w:val="0"/>
        <w:adjustRightInd w:val="0"/>
        <w:spacing w:after="120"/>
      </w:pPr>
      <w:r w:rsidRPr="006549E2">
        <w:rPr>
          <w:rStyle w:val="FootnoteReference"/>
          <w:rFonts w:ascii="Times New Roman" w:hAnsi="Times New Roman"/>
        </w:rPr>
        <w:footnoteRef/>
      </w:r>
      <w:r w:rsidRPr="006549E2">
        <w:t xml:space="preserve"> </w:t>
      </w:r>
      <w:r w:rsidRPr="006549E2">
        <w:rPr>
          <w:i/>
          <w:iCs/>
        </w:rPr>
        <w:t xml:space="preserve">See, e.g., </w:t>
      </w:r>
      <w:hyperlink r:id="rId1" w:anchor="co_pp_sp_4493_197" w:history="1">
        <w:r w:rsidRPr="006549E2">
          <w:rPr>
            <w:i/>
            <w:iCs/>
          </w:rPr>
          <w:t>WWOR-TV, Inc.</w:t>
        </w:r>
        <w:r w:rsidRPr="006549E2">
          <w:t xml:space="preserve">, Memorandum Opinion and Order, 6 FCC </w:t>
        </w:r>
        <w:r w:rsidRPr="006549E2">
          <w:t>Rcd</w:t>
        </w:r>
        <w:r w:rsidRPr="006549E2">
          <w:t xml:space="preserve"> 193, 197 n.10 (1990)</w:t>
        </w:r>
      </w:hyperlink>
      <w:r w:rsidRPr="006549E2">
        <w:t xml:space="preserve">, </w:t>
      </w:r>
      <w:r w:rsidRPr="006549E2">
        <w:rPr>
          <w:i/>
          <w:iCs/>
        </w:rPr>
        <w:t xml:space="preserve">aff’d sub nom. </w:t>
      </w:r>
      <w:hyperlink r:id="rId1" w:history="1">
        <w:r w:rsidRPr="006549E2">
          <w:rPr>
            <w:i/>
            <w:iCs/>
          </w:rPr>
          <w:t>Garden State Broad. L.P. v. FCC</w:t>
        </w:r>
        <w:r w:rsidRPr="006549E2">
          <w:t>, 996 F. 2d 386 (D.C. Cir. 1993)</w:t>
        </w:r>
      </w:hyperlink>
      <w:r w:rsidRPr="006549E2">
        <w:t xml:space="preserve">, </w:t>
      </w:r>
      <w:r w:rsidRPr="006549E2">
        <w:rPr>
          <w:i/>
          <w:iCs/>
        </w:rPr>
        <w:t>rehearing denied</w:t>
      </w:r>
      <w:r w:rsidRPr="006549E2">
        <w:t xml:space="preserve"> (Sep. 10, 1993); </w:t>
      </w:r>
      <w:hyperlink r:id="rId1" w:anchor="co_pp_sp_350_181" w:history="1">
        <w:r w:rsidRPr="006549E2">
          <w:rPr>
            <w:i/>
            <w:iCs/>
          </w:rPr>
          <w:t>Gencom</w:t>
        </w:r>
        <w:r w:rsidRPr="006549E2">
          <w:rPr>
            <w:i/>
            <w:iCs/>
          </w:rPr>
          <w:t>, Inc. v. FCC</w:t>
        </w:r>
        <w:r w:rsidRPr="006549E2">
          <w:t>, 832 F.2d 171, 181 (D.C. Cir. 1987)</w:t>
        </w:r>
      </w:hyperlink>
      <w:r w:rsidRPr="006549E2">
        <w:t xml:space="preserve">; </w:t>
      </w:r>
      <w:hyperlink r:id="rId1" w:anchor="co_pp_sp_265_864" w:history="1">
        <w:r w:rsidRPr="006549E2">
          <w:rPr>
            <w:i/>
            <w:iCs/>
          </w:rPr>
          <w:t>Area Christian Television, Inc.</w:t>
        </w:r>
        <w:r w:rsidRPr="006549E2">
          <w:t>, Memorandum Opinion and Order, 60 RR 2d 862, 864, para. 6 (1986)</w:t>
        </w:r>
      </w:hyperlink>
      <w:r w:rsidRPr="006549E2">
        <w:t xml:space="preserve"> (petitions to deny and informal objections must contain adequate and specific factual allegations sufficient to warrant the relief requested).</w:t>
      </w:r>
    </w:p>
  </w:footnote>
  <w:footnote w:id="26">
    <w:p w:rsidR="00CB5F08" w:rsidRPr="006549E2" w:rsidP="00880B6F" w14:paraId="103C8DCA" w14:textId="2A12B099">
      <w:pPr>
        <w:autoSpaceDE w:val="0"/>
        <w:autoSpaceDN w:val="0"/>
        <w:adjustRightInd w:val="0"/>
        <w:spacing w:after="200"/>
      </w:pPr>
      <w:r w:rsidRPr="006549E2">
        <w:rPr>
          <w:rStyle w:val="FootnoteReference"/>
          <w:rFonts w:ascii="Times New Roman" w:hAnsi="Times New Roman"/>
        </w:rPr>
        <w:footnoteRef/>
      </w:r>
      <w:r w:rsidRPr="006549E2">
        <w:t xml:space="preserve"> The Bureau has delegated authority to analyze service population data, and to perform threshold fair distribution analyses of NCE FM proposals. </w:t>
      </w:r>
      <w:r w:rsidRPr="006549E2">
        <w:rPr>
          <w:i/>
          <w:iCs/>
        </w:rPr>
        <w:t xml:space="preserve">See </w:t>
      </w:r>
      <w:hyperlink r:id="rId1" w:history="1">
        <w:r w:rsidRPr="006549E2">
          <w:rPr>
            <w:i/>
            <w:iCs/>
          </w:rPr>
          <w:t>Comparative Consideration of 76 Groups of Mutually Exclusive Applications</w:t>
        </w:r>
        <w:r w:rsidRPr="006549E2">
          <w:t xml:space="preserve">, Memorandum Opinion and Order, 22 FCC </w:t>
        </w:r>
        <w:r w:rsidRPr="006549E2">
          <w:t>Rcd</w:t>
        </w:r>
        <w:r w:rsidRPr="006549E2">
          <w:t xml:space="preserve"> 6101, n.16 (2007)</w:t>
        </w:r>
      </w:hyperlink>
      <w:r w:rsidRPr="006549E2">
        <w:t xml:space="preserve">. </w:t>
      </w:r>
      <w:r w:rsidR="005F235B">
        <w:t xml:space="preserve"> </w:t>
      </w:r>
      <w:r w:rsidRPr="006549E2">
        <w:rPr>
          <w:i/>
          <w:iCs/>
        </w:rPr>
        <w:t>See also</w:t>
      </w:r>
      <w:r w:rsidRPr="006549E2">
        <w:t xml:space="preserve"> </w:t>
      </w:r>
      <w:hyperlink r:id="rId1" w:history="1">
        <w:r w:rsidRPr="006549E2">
          <w:t>47 CFR §§ 0.61</w:t>
        </w:r>
      </w:hyperlink>
      <w:r w:rsidRPr="006549E2">
        <w:t xml:space="preserve"> and </w:t>
      </w:r>
      <w:hyperlink r:id="rId1" w:history="1">
        <w:r w:rsidRPr="006549E2">
          <w:t>0.283</w:t>
        </w:r>
      </w:hyperlink>
      <w:r w:rsidRPr="006549E2">
        <w:t>.</w:t>
      </w:r>
    </w:p>
  </w:footnote>
  <w:footnote w:id="27">
    <w:p w:rsidR="00CB5F08" w:rsidRPr="006549E2" w:rsidP="00CB5F08" w14:paraId="7E184663" w14:textId="66496E20">
      <w:pPr>
        <w:autoSpaceDE w:val="0"/>
        <w:autoSpaceDN w:val="0"/>
        <w:adjustRightInd w:val="0"/>
        <w:spacing w:after="200"/>
        <w:jc w:val="both"/>
      </w:pPr>
      <w:r w:rsidRPr="006549E2">
        <w:rPr>
          <w:rStyle w:val="FootnoteReference"/>
          <w:rFonts w:ascii="Times New Roman" w:hAnsi="Times New Roman"/>
        </w:rPr>
        <w:footnoteRef/>
      </w:r>
      <w:r w:rsidRPr="006549E2">
        <w:t xml:space="preserve"> See </w:t>
      </w:r>
      <w:r w:rsidR="000D7A76">
        <w:rPr>
          <w:i/>
          <w:iCs/>
        </w:rPr>
        <w:t>Fair Distribution MO&amp;O</w:t>
      </w:r>
      <w:r w:rsidRPr="006549E2">
        <w:t xml:space="preserve"> at *1, para. 3; </w:t>
      </w:r>
      <w:hyperlink r:id="rId1" w:anchor="co_pp_a83b000018c76" w:history="1">
        <w:r w:rsidRPr="006549E2">
          <w:t>47 U.S.C. § 307(b)</w:t>
        </w:r>
      </w:hyperlink>
      <w:r w:rsidRPr="006549E2">
        <w:t xml:space="preserve"> (“In considering applications for licenses </w:t>
      </w:r>
      <w:r w:rsidR="005E60EE">
        <w:t>. . .</w:t>
      </w:r>
      <w:r w:rsidRPr="006549E2">
        <w:t xml:space="preserve"> when and insofar as there is demand for the same, the Commission shall make such distribution of licenses, frequencies, hours of operation, and of power among the several States and communities as to provide a fair, efficient, and equitable distribution of radio service to each of the same.”); </w:t>
      </w:r>
      <w:hyperlink r:id="rId1" w:anchor="co_pp_8b3b0000958a4" w:history="1">
        <w:r w:rsidRPr="006549E2">
          <w:t>47 CFR § 73.7002(a)</w:t>
        </w:r>
      </w:hyperlink>
      <w:r w:rsidRPr="006549E2">
        <w:t>.</w:t>
      </w:r>
    </w:p>
  </w:footnote>
  <w:footnote w:id="28">
    <w:p w:rsidR="00CB5F08" w:rsidRPr="006549E2" w:rsidP="00CB5F08" w14:paraId="0451332A" w14:textId="5B051CE7">
      <w:pPr>
        <w:pStyle w:val="FootnoteText"/>
      </w:pPr>
      <w:r w:rsidRPr="006549E2">
        <w:rPr>
          <w:rStyle w:val="FootnoteReference"/>
          <w:rFonts w:ascii="Times New Roman" w:hAnsi="Times New Roman"/>
        </w:rPr>
        <w:footnoteRef/>
      </w:r>
      <w:r w:rsidRPr="006549E2">
        <w:t xml:space="preserve"> </w:t>
      </w:r>
      <w:r w:rsidRPr="006549E2" w:rsidR="00000C3A">
        <w:t xml:space="preserve">See </w:t>
      </w:r>
      <w:r w:rsidR="00000C3A">
        <w:rPr>
          <w:i/>
          <w:iCs/>
        </w:rPr>
        <w:t>Fair Distribution MO&amp;O</w:t>
      </w:r>
      <w:r w:rsidRPr="006549E2" w:rsidR="00000C3A">
        <w:t xml:space="preserve"> at *1, para. 3</w:t>
      </w:r>
      <w:r w:rsidRPr="006549E2">
        <w:t xml:space="preserve"> (emphasis added). </w:t>
      </w:r>
      <w:r w:rsidR="00000C3A">
        <w:t xml:space="preserve"> </w:t>
      </w:r>
      <w:r w:rsidRPr="006549E2">
        <w:t xml:space="preserve">An NCE FM applicant is eligible to receive a fair distribution preference, and ultimately be awarded the construction permit, if it identifies itself as a Tribal Applicant, proposes Tribal Coverage, and proposes the first reserved channel NCE service owned by any Tribal Applicant at a community of license located on Tribal Lands (Tribal Priority). </w:t>
      </w:r>
      <w:r w:rsidR="00000C3A">
        <w:t xml:space="preserve"> </w:t>
      </w:r>
      <w:r w:rsidRPr="006549E2">
        <w:rPr>
          <w:i/>
          <w:iCs/>
        </w:rPr>
        <w:t>See</w:t>
      </w:r>
      <w:r w:rsidRPr="006549E2">
        <w:t xml:space="preserve"> </w:t>
      </w:r>
      <w:hyperlink r:id="rId1" w:history="1">
        <w:r w:rsidRPr="006549E2">
          <w:t>47 CFR § 73.7000</w:t>
        </w:r>
      </w:hyperlink>
      <w:r w:rsidRPr="006549E2">
        <w:t xml:space="preserve"> (defining a “Tribal Applicant” and “Tribal Coverage”).</w:t>
      </w:r>
    </w:p>
  </w:footnote>
  <w:footnote w:id="29">
    <w:p w:rsidR="00CB5F08" w:rsidRPr="006549E2" w:rsidP="00CB5F08" w14:paraId="3A2474A7" w14:textId="2BCBEC98">
      <w:pPr>
        <w:pStyle w:val="FootnoteText"/>
      </w:pPr>
      <w:r w:rsidRPr="006549E2">
        <w:rPr>
          <w:rStyle w:val="FootnoteReference"/>
          <w:rFonts w:ascii="Times New Roman" w:hAnsi="Times New Roman"/>
        </w:rPr>
        <w:footnoteRef/>
      </w:r>
      <w:r w:rsidRPr="006549E2">
        <w:rPr>
          <w:i/>
          <w:iCs/>
        </w:rPr>
        <w:t xml:space="preserve"> </w:t>
      </w:r>
      <w:r w:rsidRPr="006549E2" w:rsidR="00000C3A">
        <w:t xml:space="preserve">See </w:t>
      </w:r>
      <w:r w:rsidR="00000C3A">
        <w:rPr>
          <w:i/>
          <w:iCs/>
        </w:rPr>
        <w:t>Fair Distribution MO&amp;O</w:t>
      </w:r>
      <w:r w:rsidRPr="006549E2" w:rsidR="00000C3A">
        <w:t xml:space="preserve"> at *1, para. 3</w:t>
      </w:r>
      <w:r w:rsidRPr="006549E2">
        <w:t xml:space="preserve"> (emphasis added).</w:t>
      </w:r>
    </w:p>
  </w:footnote>
  <w:footnote w:id="30">
    <w:p w:rsidR="00CB5F08" w:rsidRPr="006549E2" w:rsidP="00CB5F08" w14:paraId="239BEC75" w14:textId="2A0D9CE6">
      <w:pPr>
        <w:pStyle w:val="FootnoteText"/>
      </w:pPr>
      <w:r w:rsidRPr="006549E2">
        <w:rPr>
          <w:rStyle w:val="FootnoteReference"/>
          <w:rFonts w:ascii="Times New Roman" w:hAnsi="Times New Roman"/>
        </w:rPr>
        <w:footnoteRef/>
      </w:r>
      <w:r w:rsidRPr="006549E2">
        <w:t xml:space="preserve"> </w:t>
      </w:r>
      <w:r w:rsidRPr="006549E2">
        <w:rPr>
          <w:i/>
          <w:iCs/>
        </w:rPr>
        <w:t>See</w:t>
      </w:r>
      <w:r w:rsidRPr="006549E2">
        <w:t xml:space="preserve"> 47 CFR § 73.7002(b) (“In an analysis performed pursuant to paragraph (a) of this section that does not include a Tribal Applicant, a full service FM applicant that will provide the first or second reserved channel noncommercial educational (NCE) aural signal received by at least 10% of the population within the station's 60dBu (1mV/m) service contours will be considered to substantially further fair distribution of service goals and to be superior to mutually exclusive applicants not proposing that level of service, provided that such service to fewer than 2,000 people will be considered insignificant.”).</w:t>
      </w:r>
      <w:r w:rsidRPr="006549E2">
        <w:rPr>
          <w:shd w:val="clear" w:color="auto" w:fill="FFFFFF"/>
        </w:rPr>
        <w:t xml:space="preserve"> </w:t>
      </w:r>
      <w:r w:rsidRPr="006549E2">
        <w:t xml:space="preserve"> </w:t>
      </w:r>
    </w:p>
  </w:footnote>
  <w:footnote w:id="31">
    <w:p w:rsidR="00CB5F08" w:rsidRPr="006549E2" w:rsidP="00CB5F08" w14:paraId="2FCB0A6A" w14:textId="77777777">
      <w:pPr>
        <w:pStyle w:val="FootnoteText"/>
      </w:pPr>
      <w:r w:rsidRPr="006549E2">
        <w:rPr>
          <w:rStyle w:val="FootnoteReference"/>
          <w:rFonts w:ascii="Times New Roman" w:hAnsi="Times New Roman"/>
        </w:rPr>
        <w:footnoteRef/>
      </w:r>
      <w:r w:rsidRPr="006549E2">
        <w:t xml:space="preserve"> </w:t>
      </w:r>
      <w:r w:rsidRPr="006549E2">
        <w:rPr>
          <w:i/>
          <w:iCs/>
        </w:rPr>
        <w:t xml:space="preserve">See </w:t>
      </w:r>
      <w:r w:rsidRPr="006549E2">
        <w:t xml:space="preserve">Form 2100, Schedule 340 Instructions at page 12-13. (stating that the Commission will consider an applicant’s first aural certification claim, only if it “determines (a) that the applicant has answered “yes” [to the application’s first aural certification question] and provided an attachment indicating first aural reception service to a significant population, and (b) </w:t>
      </w:r>
      <w:r w:rsidRPr="006549E2">
        <w:rPr>
          <w:i/>
          <w:iCs/>
        </w:rPr>
        <w:t>that the application is mutually exclusive with an application claiming the Tribal Priority</w:t>
      </w:r>
      <w:r w:rsidRPr="006549E2">
        <w:t xml:space="preserve">.”) (emphasis added). </w:t>
      </w:r>
    </w:p>
  </w:footnote>
  <w:footnote w:id="32">
    <w:p w:rsidR="00CB5F08" w:rsidRPr="006549E2" w:rsidP="002846F7" w14:paraId="1B5B4A0B" w14:textId="38FC8EE4">
      <w:pPr>
        <w:autoSpaceDE w:val="0"/>
        <w:autoSpaceDN w:val="0"/>
        <w:adjustRightInd w:val="0"/>
        <w:spacing w:after="200"/>
      </w:pPr>
      <w:r w:rsidRPr="006549E2">
        <w:rPr>
          <w:rStyle w:val="FootnoteReference"/>
          <w:rFonts w:ascii="Times New Roman" w:hAnsi="Times New Roman"/>
        </w:rPr>
        <w:footnoteRef/>
      </w:r>
      <w:r w:rsidRPr="006549E2">
        <w:t xml:space="preserve"> </w:t>
      </w:r>
      <w:r w:rsidRPr="006549E2">
        <w:rPr>
          <w:i/>
          <w:iCs/>
        </w:rPr>
        <w:t>See</w:t>
      </w:r>
      <w:r w:rsidRPr="006549E2">
        <w:t xml:space="preserve"> </w:t>
      </w:r>
      <w:r w:rsidRPr="006549E2">
        <w:rPr>
          <w:i/>
          <w:iCs/>
        </w:rPr>
        <w:t xml:space="preserve">Rural First Report and Order </w:t>
      </w:r>
      <w:r w:rsidRPr="006549E2">
        <w:t xml:space="preserve">at 5194, para. 22 (establishing the </w:t>
      </w:r>
      <w:hyperlink r:id="rId1" w:anchor="co_pp_a83b000018c76" w:history="1">
        <w:r w:rsidR="007D6AF2">
          <w:t>s</w:t>
        </w:r>
        <w:r w:rsidRPr="006549E2">
          <w:t>ection 307(b)</w:t>
        </w:r>
      </w:hyperlink>
      <w:r w:rsidRPr="006549E2">
        <w:t xml:space="preserve"> Tribal Priority detailing the Commission’s framework for considering mutually exclusive applications that include Tribal Priority claims); </w:t>
      </w:r>
      <w:r w:rsidRPr="006549E2">
        <w:rPr>
          <w:i/>
          <w:iCs/>
        </w:rPr>
        <w:t>Threshold Fair Distribution Analysis of Mutually Exclusive Applications of The Southern California Tribal Chairmen’s Association and the Foundation for Economic Justice d/b/a Center for Economic Justice for Permits to Construct New Noncommercial Educational FM Stations Filed in November 2021 Window</w:t>
      </w:r>
      <w:r w:rsidRPr="006549E2">
        <w:t>, Memorandum Opinion and Order, FCC 22-28, 2022 WL 1201901, at *2, n. 23 (Apr. 19, 2022)</w:t>
      </w:r>
      <w:r w:rsidR="00E32E2B">
        <w:t>.</w:t>
      </w:r>
      <w:r w:rsidRPr="006549E2">
        <w:t xml:space="preserve"> </w:t>
      </w:r>
    </w:p>
  </w:footnote>
  <w:footnote w:id="33">
    <w:p w:rsidR="00CB5F08" w:rsidRPr="006549E2" w:rsidP="00CB5F08" w14:paraId="2A163D62" w14:textId="6F3CC9D6">
      <w:pPr>
        <w:pStyle w:val="FootnoteText"/>
      </w:pPr>
      <w:r w:rsidRPr="006549E2">
        <w:rPr>
          <w:rStyle w:val="FootnoteReference"/>
          <w:rFonts w:ascii="Times New Roman" w:hAnsi="Times New Roman"/>
        </w:rPr>
        <w:footnoteRef/>
      </w:r>
      <w:r w:rsidRPr="006549E2">
        <w:t xml:space="preserve"> Objection at 2 (citing </w:t>
      </w:r>
      <w:r w:rsidR="00C227DC">
        <w:rPr>
          <w:i/>
          <w:iCs/>
        </w:rPr>
        <w:t xml:space="preserve">Procedures </w:t>
      </w:r>
      <w:r w:rsidRPr="006549E2">
        <w:rPr>
          <w:i/>
          <w:iCs/>
        </w:rPr>
        <w:t>Public Notice</w:t>
      </w:r>
      <w:r w:rsidRPr="006549E2">
        <w:t>)</w:t>
      </w:r>
      <w:r w:rsidR="00F5017C">
        <w:t>.</w:t>
      </w:r>
    </w:p>
  </w:footnote>
  <w:footnote w:id="34">
    <w:p w:rsidR="00CB5F08" w:rsidRPr="006549E2" w:rsidP="00CB5F08" w14:paraId="323DB464" w14:textId="77777777">
      <w:pPr>
        <w:pStyle w:val="FootnoteText"/>
      </w:pPr>
      <w:r w:rsidRPr="006549E2">
        <w:rPr>
          <w:rStyle w:val="FootnoteReference"/>
          <w:rFonts w:ascii="Times New Roman" w:hAnsi="Times New Roman"/>
        </w:rPr>
        <w:footnoteRef/>
      </w:r>
      <w:r w:rsidRPr="006549E2">
        <w:t xml:space="preserve"> Reply at 1. </w:t>
      </w:r>
    </w:p>
  </w:footnote>
  <w:footnote w:id="35">
    <w:p w:rsidR="00CB5F08" w:rsidRPr="006549E2" w:rsidP="00CB5F08" w14:paraId="043E275D" w14:textId="77777777">
      <w:pPr>
        <w:pStyle w:val="FootnoteText"/>
      </w:pPr>
      <w:r w:rsidRPr="006549E2">
        <w:rPr>
          <w:rStyle w:val="FootnoteReference"/>
          <w:rFonts w:ascii="Times New Roman" w:hAnsi="Times New Roman"/>
        </w:rPr>
        <w:footnoteRef/>
      </w:r>
      <w:r w:rsidRPr="006549E2">
        <w:t xml:space="preserve"> Objection at 2.</w:t>
      </w:r>
    </w:p>
  </w:footnote>
  <w:footnote w:id="36">
    <w:p w:rsidR="00CB5F08" w:rsidRPr="006549E2" w:rsidP="00CB5F08" w14:paraId="5F78D5C1" w14:textId="26922F37">
      <w:pPr>
        <w:pStyle w:val="FootnoteText"/>
        <w:rPr>
          <w:bCs/>
        </w:rPr>
      </w:pPr>
      <w:r w:rsidRPr="006549E2">
        <w:rPr>
          <w:rStyle w:val="FootnoteReference"/>
          <w:rFonts w:ascii="Times New Roman" w:hAnsi="Times New Roman"/>
        </w:rPr>
        <w:footnoteRef/>
      </w:r>
      <w:r w:rsidRPr="006549E2">
        <w:t xml:space="preserve"> </w:t>
      </w:r>
      <w:r w:rsidR="00FD4840">
        <w:rPr>
          <w:i/>
          <w:iCs/>
        </w:rPr>
        <w:t xml:space="preserve">Procedures </w:t>
      </w:r>
      <w:r w:rsidRPr="006549E2">
        <w:rPr>
          <w:i/>
          <w:iCs/>
        </w:rPr>
        <w:t>Public Notice</w:t>
      </w:r>
      <w:r w:rsidRPr="006549E2">
        <w:t xml:space="preserve"> at 4-5. (</w:t>
      </w:r>
      <w:r>
        <w:rPr>
          <w:shd w:val="clear" w:color="auto" w:fill="FFFFFF"/>
        </w:rPr>
        <w:t xml:space="preserve">citing </w:t>
      </w:r>
      <w:r w:rsidR="00FD4840">
        <w:t>s</w:t>
      </w:r>
      <w:r w:rsidRPr="006549E2">
        <w:t xml:space="preserve">ection 73.7002 of the Rules </w:t>
      </w:r>
      <w:r>
        <w:t xml:space="preserve">and </w:t>
      </w:r>
      <w:r w:rsidRPr="006549E2">
        <w:t xml:space="preserve">indicating that </w:t>
      </w:r>
      <w:r>
        <w:t>“</w:t>
      </w:r>
      <w:r w:rsidRPr="006549E2">
        <w:rPr>
          <w:shd w:val="clear" w:color="auto" w:fill="FFFFFF"/>
        </w:rPr>
        <w:t>for MX groups in which NCE FM applicants propose service to different communities, a threshold fair distribution study pursuant to Section 307(b)</w:t>
      </w:r>
      <w:r>
        <w:rPr>
          <w:shd w:val="clear" w:color="auto" w:fill="FFFFFF"/>
        </w:rPr>
        <w:t>” of the Act</w:t>
      </w:r>
      <w:r>
        <w:t xml:space="preserve">). </w:t>
      </w:r>
      <w:r w:rsidRPr="006549E2">
        <w:rPr>
          <w:shd w:val="clear" w:color="auto" w:fill="FFFFFF"/>
        </w:rPr>
        <w:t xml:space="preserve"> </w:t>
      </w:r>
    </w:p>
  </w:footnote>
  <w:footnote w:id="37">
    <w:p w:rsidR="00CB5F08" w:rsidRPr="006549E2" w:rsidP="00CB5F08" w14:paraId="39AD2514" w14:textId="7F37B958">
      <w:pPr>
        <w:pStyle w:val="FootnoteText"/>
      </w:pPr>
      <w:r w:rsidRPr="006549E2">
        <w:rPr>
          <w:rStyle w:val="FootnoteReference"/>
          <w:rFonts w:ascii="Times New Roman" w:hAnsi="Times New Roman"/>
        </w:rPr>
        <w:footnoteRef/>
      </w:r>
      <w:r w:rsidRPr="006549E2">
        <w:t xml:space="preserve"> </w:t>
      </w:r>
      <w:r w:rsidR="007D6AF2">
        <w:rPr>
          <w:i/>
          <w:iCs/>
        </w:rPr>
        <w:t xml:space="preserve">Procedures </w:t>
      </w:r>
      <w:r w:rsidRPr="006549E2">
        <w:rPr>
          <w:i/>
          <w:iCs/>
        </w:rPr>
        <w:t>Public Notice</w:t>
      </w:r>
      <w:r w:rsidRPr="006549E2">
        <w:t xml:space="preserve"> at pg. 6, note 23. </w:t>
      </w:r>
    </w:p>
  </w:footnote>
  <w:footnote w:id="38">
    <w:p w:rsidR="00CB5F08" w:rsidRPr="006549E2" w:rsidP="00CB5F08" w14:paraId="4274538C" w14:textId="5E4544FF">
      <w:pPr>
        <w:pStyle w:val="FootnoteText"/>
      </w:pPr>
      <w:r w:rsidRPr="006549E2">
        <w:rPr>
          <w:rStyle w:val="FootnoteReference"/>
          <w:rFonts w:ascii="Times New Roman" w:hAnsi="Times New Roman"/>
        </w:rPr>
        <w:footnoteRef/>
      </w:r>
      <w:r w:rsidRPr="006549E2">
        <w:t xml:space="preserve"> Objection at 2 (citing </w:t>
      </w:r>
      <w:r w:rsidR="007D6AF2">
        <w:rPr>
          <w:i/>
          <w:iCs/>
        </w:rPr>
        <w:t xml:space="preserve">Allotment </w:t>
      </w:r>
      <w:r w:rsidRPr="006549E2">
        <w:rPr>
          <w:i/>
          <w:iCs/>
        </w:rPr>
        <w:t>Report and Order</w:t>
      </w:r>
      <w:r w:rsidRPr="006549E2">
        <w:t xml:space="preserve">). </w:t>
      </w:r>
    </w:p>
  </w:footnote>
  <w:footnote w:id="39">
    <w:p w:rsidR="00CB5F08" w:rsidRPr="0041067A" w:rsidP="00CB5F08" w14:paraId="03B5EF30" w14:textId="20528EE5">
      <w:pPr>
        <w:pStyle w:val="FootnoteText"/>
      </w:pPr>
      <w:r w:rsidRPr="006549E2">
        <w:rPr>
          <w:rStyle w:val="FootnoteReference"/>
          <w:rFonts w:ascii="Times New Roman" w:hAnsi="Times New Roman"/>
        </w:rPr>
        <w:footnoteRef/>
      </w:r>
      <w:r w:rsidRPr="006549E2">
        <w:t xml:space="preserve"> </w:t>
      </w:r>
      <w:r w:rsidRPr="006549E2">
        <w:rPr>
          <w:i/>
          <w:iCs/>
        </w:rPr>
        <w:t xml:space="preserve">See </w:t>
      </w:r>
      <w:r w:rsidR="007D6AF2">
        <w:rPr>
          <w:i/>
          <w:iCs/>
        </w:rPr>
        <w:t xml:space="preserve">Allotment </w:t>
      </w:r>
      <w:r w:rsidRPr="006549E2">
        <w:rPr>
          <w:i/>
          <w:iCs/>
        </w:rPr>
        <w:t>Report and Order</w:t>
      </w:r>
      <w:r w:rsidRPr="006549E2">
        <w:t xml:space="preserve"> at 7529, para. 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37CA06AB" w14:textId="308C0208">
    <w:pPr>
      <w:pStyle w:val="Header"/>
      <w:tabs>
        <w:tab w:val="clear" w:pos="4320"/>
        <w:tab w:val="clear" w:pos="8640"/>
      </w:tabs>
      <w:spacing w:before="360" w:line="228" w:lineRule="auto"/>
      <w:jc w:val="center"/>
    </w:pPr>
    <w:r>
      <w:rPr>
        <w:noProof/>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0" b="0"/>
          <wp:wrapTight wrapText="bothSides">
            <wp:wrapPolygon>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rsidP="001333F1" w14:paraId="5C6E91EE" w14:textId="77777777">
    <w:pPr>
      <w:tabs>
        <w:tab w:val="center" w:pos="4680"/>
        <w:tab w:val="left" w:pos="8400"/>
      </w:tabs>
    </w:pPr>
    <w:r>
      <w:rPr>
        <w:rFonts w:ascii="CG Times (W1)" w:hAnsi="CG Times (W1)"/>
        <w:sz w:val="28"/>
      </w:rPr>
      <w:tab/>
    </w:r>
    <w:r>
      <w:rPr>
        <w:rFonts w:ascii="CG Times (W1)" w:hAnsi="CG Times (W1)"/>
        <w:sz w:val="28"/>
      </w:rPr>
      <w:t>Washington, D.C. 20554</w:t>
    </w:r>
    <w:r>
      <w:rPr>
        <w:rFonts w:ascii="CG Times (W1)" w:hAnsi="CG Times (W1)"/>
        <w:sz w:val="28"/>
      </w:rPr>
      <w:tab/>
    </w:r>
  </w:p>
  <w:p w:rsidR="002B54DB" w14:paraId="18E14010" w14:textId="77777777">
    <w:pPr>
      <w:pStyle w:val="Header"/>
      <w:tabs>
        <w:tab w:val="clear" w:pos="4320"/>
      </w:tabs>
      <w:jc w:val="center"/>
      <w:rPr>
        <w:sz w:val="22"/>
      </w:rPr>
    </w:pPr>
  </w:p>
  <w:p w:rsidR="002B54DB" w14:paraId="14636F2C" w14:textId="77777777">
    <w:pPr>
      <w:pStyle w:val="Header"/>
      <w:tabs>
        <w:tab w:val="clear" w:pos="4320"/>
      </w:tabs>
      <w:jc w:val="center"/>
      <w:rPr>
        <w:sz w:val="22"/>
      </w:rPr>
    </w:pPr>
  </w:p>
  <w:p w:rsidR="002B54DB" w14:paraId="45AC97CB" w14:textId="3B3CD776">
    <w:pPr>
      <w:pStyle w:val="Header"/>
      <w:tabs>
        <w:tab w:val="clear" w:pos="4320"/>
      </w:tabs>
      <w:jc w:val="center"/>
      <w:rPr>
        <w:sz w:val="24"/>
      </w:rPr>
    </w:pPr>
    <w:r>
      <w:rPr>
        <w:noProof/>
        <w:sz w:val="24"/>
      </w:rPr>
      <w:t xml:space="preserve">June </w:t>
    </w:r>
    <w:r w:rsidR="00465A8A">
      <w:rPr>
        <w:noProof/>
        <w:sz w:val="24"/>
      </w:rPr>
      <w:t>3</w:t>
    </w:r>
    <w:r w:rsidR="00342351">
      <w:rPr>
        <w:noProof/>
        <w:sz w:val="24"/>
      </w:rPr>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2B77025"/>
    <w:multiLevelType w:val="hybridMultilevel"/>
    <w:tmpl w:val="0352CE4A"/>
    <w:lvl w:ilvl="0">
      <w:start w:val="1"/>
      <w:numFmt w:val="bullet"/>
      <w:lvlText w:val=""/>
      <w:lvlJc w:val="left"/>
      <w:pPr>
        <w:ind w:left="3600" w:hanging="360"/>
      </w:pPr>
      <w:rPr>
        <w:rFonts w:ascii="Symbol" w:hAnsi="Symbol" w:hint="default"/>
      </w:rPr>
    </w:lvl>
    <w:lvl w:ilvl="1">
      <w:start w:val="1"/>
      <w:numFmt w:val="bullet"/>
      <w:lvlText w:val="o"/>
      <w:lvlJc w:val="left"/>
      <w:pPr>
        <w:ind w:left="4320" w:hanging="360"/>
      </w:pPr>
      <w:rPr>
        <w:rFonts w:ascii="Courier New" w:hAnsi="Courier New" w:hint="default"/>
      </w:rPr>
    </w:lvl>
    <w:lvl w:ilvl="2">
      <w:start w:val="1"/>
      <w:numFmt w:val="bullet"/>
      <w:lvlText w:val=""/>
      <w:lvlJc w:val="left"/>
      <w:pPr>
        <w:ind w:left="5040" w:hanging="360"/>
      </w:pPr>
      <w:rPr>
        <w:rFonts w:ascii="Wingdings" w:hAnsi="Wingdings" w:hint="default"/>
      </w:rPr>
    </w:lvl>
    <w:lvl w:ilvl="3" w:tentative="1">
      <w:start w:val="1"/>
      <w:numFmt w:val="bullet"/>
      <w:lvlText w:val=""/>
      <w:lvlJc w:val="left"/>
      <w:pPr>
        <w:ind w:left="5760" w:hanging="360"/>
      </w:pPr>
      <w:rPr>
        <w:rFonts w:ascii="Symbol" w:hAnsi="Symbol" w:hint="default"/>
      </w:rPr>
    </w:lvl>
    <w:lvl w:ilvl="4" w:tentative="1">
      <w:start w:val="1"/>
      <w:numFmt w:val="bullet"/>
      <w:lvlText w:val="o"/>
      <w:lvlJc w:val="left"/>
      <w:pPr>
        <w:ind w:left="6480" w:hanging="360"/>
      </w:pPr>
      <w:rPr>
        <w:rFonts w:ascii="Courier New" w:hAnsi="Courier New" w:hint="default"/>
      </w:rPr>
    </w:lvl>
    <w:lvl w:ilvl="5" w:tentative="1">
      <w:start w:val="1"/>
      <w:numFmt w:val="bullet"/>
      <w:lvlText w:val=""/>
      <w:lvlJc w:val="left"/>
      <w:pPr>
        <w:ind w:left="7200" w:hanging="360"/>
      </w:pPr>
      <w:rPr>
        <w:rFonts w:ascii="Wingdings" w:hAnsi="Wingdings" w:hint="default"/>
      </w:rPr>
    </w:lvl>
    <w:lvl w:ilvl="6" w:tentative="1">
      <w:start w:val="1"/>
      <w:numFmt w:val="bullet"/>
      <w:lvlText w:val=""/>
      <w:lvlJc w:val="left"/>
      <w:pPr>
        <w:ind w:left="7920" w:hanging="360"/>
      </w:pPr>
      <w:rPr>
        <w:rFonts w:ascii="Symbol" w:hAnsi="Symbol" w:hint="default"/>
      </w:rPr>
    </w:lvl>
    <w:lvl w:ilvl="7" w:tentative="1">
      <w:start w:val="1"/>
      <w:numFmt w:val="bullet"/>
      <w:lvlText w:val="o"/>
      <w:lvlJc w:val="left"/>
      <w:pPr>
        <w:ind w:left="8640" w:hanging="360"/>
      </w:pPr>
      <w:rPr>
        <w:rFonts w:ascii="Courier New" w:hAnsi="Courier New" w:hint="default"/>
      </w:rPr>
    </w:lvl>
    <w:lvl w:ilvl="8" w:tentative="1">
      <w:start w:val="1"/>
      <w:numFmt w:val="bullet"/>
      <w:lvlText w:val=""/>
      <w:lvlJc w:val="left"/>
      <w:pPr>
        <w:ind w:left="9360" w:hanging="360"/>
      </w:pPr>
      <w:rPr>
        <w:rFonts w:ascii="Wingdings" w:hAnsi="Wingdings" w:hint="default"/>
      </w:rPr>
    </w:lvl>
  </w:abstractNum>
  <w:abstractNum w:abstractNumId="1">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413B40AD"/>
    <w:multiLevelType w:val="hybridMultilevel"/>
    <w:tmpl w:val="E53A638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56A53BEC"/>
    <w:multiLevelType w:val="hybridMultilevel"/>
    <w:tmpl w:val="2B6C1CB4"/>
    <w:lvl w:ilvl="0">
      <w:start w:val="1"/>
      <w:numFmt w:val="bullet"/>
      <w:lvlText w:val=""/>
      <w:lvlJc w:val="left"/>
      <w:pPr>
        <w:ind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hint="default"/>
      </w:rPr>
    </w:lvl>
    <w:lvl w:ilvl="8" w:tentative="1">
      <w:start w:val="1"/>
      <w:numFmt w:val="bullet"/>
      <w:lvlText w:val=""/>
      <w:lvlJc w:val="left"/>
      <w:pPr>
        <w:ind w:left="5760" w:hanging="360"/>
      </w:pPr>
      <w:rPr>
        <w:rFonts w:ascii="Wingdings" w:hAnsi="Wingdings" w:hint="default"/>
      </w:rPr>
    </w:lvl>
  </w:abstractNum>
  <w:abstractNum w:abstractNumId="4">
    <w:nsid w:val="61182925"/>
    <w:multiLevelType w:val="singleLevel"/>
    <w:tmpl w:val="2A347362"/>
    <w:lvl w:ilvl="0">
      <w:start w:val="1"/>
      <w:numFmt w:val="decimal"/>
      <w:pStyle w:val="ParaNum"/>
      <w:lvlText w:val="%1."/>
      <w:lvlJc w:val="left"/>
      <w:pPr>
        <w:tabs>
          <w:tab w:val="num" w:pos="1080"/>
        </w:tabs>
        <w:ind w:left="0" w:firstLine="720"/>
      </w:pPr>
      <w:rPr>
        <w:b w:val="0"/>
      </w:rPr>
    </w:lvl>
  </w:abstractNum>
  <w:abstractNum w:abstractNumId="5">
    <w:nsid w:val="6A686BBF"/>
    <w:multiLevelType w:val="hybridMultilevel"/>
    <w:tmpl w:val="A30EC66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74180912"/>
    <w:multiLevelType w:val="hybridMultilevel"/>
    <w:tmpl w:val="51E66CC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755763C9"/>
    <w:multiLevelType w:val="hybridMultilevel"/>
    <w:tmpl w:val="28C2257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79A2184B"/>
    <w:multiLevelType w:val="hybridMultilevel"/>
    <w:tmpl w:val="F2E49A8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7DE74999"/>
    <w:multiLevelType w:val="hybridMultilevel"/>
    <w:tmpl w:val="7D7CA1F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4"/>
  </w:num>
  <w:num w:numId="4">
    <w:abstractNumId w:val="2"/>
  </w:num>
  <w:num w:numId="5">
    <w:abstractNumId w:val="6"/>
  </w:num>
  <w:num w:numId="6">
    <w:abstractNumId w:val="0"/>
  </w:num>
  <w:num w:numId="7">
    <w:abstractNumId w:val="3"/>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CE3"/>
    <w:rsid w:val="0000017C"/>
    <w:rsid w:val="00000C3A"/>
    <w:rsid w:val="000035E5"/>
    <w:rsid w:val="0000607F"/>
    <w:rsid w:val="00006B52"/>
    <w:rsid w:val="00007422"/>
    <w:rsid w:val="00011CB2"/>
    <w:rsid w:val="000122F2"/>
    <w:rsid w:val="000124FD"/>
    <w:rsid w:val="00015D0A"/>
    <w:rsid w:val="00016891"/>
    <w:rsid w:val="0002777D"/>
    <w:rsid w:val="00035EA3"/>
    <w:rsid w:val="000503CA"/>
    <w:rsid w:val="00051CC4"/>
    <w:rsid w:val="000525B5"/>
    <w:rsid w:val="00052F2F"/>
    <w:rsid w:val="00054194"/>
    <w:rsid w:val="0006177C"/>
    <w:rsid w:val="00072C59"/>
    <w:rsid w:val="00080023"/>
    <w:rsid w:val="00080283"/>
    <w:rsid w:val="00084460"/>
    <w:rsid w:val="00086C81"/>
    <w:rsid w:val="00087FAF"/>
    <w:rsid w:val="00094DAA"/>
    <w:rsid w:val="00095B80"/>
    <w:rsid w:val="000A0CF5"/>
    <w:rsid w:val="000A48EC"/>
    <w:rsid w:val="000A6F42"/>
    <w:rsid w:val="000B0550"/>
    <w:rsid w:val="000B34A6"/>
    <w:rsid w:val="000C4A66"/>
    <w:rsid w:val="000D7A76"/>
    <w:rsid w:val="000F70BB"/>
    <w:rsid w:val="000F7F2F"/>
    <w:rsid w:val="001043C2"/>
    <w:rsid w:val="001051FF"/>
    <w:rsid w:val="0010554B"/>
    <w:rsid w:val="00110917"/>
    <w:rsid w:val="00114003"/>
    <w:rsid w:val="00114009"/>
    <w:rsid w:val="00116B2B"/>
    <w:rsid w:val="00116B99"/>
    <w:rsid w:val="001172AD"/>
    <w:rsid w:val="00117682"/>
    <w:rsid w:val="0012329C"/>
    <w:rsid w:val="001247BF"/>
    <w:rsid w:val="00124E8A"/>
    <w:rsid w:val="001333F1"/>
    <w:rsid w:val="00133BFB"/>
    <w:rsid w:val="00134383"/>
    <w:rsid w:val="0013468E"/>
    <w:rsid w:val="00136588"/>
    <w:rsid w:val="00137513"/>
    <w:rsid w:val="00144D97"/>
    <w:rsid w:val="00155DC5"/>
    <w:rsid w:val="00174494"/>
    <w:rsid w:val="00176688"/>
    <w:rsid w:val="00177F09"/>
    <w:rsid w:val="0018238C"/>
    <w:rsid w:val="001858EE"/>
    <w:rsid w:val="0018710F"/>
    <w:rsid w:val="00193E2F"/>
    <w:rsid w:val="001A1C4E"/>
    <w:rsid w:val="001A2AA5"/>
    <w:rsid w:val="001A4B52"/>
    <w:rsid w:val="001A51FD"/>
    <w:rsid w:val="001A5CBA"/>
    <w:rsid w:val="001B1EB5"/>
    <w:rsid w:val="001B2B9D"/>
    <w:rsid w:val="001B4FC9"/>
    <w:rsid w:val="001C3126"/>
    <w:rsid w:val="001C6CFB"/>
    <w:rsid w:val="001C75A0"/>
    <w:rsid w:val="001D14EC"/>
    <w:rsid w:val="001D7359"/>
    <w:rsid w:val="001E09CC"/>
    <w:rsid w:val="001F033D"/>
    <w:rsid w:val="001F32B7"/>
    <w:rsid w:val="002018EA"/>
    <w:rsid w:val="0020380C"/>
    <w:rsid w:val="00204CE3"/>
    <w:rsid w:val="00205180"/>
    <w:rsid w:val="0020702D"/>
    <w:rsid w:val="00221E58"/>
    <w:rsid w:val="00222B32"/>
    <w:rsid w:val="0022426D"/>
    <w:rsid w:val="0022463D"/>
    <w:rsid w:val="002269C3"/>
    <w:rsid w:val="0023129F"/>
    <w:rsid w:val="00232AC3"/>
    <w:rsid w:val="002338FC"/>
    <w:rsid w:val="0024071E"/>
    <w:rsid w:val="0024251E"/>
    <w:rsid w:val="00244129"/>
    <w:rsid w:val="002474C8"/>
    <w:rsid w:val="00247B78"/>
    <w:rsid w:val="0025615F"/>
    <w:rsid w:val="002641A6"/>
    <w:rsid w:val="002657C4"/>
    <w:rsid w:val="00266D21"/>
    <w:rsid w:val="00270593"/>
    <w:rsid w:val="00270862"/>
    <w:rsid w:val="00270ABF"/>
    <w:rsid w:val="002767A8"/>
    <w:rsid w:val="00277A00"/>
    <w:rsid w:val="00281A3C"/>
    <w:rsid w:val="00282D94"/>
    <w:rsid w:val="00282F24"/>
    <w:rsid w:val="00284530"/>
    <w:rsid w:val="002846F7"/>
    <w:rsid w:val="00293950"/>
    <w:rsid w:val="00293A0B"/>
    <w:rsid w:val="002A0F30"/>
    <w:rsid w:val="002A3CC4"/>
    <w:rsid w:val="002A4866"/>
    <w:rsid w:val="002A5B2A"/>
    <w:rsid w:val="002B146F"/>
    <w:rsid w:val="002B4097"/>
    <w:rsid w:val="002B411B"/>
    <w:rsid w:val="002B41DB"/>
    <w:rsid w:val="002B47AA"/>
    <w:rsid w:val="002B54DB"/>
    <w:rsid w:val="002B6D62"/>
    <w:rsid w:val="002B7826"/>
    <w:rsid w:val="002C3447"/>
    <w:rsid w:val="002C55A7"/>
    <w:rsid w:val="002D04B6"/>
    <w:rsid w:val="002D3ED0"/>
    <w:rsid w:val="002E0DF4"/>
    <w:rsid w:val="002E2FCF"/>
    <w:rsid w:val="002E3A3F"/>
    <w:rsid w:val="002F2CFC"/>
    <w:rsid w:val="002F3091"/>
    <w:rsid w:val="002F79AC"/>
    <w:rsid w:val="00301069"/>
    <w:rsid w:val="00302145"/>
    <w:rsid w:val="00304389"/>
    <w:rsid w:val="0030440A"/>
    <w:rsid w:val="00307427"/>
    <w:rsid w:val="00311EE6"/>
    <w:rsid w:val="00311F76"/>
    <w:rsid w:val="003157C1"/>
    <w:rsid w:val="00316952"/>
    <w:rsid w:val="003175C6"/>
    <w:rsid w:val="00317F9F"/>
    <w:rsid w:val="003206C9"/>
    <w:rsid w:val="00326E77"/>
    <w:rsid w:val="00332064"/>
    <w:rsid w:val="003351FB"/>
    <w:rsid w:val="003369B8"/>
    <w:rsid w:val="003407F7"/>
    <w:rsid w:val="00342351"/>
    <w:rsid w:val="003438AD"/>
    <w:rsid w:val="00357B44"/>
    <w:rsid w:val="00362FA8"/>
    <w:rsid w:val="00363F6B"/>
    <w:rsid w:val="00367562"/>
    <w:rsid w:val="003736C6"/>
    <w:rsid w:val="00376456"/>
    <w:rsid w:val="0037671E"/>
    <w:rsid w:val="00382F32"/>
    <w:rsid w:val="00383D79"/>
    <w:rsid w:val="00385357"/>
    <w:rsid w:val="003A34E8"/>
    <w:rsid w:val="003A4374"/>
    <w:rsid w:val="003A4AC3"/>
    <w:rsid w:val="003A5658"/>
    <w:rsid w:val="003A768F"/>
    <w:rsid w:val="003A7B29"/>
    <w:rsid w:val="003C083E"/>
    <w:rsid w:val="003C14A8"/>
    <w:rsid w:val="003C550B"/>
    <w:rsid w:val="003C69FB"/>
    <w:rsid w:val="003D048A"/>
    <w:rsid w:val="003D5D73"/>
    <w:rsid w:val="003D6DA8"/>
    <w:rsid w:val="003E1E94"/>
    <w:rsid w:val="003E2594"/>
    <w:rsid w:val="003E5067"/>
    <w:rsid w:val="003F3DEA"/>
    <w:rsid w:val="003F7DCE"/>
    <w:rsid w:val="0040127D"/>
    <w:rsid w:val="004020B9"/>
    <w:rsid w:val="004045D6"/>
    <w:rsid w:val="004105E8"/>
    <w:rsid w:val="0041067A"/>
    <w:rsid w:val="004118B2"/>
    <w:rsid w:val="004118E5"/>
    <w:rsid w:val="004121F0"/>
    <w:rsid w:val="00415777"/>
    <w:rsid w:val="00416319"/>
    <w:rsid w:val="00416610"/>
    <w:rsid w:val="00430AAE"/>
    <w:rsid w:val="00441145"/>
    <w:rsid w:val="00442613"/>
    <w:rsid w:val="00447C3D"/>
    <w:rsid w:val="00452895"/>
    <w:rsid w:val="00465A8A"/>
    <w:rsid w:val="00470280"/>
    <w:rsid w:val="00470A83"/>
    <w:rsid w:val="00471135"/>
    <w:rsid w:val="00471BAB"/>
    <w:rsid w:val="00472D1B"/>
    <w:rsid w:val="004812AE"/>
    <w:rsid w:val="00485F25"/>
    <w:rsid w:val="004862DD"/>
    <w:rsid w:val="00486DBF"/>
    <w:rsid w:val="00495E32"/>
    <w:rsid w:val="00496746"/>
    <w:rsid w:val="00497E5F"/>
    <w:rsid w:val="004A16CD"/>
    <w:rsid w:val="004A520E"/>
    <w:rsid w:val="004B5944"/>
    <w:rsid w:val="004C5EDB"/>
    <w:rsid w:val="004D3B53"/>
    <w:rsid w:val="004D70B4"/>
    <w:rsid w:val="004E2961"/>
    <w:rsid w:val="004E59DF"/>
    <w:rsid w:val="004E6644"/>
    <w:rsid w:val="004E6999"/>
    <w:rsid w:val="004F0291"/>
    <w:rsid w:val="004F0D52"/>
    <w:rsid w:val="004F147C"/>
    <w:rsid w:val="00500AB3"/>
    <w:rsid w:val="00505232"/>
    <w:rsid w:val="005118AD"/>
    <w:rsid w:val="00517678"/>
    <w:rsid w:val="00517EDA"/>
    <w:rsid w:val="005311F5"/>
    <w:rsid w:val="00537A48"/>
    <w:rsid w:val="0054278B"/>
    <w:rsid w:val="00543E5E"/>
    <w:rsid w:val="00544A88"/>
    <w:rsid w:val="00545FE6"/>
    <w:rsid w:val="0055388C"/>
    <w:rsid w:val="00554E8D"/>
    <w:rsid w:val="00555CBD"/>
    <w:rsid w:val="00556A10"/>
    <w:rsid w:val="00557135"/>
    <w:rsid w:val="005736F3"/>
    <w:rsid w:val="00577647"/>
    <w:rsid w:val="00583ABB"/>
    <w:rsid w:val="00584C34"/>
    <w:rsid w:val="005A22BB"/>
    <w:rsid w:val="005A5FDB"/>
    <w:rsid w:val="005A7C51"/>
    <w:rsid w:val="005B0B93"/>
    <w:rsid w:val="005B1616"/>
    <w:rsid w:val="005B46CD"/>
    <w:rsid w:val="005B5712"/>
    <w:rsid w:val="005B7D98"/>
    <w:rsid w:val="005C3150"/>
    <w:rsid w:val="005D0839"/>
    <w:rsid w:val="005D7378"/>
    <w:rsid w:val="005E60EE"/>
    <w:rsid w:val="005E6939"/>
    <w:rsid w:val="005F0E79"/>
    <w:rsid w:val="005F235B"/>
    <w:rsid w:val="005F2EA8"/>
    <w:rsid w:val="005F3D63"/>
    <w:rsid w:val="0060309C"/>
    <w:rsid w:val="00606D96"/>
    <w:rsid w:val="00607F54"/>
    <w:rsid w:val="00612497"/>
    <w:rsid w:val="00615D86"/>
    <w:rsid w:val="00616C9B"/>
    <w:rsid w:val="00617AB0"/>
    <w:rsid w:val="00621F98"/>
    <w:rsid w:val="006242A9"/>
    <w:rsid w:val="00625C05"/>
    <w:rsid w:val="00626650"/>
    <w:rsid w:val="006278B1"/>
    <w:rsid w:val="00627E56"/>
    <w:rsid w:val="00630FE1"/>
    <w:rsid w:val="00631233"/>
    <w:rsid w:val="00633774"/>
    <w:rsid w:val="006355B4"/>
    <w:rsid w:val="0064343F"/>
    <w:rsid w:val="00645353"/>
    <w:rsid w:val="006530BD"/>
    <w:rsid w:val="00653C5D"/>
    <w:rsid w:val="006549E2"/>
    <w:rsid w:val="006579F2"/>
    <w:rsid w:val="00660174"/>
    <w:rsid w:val="006608F9"/>
    <w:rsid w:val="00660DB1"/>
    <w:rsid w:val="006732DF"/>
    <w:rsid w:val="00675AED"/>
    <w:rsid w:val="0067664A"/>
    <w:rsid w:val="0068384A"/>
    <w:rsid w:val="00685544"/>
    <w:rsid w:val="00696D2F"/>
    <w:rsid w:val="006A5983"/>
    <w:rsid w:val="006A5A06"/>
    <w:rsid w:val="006A6940"/>
    <w:rsid w:val="006B13BA"/>
    <w:rsid w:val="006B3CB0"/>
    <w:rsid w:val="006C000B"/>
    <w:rsid w:val="006C0023"/>
    <w:rsid w:val="006C4635"/>
    <w:rsid w:val="006E200D"/>
    <w:rsid w:val="006E26B7"/>
    <w:rsid w:val="006E509A"/>
    <w:rsid w:val="006F0196"/>
    <w:rsid w:val="006F2BE4"/>
    <w:rsid w:val="006F34FD"/>
    <w:rsid w:val="006F5199"/>
    <w:rsid w:val="006F60DB"/>
    <w:rsid w:val="006F70BE"/>
    <w:rsid w:val="00700E52"/>
    <w:rsid w:val="00703359"/>
    <w:rsid w:val="00706967"/>
    <w:rsid w:val="00707F52"/>
    <w:rsid w:val="00710710"/>
    <w:rsid w:val="00713DF3"/>
    <w:rsid w:val="00717E2F"/>
    <w:rsid w:val="00721A40"/>
    <w:rsid w:val="007223E4"/>
    <w:rsid w:val="00723100"/>
    <w:rsid w:val="0072406A"/>
    <w:rsid w:val="007256CF"/>
    <w:rsid w:val="0072782D"/>
    <w:rsid w:val="00730784"/>
    <w:rsid w:val="007307EB"/>
    <w:rsid w:val="00731E89"/>
    <w:rsid w:val="00733F0B"/>
    <w:rsid w:val="00735490"/>
    <w:rsid w:val="00736769"/>
    <w:rsid w:val="0073753D"/>
    <w:rsid w:val="00740E33"/>
    <w:rsid w:val="0074112C"/>
    <w:rsid w:val="00745310"/>
    <w:rsid w:val="00745E16"/>
    <w:rsid w:val="00752118"/>
    <w:rsid w:val="00756DAC"/>
    <w:rsid w:val="00761FFA"/>
    <w:rsid w:val="00764F0F"/>
    <w:rsid w:val="007675E5"/>
    <w:rsid w:val="00767AAA"/>
    <w:rsid w:val="00771968"/>
    <w:rsid w:val="00772FBF"/>
    <w:rsid w:val="007737BE"/>
    <w:rsid w:val="00781353"/>
    <w:rsid w:val="007825D9"/>
    <w:rsid w:val="00785B81"/>
    <w:rsid w:val="00791FED"/>
    <w:rsid w:val="00792B8D"/>
    <w:rsid w:val="00793EE2"/>
    <w:rsid w:val="00795CE0"/>
    <w:rsid w:val="007A65C2"/>
    <w:rsid w:val="007A6FD7"/>
    <w:rsid w:val="007B1A7C"/>
    <w:rsid w:val="007B5E67"/>
    <w:rsid w:val="007C02DA"/>
    <w:rsid w:val="007C1A39"/>
    <w:rsid w:val="007C35DE"/>
    <w:rsid w:val="007C545C"/>
    <w:rsid w:val="007C7FBE"/>
    <w:rsid w:val="007D0032"/>
    <w:rsid w:val="007D39A9"/>
    <w:rsid w:val="007D5232"/>
    <w:rsid w:val="007D563E"/>
    <w:rsid w:val="007D5C9F"/>
    <w:rsid w:val="007D5D43"/>
    <w:rsid w:val="007D6AF2"/>
    <w:rsid w:val="007D749D"/>
    <w:rsid w:val="007E6515"/>
    <w:rsid w:val="007E75A6"/>
    <w:rsid w:val="007F25DE"/>
    <w:rsid w:val="007F43C1"/>
    <w:rsid w:val="00800EC5"/>
    <w:rsid w:val="00804870"/>
    <w:rsid w:val="00810659"/>
    <w:rsid w:val="00811F82"/>
    <w:rsid w:val="008139D4"/>
    <w:rsid w:val="00813AFE"/>
    <w:rsid w:val="0081453A"/>
    <w:rsid w:val="008155BB"/>
    <w:rsid w:val="00815B58"/>
    <w:rsid w:val="0081630F"/>
    <w:rsid w:val="00816A06"/>
    <w:rsid w:val="00817614"/>
    <w:rsid w:val="008179AB"/>
    <w:rsid w:val="008204A9"/>
    <w:rsid w:val="008206CA"/>
    <w:rsid w:val="00821919"/>
    <w:rsid w:val="008220EE"/>
    <w:rsid w:val="00822888"/>
    <w:rsid w:val="00823CE7"/>
    <w:rsid w:val="0082453D"/>
    <w:rsid w:val="00825A70"/>
    <w:rsid w:val="00830E46"/>
    <w:rsid w:val="008340C4"/>
    <w:rsid w:val="00834155"/>
    <w:rsid w:val="00834E4D"/>
    <w:rsid w:val="00836C64"/>
    <w:rsid w:val="00837421"/>
    <w:rsid w:val="00840E5A"/>
    <w:rsid w:val="0084560A"/>
    <w:rsid w:val="00846994"/>
    <w:rsid w:val="008469E8"/>
    <w:rsid w:val="00847D1F"/>
    <w:rsid w:val="00850B1E"/>
    <w:rsid w:val="0085189B"/>
    <w:rsid w:val="008552CC"/>
    <w:rsid w:val="008563DF"/>
    <w:rsid w:val="00863E40"/>
    <w:rsid w:val="008661FA"/>
    <w:rsid w:val="0087275E"/>
    <w:rsid w:val="008779A2"/>
    <w:rsid w:val="00880B6F"/>
    <w:rsid w:val="00882404"/>
    <w:rsid w:val="008855B2"/>
    <w:rsid w:val="008874F8"/>
    <w:rsid w:val="008926C9"/>
    <w:rsid w:val="00893184"/>
    <w:rsid w:val="008A0A45"/>
    <w:rsid w:val="008A0B17"/>
    <w:rsid w:val="008A0C57"/>
    <w:rsid w:val="008A10C6"/>
    <w:rsid w:val="008A2E0B"/>
    <w:rsid w:val="008B06B7"/>
    <w:rsid w:val="008B3194"/>
    <w:rsid w:val="008B3DE3"/>
    <w:rsid w:val="008B515D"/>
    <w:rsid w:val="008C28DA"/>
    <w:rsid w:val="008C5CC7"/>
    <w:rsid w:val="008D0685"/>
    <w:rsid w:val="008D1502"/>
    <w:rsid w:val="008D49A1"/>
    <w:rsid w:val="008D64BC"/>
    <w:rsid w:val="008E13EE"/>
    <w:rsid w:val="008E3406"/>
    <w:rsid w:val="008E366D"/>
    <w:rsid w:val="008E42AD"/>
    <w:rsid w:val="008E4347"/>
    <w:rsid w:val="008E66B4"/>
    <w:rsid w:val="008F1BB0"/>
    <w:rsid w:val="008F2CE2"/>
    <w:rsid w:val="008F2F77"/>
    <w:rsid w:val="0090206B"/>
    <w:rsid w:val="00904F6F"/>
    <w:rsid w:val="00906ED2"/>
    <w:rsid w:val="00910E1E"/>
    <w:rsid w:val="00913DAD"/>
    <w:rsid w:val="0092014B"/>
    <w:rsid w:val="009213C9"/>
    <w:rsid w:val="00921A05"/>
    <w:rsid w:val="00922833"/>
    <w:rsid w:val="00924B95"/>
    <w:rsid w:val="0092731C"/>
    <w:rsid w:val="00927651"/>
    <w:rsid w:val="00930872"/>
    <w:rsid w:val="00933352"/>
    <w:rsid w:val="009354D0"/>
    <w:rsid w:val="00941DA6"/>
    <w:rsid w:val="00947ACB"/>
    <w:rsid w:val="00950731"/>
    <w:rsid w:val="00952E97"/>
    <w:rsid w:val="0095428A"/>
    <w:rsid w:val="00954624"/>
    <w:rsid w:val="00956EA8"/>
    <w:rsid w:val="00957B95"/>
    <w:rsid w:val="00960147"/>
    <w:rsid w:val="00960F18"/>
    <w:rsid w:val="00961D26"/>
    <w:rsid w:val="00972033"/>
    <w:rsid w:val="0097335B"/>
    <w:rsid w:val="00973830"/>
    <w:rsid w:val="00976222"/>
    <w:rsid w:val="009808D7"/>
    <w:rsid w:val="00982751"/>
    <w:rsid w:val="00982B7D"/>
    <w:rsid w:val="009842FC"/>
    <w:rsid w:val="00987C6E"/>
    <w:rsid w:val="009902CE"/>
    <w:rsid w:val="00991A8A"/>
    <w:rsid w:val="009947E2"/>
    <w:rsid w:val="009A0DFB"/>
    <w:rsid w:val="009A1654"/>
    <w:rsid w:val="009A185C"/>
    <w:rsid w:val="009A3E38"/>
    <w:rsid w:val="009A56BE"/>
    <w:rsid w:val="009A76F9"/>
    <w:rsid w:val="009B2F7C"/>
    <w:rsid w:val="009B5450"/>
    <w:rsid w:val="009C4524"/>
    <w:rsid w:val="009C71F2"/>
    <w:rsid w:val="009D02C8"/>
    <w:rsid w:val="009D1419"/>
    <w:rsid w:val="009E432F"/>
    <w:rsid w:val="009F3985"/>
    <w:rsid w:val="009F5C71"/>
    <w:rsid w:val="00A07037"/>
    <w:rsid w:val="00A109F9"/>
    <w:rsid w:val="00A13855"/>
    <w:rsid w:val="00A13CF7"/>
    <w:rsid w:val="00A155D1"/>
    <w:rsid w:val="00A24E1B"/>
    <w:rsid w:val="00A302A2"/>
    <w:rsid w:val="00A30B3E"/>
    <w:rsid w:val="00A3221E"/>
    <w:rsid w:val="00A32AAF"/>
    <w:rsid w:val="00A33804"/>
    <w:rsid w:val="00A400E6"/>
    <w:rsid w:val="00A402CE"/>
    <w:rsid w:val="00A433A0"/>
    <w:rsid w:val="00A43B84"/>
    <w:rsid w:val="00A44BBD"/>
    <w:rsid w:val="00A4507F"/>
    <w:rsid w:val="00A46AB2"/>
    <w:rsid w:val="00A50251"/>
    <w:rsid w:val="00A539DE"/>
    <w:rsid w:val="00A53DD6"/>
    <w:rsid w:val="00A54CFF"/>
    <w:rsid w:val="00A54D9F"/>
    <w:rsid w:val="00A567D2"/>
    <w:rsid w:val="00A66669"/>
    <w:rsid w:val="00A66EEF"/>
    <w:rsid w:val="00A6740E"/>
    <w:rsid w:val="00A72419"/>
    <w:rsid w:val="00A7532E"/>
    <w:rsid w:val="00A76A64"/>
    <w:rsid w:val="00A772D0"/>
    <w:rsid w:val="00A80467"/>
    <w:rsid w:val="00A81880"/>
    <w:rsid w:val="00A84109"/>
    <w:rsid w:val="00A916D8"/>
    <w:rsid w:val="00A924F4"/>
    <w:rsid w:val="00A9251A"/>
    <w:rsid w:val="00A936DF"/>
    <w:rsid w:val="00A96DC2"/>
    <w:rsid w:val="00AA1C46"/>
    <w:rsid w:val="00AA58A9"/>
    <w:rsid w:val="00AA6A8F"/>
    <w:rsid w:val="00AC1B16"/>
    <w:rsid w:val="00AC53BF"/>
    <w:rsid w:val="00AD35B3"/>
    <w:rsid w:val="00AD46A6"/>
    <w:rsid w:val="00AD5190"/>
    <w:rsid w:val="00AD5DAF"/>
    <w:rsid w:val="00AD635B"/>
    <w:rsid w:val="00AD6B3C"/>
    <w:rsid w:val="00AD7434"/>
    <w:rsid w:val="00AE1E57"/>
    <w:rsid w:val="00AE2881"/>
    <w:rsid w:val="00AE5207"/>
    <w:rsid w:val="00AE7A46"/>
    <w:rsid w:val="00AF06F5"/>
    <w:rsid w:val="00AF3CAC"/>
    <w:rsid w:val="00AF67A9"/>
    <w:rsid w:val="00B031A1"/>
    <w:rsid w:val="00B04621"/>
    <w:rsid w:val="00B05EB2"/>
    <w:rsid w:val="00B10021"/>
    <w:rsid w:val="00B11EE7"/>
    <w:rsid w:val="00B12765"/>
    <w:rsid w:val="00B139C9"/>
    <w:rsid w:val="00B167AF"/>
    <w:rsid w:val="00B177D4"/>
    <w:rsid w:val="00B21582"/>
    <w:rsid w:val="00B21AA6"/>
    <w:rsid w:val="00B21DB0"/>
    <w:rsid w:val="00B21FD2"/>
    <w:rsid w:val="00B229C6"/>
    <w:rsid w:val="00B237AB"/>
    <w:rsid w:val="00B239DB"/>
    <w:rsid w:val="00B268D7"/>
    <w:rsid w:val="00B3022D"/>
    <w:rsid w:val="00B32E27"/>
    <w:rsid w:val="00B32EE7"/>
    <w:rsid w:val="00B40F9A"/>
    <w:rsid w:val="00B475D5"/>
    <w:rsid w:val="00B5215C"/>
    <w:rsid w:val="00B521D3"/>
    <w:rsid w:val="00B53CD3"/>
    <w:rsid w:val="00B57A2E"/>
    <w:rsid w:val="00B61A98"/>
    <w:rsid w:val="00B64489"/>
    <w:rsid w:val="00B66F16"/>
    <w:rsid w:val="00B73094"/>
    <w:rsid w:val="00B74509"/>
    <w:rsid w:val="00B775ED"/>
    <w:rsid w:val="00B80D49"/>
    <w:rsid w:val="00B8238B"/>
    <w:rsid w:val="00B82ABD"/>
    <w:rsid w:val="00B83E8B"/>
    <w:rsid w:val="00B849D9"/>
    <w:rsid w:val="00B85404"/>
    <w:rsid w:val="00B90AD0"/>
    <w:rsid w:val="00B92471"/>
    <w:rsid w:val="00B92865"/>
    <w:rsid w:val="00B928EE"/>
    <w:rsid w:val="00B945F9"/>
    <w:rsid w:val="00B972EE"/>
    <w:rsid w:val="00BA0161"/>
    <w:rsid w:val="00BA1D8C"/>
    <w:rsid w:val="00BA4920"/>
    <w:rsid w:val="00BA69E3"/>
    <w:rsid w:val="00BB21C2"/>
    <w:rsid w:val="00BB4F61"/>
    <w:rsid w:val="00BB69BC"/>
    <w:rsid w:val="00BC1E92"/>
    <w:rsid w:val="00BC310C"/>
    <w:rsid w:val="00BC348B"/>
    <w:rsid w:val="00BC4BB6"/>
    <w:rsid w:val="00BC6683"/>
    <w:rsid w:val="00BD566E"/>
    <w:rsid w:val="00BE1530"/>
    <w:rsid w:val="00BE1FE7"/>
    <w:rsid w:val="00BE2A4C"/>
    <w:rsid w:val="00BE2CC5"/>
    <w:rsid w:val="00BE453E"/>
    <w:rsid w:val="00BE4BD9"/>
    <w:rsid w:val="00BE5D2B"/>
    <w:rsid w:val="00BE73E7"/>
    <w:rsid w:val="00BF0370"/>
    <w:rsid w:val="00BF3F5F"/>
    <w:rsid w:val="00BF4416"/>
    <w:rsid w:val="00BF453C"/>
    <w:rsid w:val="00BF4D37"/>
    <w:rsid w:val="00C01385"/>
    <w:rsid w:val="00C0201E"/>
    <w:rsid w:val="00C02DA9"/>
    <w:rsid w:val="00C043F9"/>
    <w:rsid w:val="00C048BC"/>
    <w:rsid w:val="00C04A55"/>
    <w:rsid w:val="00C06C9F"/>
    <w:rsid w:val="00C1037E"/>
    <w:rsid w:val="00C13029"/>
    <w:rsid w:val="00C14C54"/>
    <w:rsid w:val="00C16462"/>
    <w:rsid w:val="00C20DFB"/>
    <w:rsid w:val="00C227DC"/>
    <w:rsid w:val="00C27197"/>
    <w:rsid w:val="00C33E50"/>
    <w:rsid w:val="00C35B3D"/>
    <w:rsid w:val="00C376BB"/>
    <w:rsid w:val="00C4017D"/>
    <w:rsid w:val="00C40870"/>
    <w:rsid w:val="00C502C3"/>
    <w:rsid w:val="00C50ACC"/>
    <w:rsid w:val="00C52C54"/>
    <w:rsid w:val="00C53CEC"/>
    <w:rsid w:val="00C57932"/>
    <w:rsid w:val="00C603EB"/>
    <w:rsid w:val="00C624D2"/>
    <w:rsid w:val="00C62B39"/>
    <w:rsid w:val="00C710CD"/>
    <w:rsid w:val="00C73C39"/>
    <w:rsid w:val="00C7504D"/>
    <w:rsid w:val="00C820B2"/>
    <w:rsid w:val="00C82475"/>
    <w:rsid w:val="00C824F6"/>
    <w:rsid w:val="00C904CF"/>
    <w:rsid w:val="00C9347D"/>
    <w:rsid w:val="00C955FF"/>
    <w:rsid w:val="00CA0298"/>
    <w:rsid w:val="00CA626C"/>
    <w:rsid w:val="00CA7B57"/>
    <w:rsid w:val="00CB3299"/>
    <w:rsid w:val="00CB5F08"/>
    <w:rsid w:val="00CB7B5F"/>
    <w:rsid w:val="00CC0CDD"/>
    <w:rsid w:val="00CC6E93"/>
    <w:rsid w:val="00CD7D1B"/>
    <w:rsid w:val="00CE1C71"/>
    <w:rsid w:val="00CE1E0A"/>
    <w:rsid w:val="00CE61F6"/>
    <w:rsid w:val="00CE76A3"/>
    <w:rsid w:val="00CF04C4"/>
    <w:rsid w:val="00CF10C4"/>
    <w:rsid w:val="00CF250F"/>
    <w:rsid w:val="00CF2584"/>
    <w:rsid w:val="00D0175B"/>
    <w:rsid w:val="00D047AE"/>
    <w:rsid w:val="00D160AD"/>
    <w:rsid w:val="00D2751E"/>
    <w:rsid w:val="00D27997"/>
    <w:rsid w:val="00D3016E"/>
    <w:rsid w:val="00D31FF1"/>
    <w:rsid w:val="00D325B8"/>
    <w:rsid w:val="00D332DC"/>
    <w:rsid w:val="00D334E9"/>
    <w:rsid w:val="00D33C07"/>
    <w:rsid w:val="00D355E8"/>
    <w:rsid w:val="00D41BB8"/>
    <w:rsid w:val="00D43A5B"/>
    <w:rsid w:val="00D45491"/>
    <w:rsid w:val="00D47DDA"/>
    <w:rsid w:val="00D51381"/>
    <w:rsid w:val="00D539F5"/>
    <w:rsid w:val="00D64DC3"/>
    <w:rsid w:val="00D669B8"/>
    <w:rsid w:val="00D71AC5"/>
    <w:rsid w:val="00D74A12"/>
    <w:rsid w:val="00D7545D"/>
    <w:rsid w:val="00D76D33"/>
    <w:rsid w:val="00D7730B"/>
    <w:rsid w:val="00D955A6"/>
    <w:rsid w:val="00D95984"/>
    <w:rsid w:val="00DA00F9"/>
    <w:rsid w:val="00DA6312"/>
    <w:rsid w:val="00DA7658"/>
    <w:rsid w:val="00DB001F"/>
    <w:rsid w:val="00DB0533"/>
    <w:rsid w:val="00DB3347"/>
    <w:rsid w:val="00DB58CD"/>
    <w:rsid w:val="00DB58ED"/>
    <w:rsid w:val="00DB69FB"/>
    <w:rsid w:val="00DB6B69"/>
    <w:rsid w:val="00DC0F41"/>
    <w:rsid w:val="00DC3DD5"/>
    <w:rsid w:val="00DC43C1"/>
    <w:rsid w:val="00DD1594"/>
    <w:rsid w:val="00DD4B39"/>
    <w:rsid w:val="00DD5585"/>
    <w:rsid w:val="00DE37CD"/>
    <w:rsid w:val="00DE482E"/>
    <w:rsid w:val="00DF0B85"/>
    <w:rsid w:val="00DF1A25"/>
    <w:rsid w:val="00DF1BAF"/>
    <w:rsid w:val="00DF2885"/>
    <w:rsid w:val="00DF3C27"/>
    <w:rsid w:val="00E00076"/>
    <w:rsid w:val="00E03443"/>
    <w:rsid w:val="00E10959"/>
    <w:rsid w:val="00E122C0"/>
    <w:rsid w:val="00E14866"/>
    <w:rsid w:val="00E24287"/>
    <w:rsid w:val="00E25034"/>
    <w:rsid w:val="00E2776F"/>
    <w:rsid w:val="00E32E2B"/>
    <w:rsid w:val="00E340A3"/>
    <w:rsid w:val="00E34237"/>
    <w:rsid w:val="00E35879"/>
    <w:rsid w:val="00E437E4"/>
    <w:rsid w:val="00E61F19"/>
    <w:rsid w:val="00E626AB"/>
    <w:rsid w:val="00E62871"/>
    <w:rsid w:val="00E6408F"/>
    <w:rsid w:val="00E65C66"/>
    <w:rsid w:val="00E67239"/>
    <w:rsid w:val="00E708FA"/>
    <w:rsid w:val="00E7165B"/>
    <w:rsid w:val="00E72B21"/>
    <w:rsid w:val="00E73389"/>
    <w:rsid w:val="00E738DE"/>
    <w:rsid w:val="00E80871"/>
    <w:rsid w:val="00E81567"/>
    <w:rsid w:val="00E87E6D"/>
    <w:rsid w:val="00E90848"/>
    <w:rsid w:val="00E914B4"/>
    <w:rsid w:val="00E940E4"/>
    <w:rsid w:val="00E95FCE"/>
    <w:rsid w:val="00E96820"/>
    <w:rsid w:val="00EA3F19"/>
    <w:rsid w:val="00EA6C23"/>
    <w:rsid w:val="00EB38C3"/>
    <w:rsid w:val="00EB424F"/>
    <w:rsid w:val="00EB65B6"/>
    <w:rsid w:val="00EC0AEB"/>
    <w:rsid w:val="00EC268E"/>
    <w:rsid w:val="00EC5F30"/>
    <w:rsid w:val="00EC68F7"/>
    <w:rsid w:val="00ED076C"/>
    <w:rsid w:val="00ED3620"/>
    <w:rsid w:val="00ED52E1"/>
    <w:rsid w:val="00ED5862"/>
    <w:rsid w:val="00EE043E"/>
    <w:rsid w:val="00EE12F9"/>
    <w:rsid w:val="00EE1B83"/>
    <w:rsid w:val="00EE2603"/>
    <w:rsid w:val="00EE2CCC"/>
    <w:rsid w:val="00EE4919"/>
    <w:rsid w:val="00EE70EF"/>
    <w:rsid w:val="00EF0209"/>
    <w:rsid w:val="00EF2212"/>
    <w:rsid w:val="00EF426B"/>
    <w:rsid w:val="00F00577"/>
    <w:rsid w:val="00F03F8A"/>
    <w:rsid w:val="00F0795B"/>
    <w:rsid w:val="00F11BE1"/>
    <w:rsid w:val="00F145C0"/>
    <w:rsid w:val="00F173EA"/>
    <w:rsid w:val="00F216AC"/>
    <w:rsid w:val="00F21C58"/>
    <w:rsid w:val="00F22ECC"/>
    <w:rsid w:val="00F362FB"/>
    <w:rsid w:val="00F414CE"/>
    <w:rsid w:val="00F455AF"/>
    <w:rsid w:val="00F46F25"/>
    <w:rsid w:val="00F5017C"/>
    <w:rsid w:val="00F5763D"/>
    <w:rsid w:val="00F6136C"/>
    <w:rsid w:val="00F62DA4"/>
    <w:rsid w:val="00F64B9B"/>
    <w:rsid w:val="00F66927"/>
    <w:rsid w:val="00F70DFA"/>
    <w:rsid w:val="00F72179"/>
    <w:rsid w:val="00F7297C"/>
    <w:rsid w:val="00F74F88"/>
    <w:rsid w:val="00F75A7D"/>
    <w:rsid w:val="00F820F2"/>
    <w:rsid w:val="00F84EDB"/>
    <w:rsid w:val="00F9194B"/>
    <w:rsid w:val="00F93CB2"/>
    <w:rsid w:val="00F957A1"/>
    <w:rsid w:val="00FA1B54"/>
    <w:rsid w:val="00FA3796"/>
    <w:rsid w:val="00FA3DCD"/>
    <w:rsid w:val="00FA3FA2"/>
    <w:rsid w:val="00FA6920"/>
    <w:rsid w:val="00FA7607"/>
    <w:rsid w:val="00FB4942"/>
    <w:rsid w:val="00FC0C25"/>
    <w:rsid w:val="00FC1CA6"/>
    <w:rsid w:val="00FC2ECE"/>
    <w:rsid w:val="00FC53F9"/>
    <w:rsid w:val="00FC56FA"/>
    <w:rsid w:val="00FD4840"/>
    <w:rsid w:val="00FE33E2"/>
    <w:rsid w:val="00FE67F9"/>
    <w:rsid w:val="00FE7BC3"/>
    <w:rsid w:val="00FE7C2C"/>
    <w:rsid w:val="00FF2815"/>
    <w:rsid w:val="00FF2C05"/>
    <w:rsid w:val="00FF3D4D"/>
    <w:rsid w:val="00FF5B0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E8C78EE"/>
  <w15:chartTrackingRefBased/>
  <w15:docId w15:val="{D70E3CDA-F816-46BA-8F2C-CD10B667A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F5C7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862D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B046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621"/>
    <w:rPr>
      <w:rFonts w:ascii="Segoe UI" w:hAnsi="Segoe UI" w:cs="Segoe UI"/>
      <w:sz w:val="18"/>
      <w:szCs w:val="18"/>
    </w:rPr>
  </w:style>
  <w:style w:type="paragraph" w:styleId="FootnoteText">
    <w:name w:val="footnote text"/>
    <w:aliases w:val="Footnote Text Char Char Char4 Char,Footnote Text Char1,Footnote Text Char4 Char1 Char,Footnote Text Char4 Char1 Char Char Char Char,Footnote Text Char7 Char,Footnote Text Char7 Char Char Char Char,f,fn,fn Char,fn Char Char,ft,rrfootnote"/>
    <w:basedOn w:val="Normal"/>
    <w:link w:val="FootnoteTextChar"/>
    <w:qFormat/>
    <w:rsid w:val="00B04621"/>
    <w:pPr>
      <w:spacing w:after="120"/>
    </w:pPr>
    <w:rPr>
      <w:snapToGrid w:val="0"/>
    </w:rPr>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f Char"/>
    <w:basedOn w:val="DefaultParagraphFont"/>
    <w:link w:val="FootnoteText"/>
    <w:rsid w:val="00B04621"/>
    <w:rPr>
      <w:snapToGrid w:val="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B04621"/>
    <w:rPr>
      <w:rFonts w:ascii="CG Times" w:hAnsi="CG Times"/>
      <w:sz w:val="20"/>
      <w:vertAlign w:val="superscript"/>
    </w:rPr>
  </w:style>
  <w:style w:type="paragraph" w:styleId="BodyText">
    <w:name w:val="Body Text"/>
    <w:basedOn w:val="Normal"/>
    <w:link w:val="BodyTextChar"/>
    <w:rsid w:val="00B04621"/>
    <w:pPr>
      <w:jc w:val="both"/>
    </w:pPr>
    <w:rPr>
      <w:sz w:val="24"/>
    </w:rPr>
  </w:style>
  <w:style w:type="character" w:customStyle="1" w:styleId="BodyTextChar">
    <w:name w:val="Body Text Char"/>
    <w:basedOn w:val="DefaultParagraphFont"/>
    <w:link w:val="BodyText"/>
    <w:rsid w:val="00B04621"/>
    <w:rPr>
      <w:sz w:val="24"/>
    </w:rPr>
  </w:style>
  <w:style w:type="character" w:customStyle="1" w:styleId="cosearchterm">
    <w:name w:val="co_searchterm"/>
    <w:rsid w:val="00B04621"/>
  </w:style>
  <w:style w:type="paragraph" w:styleId="EndnoteText">
    <w:name w:val="endnote text"/>
    <w:basedOn w:val="Normal"/>
    <w:link w:val="EndnoteTextChar"/>
    <w:rsid w:val="00B04621"/>
    <w:pPr>
      <w:widowControl w:val="0"/>
    </w:pPr>
    <w:rPr>
      <w:snapToGrid w:val="0"/>
      <w:sz w:val="24"/>
    </w:rPr>
  </w:style>
  <w:style w:type="character" w:customStyle="1" w:styleId="EndnoteTextChar">
    <w:name w:val="Endnote Text Char"/>
    <w:basedOn w:val="DefaultParagraphFont"/>
    <w:link w:val="EndnoteText"/>
    <w:rsid w:val="00B04621"/>
    <w:rPr>
      <w:snapToGrid w:val="0"/>
      <w:sz w:val="24"/>
    </w:rPr>
  </w:style>
  <w:style w:type="character" w:styleId="CommentReference">
    <w:name w:val="annotation reference"/>
    <w:basedOn w:val="DefaultParagraphFont"/>
    <w:uiPriority w:val="99"/>
    <w:semiHidden/>
    <w:unhideWhenUsed/>
    <w:rsid w:val="00B04621"/>
    <w:rPr>
      <w:sz w:val="16"/>
      <w:szCs w:val="16"/>
    </w:rPr>
  </w:style>
  <w:style w:type="paragraph" w:styleId="CommentText">
    <w:name w:val="annotation text"/>
    <w:basedOn w:val="Normal"/>
    <w:link w:val="CommentTextChar"/>
    <w:uiPriority w:val="99"/>
    <w:semiHidden/>
    <w:unhideWhenUsed/>
    <w:rsid w:val="00B04621"/>
  </w:style>
  <w:style w:type="character" w:customStyle="1" w:styleId="CommentTextChar">
    <w:name w:val="Comment Text Char"/>
    <w:basedOn w:val="DefaultParagraphFont"/>
    <w:link w:val="CommentText"/>
    <w:uiPriority w:val="99"/>
    <w:semiHidden/>
    <w:rsid w:val="00B04621"/>
  </w:style>
  <w:style w:type="paragraph" w:styleId="CommentSubject">
    <w:name w:val="annotation subject"/>
    <w:basedOn w:val="CommentText"/>
    <w:next w:val="CommentText"/>
    <w:link w:val="CommentSubjectChar"/>
    <w:uiPriority w:val="99"/>
    <w:semiHidden/>
    <w:unhideWhenUsed/>
    <w:rsid w:val="00B04621"/>
    <w:rPr>
      <w:b/>
      <w:bCs/>
    </w:rPr>
  </w:style>
  <w:style w:type="character" w:customStyle="1" w:styleId="CommentSubjectChar">
    <w:name w:val="Comment Subject Char"/>
    <w:basedOn w:val="CommentTextChar"/>
    <w:link w:val="CommentSubject"/>
    <w:uiPriority w:val="99"/>
    <w:semiHidden/>
    <w:rsid w:val="00B04621"/>
    <w:rPr>
      <w:b/>
      <w:bCs/>
    </w:rPr>
  </w:style>
  <w:style w:type="character" w:customStyle="1" w:styleId="FooterChar">
    <w:name w:val="Footer Char"/>
    <w:basedOn w:val="DefaultParagraphFont"/>
    <w:link w:val="Footer"/>
    <w:uiPriority w:val="99"/>
    <w:rsid w:val="00006B52"/>
  </w:style>
  <w:style w:type="character" w:customStyle="1" w:styleId="normaltextrun">
    <w:name w:val="normaltextrun"/>
    <w:basedOn w:val="DefaultParagraphFont"/>
    <w:rsid w:val="00607F54"/>
  </w:style>
  <w:style w:type="character" w:customStyle="1" w:styleId="spellingerror">
    <w:name w:val="spellingerror"/>
    <w:basedOn w:val="DefaultParagraphFont"/>
    <w:rsid w:val="00607F54"/>
  </w:style>
  <w:style w:type="character" w:customStyle="1" w:styleId="eop">
    <w:name w:val="eop"/>
    <w:basedOn w:val="DefaultParagraphFont"/>
    <w:rsid w:val="00607F54"/>
  </w:style>
  <w:style w:type="paragraph" w:styleId="ListParagraph">
    <w:name w:val="List Paragraph"/>
    <w:basedOn w:val="Normal"/>
    <w:uiPriority w:val="34"/>
    <w:qFormat/>
    <w:rsid w:val="00C603EB"/>
    <w:pPr>
      <w:ind w:left="720"/>
      <w:contextualSpacing/>
    </w:pPr>
  </w:style>
  <w:style w:type="character" w:styleId="Hyperlink">
    <w:name w:val="Hyperlink"/>
    <w:basedOn w:val="DefaultParagraphFont"/>
    <w:uiPriority w:val="99"/>
    <w:unhideWhenUsed/>
    <w:rsid w:val="00114009"/>
    <w:rPr>
      <w:color w:val="0563C1" w:themeColor="hyperlink"/>
      <w:u w:val="single"/>
    </w:rPr>
  </w:style>
  <w:style w:type="character" w:customStyle="1" w:styleId="UnresolvedMention">
    <w:name w:val="Unresolved Mention"/>
    <w:basedOn w:val="DefaultParagraphFont"/>
    <w:uiPriority w:val="99"/>
    <w:semiHidden/>
    <w:unhideWhenUsed/>
    <w:rsid w:val="00114009"/>
    <w:rPr>
      <w:color w:val="605E5C"/>
      <w:shd w:val="clear" w:color="auto" w:fill="E1DFDD"/>
    </w:rPr>
  </w:style>
  <w:style w:type="paragraph" w:customStyle="1" w:styleId="ParaNum">
    <w:name w:val="ParaNum"/>
    <w:basedOn w:val="Normal"/>
    <w:link w:val="ParaNumChar"/>
    <w:rsid w:val="00837421"/>
    <w:pPr>
      <w:widowControl w:val="0"/>
      <w:numPr>
        <w:numId w:val="3"/>
      </w:numPr>
      <w:spacing w:after="120"/>
    </w:pPr>
    <w:rPr>
      <w:snapToGrid w:val="0"/>
      <w:kern w:val="28"/>
      <w:sz w:val="22"/>
    </w:rPr>
  </w:style>
  <w:style w:type="character" w:customStyle="1" w:styleId="ParaNumChar">
    <w:name w:val="ParaNum Char"/>
    <w:link w:val="ParaNum"/>
    <w:locked/>
    <w:rsid w:val="00837421"/>
    <w:rPr>
      <w:snapToGrid w:val="0"/>
      <w:kern w:val="28"/>
      <w:sz w:val="22"/>
    </w:rPr>
  </w:style>
  <w:style w:type="character" w:styleId="Emphasis">
    <w:name w:val="Emphasis"/>
    <w:basedOn w:val="DefaultParagraphFont"/>
    <w:uiPriority w:val="20"/>
    <w:qFormat/>
    <w:rsid w:val="00837421"/>
    <w:rPr>
      <w:i/>
      <w:iCs/>
    </w:rPr>
  </w:style>
  <w:style w:type="character" w:styleId="Strong">
    <w:name w:val="Strong"/>
    <w:basedOn w:val="DefaultParagraphFont"/>
    <w:uiPriority w:val="22"/>
    <w:qFormat/>
    <w:rsid w:val="004862DD"/>
    <w:rPr>
      <w:b/>
      <w:bCs/>
    </w:rPr>
  </w:style>
  <w:style w:type="character" w:customStyle="1" w:styleId="Heading3Char">
    <w:name w:val="Heading 3 Char"/>
    <w:basedOn w:val="DefaultParagraphFont"/>
    <w:link w:val="Heading3"/>
    <w:uiPriority w:val="9"/>
    <w:rsid w:val="004862DD"/>
    <w:rPr>
      <w:b/>
      <w:bCs/>
      <w:sz w:val="27"/>
      <w:szCs w:val="27"/>
    </w:rPr>
  </w:style>
  <w:style w:type="character" w:customStyle="1" w:styleId="costarpage">
    <w:name w:val="co_starpage"/>
    <w:basedOn w:val="DefaultParagraphFont"/>
    <w:rsid w:val="00176688"/>
  </w:style>
  <w:style w:type="character" w:customStyle="1" w:styleId="superscript">
    <w:name w:val="superscript"/>
    <w:basedOn w:val="DefaultParagraphFont"/>
    <w:rsid w:val="001247BF"/>
  </w:style>
  <w:style w:type="character" w:customStyle="1" w:styleId="cohovertext">
    <w:name w:val="co_hovertext"/>
    <w:basedOn w:val="DefaultParagraphFont"/>
    <w:rsid w:val="006C000B"/>
  </w:style>
  <w:style w:type="character" w:customStyle="1" w:styleId="coconcept120126">
    <w:name w:val="co_concept_120_126"/>
    <w:basedOn w:val="DefaultParagraphFont"/>
    <w:rsid w:val="0064343F"/>
  </w:style>
  <w:style w:type="character" w:customStyle="1" w:styleId="coconcept47">
    <w:name w:val="co_concept_4_7"/>
    <w:basedOn w:val="DefaultParagraphFont"/>
    <w:rsid w:val="0064343F"/>
  </w:style>
  <w:style w:type="character" w:customStyle="1" w:styleId="coconcept110118">
    <w:name w:val="co_concept_110_118"/>
    <w:basedOn w:val="DefaultParagraphFont"/>
    <w:rsid w:val="0064343F"/>
  </w:style>
  <w:style w:type="paragraph" w:customStyle="1" w:styleId="paragraph">
    <w:name w:val="paragraph"/>
    <w:basedOn w:val="Normal"/>
    <w:rsid w:val="00E65C66"/>
    <w:pPr>
      <w:spacing w:before="100" w:beforeAutospacing="1" w:after="100" w:afterAutospacing="1"/>
    </w:pPr>
    <w:rPr>
      <w:sz w:val="24"/>
      <w:szCs w:val="24"/>
    </w:rPr>
  </w:style>
  <w:style w:type="character" w:customStyle="1" w:styleId="counderline">
    <w:name w:val="co_underline"/>
    <w:basedOn w:val="DefaultParagraphFont"/>
    <w:rsid w:val="00543E5E"/>
  </w:style>
  <w:style w:type="character" w:customStyle="1" w:styleId="coconcept5664">
    <w:name w:val="co_concept_56_64"/>
    <w:basedOn w:val="DefaultParagraphFont"/>
    <w:rsid w:val="00543E5E"/>
  </w:style>
  <w:style w:type="character" w:customStyle="1" w:styleId="coconcept4150">
    <w:name w:val="co_concept_41_50"/>
    <w:basedOn w:val="DefaultParagraphFont"/>
    <w:rsid w:val="00543E5E"/>
  </w:style>
  <w:style w:type="character" w:styleId="FollowedHyperlink">
    <w:name w:val="FollowedHyperlink"/>
    <w:basedOn w:val="DefaultParagraphFont"/>
    <w:uiPriority w:val="99"/>
    <w:semiHidden/>
    <w:unhideWhenUsed/>
    <w:rsid w:val="00FE7C2C"/>
    <w:rPr>
      <w:color w:val="954F72" w:themeColor="followedHyperlink"/>
      <w:u w:val="single"/>
    </w:rPr>
  </w:style>
  <w:style w:type="character" w:customStyle="1" w:styleId="coconcept6268">
    <w:name w:val="co_concept_62_68"/>
    <w:basedOn w:val="DefaultParagraphFont"/>
    <w:rsid w:val="00CC6E93"/>
  </w:style>
  <w:style w:type="character" w:customStyle="1" w:styleId="coconcept7581">
    <w:name w:val="co_concept_75_81"/>
    <w:basedOn w:val="DefaultParagraphFont"/>
    <w:rsid w:val="00CC6E93"/>
  </w:style>
  <w:style w:type="character" w:customStyle="1" w:styleId="coconcept3744">
    <w:name w:val="co_concept_37_44"/>
    <w:basedOn w:val="DefaultParagraphFont"/>
    <w:rsid w:val="00CC6E93"/>
  </w:style>
  <w:style w:type="character" w:customStyle="1" w:styleId="FootnoteTextChar1CharChar">
    <w:name w:val="Footnote Text Char1 Char Char"/>
    <w:aliases w:val="Footnote Text Char Char Char Char,Footnote Text Char Char Char Char Char Char,Footnote Text Char1 Char Char Char Char,Footnote Text Char3 Char Char,Style 5 Char Char Char,Style Char,rrfootnote Char Char Char"/>
    <w:rsid w:val="008A10C6"/>
  </w:style>
  <w:style w:type="character" w:customStyle="1" w:styleId="findhit">
    <w:name w:val="findhit"/>
    <w:basedOn w:val="DefaultParagraphFont"/>
    <w:rsid w:val="00F84EDB"/>
  </w:style>
  <w:style w:type="character" w:customStyle="1" w:styleId="coconcept4855">
    <w:name w:val="co_concept_48_55"/>
    <w:basedOn w:val="DefaultParagraphFont"/>
    <w:rsid w:val="00A772D0"/>
  </w:style>
  <w:style w:type="character" w:customStyle="1" w:styleId="coconcept6066">
    <w:name w:val="co_concept_60_66"/>
    <w:basedOn w:val="DefaultParagraphFont"/>
    <w:rsid w:val="00A772D0"/>
  </w:style>
  <w:style w:type="paragraph" w:styleId="NormalWeb">
    <w:name w:val="Normal (Web)"/>
    <w:basedOn w:val="Normal"/>
    <w:uiPriority w:val="99"/>
    <w:unhideWhenUsed/>
    <w:rsid w:val="00270ABF"/>
    <w:pPr>
      <w:spacing w:before="100" w:beforeAutospacing="1" w:after="100" w:afterAutospacing="1"/>
    </w:pPr>
    <w:rPr>
      <w:sz w:val="24"/>
      <w:szCs w:val="24"/>
    </w:rPr>
  </w:style>
  <w:style w:type="paragraph" w:styleId="Revision">
    <w:name w:val="Revision"/>
    <w:hidden/>
    <w:uiPriority w:val="99"/>
    <w:semiHidden/>
    <w:rsid w:val="00087FAF"/>
  </w:style>
  <w:style w:type="character" w:customStyle="1" w:styleId="coconcept6477">
    <w:name w:val="co_concept_64_77"/>
    <w:basedOn w:val="DefaultParagraphFont"/>
    <w:rsid w:val="00C820B2"/>
  </w:style>
  <w:style w:type="character" w:customStyle="1" w:styleId="coconcept7983">
    <w:name w:val="co_concept_79_83"/>
    <w:basedOn w:val="DefaultParagraphFont"/>
    <w:rsid w:val="00C820B2"/>
  </w:style>
  <w:style w:type="character" w:customStyle="1" w:styleId="coconcept8794">
    <w:name w:val="co_concept_87_94"/>
    <w:basedOn w:val="DefaultParagraphFont"/>
    <w:rsid w:val="00C820B2"/>
  </w:style>
  <w:style w:type="character" w:customStyle="1" w:styleId="cosmallcaps">
    <w:name w:val="co_smallcaps"/>
    <w:basedOn w:val="DefaultParagraphFont"/>
    <w:rsid w:val="008220EE"/>
  </w:style>
  <w:style w:type="character" w:customStyle="1" w:styleId="cosearchwithinterm">
    <w:name w:val="co_searchwithinterm"/>
    <w:basedOn w:val="DefaultParagraphFont"/>
    <w:rsid w:val="008204A9"/>
  </w:style>
  <w:style w:type="character" w:customStyle="1" w:styleId="Heading2Char">
    <w:name w:val="Heading 2 Char"/>
    <w:basedOn w:val="DefaultParagraphFont"/>
    <w:link w:val="Heading2"/>
    <w:uiPriority w:val="9"/>
    <w:rsid w:val="009F5C7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about:blank"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