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rsidRPr="00EE591E" w:rsidP="009E1B64" w14:paraId="4EE61D61" w14:textId="391792CC">
      <w:pPr>
        <w:rPr>
          <w:sz w:val="22"/>
          <w:szCs w:val="22"/>
        </w:rPr>
      </w:pPr>
    </w:p>
    <w:p w:rsidR="00D47AEA" w:rsidRPr="00D47AEA" w:rsidP="009E1B64" w14:paraId="62C8C24C" w14:textId="098840A7">
      <w:pPr>
        <w:ind w:left="5760" w:firstLine="720"/>
        <w:rPr>
          <w:b/>
          <w:bCs/>
          <w:iCs/>
          <w:sz w:val="22"/>
          <w:szCs w:val="22"/>
        </w:rPr>
      </w:pPr>
      <w:r w:rsidRPr="00D47AEA">
        <w:rPr>
          <w:b/>
          <w:bCs/>
          <w:iCs/>
          <w:sz w:val="22"/>
          <w:szCs w:val="22"/>
        </w:rPr>
        <w:t>DA 22-</w:t>
      </w:r>
      <w:r w:rsidR="00683844">
        <w:rPr>
          <w:b/>
          <w:bCs/>
          <w:iCs/>
          <w:sz w:val="22"/>
          <w:szCs w:val="22"/>
        </w:rPr>
        <w:t>606</w:t>
      </w:r>
    </w:p>
    <w:p w:rsidR="00D47AEA" w:rsidRPr="00D47AEA" w:rsidP="009E1B64" w14:paraId="6BD1EC31" w14:textId="7CC5CA38">
      <w:pPr>
        <w:ind w:left="5760" w:firstLine="720"/>
        <w:rPr>
          <w:b/>
          <w:bCs/>
          <w:iCs/>
          <w:sz w:val="22"/>
          <w:szCs w:val="22"/>
        </w:rPr>
      </w:pPr>
      <w:r w:rsidRPr="00D47AEA">
        <w:rPr>
          <w:b/>
          <w:bCs/>
          <w:iCs/>
          <w:sz w:val="22"/>
          <w:szCs w:val="22"/>
        </w:rPr>
        <w:t xml:space="preserve">Released:  June </w:t>
      </w:r>
      <w:r w:rsidR="00683844">
        <w:rPr>
          <w:b/>
          <w:bCs/>
          <w:iCs/>
          <w:sz w:val="22"/>
          <w:szCs w:val="22"/>
        </w:rPr>
        <w:t>6,</w:t>
      </w:r>
      <w:r w:rsidRPr="00D47AEA">
        <w:rPr>
          <w:b/>
          <w:bCs/>
          <w:iCs/>
          <w:sz w:val="22"/>
          <w:szCs w:val="22"/>
        </w:rPr>
        <w:t xml:space="preserve"> 2022</w:t>
      </w:r>
    </w:p>
    <w:p w:rsidR="00AA07F6" w:rsidRPr="00EE591E" w:rsidP="009E1B64" w14:paraId="65B6D41B" w14:textId="3F3B58C1">
      <w:pPr>
        <w:ind w:left="5760" w:firstLine="720"/>
        <w:rPr>
          <w:i/>
          <w:sz w:val="22"/>
          <w:szCs w:val="22"/>
        </w:rPr>
      </w:pPr>
      <w:r w:rsidRPr="00EE591E">
        <w:rPr>
          <w:i/>
          <w:sz w:val="22"/>
          <w:szCs w:val="22"/>
        </w:rPr>
        <w:t>In Reply Refer to:</w:t>
      </w:r>
    </w:p>
    <w:p w:rsidR="00AA07F6" w:rsidRPr="00EE591E" w:rsidP="009E1B64" w14:paraId="11D99F66" w14:textId="3DC08625">
      <w:pPr>
        <w:tabs>
          <w:tab w:val="left" w:pos="6480"/>
        </w:tabs>
        <w:rPr>
          <w:sz w:val="22"/>
          <w:szCs w:val="22"/>
        </w:rPr>
      </w:pPr>
      <w:r w:rsidRPr="00EE591E">
        <w:rPr>
          <w:sz w:val="22"/>
          <w:szCs w:val="22"/>
        </w:rPr>
        <w:tab/>
        <w:t>1800B3-HOD</w:t>
      </w:r>
    </w:p>
    <w:p w:rsidR="0056443A" w:rsidRPr="00EE591E" w:rsidP="009E1B64" w14:paraId="1DE715E8" w14:textId="77777777">
      <w:pPr>
        <w:tabs>
          <w:tab w:val="left" w:pos="6480"/>
        </w:tabs>
        <w:rPr>
          <w:sz w:val="22"/>
          <w:szCs w:val="22"/>
        </w:rPr>
      </w:pPr>
    </w:p>
    <w:p w:rsidR="005A2176" w:rsidRPr="00EE591E" w:rsidP="009E1B64" w14:paraId="6342BB38" w14:textId="77777777">
      <w:pPr>
        <w:rPr>
          <w:b/>
          <w:bCs/>
          <w:sz w:val="22"/>
          <w:szCs w:val="22"/>
        </w:rPr>
      </w:pPr>
      <w:r w:rsidRPr="00EE591E">
        <w:rPr>
          <w:b/>
          <w:bCs/>
          <w:sz w:val="22"/>
          <w:szCs w:val="22"/>
        </w:rPr>
        <w:t xml:space="preserve">SENT VIA EMAIL TO </w:t>
      </w:r>
      <w:hyperlink r:id="rId5" w:history="1">
        <w:r w:rsidRPr="00EE591E">
          <w:rPr>
            <w:rStyle w:val="Hyperlink"/>
            <w:b/>
            <w:bCs/>
            <w:sz w:val="22"/>
            <w:szCs w:val="22"/>
          </w:rPr>
          <w:t>MDENBO@FCCWORLD.COM</w:t>
        </w:r>
      </w:hyperlink>
    </w:p>
    <w:p w:rsidR="005A2176" w:rsidRPr="00EE591E" w:rsidP="009E1B64" w14:paraId="12154C0E" w14:textId="77777777">
      <w:pPr>
        <w:rPr>
          <w:sz w:val="22"/>
          <w:szCs w:val="22"/>
        </w:rPr>
      </w:pPr>
    </w:p>
    <w:p w:rsidR="005A2176" w:rsidRPr="00EE591E" w:rsidP="009E1B64" w14:paraId="56138076" w14:textId="77777777">
      <w:pPr>
        <w:rPr>
          <w:sz w:val="22"/>
          <w:szCs w:val="22"/>
        </w:rPr>
      </w:pPr>
      <w:r w:rsidRPr="00EE591E">
        <w:rPr>
          <w:sz w:val="22"/>
          <w:szCs w:val="22"/>
        </w:rPr>
        <w:t>Prescott Valley Broadcasting Co. Inc.</w:t>
      </w:r>
    </w:p>
    <w:p w:rsidR="005A2176" w:rsidRPr="00EE591E" w:rsidP="009E1B64" w14:paraId="453424BB" w14:textId="77777777">
      <w:pPr>
        <w:rPr>
          <w:sz w:val="22"/>
          <w:szCs w:val="22"/>
        </w:rPr>
      </w:pPr>
      <w:r w:rsidRPr="00EE591E">
        <w:rPr>
          <w:sz w:val="22"/>
          <w:szCs w:val="22"/>
        </w:rPr>
        <w:t>c/o Mark B. Denbo, Esq.</w:t>
      </w:r>
    </w:p>
    <w:p w:rsidR="005A2176" w:rsidRPr="00EE591E" w:rsidP="009E1B64" w14:paraId="7C71E90E" w14:textId="77777777">
      <w:pPr>
        <w:rPr>
          <w:sz w:val="22"/>
          <w:szCs w:val="22"/>
        </w:rPr>
      </w:pPr>
      <w:r w:rsidRPr="00EE591E">
        <w:rPr>
          <w:sz w:val="22"/>
          <w:szCs w:val="22"/>
        </w:rPr>
        <w:t xml:space="preserve">Smithwick &amp; </w:t>
      </w:r>
      <w:r w:rsidRPr="00EE591E">
        <w:rPr>
          <w:sz w:val="22"/>
          <w:szCs w:val="22"/>
        </w:rPr>
        <w:t>Belendiuk</w:t>
      </w:r>
      <w:r w:rsidRPr="00EE591E">
        <w:rPr>
          <w:sz w:val="22"/>
          <w:szCs w:val="22"/>
        </w:rPr>
        <w:t>, P.C.</w:t>
      </w:r>
    </w:p>
    <w:p w:rsidR="005A2176" w:rsidRPr="00EE591E" w:rsidP="009E1B64" w14:paraId="3906B719" w14:textId="77777777">
      <w:pPr>
        <w:rPr>
          <w:sz w:val="22"/>
          <w:szCs w:val="22"/>
        </w:rPr>
      </w:pPr>
      <w:r w:rsidRPr="00EE591E">
        <w:rPr>
          <w:sz w:val="22"/>
          <w:szCs w:val="22"/>
        </w:rPr>
        <w:t>5028 Wisconsin Avenue, NW, Suite 301</w:t>
      </w:r>
    </w:p>
    <w:p w:rsidR="005A2176" w:rsidRPr="00EE591E" w:rsidP="009E1B64" w14:paraId="45273C26" w14:textId="276DC158">
      <w:pPr>
        <w:rPr>
          <w:sz w:val="22"/>
          <w:szCs w:val="22"/>
        </w:rPr>
      </w:pPr>
      <w:r w:rsidRPr="00EE591E">
        <w:rPr>
          <w:sz w:val="22"/>
          <w:szCs w:val="22"/>
        </w:rPr>
        <w:t>Washington, DC 20016</w:t>
      </w:r>
    </w:p>
    <w:p w:rsidR="005A2176" w:rsidRPr="00EE591E" w:rsidP="009E1B64" w14:paraId="38BDC531" w14:textId="77777777">
      <w:pPr>
        <w:rPr>
          <w:b/>
          <w:bCs/>
          <w:sz w:val="22"/>
          <w:szCs w:val="22"/>
        </w:rPr>
      </w:pPr>
    </w:p>
    <w:p w:rsidR="00AA07F6" w:rsidRPr="00EE591E" w:rsidP="009E1B64" w14:paraId="255601F4" w14:textId="0D3B5879">
      <w:pPr>
        <w:rPr>
          <w:b/>
          <w:bCs/>
          <w:sz w:val="22"/>
          <w:szCs w:val="22"/>
        </w:rPr>
      </w:pPr>
      <w:r w:rsidRPr="00EE591E">
        <w:rPr>
          <w:b/>
          <w:bCs/>
          <w:sz w:val="22"/>
          <w:szCs w:val="22"/>
        </w:rPr>
        <w:t xml:space="preserve">SENT VIA EMAIL TO </w:t>
      </w:r>
      <w:hyperlink r:id="rId6" w:history="1">
        <w:r w:rsidRPr="00EE591E" w:rsidR="0056443A">
          <w:rPr>
            <w:rStyle w:val="Hyperlink"/>
            <w:b/>
            <w:bCs/>
            <w:sz w:val="22"/>
            <w:szCs w:val="22"/>
          </w:rPr>
          <w:t>BARRY.FRIEDMAN@THOMPSONHINE.COM</w:t>
        </w:r>
      </w:hyperlink>
    </w:p>
    <w:p w:rsidR="00AA07F6" w:rsidRPr="00EE591E" w:rsidP="009E1B64" w14:paraId="476AB56E" w14:textId="77777777">
      <w:pPr>
        <w:rPr>
          <w:sz w:val="22"/>
          <w:szCs w:val="22"/>
        </w:rPr>
      </w:pPr>
    </w:p>
    <w:p w:rsidR="00AA07F6" w:rsidRPr="00EE591E" w:rsidP="009E1B64" w14:paraId="4CD97A2C" w14:textId="77777777">
      <w:pPr>
        <w:rPr>
          <w:sz w:val="22"/>
          <w:szCs w:val="22"/>
        </w:rPr>
      </w:pPr>
      <w:r w:rsidRPr="00EE591E">
        <w:rPr>
          <w:sz w:val="22"/>
          <w:szCs w:val="22"/>
        </w:rPr>
        <w:t>Entravision Holdings, LLC</w:t>
      </w:r>
    </w:p>
    <w:p w:rsidR="00AA07F6" w:rsidRPr="00EE591E" w:rsidP="009E1B64" w14:paraId="4E30D50E" w14:textId="77777777">
      <w:pPr>
        <w:rPr>
          <w:sz w:val="22"/>
          <w:szCs w:val="22"/>
        </w:rPr>
      </w:pPr>
      <w:r w:rsidRPr="00EE591E">
        <w:rPr>
          <w:sz w:val="22"/>
          <w:szCs w:val="22"/>
        </w:rPr>
        <w:t>c/o Barry A. Friedman, Esq.</w:t>
      </w:r>
    </w:p>
    <w:p w:rsidR="00AA07F6" w:rsidRPr="00EE591E" w:rsidP="009E1B64" w14:paraId="426A6994" w14:textId="77777777">
      <w:pPr>
        <w:rPr>
          <w:sz w:val="22"/>
          <w:szCs w:val="22"/>
        </w:rPr>
      </w:pPr>
      <w:r w:rsidRPr="00EE591E">
        <w:rPr>
          <w:sz w:val="22"/>
          <w:szCs w:val="22"/>
        </w:rPr>
        <w:t>Thompson Hine LLP</w:t>
      </w:r>
    </w:p>
    <w:p w:rsidR="00AA07F6" w:rsidRPr="00EE591E" w:rsidP="009E1B64" w14:paraId="07613766" w14:textId="77777777">
      <w:pPr>
        <w:rPr>
          <w:sz w:val="22"/>
          <w:szCs w:val="22"/>
        </w:rPr>
      </w:pPr>
      <w:r w:rsidRPr="00EE591E">
        <w:rPr>
          <w:sz w:val="22"/>
          <w:szCs w:val="22"/>
        </w:rPr>
        <w:t>1920 N Street, NW, Suite 800</w:t>
      </w:r>
    </w:p>
    <w:p w:rsidR="00AA07F6" w:rsidRPr="00EE591E" w:rsidP="009E1B64" w14:paraId="3796F55C" w14:textId="77777777">
      <w:pPr>
        <w:rPr>
          <w:sz w:val="22"/>
          <w:szCs w:val="22"/>
        </w:rPr>
      </w:pPr>
      <w:r w:rsidRPr="00EE591E">
        <w:rPr>
          <w:sz w:val="22"/>
          <w:szCs w:val="22"/>
        </w:rPr>
        <w:t>Washington, DC 20036</w:t>
      </w:r>
    </w:p>
    <w:p w:rsidR="00AA07F6" w:rsidRPr="00EE591E" w:rsidP="009E1B64" w14:paraId="7A0C187F" w14:textId="77777777">
      <w:pPr>
        <w:tabs>
          <w:tab w:val="left" w:pos="4680"/>
        </w:tabs>
        <w:rPr>
          <w:sz w:val="22"/>
          <w:szCs w:val="22"/>
        </w:rPr>
      </w:pPr>
    </w:p>
    <w:p w:rsidR="00AA07F6" w:rsidRPr="00EE591E" w:rsidP="009E1B64" w14:paraId="7EADFE52" w14:textId="70E331E0">
      <w:pPr>
        <w:tabs>
          <w:tab w:val="left" w:pos="4680"/>
        </w:tabs>
        <w:rPr>
          <w:bCs/>
          <w:sz w:val="22"/>
          <w:szCs w:val="22"/>
        </w:rPr>
      </w:pPr>
      <w:r w:rsidRPr="00EE591E">
        <w:rPr>
          <w:sz w:val="22"/>
          <w:szCs w:val="22"/>
        </w:rPr>
        <w:tab/>
        <w:t>In re:</w:t>
      </w:r>
      <w:r w:rsidRPr="00EE591E">
        <w:rPr>
          <w:sz w:val="22"/>
          <w:szCs w:val="22"/>
        </w:rPr>
        <w:tab/>
      </w:r>
      <w:r w:rsidRPr="00EE591E">
        <w:rPr>
          <w:b/>
          <w:sz w:val="22"/>
          <w:szCs w:val="22"/>
        </w:rPr>
        <w:t>Prescott Valley Broadcasting Co.</w:t>
      </w:r>
      <w:r w:rsidR="0084641D">
        <w:rPr>
          <w:b/>
          <w:sz w:val="22"/>
          <w:szCs w:val="22"/>
        </w:rPr>
        <w:t>,</w:t>
      </w:r>
      <w:r w:rsidRPr="00EE591E">
        <w:rPr>
          <w:b/>
          <w:sz w:val="22"/>
          <w:szCs w:val="22"/>
        </w:rPr>
        <w:t xml:space="preserve"> Inc.</w:t>
      </w:r>
    </w:p>
    <w:p w:rsidR="00AA07F6" w:rsidRPr="00EE591E" w:rsidP="009E1B64" w14:paraId="740297A2" w14:textId="77777777">
      <w:pPr>
        <w:tabs>
          <w:tab w:val="left" w:pos="5760"/>
        </w:tabs>
        <w:rPr>
          <w:bCs/>
          <w:sz w:val="22"/>
          <w:szCs w:val="22"/>
        </w:rPr>
      </w:pPr>
      <w:r w:rsidRPr="00EE591E">
        <w:rPr>
          <w:bCs/>
          <w:sz w:val="22"/>
          <w:szCs w:val="22"/>
        </w:rPr>
        <w:tab/>
        <w:t>KPPV(FM), Prescott Valley, AZ</w:t>
      </w:r>
    </w:p>
    <w:p w:rsidR="00AA07F6" w:rsidRPr="00EE591E" w:rsidP="009E1B64" w14:paraId="228007D5" w14:textId="77777777">
      <w:pPr>
        <w:tabs>
          <w:tab w:val="left" w:pos="5760"/>
        </w:tabs>
        <w:rPr>
          <w:bCs/>
          <w:sz w:val="22"/>
          <w:szCs w:val="22"/>
        </w:rPr>
      </w:pPr>
      <w:r w:rsidRPr="00EE591E">
        <w:rPr>
          <w:bCs/>
          <w:sz w:val="22"/>
          <w:szCs w:val="22"/>
        </w:rPr>
        <w:tab/>
        <w:t>Facility ID No. 53414</w:t>
      </w:r>
    </w:p>
    <w:p w:rsidR="00AA07F6" w:rsidRPr="00EE591E" w:rsidP="009E1B64" w14:paraId="24B93219" w14:textId="59A23F37">
      <w:pPr>
        <w:tabs>
          <w:tab w:val="left" w:pos="5760"/>
        </w:tabs>
        <w:rPr>
          <w:bCs/>
          <w:sz w:val="22"/>
          <w:szCs w:val="22"/>
        </w:rPr>
      </w:pPr>
      <w:r w:rsidRPr="00EE591E">
        <w:rPr>
          <w:bCs/>
          <w:sz w:val="22"/>
          <w:szCs w:val="22"/>
        </w:rPr>
        <w:tab/>
      </w:r>
    </w:p>
    <w:p w:rsidR="00AA07F6" w:rsidRPr="00EE591E" w:rsidP="009E1B64" w14:paraId="0192E60A" w14:textId="24D17E7A">
      <w:pPr>
        <w:rPr>
          <w:sz w:val="22"/>
          <w:szCs w:val="22"/>
        </w:rPr>
      </w:pPr>
      <w:r w:rsidRPr="00EE591E">
        <w:rPr>
          <w:sz w:val="22"/>
          <w:szCs w:val="22"/>
        </w:rPr>
        <w:t>Dear Counsel:</w:t>
      </w:r>
    </w:p>
    <w:p w:rsidR="009E2560" w:rsidRPr="00EE591E" w:rsidP="009E1B64" w14:paraId="2575A076" w14:textId="77777777">
      <w:pPr>
        <w:rPr>
          <w:sz w:val="22"/>
          <w:szCs w:val="22"/>
        </w:rPr>
      </w:pPr>
    </w:p>
    <w:p w:rsidR="00C75E4F" w:rsidRPr="00EE591E" w:rsidP="009E1B64" w14:paraId="5F1140CE" w14:textId="487B63C6">
      <w:pPr>
        <w:ind w:firstLine="720"/>
        <w:rPr>
          <w:sz w:val="22"/>
          <w:szCs w:val="22"/>
        </w:rPr>
      </w:pPr>
      <w:r w:rsidRPr="00EE591E">
        <w:rPr>
          <w:sz w:val="22"/>
          <w:szCs w:val="22"/>
        </w:rPr>
        <w:t>We have before us a Statement for the Record jointly filed by Entravision Holdings, LLC (Entravision), and Prescott Valley Broadcasting Co., Inc. (PVBC</w:t>
      </w:r>
      <w:r w:rsidRPr="00EE591E" w:rsidR="00801545">
        <w:rPr>
          <w:sz w:val="22"/>
          <w:szCs w:val="22"/>
        </w:rPr>
        <w:t>)</w:t>
      </w:r>
      <w:r w:rsidRPr="00EE591E" w:rsidR="00586920">
        <w:rPr>
          <w:sz w:val="22"/>
          <w:szCs w:val="22"/>
        </w:rPr>
        <w:t xml:space="preserve"> about</w:t>
      </w:r>
      <w:r w:rsidRPr="00EE591E" w:rsidR="00260892">
        <w:rPr>
          <w:sz w:val="22"/>
          <w:szCs w:val="22"/>
        </w:rPr>
        <w:t xml:space="preserve"> </w:t>
      </w:r>
      <w:r w:rsidRPr="00EE591E">
        <w:rPr>
          <w:sz w:val="22"/>
          <w:szCs w:val="22"/>
        </w:rPr>
        <w:t xml:space="preserve">their ongoing </w:t>
      </w:r>
      <w:r w:rsidRPr="00EE591E" w:rsidR="0027664D">
        <w:rPr>
          <w:sz w:val="22"/>
          <w:szCs w:val="22"/>
        </w:rPr>
        <w:t xml:space="preserve">reimbursement </w:t>
      </w:r>
      <w:r w:rsidRPr="00EE591E">
        <w:rPr>
          <w:sz w:val="22"/>
          <w:szCs w:val="22"/>
        </w:rPr>
        <w:t>negotiations</w:t>
      </w:r>
      <w:r w:rsidRPr="00EE591E">
        <w:rPr>
          <w:sz w:val="22"/>
          <w:szCs w:val="22"/>
        </w:rPr>
        <w:t>.</w:t>
      </w:r>
      <w:r>
        <w:rPr>
          <w:rStyle w:val="FootnoteReference"/>
          <w:sz w:val="22"/>
          <w:szCs w:val="22"/>
        </w:rPr>
        <w:footnoteReference w:id="3"/>
      </w:r>
      <w:r w:rsidRPr="00EE591E">
        <w:rPr>
          <w:sz w:val="22"/>
          <w:szCs w:val="22"/>
        </w:rPr>
        <w:t xml:space="preserve">  </w:t>
      </w:r>
      <w:r w:rsidRPr="00EE591E">
        <w:rPr>
          <w:sz w:val="22"/>
          <w:szCs w:val="22"/>
        </w:rPr>
        <w:t>Also before us are (1) a Report Regarding Progress Negotiations and Preliminary Assessment of Legitimate and Prudent Expenses (Report) filed by PVBC</w:t>
      </w:r>
      <w:r w:rsidRPr="00EE591E">
        <w:rPr>
          <w:sz w:val="22"/>
          <w:szCs w:val="22"/>
        </w:rPr>
        <w:t>,</w:t>
      </w:r>
      <w:r>
        <w:rPr>
          <w:rStyle w:val="FootnoteReference"/>
          <w:sz w:val="22"/>
          <w:szCs w:val="22"/>
        </w:rPr>
        <w:footnoteReference w:id="4"/>
      </w:r>
      <w:r w:rsidRPr="00EE591E">
        <w:rPr>
          <w:sz w:val="22"/>
          <w:szCs w:val="22"/>
        </w:rPr>
        <w:t xml:space="preserve"> (2) a Response filed by Entravision</w:t>
      </w:r>
      <w:r w:rsidRPr="00EE591E">
        <w:rPr>
          <w:sz w:val="22"/>
          <w:szCs w:val="22"/>
        </w:rPr>
        <w:t xml:space="preserve"> (Response)</w:t>
      </w:r>
      <w:r w:rsidRPr="00EE591E">
        <w:rPr>
          <w:sz w:val="22"/>
          <w:szCs w:val="22"/>
        </w:rPr>
        <w:t>,</w:t>
      </w:r>
      <w:r>
        <w:rPr>
          <w:rStyle w:val="FootnoteReference"/>
          <w:sz w:val="22"/>
          <w:szCs w:val="22"/>
        </w:rPr>
        <w:footnoteReference w:id="5"/>
      </w:r>
      <w:r w:rsidRPr="00EE591E">
        <w:rPr>
          <w:sz w:val="22"/>
          <w:szCs w:val="22"/>
        </w:rPr>
        <w:t xml:space="preserve"> (3) an Update to Report Regarding Preliminary Assessment of Legitimate and Producent Expenses (Update) filed by PVBC,</w:t>
      </w:r>
      <w:r>
        <w:rPr>
          <w:rStyle w:val="FootnoteReference"/>
          <w:sz w:val="22"/>
          <w:szCs w:val="22"/>
        </w:rPr>
        <w:footnoteReference w:id="6"/>
      </w:r>
      <w:r w:rsidRPr="00EE591E">
        <w:rPr>
          <w:sz w:val="22"/>
          <w:szCs w:val="22"/>
        </w:rPr>
        <w:t xml:space="preserve"> (4) a Motion to Strike (Motion)</w:t>
      </w:r>
      <w:r w:rsidRPr="00EE591E">
        <w:rPr>
          <w:sz w:val="22"/>
          <w:szCs w:val="22"/>
        </w:rPr>
        <w:t xml:space="preserve"> </w:t>
      </w:r>
      <w:r w:rsidRPr="00EE591E">
        <w:rPr>
          <w:sz w:val="22"/>
          <w:szCs w:val="22"/>
        </w:rPr>
        <w:t>filed by Entravision,</w:t>
      </w:r>
      <w:r w:rsidRPr="00EE591E" w:rsidR="00345515">
        <w:rPr>
          <w:sz w:val="22"/>
          <w:szCs w:val="22"/>
        </w:rPr>
        <w:t xml:space="preserve"> which urges us to strike the Update</w:t>
      </w:r>
      <w:r w:rsidRPr="00EE591E" w:rsidR="002F1926">
        <w:rPr>
          <w:sz w:val="22"/>
          <w:szCs w:val="22"/>
        </w:rPr>
        <w:t>,</w:t>
      </w:r>
      <w:r>
        <w:rPr>
          <w:rStyle w:val="FootnoteReference"/>
          <w:sz w:val="22"/>
          <w:szCs w:val="22"/>
        </w:rPr>
        <w:footnoteReference w:id="7"/>
      </w:r>
      <w:r w:rsidRPr="00EE591E">
        <w:rPr>
          <w:sz w:val="22"/>
          <w:szCs w:val="22"/>
        </w:rPr>
        <w:t xml:space="preserve"> (5) an Opposition to Motion to Strike filed by PVBC,</w:t>
      </w:r>
      <w:r>
        <w:rPr>
          <w:rStyle w:val="FootnoteReference"/>
          <w:sz w:val="22"/>
          <w:szCs w:val="22"/>
        </w:rPr>
        <w:footnoteReference w:id="8"/>
      </w:r>
      <w:r w:rsidRPr="00EE591E">
        <w:rPr>
          <w:sz w:val="22"/>
          <w:szCs w:val="22"/>
        </w:rPr>
        <w:t xml:space="preserve"> (6) a Reply </w:t>
      </w:r>
      <w:r w:rsidRPr="00EE591E">
        <w:rPr>
          <w:sz w:val="22"/>
          <w:szCs w:val="22"/>
        </w:rPr>
        <w:t>filed by Entravision</w:t>
      </w:r>
      <w:r w:rsidRPr="00EE591E">
        <w:rPr>
          <w:sz w:val="22"/>
          <w:szCs w:val="22"/>
        </w:rPr>
        <w:t>,</w:t>
      </w:r>
      <w:r>
        <w:rPr>
          <w:rStyle w:val="FootnoteReference"/>
          <w:sz w:val="22"/>
          <w:szCs w:val="22"/>
        </w:rPr>
        <w:footnoteReference w:id="9"/>
      </w:r>
      <w:r w:rsidRPr="00EE591E">
        <w:rPr>
          <w:sz w:val="22"/>
          <w:szCs w:val="22"/>
        </w:rPr>
        <w:t xml:space="preserve"> (7) a Reply to Response (Reply) filed by PVBC,</w:t>
      </w:r>
      <w:r>
        <w:rPr>
          <w:rStyle w:val="FootnoteReference"/>
          <w:sz w:val="22"/>
          <w:szCs w:val="22"/>
        </w:rPr>
        <w:footnoteReference w:id="10"/>
      </w:r>
      <w:r w:rsidRPr="00EE591E">
        <w:rPr>
          <w:sz w:val="22"/>
          <w:szCs w:val="22"/>
        </w:rPr>
        <w:t xml:space="preserve"> (8) a Second Motion to Strike (Second Motion) filed by Entravision</w:t>
      </w:r>
      <w:r w:rsidRPr="00EE591E" w:rsidR="003C5387">
        <w:rPr>
          <w:sz w:val="22"/>
          <w:szCs w:val="22"/>
        </w:rPr>
        <w:t>,</w:t>
      </w:r>
      <w:r w:rsidRPr="00EE591E" w:rsidR="00345515">
        <w:rPr>
          <w:sz w:val="22"/>
          <w:szCs w:val="22"/>
        </w:rPr>
        <w:t xml:space="preserve"> which urges us to strike the Reply,</w:t>
      </w:r>
      <w:r>
        <w:rPr>
          <w:rStyle w:val="FootnoteReference"/>
          <w:sz w:val="22"/>
          <w:szCs w:val="22"/>
        </w:rPr>
        <w:footnoteReference w:id="11"/>
      </w:r>
      <w:r w:rsidRPr="00EE591E" w:rsidR="003C5387">
        <w:rPr>
          <w:sz w:val="22"/>
          <w:szCs w:val="22"/>
        </w:rPr>
        <w:t xml:space="preserve"> (9) an Opposition to the Second Motion filed by PVBC,</w:t>
      </w:r>
      <w:r>
        <w:rPr>
          <w:rStyle w:val="FootnoteReference"/>
          <w:sz w:val="22"/>
          <w:szCs w:val="22"/>
        </w:rPr>
        <w:footnoteReference w:id="12"/>
      </w:r>
      <w:r w:rsidRPr="00EE591E" w:rsidR="003C5387">
        <w:rPr>
          <w:sz w:val="22"/>
          <w:szCs w:val="22"/>
        </w:rPr>
        <w:t xml:space="preserve"> and (10) a Reply to the Opposition to the Second Motion filed by Entravision</w:t>
      </w:r>
      <w:r w:rsidRPr="00EE591E">
        <w:rPr>
          <w:sz w:val="22"/>
          <w:szCs w:val="22"/>
        </w:rPr>
        <w:t>.</w:t>
      </w:r>
      <w:r>
        <w:rPr>
          <w:rStyle w:val="FootnoteReference"/>
          <w:sz w:val="22"/>
          <w:szCs w:val="22"/>
        </w:rPr>
        <w:footnoteReference w:id="13"/>
      </w:r>
      <w:r w:rsidRPr="00EE591E">
        <w:rPr>
          <w:sz w:val="22"/>
          <w:szCs w:val="22"/>
        </w:rPr>
        <w:t xml:space="preserve">  </w:t>
      </w:r>
    </w:p>
    <w:p w:rsidR="00C75E4F" w:rsidRPr="00F92467" w:rsidP="009E1B64" w14:paraId="33EFFC1F" w14:textId="77777777">
      <w:pPr>
        <w:ind w:firstLine="720"/>
        <w:rPr>
          <w:sz w:val="22"/>
          <w:szCs w:val="22"/>
        </w:rPr>
      </w:pPr>
    </w:p>
    <w:p w:rsidR="00722B1D" w:rsidRPr="00F92467" w:rsidP="00F92467" w14:paraId="3BFD6C4C" w14:textId="08A5506D">
      <w:pPr>
        <w:ind w:firstLine="720"/>
        <w:rPr>
          <w:sz w:val="22"/>
          <w:szCs w:val="22"/>
        </w:rPr>
      </w:pPr>
      <w:r w:rsidRPr="00F92467">
        <w:rPr>
          <w:sz w:val="22"/>
          <w:szCs w:val="22"/>
        </w:rPr>
        <w:t xml:space="preserve">For the reasons discussed below, we deny the Motion, and accept the Update.  We </w:t>
      </w:r>
      <w:r w:rsidRPr="00F92467" w:rsidR="00BB4711">
        <w:rPr>
          <w:sz w:val="22"/>
          <w:szCs w:val="22"/>
        </w:rPr>
        <w:t xml:space="preserve">also </w:t>
      </w:r>
      <w:r w:rsidRPr="00F92467">
        <w:rPr>
          <w:sz w:val="22"/>
          <w:szCs w:val="22"/>
        </w:rPr>
        <w:t xml:space="preserve">grant in part and deny in part the Second Motion, and accept those portions of the Reply specified herein. </w:t>
      </w:r>
      <w:r w:rsidRPr="00F92467" w:rsidR="00BA4E85">
        <w:rPr>
          <w:sz w:val="22"/>
          <w:szCs w:val="22"/>
        </w:rPr>
        <w:t xml:space="preserve"> </w:t>
      </w:r>
      <w:r w:rsidR="009226DB">
        <w:rPr>
          <w:sz w:val="22"/>
          <w:szCs w:val="22"/>
        </w:rPr>
        <w:t>Additionally</w:t>
      </w:r>
      <w:r w:rsidRPr="00F92467" w:rsidR="00AC3B1C">
        <w:rPr>
          <w:sz w:val="22"/>
          <w:szCs w:val="22"/>
        </w:rPr>
        <w:t xml:space="preserve">, we </w:t>
      </w:r>
      <w:r w:rsidRPr="00F92467" w:rsidR="00372B37">
        <w:rPr>
          <w:sz w:val="22"/>
          <w:szCs w:val="22"/>
        </w:rPr>
        <w:t xml:space="preserve">offer general guidance regarding various categories of expenses.  </w:t>
      </w:r>
      <w:r w:rsidRPr="00F92467" w:rsidR="001633AE">
        <w:rPr>
          <w:sz w:val="22"/>
          <w:szCs w:val="22"/>
        </w:rPr>
        <w:t>Where</w:t>
      </w:r>
      <w:r w:rsidRPr="00F92467" w:rsidR="00F120F1">
        <w:rPr>
          <w:sz w:val="22"/>
          <w:szCs w:val="22"/>
        </w:rPr>
        <w:t xml:space="preserve"> possible,</w:t>
      </w:r>
      <w:r w:rsidRPr="00F92467" w:rsidR="00FC0880">
        <w:rPr>
          <w:sz w:val="22"/>
          <w:szCs w:val="22"/>
        </w:rPr>
        <w:t xml:space="preserve"> we </w:t>
      </w:r>
      <w:r w:rsidRPr="00F92467" w:rsidR="0080436B">
        <w:rPr>
          <w:sz w:val="22"/>
          <w:szCs w:val="22"/>
        </w:rPr>
        <w:t xml:space="preserve">determine whether expense items identified by PVBC are reimbursable, and whether the actual or estimated costs of </w:t>
      </w:r>
      <w:r w:rsidRPr="00F92467" w:rsidR="00853EFD">
        <w:rPr>
          <w:sz w:val="22"/>
          <w:szCs w:val="22"/>
        </w:rPr>
        <w:t>such</w:t>
      </w:r>
      <w:r w:rsidRPr="00F92467" w:rsidR="0080436B">
        <w:rPr>
          <w:sz w:val="22"/>
          <w:szCs w:val="22"/>
        </w:rPr>
        <w:t xml:space="preserve"> items are reasonable</w:t>
      </w:r>
      <w:r w:rsidRPr="00F92467" w:rsidR="00415CF1">
        <w:rPr>
          <w:sz w:val="22"/>
          <w:szCs w:val="22"/>
        </w:rPr>
        <w:t xml:space="preserve">.  </w:t>
      </w:r>
      <w:r w:rsidR="009C7238">
        <w:rPr>
          <w:sz w:val="22"/>
          <w:szCs w:val="22"/>
        </w:rPr>
        <w:t>However, w</w:t>
      </w:r>
      <w:r w:rsidRPr="00F92467" w:rsidR="000960F1">
        <w:rPr>
          <w:sz w:val="22"/>
          <w:szCs w:val="22"/>
        </w:rPr>
        <w:t xml:space="preserve">e </w:t>
      </w:r>
      <w:r w:rsidRPr="00F92467" w:rsidR="00806D89">
        <w:rPr>
          <w:sz w:val="22"/>
          <w:szCs w:val="22"/>
        </w:rPr>
        <w:t>are unable to make</w:t>
      </w:r>
      <w:r w:rsidRPr="00F92467" w:rsidR="002A5008">
        <w:rPr>
          <w:sz w:val="22"/>
          <w:szCs w:val="22"/>
        </w:rPr>
        <w:t xml:space="preserve"> </w:t>
      </w:r>
      <w:r w:rsidRPr="00F92467" w:rsidR="00806D89">
        <w:rPr>
          <w:sz w:val="22"/>
          <w:szCs w:val="22"/>
        </w:rPr>
        <w:t>such deter</w:t>
      </w:r>
      <w:r w:rsidRPr="00F92467" w:rsidR="002A5008">
        <w:rPr>
          <w:sz w:val="22"/>
          <w:szCs w:val="22"/>
        </w:rPr>
        <w:t xml:space="preserve">minations </w:t>
      </w:r>
      <w:r w:rsidRPr="00F92467" w:rsidR="00806D89">
        <w:rPr>
          <w:sz w:val="22"/>
          <w:szCs w:val="22"/>
        </w:rPr>
        <w:t xml:space="preserve">regarding a number of expense items either </w:t>
      </w:r>
      <w:r w:rsidRPr="00F92467" w:rsidR="00964B1E">
        <w:rPr>
          <w:sz w:val="22"/>
          <w:szCs w:val="22"/>
        </w:rPr>
        <w:t>because we require additional information</w:t>
      </w:r>
      <w:r w:rsidRPr="00F92467" w:rsidR="000960F1">
        <w:rPr>
          <w:sz w:val="22"/>
          <w:szCs w:val="22"/>
        </w:rPr>
        <w:t xml:space="preserve"> or because</w:t>
      </w:r>
      <w:r w:rsidRPr="00F92467" w:rsidR="005A322B">
        <w:rPr>
          <w:sz w:val="22"/>
          <w:szCs w:val="22"/>
        </w:rPr>
        <w:t xml:space="preserve"> PVBC submitted new information regarding the items in the Update or the Reply.  Where we require additional information</w:t>
      </w:r>
      <w:r w:rsidRPr="00F92467" w:rsidR="0044303A">
        <w:rPr>
          <w:sz w:val="22"/>
          <w:szCs w:val="22"/>
        </w:rPr>
        <w:t>, we direct</w:t>
      </w:r>
      <w:r w:rsidRPr="00F92467" w:rsidR="00E97149">
        <w:rPr>
          <w:sz w:val="22"/>
          <w:szCs w:val="22"/>
        </w:rPr>
        <w:t xml:space="preserve"> PVBC to </w:t>
      </w:r>
      <w:r w:rsidR="00482959">
        <w:rPr>
          <w:sz w:val="22"/>
          <w:szCs w:val="22"/>
        </w:rPr>
        <w:t>respond</w:t>
      </w:r>
      <w:r w:rsidR="00B35261">
        <w:rPr>
          <w:sz w:val="22"/>
          <w:szCs w:val="22"/>
        </w:rPr>
        <w:t xml:space="preserve"> with</w:t>
      </w:r>
      <w:r w:rsidRPr="00F92467" w:rsidR="00482959">
        <w:rPr>
          <w:sz w:val="22"/>
          <w:szCs w:val="22"/>
        </w:rPr>
        <w:t xml:space="preserve"> </w:t>
      </w:r>
      <w:r w:rsidRPr="00F92467" w:rsidR="004E7C9B">
        <w:rPr>
          <w:sz w:val="22"/>
          <w:szCs w:val="22"/>
        </w:rPr>
        <w:t>the information</w:t>
      </w:r>
      <w:r w:rsidR="002D7F7E">
        <w:rPr>
          <w:sz w:val="22"/>
          <w:szCs w:val="22"/>
        </w:rPr>
        <w:t xml:space="preserve">.  We permit </w:t>
      </w:r>
      <w:r w:rsidRPr="00F92467" w:rsidR="00BF747F">
        <w:rPr>
          <w:sz w:val="22"/>
          <w:szCs w:val="22"/>
        </w:rPr>
        <w:t xml:space="preserve">Entravision to </w:t>
      </w:r>
      <w:r w:rsidR="00B35261">
        <w:rPr>
          <w:sz w:val="22"/>
          <w:szCs w:val="22"/>
        </w:rPr>
        <w:t>reply</w:t>
      </w:r>
      <w:r w:rsidRPr="00F92467" w:rsidR="00B35261">
        <w:rPr>
          <w:sz w:val="22"/>
          <w:szCs w:val="22"/>
        </w:rPr>
        <w:t xml:space="preserve"> </w:t>
      </w:r>
      <w:r w:rsidRPr="00F92467" w:rsidR="00BF747F">
        <w:rPr>
          <w:sz w:val="22"/>
          <w:szCs w:val="22"/>
        </w:rPr>
        <w:t xml:space="preserve">to </w:t>
      </w:r>
      <w:r w:rsidRPr="00F92467" w:rsidR="00F92467">
        <w:rPr>
          <w:sz w:val="22"/>
          <w:szCs w:val="22"/>
        </w:rPr>
        <w:t xml:space="preserve">the </w:t>
      </w:r>
      <w:r w:rsidRPr="00F92467" w:rsidR="00BF747F">
        <w:rPr>
          <w:sz w:val="22"/>
          <w:szCs w:val="22"/>
        </w:rPr>
        <w:t xml:space="preserve">PVBC </w:t>
      </w:r>
      <w:r w:rsidR="00B35261">
        <w:rPr>
          <w:sz w:val="22"/>
          <w:szCs w:val="22"/>
        </w:rPr>
        <w:t xml:space="preserve">response </w:t>
      </w:r>
      <w:r w:rsidR="00992B21">
        <w:rPr>
          <w:sz w:val="22"/>
          <w:szCs w:val="22"/>
        </w:rPr>
        <w:t>we request</w:t>
      </w:r>
      <w:r w:rsidR="00A45C8D">
        <w:rPr>
          <w:sz w:val="22"/>
          <w:szCs w:val="22"/>
        </w:rPr>
        <w:t xml:space="preserve"> </w:t>
      </w:r>
      <w:r w:rsidR="002D7F7E">
        <w:rPr>
          <w:sz w:val="22"/>
          <w:szCs w:val="22"/>
        </w:rPr>
        <w:t>(and the new information from the Update and the Reply that we accept herein).</w:t>
      </w:r>
      <w:r w:rsidR="00A45C8D">
        <w:rPr>
          <w:sz w:val="22"/>
          <w:szCs w:val="22"/>
        </w:rPr>
        <w:t xml:space="preserve">  We also clarify that we will not accept any additional filings other than the </w:t>
      </w:r>
      <w:r w:rsidR="009D5817">
        <w:rPr>
          <w:sz w:val="22"/>
          <w:szCs w:val="22"/>
        </w:rPr>
        <w:t xml:space="preserve">PVBC submission we request and the </w:t>
      </w:r>
      <w:r w:rsidR="0085621A">
        <w:rPr>
          <w:sz w:val="22"/>
          <w:szCs w:val="22"/>
        </w:rPr>
        <w:t xml:space="preserve">reply </w:t>
      </w:r>
      <w:r w:rsidR="00106BA7">
        <w:rPr>
          <w:sz w:val="22"/>
          <w:szCs w:val="22"/>
        </w:rPr>
        <w:t>we authorize Entravision to</w:t>
      </w:r>
      <w:r w:rsidR="009D5817">
        <w:rPr>
          <w:sz w:val="22"/>
          <w:szCs w:val="22"/>
        </w:rPr>
        <w:t xml:space="preserve"> fil</w:t>
      </w:r>
      <w:r w:rsidR="000F335A">
        <w:rPr>
          <w:sz w:val="22"/>
          <w:szCs w:val="22"/>
        </w:rPr>
        <w:t>e</w:t>
      </w:r>
      <w:r w:rsidR="00AD4030">
        <w:rPr>
          <w:sz w:val="22"/>
          <w:szCs w:val="22"/>
        </w:rPr>
        <w:t>.</w:t>
      </w:r>
      <w:r>
        <w:rPr>
          <w:rStyle w:val="FootnoteReference"/>
          <w:sz w:val="22"/>
          <w:szCs w:val="22"/>
        </w:rPr>
        <w:footnoteReference w:id="14"/>
      </w:r>
      <w:r w:rsidR="00AD4030">
        <w:rPr>
          <w:sz w:val="22"/>
          <w:szCs w:val="22"/>
        </w:rPr>
        <w:t xml:space="preserve">  </w:t>
      </w:r>
    </w:p>
    <w:p w:rsidR="009E2560" w:rsidRPr="00EE591E" w:rsidP="009E1B64" w14:paraId="021EDE40" w14:textId="77777777">
      <w:pPr>
        <w:autoSpaceDE w:val="0"/>
        <w:autoSpaceDN w:val="0"/>
        <w:adjustRightInd w:val="0"/>
        <w:rPr>
          <w:sz w:val="22"/>
          <w:szCs w:val="22"/>
        </w:rPr>
      </w:pPr>
    </w:p>
    <w:p w:rsidR="009E2560" w:rsidRPr="00EE591E" w:rsidP="009E1B64" w14:paraId="75D2563B" w14:textId="3F173248">
      <w:pPr>
        <w:autoSpaceDE w:val="0"/>
        <w:autoSpaceDN w:val="0"/>
        <w:adjustRightInd w:val="0"/>
        <w:rPr>
          <w:b/>
          <w:bCs/>
          <w:sz w:val="22"/>
          <w:szCs w:val="22"/>
        </w:rPr>
      </w:pPr>
      <w:r w:rsidRPr="00EE591E">
        <w:rPr>
          <w:b/>
          <w:bCs/>
          <w:sz w:val="22"/>
          <w:szCs w:val="22"/>
        </w:rPr>
        <w:t>I.</w:t>
      </w:r>
      <w:r w:rsidRPr="00EE591E">
        <w:rPr>
          <w:b/>
          <w:bCs/>
          <w:sz w:val="22"/>
          <w:szCs w:val="22"/>
        </w:rPr>
        <w:tab/>
      </w:r>
      <w:r w:rsidRPr="00EE591E">
        <w:rPr>
          <w:b/>
          <w:bCs/>
          <w:sz w:val="22"/>
          <w:szCs w:val="22"/>
        </w:rPr>
        <w:t>BACKGROUND</w:t>
      </w:r>
    </w:p>
    <w:p w:rsidR="009E2560" w:rsidRPr="00EE591E" w:rsidP="009E1B64" w14:paraId="21749013" w14:textId="77777777">
      <w:pPr>
        <w:autoSpaceDE w:val="0"/>
        <w:autoSpaceDN w:val="0"/>
        <w:adjustRightInd w:val="0"/>
        <w:ind w:firstLine="720"/>
        <w:rPr>
          <w:b/>
          <w:bCs/>
          <w:sz w:val="22"/>
          <w:szCs w:val="22"/>
        </w:rPr>
      </w:pPr>
    </w:p>
    <w:p w:rsidR="004B1A05" w:rsidRPr="00EE591E" w:rsidP="009E1B64" w14:paraId="1DB6D479" w14:textId="20DE5065">
      <w:pPr>
        <w:autoSpaceDE w:val="0"/>
        <w:autoSpaceDN w:val="0"/>
        <w:adjustRightInd w:val="0"/>
        <w:ind w:firstLine="720"/>
        <w:rPr>
          <w:sz w:val="22"/>
          <w:szCs w:val="22"/>
        </w:rPr>
      </w:pPr>
      <w:r w:rsidRPr="00EE591E">
        <w:rPr>
          <w:sz w:val="22"/>
          <w:szCs w:val="22"/>
        </w:rPr>
        <w:t>At Entravision’s request</w:t>
      </w:r>
      <w:r w:rsidRPr="00EE591E" w:rsidR="00C90F84">
        <w:rPr>
          <w:sz w:val="22"/>
          <w:szCs w:val="22"/>
        </w:rPr>
        <w:t xml:space="preserve">, and in order to accommodate </w:t>
      </w:r>
      <w:r w:rsidRPr="00EE591E" w:rsidR="00E22964">
        <w:rPr>
          <w:sz w:val="22"/>
          <w:szCs w:val="22"/>
        </w:rPr>
        <w:t>the</w:t>
      </w:r>
      <w:r w:rsidRPr="00EE591E" w:rsidR="00C90F84">
        <w:rPr>
          <w:sz w:val="22"/>
          <w:szCs w:val="22"/>
        </w:rPr>
        <w:t xml:space="preserve"> upgrade of </w:t>
      </w:r>
      <w:r w:rsidRPr="00EE591E" w:rsidR="00551924">
        <w:rPr>
          <w:sz w:val="22"/>
          <w:szCs w:val="22"/>
        </w:rPr>
        <w:t>one of</w:t>
      </w:r>
      <w:r w:rsidRPr="00EE591E" w:rsidR="00C90F84">
        <w:rPr>
          <w:sz w:val="22"/>
          <w:szCs w:val="22"/>
        </w:rPr>
        <w:t xml:space="preserve"> Entravision</w:t>
      </w:r>
      <w:r w:rsidRPr="00EE591E" w:rsidR="00551924">
        <w:rPr>
          <w:sz w:val="22"/>
          <w:szCs w:val="22"/>
        </w:rPr>
        <w:t>’s</w:t>
      </w:r>
      <w:r w:rsidRPr="00EE591E" w:rsidR="00C90F84">
        <w:rPr>
          <w:sz w:val="22"/>
          <w:szCs w:val="22"/>
        </w:rPr>
        <w:t xml:space="preserve"> station</w:t>
      </w:r>
      <w:r w:rsidRPr="00EE591E" w:rsidR="00551924">
        <w:rPr>
          <w:sz w:val="22"/>
          <w:szCs w:val="22"/>
        </w:rPr>
        <w:t>s</w:t>
      </w:r>
      <w:r w:rsidRPr="00EE591E" w:rsidR="00C90F84">
        <w:rPr>
          <w:sz w:val="22"/>
          <w:szCs w:val="22"/>
        </w:rPr>
        <w:t xml:space="preserve">, </w:t>
      </w:r>
      <w:r w:rsidRPr="00EE591E" w:rsidR="00A21C09">
        <w:rPr>
          <w:sz w:val="22"/>
          <w:szCs w:val="22"/>
        </w:rPr>
        <w:t>we</w:t>
      </w:r>
      <w:r w:rsidRPr="00EE591E" w:rsidR="00C90F84">
        <w:rPr>
          <w:sz w:val="22"/>
          <w:szCs w:val="22"/>
        </w:rPr>
        <w:t xml:space="preserve"> modified PVBC’s license for KPPV(FM)</w:t>
      </w:r>
      <w:r w:rsidRPr="00EE591E" w:rsidR="00EE75B0">
        <w:rPr>
          <w:sz w:val="22"/>
          <w:szCs w:val="22"/>
        </w:rPr>
        <w:t>, Prescott Valley, Arizona,</w:t>
      </w:r>
      <w:r w:rsidRPr="00EE591E" w:rsidR="00652384">
        <w:rPr>
          <w:sz w:val="22"/>
          <w:szCs w:val="22"/>
        </w:rPr>
        <w:t xml:space="preserve"> to specify a new </w:t>
      </w:r>
      <w:r w:rsidRPr="00EE591E" w:rsidR="007E717E">
        <w:rPr>
          <w:sz w:val="22"/>
          <w:szCs w:val="22"/>
        </w:rPr>
        <w:t>channel (and frequency)</w:t>
      </w:r>
      <w:r w:rsidRPr="00EE591E" w:rsidR="00652384">
        <w:rPr>
          <w:sz w:val="22"/>
          <w:szCs w:val="22"/>
        </w:rPr>
        <w:t>.</w:t>
      </w:r>
      <w:r>
        <w:rPr>
          <w:rStyle w:val="FootnoteReference"/>
          <w:sz w:val="22"/>
          <w:szCs w:val="22"/>
        </w:rPr>
        <w:footnoteReference w:id="15"/>
      </w:r>
      <w:r w:rsidRPr="00EE591E" w:rsidR="00652384">
        <w:rPr>
          <w:sz w:val="22"/>
          <w:szCs w:val="22"/>
        </w:rPr>
        <w:t xml:space="preserve">  </w:t>
      </w:r>
      <w:r w:rsidRPr="00EE591E" w:rsidR="00EE75B0">
        <w:rPr>
          <w:sz w:val="22"/>
          <w:szCs w:val="22"/>
        </w:rPr>
        <w:t xml:space="preserve">As is Commission practice in involuntary channel change cases, </w:t>
      </w:r>
      <w:r w:rsidRPr="00EE591E" w:rsidR="00A21C09">
        <w:rPr>
          <w:sz w:val="22"/>
          <w:szCs w:val="22"/>
        </w:rPr>
        <w:t xml:space="preserve">we </w:t>
      </w:r>
      <w:r w:rsidRPr="00EE591E" w:rsidR="00EE75B0">
        <w:rPr>
          <w:sz w:val="22"/>
          <w:szCs w:val="22"/>
        </w:rPr>
        <w:t xml:space="preserve">ordered Entravision to reimburse PVBC for the </w:t>
      </w:r>
      <w:r w:rsidRPr="00EE591E" w:rsidR="00A21C09">
        <w:rPr>
          <w:sz w:val="22"/>
          <w:szCs w:val="22"/>
        </w:rPr>
        <w:t>legitimate and prudent</w:t>
      </w:r>
      <w:r w:rsidRPr="00EE591E" w:rsidR="00EE75B0">
        <w:rPr>
          <w:sz w:val="22"/>
          <w:szCs w:val="22"/>
        </w:rPr>
        <w:t xml:space="preserve"> costs of changing KPPV(FM)’s </w:t>
      </w:r>
      <w:r w:rsidRPr="00EE591E" w:rsidR="0042103C">
        <w:rPr>
          <w:sz w:val="22"/>
          <w:szCs w:val="22"/>
        </w:rPr>
        <w:t>channel</w:t>
      </w:r>
      <w:r w:rsidRPr="00EE591E" w:rsidR="00EE75B0">
        <w:rPr>
          <w:sz w:val="22"/>
          <w:szCs w:val="22"/>
        </w:rPr>
        <w:t>.</w:t>
      </w:r>
      <w:r>
        <w:rPr>
          <w:rStyle w:val="FootnoteReference"/>
          <w:sz w:val="22"/>
          <w:szCs w:val="22"/>
        </w:rPr>
        <w:footnoteReference w:id="16"/>
      </w:r>
      <w:r w:rsidRPr="00EE591E" w:rsidR="00E37FA8">
        <w:rPr>
          <w:sz w:val="22"/>
          <w:szCs w:val="22"/>
        </w:rPr>
        <w:t xml:space="preserve">  </w:t>
      </w:r>
    </w:p>
    <w:p w:rsidR="004B1A05" w:rsidRPr="00EE591E" w:rsidP="009E1B64" w14:paraId="061BB0B0" w14:textId="77777777">
      <w:pPr>
        <w:autoSpaceDE w:val="0"/>
        <w:autoSpaceDN w:val="0"/>
        <w:adjustRightInd w:val="0"/>
        <w:rPr>
          <w:sz w:val="22"/>
          <w:szCs w:val="22"/>
        </w:rPr>
      </w:pPr>
    </w:p>
    <w:p w:rsidR="00667957" w:rsidRPr="00EE591E" w:rsidP="009E1B64" w14:paraId="4D9A915E" w14:textId="76C5D896">
      <w:pPr>
        <w:autoSpaceDE w:val="0"/>
        <w:autoSpaceDN w:val="0"/>
        <w:adjustRightInd w:val="0"/>
        <w:ind w:firstLine="720"/>
        <w:rPr>
          <w:sz w:val="22"/>
          <w:szCs w:val="22"/>
        </w:rPr>
      </w:pPr>
      <w:r w:rsidRPr="00EE591E">
        <w:rPr>
          <w:sz w:val="22"/>
          <w:szCs w:val="22"/>
        </w:rPr>
        <w:t xml:space="preserve">Recently, </w:t>
      </w:r>
      <w:r w:rsidRPr="00EE591E" w:rsidR="00DF7E18">
        <w:rPr>
          <w:sz w:val="22"/>
          <w:szCs w:val="22"/>
        </w:rPr>
        <w:t>the Commission</w:t>
      </w:r>
      <w:r w:rsidRPr="00EE591E" w:rsidR="00180AE4">
        <w:rPr>
          <w:sz w:val="22"/>
          <w:szCs w:val="22"/>
        </w:rPr>
        <w:t xml:space="preserve"> </w:t>
      </w:r>
      <w:r w:rsidRPr="00EE591E" w:rsidR="007B416D">
        <w:rPr>
          <w:sz w:val="22"/>
          <w:szCs w:val="22"/>
        </w:rPr>
        <w:t>charged</w:t>
      </w:r>
      <w:r w:rsidRPr="00EE591E" w:rsidR="00180AE4">
        <w:rPr>
          <w:sz w:val="22"/>
          <w:szCs w:val="22"/>
        </w:rPr>
        <w:t xml:space="preserve"> </w:t>
      </w:r>
      <w:r w:rsidRPr="00EE591E" w:rsidR="00A002FB">
        <w:rPr>
          <w:sz w:val="22"/>
          <w:szCs w:val="22"/>
        </w:rPr>
        <w:t xml:space="preserve">the Bureau </w:t>
      </w:r>
      <w:r w:rsidRPr="00EE591E" w:rsidR="007B416D">
        <w:rPr>
          <w:sz w:val="22"/>
          <w:szCs w:val="22"/>
        </w:rPr>
        <w:t>with monitoring</w:t>
      </w:r>
      <w:r w:rsidRPr="00EE591E" w:rsidR="00A002FB">
        <w:rPr>
          <w:sz w:val="22"/>
          <w:szCs w:val="22"/>
        </w:rPr>
        <w:t xml:space="preserve"> the parties</w:t>
      </w:r>
      <w:r w:rsidRPr="00EE591E" w:rsidR="009D1381">
        <w:rPr>
          <w:sz w:val="22"/>
          <w:szCs w:val="22"/>
        </w:rPr>
        <w:t>’</w:t>
      </w:r>
      <w:r w:rsidRPr="00EE591E" w:rsidR="00A002FB">
        <w:rPr>
          <w:sz w:val="22"/>
          <w:szCs w:val="22"/>
        </w:rPr>
        <w:t xml:space="preserve"> reimbursement negotiations.</w:t>
      </w:r>
      <w:r>
        <w:rPr>
          <w:rStyle w:val="FootnoteReference"/>
          <w:sz w:val="22"/>
          <w:szCs w:val="22"/>
        </w:rPr>
        <w:footnoteReference w:id="17"/>
      </w:r>
      <w:r w:rsidRPr="00EE591E" w:rsidR="00A002FB">
        <w:rPr>
          <w:sz w:val="22"/>
          <w:szCs w:val="22"/>
        </w:rPr>
        <w:t xml:space="preserve"> </w:t>
      </w:r>
      <w:r w:rsidRPr="00EE591E" w:rsidR="00180AE4">
        <w:rPr>
          <w:sz w:val="22"/>
          <w:szCs w:val="22"/>
        </w:rPr>
        <w:t xml:space="preserve"> </w:t>
      </w:r>
      <w:r w:rsidRPr="00EE591E" w:rsidR="00A002FB">
        <w:rPr>
          <w:sz w:val="22"/>
          <w:szCs w:val="22"/>
        </w:rPr>
        <w:t>To facilitate</w:t>
      </w:r>
      <w:r w:rsidRPr="00EE591E" w:rsidR="00180AE4">
        <w:rPr>
          <w:sz w:val="22"/>
          <w:szCs w:val="22"/>
        </w:rPr>
        <w:t xml:space="preserve"> </w:t>
      </w:r>
      <w:r w:rsidRPr="00EE591E" w:rsidR="00A002FB">
        <w:rPr>
          <w:sz w:val="22"/>
          <w:szCs w:val="22"/>
        </w:rPr>
        <w:t xml:space="preserve">this, </w:t>
      </w:r>
      <w:r w:rsidRPr="00EE591E" w:rsidR="00180AE4">
        <w:rPr>
          <w:sz w:val="22"/>
          <w:szCs w:val="22"/>
        </w:rPr>
        <w:t>the Commission</w:t>
      </w:r>
      <w:r w:rsidRPr="00EE591E" w:rsidR="00A002FB">
        <w:rPr>
          <w:sz w:val="22"/>
          <w:szCs w:val="22"/>
        </w:rPr>
        <w:t xml:space="preserve"> </w:t>
      </w:r>
      <w:r w:rsidRPr="00EE591E">
        <w:rPr>
          <w:sz w:val="22"/>
          <w:szCs w:val="22"/>
        </w:rPr>
        <w:t>required</w:t>
      </w:r>
      <w:r w:rsidRPr="00EE591E" w:rsidR="00A002FB">
        <w:rPr>
          <w:sz w:val="22"/>
          <w:szCs w:val="22"/>
        </w:rPr>
        <w:t xml:space="preserve"> </w:t>
      </w:r>
      <w:r w:rsidRPr="00EE591E" w:rsidR="00180AE4">
        <w:rPr>
          <w:sz w:val="22"/>
          <w:szCs w:val="22"/>
        </w:rPr>
        <w:t>“</w:t>
      </w:r>
      <w:r w:rsidRPr="00EE591E" w:rsidR="00A002FB">
        <w:rPr>
          <w:sz w:val="22"/>
          <w:szCs w:val="22"/>
        </w:rPr>
        <w:t>the parties to report to the Bureau in writing regarding the progress of their negotiations</w:t>
      </w:r>
      <w:r w:rsidRPr="00EE591E" w:rsidR="005D2ECC">
        <w:rPr>
          <w:sz w:val="22"/>
          <w:szCs w:val="22"/>
        </w:rPr>
        <w:t>” by</w:t>
      </w:r>
      <w:r w:rsidRPr="00EE591E" w:rsidR="00C918A4">
        <w:rPr>
          <w:sz w:val="22"/>
          <w:szCs w:val="22"/>
        </w:rPr>
        <w:t xml:space="preserve"> February 24, 2022</w:t>
      </w:r>
      <w:r w:rsidRPr="00EE591E" w:rsidR="005D2ECC">
        <w:rPr>
          <w:sz w:val="22"/>
          <w:szCs w:val="22"/>
        </w:rPr>
        <w:t>.</w:t>
      </w:r>
      <w:r>
        <w:rPr>
          <w:rStyle w:val="FootnoteReference"/>
          <w:sz w:val="22"/>
          <w:szCs w:val="22"/>
        </w:rPr>
        <w:footnoteReference w:id="18"/>
      </w:r>
      <w:r w:rsidRPr="00EE591E" w:rsidR="005D2ECC">
        <w:rPr>
          <w:sz w:val="22"/>
          <w:szCs w:val="22"/>
        </w:rPr>
        <w:t xml:space="preserve"> </w:t>
      </w:r>
      <w:r w:rsidRPr="00EE591E" w:rsidR="00A002FB">
        <w:rPr>
          <w:sz w:val="22"/>
          <w:szCs w:val="22"/>
        </w:rPr>
        <w:t xml:space="preserve"> </w:t>
      </w:r>
      <w:r w:rsidRPr="00EE591E" w:rsidR="002A17B2">
        <w:rPr>
          <w:sz w:val="22"/>
          <w:szCs w:val="22"/>
        </w:rPr>
        <w:t>If a reimbursement agreement</w:t>
      </w:r>
      <w:r w:rsidRPr="00EE591E" w:rsidR="00A002FB">
        <w:rPr>
          <w:sz w:val="22"/>
          <w:szCs w:val="22"/>
        </w:rPr>
        <w:t xml:space="preserve"> </w:t>
      </w:r>
      <w:r w:rsidRPr="00EE591E" w:rsidR="005D2ECC">
        <w:rPr>
          <w:sz w:val="22"/>
          <w:szCs w:val="22"/>
        </w:rPr>
        <w:t>had</w:t>
      </w:r>
      <w:r w:rsidRPr="00EE591E" w:rsidR="00A002FB">
        <w:rPr>
          <w:sz w:val="22"/>
          <w:szCs w:val="22"/>
        </w:rPr>
        <w:t xml:space="preserve"> not been reached by</w:t>
      </w:r>
      <w:r w:rsidRPr="00EE591E" w:rsidR="007B202A">
        <w:rPr>
          <w:sz w:val="22"/>
          <w:szCs w:val="22"/>
        </w:rPr>
        <w:t xml:space="preserve"> that</w:t>
      </w:r>
      <w:r w:rsidRPr="00EE591E" w:rsidR="00A002FB">
        <w:rPr>
          <w:sz w:val="22"/>
          <w:szCs w:val="22"/>
        </w:rPr>
        <w:t xml:space="preserve"> </w:t>
      </w:r>
      <w:r w:rsidRPr="00EE591E" w:rsidR="005D2ECC">
        <w:rPr>
          <w:sz w:val="22"/>
          <w:szCs w:val="22"/>
        </w:rPr>
        <w:t>date</w:t>
      </w:r>
      <w:r w:rsidRPr="00EE591E" w:rsidR="002A17B2">
        <w:rPr>
          <w:sz w:val="22"/>
          <w:szCs w:val="22"/>
        </w:rPr>
        <w:t xml:space="preserve">, </w:t>
      </w:r>
      <w:r w:rsidRPr="00EE591E" w:rsidR="007B202A">
        <w:rPr>
          <w:sz w:val="22"/>
          <w:szCs w:val="22"/>
        </w:rPr>
        <w:t xml:space="preserve">the Commission </w:t>
      </w:r>
      <w:r w:rsidRPr="00EE591E" w:rsidR="007B416D">
        <w:rPr>
          <w:sz w:val="22"/>
          <w:szCs w:val="22"/>
        </w:rPr>
        <w:t>ordered</w:t>
      </w:r>
      <w:r w:rsidRPr="00EE591E" w:rsidR="007B202A">
        <w:rPr>
          <w:sz w:val="22"/>
          <w:szCs w:val="22"/>
        </w:rPr>
        <w:t xml:space="preserve"> </w:t>
      </w:r>
      <w:r w:rsidRPr="00EE591E" w:rsidR="00A002FB">
        <w:rPr>
          <w:sz w:val="22"/>
          <w:szCs w:val="22"/>
        </w:rPr>
        <w:t xml:space="preserve">PVBC </w:t>
      </w:r>
      <w:r w:rsidRPr="00EE591E" w:rsidR="007B202A">
        <w:rPr>
          <w:sz w:val="22"/>
          <w:szCs w:val="22"/>
        </w:rPr>
        <w:t>to</w:t>
      </w:r>
      <w:r w:rsidRPr="00EE591E" w:rsidR="00A002FB">
        <w:rPr>
          <w:sz w:val="22"/>
          <w:szCs w:val="22"/>
        </w:rPr>
        <w:t xml:space="preserve"> separately submit</w:t>
      </w:r>
      <w:r w:rsidRPr="00EE591E" w:rsidR="00C918A4">
        <w:rPr>
          <w:sz w:val="22"/>
          <w:szCs w:val="22"/>
        </w:rPr>
        <w:t>—on that same date—</w:t>
      </w:r>
      <w:r w:rsidRPr="00EE591E" w:rsidR="001C1FEF">
        <w:rPr>
          <w:sz w:val="22"/>
          <w:szCs w:val="22"/>
        </w:rPr>
        <w:t xml:space="preserve"> “a</w:t>
      </w:r>
      <w:r w:rsidRPr="00EE591E" w:rsidR="00A002FB">
        <w:rPr>
          <w:sz w:val="22"/>
          <w:szCs w:val="22"/>
        </w:rPr>
        <w:t xml:space="preserve"> list</w:t>
      </w:r>
      <w:r w:rsidRPr="00EE591E" w:rsidR="007B202A">
        <w:rPr>
          <w:sz w:val="22"/>
          <w:szCs w:val="22"/>
        </w:rPr>
        <w:t xml:space="preserve"> </w:t>
      </w:r>
      <w:r w:rsidRPr="00EE591E" w:rsidR="00A002FB">
        <w:rPr>
          <w:sz w:val="22"/>
          <w:szCs w:val="22"/>
        </w:rPr>
        <w:t xml:space="preserve">of all expenses that it </w:t>
      </w:r>
      <w:r w:rsidRPr="00EE591E" w:rsidR="007B416D">
        <w:rPr>
          <w:sz w:val="22"/>
          <w:szCs w:val="22"/>
        </w:rPr>
        <w:t>currently claims</w:t>
      </w:r>
      <w:r w:rsidRPr="00EE591E" w:rsidR="00A002FB">
        <w:rPr>
          <w:sz w:val="22"/>
          <w:szCs w:val="22"/>
        </w:rPr>
        <w:t xml:space="preserve"> </w:t>
      </w:r>
      <w:r w:rsidRPr="00EE591E" w:rsidR="007B416D">
        <w:rPr>
          <w:sz w:val="22"/>
          <w:szCs w:val="22"/>
        </w:rPr>
        <w:t>are</w:t>
      </w:r>
      <w:r w:rsidRPr="00EE591E" w:rsidR="00A002FB">
        <w:rPr>
          <w:sz w:val="22"/>
          <w:szCs w:val="22"/>
        </w:rPr>
        <w:t xml:space="preserve"> reimbursable along with a justification and </w:t>
      </w:r>
      <w:r w:rsidRPr="00EE591E" w:rsidR="00A002FB">
        <w:rPr>
          <w:sz w:val="22"/>
          <w:szCs w:val="22"/>
        </w:rPr>
        <w:t>documentation</w:t>
      </w:r>
      <w:r w:rsidRPr="00EE591E" w:rsidR="007B202A">
        <w:rPr>
          <w:sz w:val="22"/>
          <w:szCs w:val="22"/>
        </w:rPr>
        <w:t xml:space="preserve"> t</w:t>
      </w:r>
      <w:r w:rsidRPr="00EE591E" w:rsidR="00A002FB">
        <w:rPr>
          <w:sz w:val="22"/>
          <w:szCs w:val="22"/>
        </w:rPr>
        <w:t>o support the estimated cost of each expens</w:t>
      </w:r>
      <w:r w:rsidRPr="00EE591E">
        <w:rPr>
          <w:sz w:val="22"/>
          <w:szCs w:val="22"/>
        </w:rPr>
        <w:t>e.</w:t>
      </w:r>
      <w:r w:rsidRPr="00EE591E" w:rsidR="007B416D">
        <w:rPr>
          <w:sz w:val="22"/>
          <w:szCs w:val="22"/>
        </w:rPr>
        <w:t>”</w:t>
      </w:r>
      <w:r>
        <w:rPr>
          <w:rStyle w:val="FootnoteReference"/>
          <w:sz w:val="22"/>
          <w:szCs w:val="22"/>
        </w:rPr>
        <w:footnoteReference w:id="19"/>
      </w:r>
      <w:r w:rsidRPr="00EE591E">
        <w:rPr>
          <w:sz w:val="22"/>
          <w:szCs w:val="22"/>
        </w:rPr>
        <w:t xml:space="preserve">  The Commission </w:t>
      </w:r>
      <w:r w:rsidRPr="00EE591E" w:rsidR="001C1FEF">
        <w:rPr>
          <w:sz w:val="22"/>
          <w:szCs w:val="22"/>
        </w:rPr>
        <w:t>directed</w:t>
      </w:r>
      <w:r w:rsidRPr="00EE591E" w:rsidR="00A002FB">
        <w:rPr>
          <w:sz w:val="22"/>
          <w:szCs w:val="22"/>
        </w:rPr>
        <w:t xml:space="preserve"> Entravision to respond to PVBC’s submission within 14 days of </w:t>
      </w:r>
      <w:r w:rsidRPr="00EE591E">
        <w:rPr>
          <w:sz w:val="22"/>
          <w:szCs w:val="22"/>
        </w:rPr>
        <w:t>its</w:t>
      </w:r>
      <w:r w:rsidRPr="00EE591E" w:rsidR="00A002FB">
        <w:rPr>
          <w:sz w:val="22"/>
          <w:szCs w:val="22"/>
        </w:rPr>
        <w:t xml:space="preserve"> filing with the Bureau.</w:t>
      </w:r>
      <w:r>
        <w:rPr>
          <w:rStyle w:val="FootnoteReference"/>
          <w:sz w:val="22"/>
          <w:szCs w:val="22"/>
        </w:rPr>
        <w:footnoteReference w:id="20"/>
      </w:r>
      <w:r w:rsidRPr="00EE591E" w:rsidR="00A002FB">
        <w:rPr>
          <w:sz w:val="22"/>
          <w:szCs w:val="22"/>
        </w:rPr>
        <w:t xml:space="preserve"> </w:t>
      </w:r>
      <w:r w:rsidRPr="00EE591E">
        <w:rPr>
          <w:sz w:val="22"/>
          <w:szCs w:val="22"/>
        </w:rPr>
        <w:t xml:space="preserve"> </w:t>
      </w:r>
    </w:p>
    <w:p w:rsidR="001B49B4" w:rsidRPr="00EE591E" w:rsidP="009E1B64" w14:paraId="0180C973" w14:textId="77777777">
      <w:pPr>
        <w:ind w:firstLine="720"/>
        <w:rPr>
          <w:sz w:val="22"/>
          <w:szCs w:val="22"/>
        </w:rPr>
      </w:pPr>
    </w:p>
    <w:p w:rsidR="00CD5565" w:rsidRPr="00EE591E" w:rsidP="009E1B64" w14:paraId="54D5C412" w14:textId="63E5D84E">
      <w:pPr>
        <w:ind w:firstLine="720"/>
        <w:rPr>
          <w:sz w:val="22"/>
          <w:szCs w:val="22"/>
        </w:rPr>
      </w:pPr>
      <w:r w:rsidRPr="00EE591E">
        <w:rPr>
          <w:sz w:val="22"/>
          <w:szCs w:val="22"/>
        </w:rPr>
        <w:t xml:space="preserve">On February 24, 2022, Entravision and PVBC jointly filed </w:t>
      </w:r>
      <w:r w:rsidRPr="00EE591E" w:rsidR="00950D87">
        <w:rPr>
          <w:sz w:val="22"/>
          <w:szCs w:val="22"/>
        </w:rPr>
        <w:t xml:space="preserve">the Statement, which </w:t>
      </w:r>
      <w:r w:rsidRPr="00EE591E" w:rsidR="005A4CE7">
        <w:rPr>
          <w:sz w:val="22"/>
          <w:szCs w:val="22"/>
        </w:rPr>
        <w:t xml:space="preserve">indicates </w:t>
      </w:r>
      <w:r w:rsidRPr="00EE591E" w:rsidR="006609D0">
        <w:rPr>
          <w:sz w:val="22"/>
          <w:szCs w:val="22"/>
        </w:rPr>
        <w:t xml:space="preserve">they </w:t>
      </w:r>
      <w:r w:rsidRPr="00EE591E" w:rsidR="005A4CE7">
        <w:rPr>
          <w:sz w:val="22"/>
          <w:szCs w:val="22"/>
        </w:rPr>
        <w:t>have</w:t>
      </w:r>
      <w:r w:rsidRPr="00EE591E" w:rsidR="006609D0">
        <w:rPr>
          <w:sz w:val="22"/>
          <w:szCs w:val="22"/>
        </w:rPr>
        <w:t xml:space="preserve"> been “unable to reach a mutually agreeable understanding as to the legitimate and prudent expenses that Entravision must reimburse P</w:t>
      </w:r>
      <w:r w:rsidRPr="00EE591E" w:rsidR="00880622">
        <w:rPr>
          <w:sz w:val="22"/>
          <w:szCs w:val="22"/>
        </w:rPr>
        <w:t>VBC.”</w:t>
      </w:r>
      <w:r>
        <w:rPr>
          <w:rStyle w:val="FootnoteReference"/>
          <w:sz w:val="22"/>
          <w:szCs w:val="22"/>
        </w:rPr>
        <w:footnoteReference w:id="21"/>
      </w:r>
      <w:r w:rsidRPr="00EE591E" w:rsidR="00880622">
        <w:rPr>
          <w:sz w:val="22"/>
          <w:szCs w:val="22"/>
        </w:rPr>
        <w:t xml:space="preserve">  </w:t>
      </w:r>
      <w:r w:rsidRPr="00EE591E" w:rsidR="009813D9">
        <w:rPr>
          <w:sz w:val="22"/>
          <w:szCs w:val="22"/>
        </w:rPr>
        <w:t>That same day, PVBC file</w:t>
      </w:r>
      <w:r w:rsidRPr="00EE591E" w:rsidR="001D6FDA">
        <w:rPr>
          <w:sz w:val="22"/>
          <w:szCs w:val="22"/>
        </w:rPr>
        <w:t xml:space="preserve">d </w:t>
      </w:r>
      <w:r w:rsidRPr="00EE591E" w:rsidR="00964A69">
        <w:rPr>
          <w:sz w:val="22"/>
          <w:szCs w:val="22"/>
        </w:rPr>
        <w:t xml:space="preserve">the </w:t>
      </w:r>
      <w:r w:rsidRPr="00EE591E" w:rsidR="001D6FDA">
        <w:rPr>
          <w:sz w:val="22"/>
          <w:szCs w:val="22"/>
        </w:rPr>
        <w:t>Report</w:t>
      </w:r>
      <w:r w:rsidRPr="00EE591E" w:rsidR="00727AE9">
        <w:rPr>
          <w:sz w:val="22"/>
          <w:szCs w:val="22"/>
        </w:rPr>
        <w:t>.  On March 4, 2022, Entravision filed</w:t>
      </w:r>
      <w:r w:rsidRPr="00EE591E" w:rsidR="005A4CE7">
        <w:rPr>
          <w:sz w:val="22"/>
          <w:szCs w:val="22"/>
        </w:rPr>
        <w:t xml:space="preserve"> the Response</w:t>
      </w:r>
      <w:r w:rsidRPr="00EE591E" w:rsidR="00244496">
        <w:rPr>
          <w:sz w:val="22"/>
          <w:szCs w:val="22"/>
        </w:rPr>
        <w:t xml:space="preserve">, and PVBC </w:t>
      </w:r>
      <w:r w:rsidRPr="00EE591E" w:rsidR="000F0827">
        <w:rPr>
          <w:sz w:val="22"/>
          <w:szCs w:val="22"/>
        </w:rPr>
        <w:t xml:space="preserve">filed </w:t>
      </w:r>
      <w:r w:rsidRPr="00EE591E" w:rsidR="006D1D2F">
        <w:rPr>
          <w:sz w:val="22"/>
          <w:szCs w:val="22"/>
        </w:rPr>
        <w:t xml:space="preserve">the </w:t>
      </w:r>
      <w:r w:rsidRPr="00EE591E" w:rsidR="00AF623B">
        <w:rPr>
          <w:sz w:val="22"/>
          <w:szCs w:val="22"/>
        </w:rPr>
        <w:t>Update</w:t>
      </w:r>
      <w:r w:rsidRPr="00EE591E" w:rsidR="005579E4">
        <w:rPr>
          <w:sz w:val="22"/>
          <w:szCs w:val="22"/>
        </w:rPr>
        <w:t>, which</w:t>
      </w:r>
      <w:r w:rsidRPr="00EE591E" w:rsidR="007B3909">
        <w:rPr>
          <w:sz w:val="22"/>
          <w:szCs w:val="22"/>
        </w:rPr>
        <w:t xml:space="preserve"> contained</w:t>
      </w:r>
      <w:r w:rsidRPr="00EE591E" w:rsidR="005579E4">
        <w:rPr>
          <w:sz w:val="22"/>
          <w:szCs w:val="22"/>
        </w:rPr>
        <w:t xml:space="preserve"> </w:t>
      </w:r>
      <w:r w:rsidRPr="00EE591E" w:rsidR="007B3909">
        <w:rPr>
          <w:sz w:val="22"/>
          <w:szCs w:val="22"/>
        </w:rPr>
        <w:t>a revised expense list</w:t>
      </w:r>
      <w:r w:rsidRPr="00EE591E" w:rsidR="005579E4">
        <w:rPr>
          <w:sz w:val="22"/>
          <w:szCs w:val="22"/>
        </w:rPr>
        <w:t xml:space="preserve"> and </w:t>
      </w:r>
      <w:r w:rsidRPr="00EE591E" w:rsidR="007B3909">
        <w:rPr>
          <w:sz w:val="22"/>
          <w:szCs w:val="22"/>
        </w:rPr>
        <w:t xml:space="preserve">additional </w:t>
      </w:r>
      <w:r w:rsidRPr="00EE591E" w:rsidR="005579E4">
        <w:rPr>
          <w:sz w:val="22"/>
          <w:szCs w:val="22"/>
        </w:rPr>
        <w:t>documentatio</w:t>
      </w:r>
      <w:r w:rsidRPr="00EE591E" w:rsidR="007F1213">
        <w:rPr>
          <w:sz w:val="22"/>
          <w:szCs w:val="22"/>
        </w:rPr>
        <w:t>n</w:t>
      </w:r>
      <w:r w:rsidRPr="00EE591E" w:rsidR="00F36CE0">
        <w:rPr>
          <w:sz w:val="22"/>
          <w:szCs w:val="22"/>
        </w:rPr>
        <w:t xml:space="preserve">.  </w:t>
      </w:r>
      <w:r w:rsidRPr="00EE591E" w:rsidR="000F0827">
        <w:rPr>
          <w:sz w:val="22"/>
          <w:szCs w:val="22"/>
        </w:rPr>
        <w:t>Entravision</w:t>
      </w:r>
      <w:r w:rsidRPr="00EE591E" w:rsidR="00E92B48">
        <w:rPr>
          <w:sz w:val="22"/>
          <w:szCs w:val="22"/>
        </w:rPr>
        <w:t xml:space="preserve"> immediately filed</w:t>
      </w:r>
      <w:r w:rsidRPr="00EE591E" w:rsidR="003954DE">
        <w:rPr>
          <w:sz w:val="22"/>
          <w:szCs w:val="22"/>
        </w:rPr>
        <w:t xml:space="preserve"> the Motion</w:t>
      </w:r>
      <w:r w:rsidRPr="00EE591E" w:rsidR="005B5AED">
        <w:rPr>
          <w:sz w:val="22"/>
          <w:szCs w:val="22"/>
        </w:rPr>
        <w:t xml:space="preserve">, which urges </w:t>
      </w:r>
      <w:r w:rsidRPr="00EE591E" w:rsidR="0081239A">
        <w:rPr>
          <w:sz w:val="22"/>
          <w:szCs w:val="22"/>
        </w:rPr>
        <w:t>us</w:t>
      </w:r>
      <w:r w:rsidRPr="00EE591E" w:rsidR="005B5AED">
        <w:rPr>
          <w:sz w:val="22"/>
          <w:szCs w:val="22"/>
        </w:rPr>
        <w:t xml:space="preserve"> to strike the Update</w:t>
      </w:r>
      <w:r w:rsidRPr="00EE591E" w:rsidR="0027254F">
        <w:rPr>
          <w:sz w:val="22"/>
          <w:szCs w:val="22"/>
        </w:rPr>
        <w:t xml:space="preserve">.  </w:t>
      </w:r>
      <w:r w:rsidRPr="00EE591E" w:rsidR="00E92B48">
        <w:rPr>
          <w:sz w:val="22"/>
          <w:szCs w:val="22"/>
        </w:rPr>
        <w:t xml:space="preserve">PVBC </w:t>
      </w:r>
      <w:r w:rsidRPr="00EE591E" w:rsidR="00A94381">
        <w:rPr>
          <w:sz w:val="22"/>
          <w:szCs w:val="22"/>
        </w:rPr>
        <w:t>then filed the Motion Opposition, and Entravision filed the Motion Reply</w:t>
      </w:r>
      <w:r w:rsidRPr="00EE591E" w:rsidR="00E92B48">
        <w:rPr>
          <w:sz w:val="22"/>
          <w:szCs w:val="22"/>
        </w:rPr>
        <w:t>.</w:t>
      </w:r>
      <w:r w:rsidRPr="00EE591E" w:rsidR="00F36CE0">
        <w:rPr>
          <w:sz w:val="22"/>
          <w:szCs w:val="22"/>
        </w:rPr>
        <w:t xml:space="preserve">  On April 1, 2022, PVBC filed </w:t>
      </w:r>
      <w:r w:rsidRPr="00EE591E" w:rsidR="0072683A">
        <w:rPr>
          <w:sz w:val="22"/>
          <w:szCs w:val="22"/>
        </w:rPr>
        <w:t>the Reply</w:t>
      </w:r>
      <w:r w:rsidRPr="00EE591E" w:rsidR="005579E4">
        <w:rPr>
          <w:sz w:val="22"/>
          <w:szCs w:val="22"/>
        </w:rPr>
        <w:t xml:space="preserve">, which </w:t>
      </w:r>
      <w:r w:rsidRPr="00EE591E" w:rsidR="00244496">
        <w:rPr>
          <w:sz w:val="22"/>
          <w:szCs w:val="22"/>
        </w:rPr>
        <w:t>responds to arguments Entravision made in the Response, and offers additional factual information</w:t>
      </w:r>
      <w:r w:rsidRPr="00EE591E" w:rsidR="008553A1">
        <w:rPr>
          <w:sz w:val="22"/>
          <w:szCs w:val="22"/>
        </w:rPr>
        <w:t xml:space="preserve"> and documentation</w:t>
      </w:r>
      <w:r w:rsidRPr="00EE591E" w:rsidR="00244496">
        <w:rPr>
          <w:sz w:val="22"/>
          <w:szCs w:val="22"/>
        </w:rPr>
        <w:t xml:space="preserve"> to support PVBC’s claims that various items are reimbursable</w:t>
      </w:r>
      <w:r w:rsidRPr="00EE591E" w:rsidR="00F36CE0">
        <w:rPr>
          <w:sz w:val="22"/>
          <w:szCs w:val="22"/>
        </w:rPr>
        <w:t xml:space="preserve">.  Entravision then filed </w:t>
      </w:r>
      <w:r w:rsidRPr="00EE591E" w:rsidR="0072683A">
        <w:rPr>
          <w:sz w:val="22"/>
          <w:szCs w:val="22"/>
        </w:rPr>
        <w:t>the</w:t>
      </w:r>
      <w:r w:rsidRPr="00EE591E" w:rsidR="00F36CE0">
        <w:rPr>
          <w:sz w:val="22"/>
          <w:szCs w:val="22"/>
        </w:rPr>
        <w:t xml:space="preserve"> Second Motion on April 4, 2022</w:t>
      </w:r>
      <w:r w:rsidRPr="00EE591E" w:rsidR="000F12C5">
        <w:rPr>
          <w:sz w:val="22"/>
          <w:szCs w:val="22"/>
        </w:rPr>
        <w:t>, which urges us to strike the Reply</w:t>
      </w:r>
      <w:r w:rsidRPr="00EE591E" w:rsidR="00F36CE0">
        <w:rPr>
          <w:sz w:val="22"/>
          <w:szCs w:val="22"/>
        </w:rPr>
        <w:t xml:space="preserve">.  </w:t>
      </w:r>
      <w:r w:rsidRPr="00EE591E" w:rsidR="001F3024">
        <w:rPr>
          <w:sz w:val="22"/>
          <w:szCs w:val="22"/>
        </w:rPr>
        <w:t xml:space="preserve">PVBC </w:t>
      </w:r>
      <w:r w:rsidRPr="00EE591E" w:rsidR="000F12C5">
        <w:rPr>
          <w:sz w:val="22"/>
          <w:szCs w:val="22"/>
        </w:rPr>
        <w:t>filed</w:t>
      </w:r>
      <w:r w:rsidRPr="00EE591E" w:rsidR="001F3024">
        <w:rPr>
          <w:sz w:val="22"/>
          <w:szCs w:val="22"/>
        </w:rPr>
        <w:t xml:space="preserve"> the Second Motion </w:t>
      </w:r>
      <w:r w:rsidRPr="00EE591E" w:rsidR="008F09D6">
        <w:rPr>
          <w:sz w:val="22"/>
          <w:szCs w:val="22"/>
        </w:rPr>
        <w:t>Opposition</w:t>
      </w:r>
      <w:r w:rsidRPr="00EE591E" w:rsidR="001F3024">
        <w:rPr>
          <w:sz w:val="22"/>
          <w:szCs w:val="22"/>
        </w:rPr>
        <w:t xml:space="preserve">, and Entravision </w:t>
      </w:r>
      <w:r w:rsidRPr="00EE591E" w:rsidR="008F09D6">
        <w:rPr>
          <w:sz w:val="22"/>
          <w:szCs w:val="22"/>
        </w:rPr>
        <w:t>filed the Second Motion Reply.</w:t>
      </w:r>
    </w:p>
    <w:p w:rsidR="002307CB" w:rsidRPr="00EE591E" w:rsidP="009E1B64" w14:paraId="3A712511" w14:textId="77777777">
      <w:pPr>
        <w:autoSpaceDE w:val="0"/>
        <w:autoSpaceDN w:val="0"/>
        <w:adjustRightInd w:val="0"/>
        <w:rPr>
          <w:sz w:val="22"/>
          <w:szCs w:val="22"/>
        </w:rPr>
      </w:pPr>
    </w:p>
    <w:p w:rsidR="009E2560" w:rsidRPr="001852DC" w:rsidP="009E1B64" w14:paraId="1A3E43C6" w14:textId="04D7EF6E">
      <w:pPr>
        <w:autoSpaceDE w:val="0"/>
        <w:autoSpaceDN w:val="0"/>
        <w:adjustRightInd w:val="0"/>
        <w:rPr>
          <w:b/>
          <w:bCs/>
          <w:sz w:val="22"/>
          <w:szCs w:val="22"/>
        </w:rPr>
      </w:pPr>
      <w:r w:rsidRPr="001852DC">
        <w:rPr>
          <w:b/>
          <w:bCs/>
          <w:sz w:val="22"/>
          <w:szCs w:val="22"/>
        </w:rPr>
        <w:t>II.</w:t>
      </w:r>
      <w:r w:rsidRPr="001852DC">
        <w:rPr>
          <w:b/>
          <w:bCs/>
          <w:sz w:val="22"/>
          <w:szCs w:val="22"/>
        </w:rPr>
        <w:tab/>
      </w:r>
      <w:r w:rsidRPr="001852DC">
        <w:rPr>
          <w:b/>
          <w:bCs/>
          <w:sz w:val="22"/>
          <w:szCs w:val="22"/>
        </w:rPr>
        <w:t>DISCUSSION</w:t>
      </w:r>
    </w:p>
    <w:p w:rsidR="009E2560" w:rsidRPr="00EE591E" w:rsidP="009E1B64" w14:paraId="51003CC0" w14:textId="77777777">
      <w:pPr>
        <w:autoSpaceDE w:val="0"/>
        <w:autoSpaceDN w:val="0"/>
        <w:adjustRightInd w:val="0"/>
        <w:rPr>
          <w:sz w:val="22"/>
          <w:szCs w:val="22"/>
        </w:rPr>
      </w:pPr>
    </w:p>
    <w:p w:rsidR="009E2560" w:rsidRPr="00EE591E" w:rsidP="009E1B64" w14:paraId="31C740FA" w14:textId="2E81EEB4">
      <w:pPr>
        <w:autoSpaceDE w:val="0"/>
        <w:autoSpaceDN w:val="0"/>
        <w:adjustRightInd w:val="0"/>
        <w:ind w:firstLine="720"/>
        <w:rPr>
          <w:b/>
          <w:bCs/>
          <w:sz w:val="22"/>
          <w:szCs w:val="22"/>
        </w:rPr>
      </w:pPr>
      <w:r w:rsidRPr="00EE591E">
        <w:rPr>
          <w:b/>
          <w:bCs/>
          <w:sz w:val="22"/>
          <w:szCs w:val="22"/>
        </w:rPr>
        <w:t>A.</w:t>
      </w:r>
      <w:r w:rsidRPr="00EE591E">
        <w:rPr>
          <w:b/>
          <w:bCs/>
          <w:sz w:val="22"/>
          <w:szCs w:val="22"/>
        </w:rPr>
        <w:tab/>
      </w:r>
      <w:r w:rsidRPr="00EE591E">
        <w:rPr>
          <w:b/>
          <w:bCs/>
          <w:sz w:val="22"/>
          <w:szCs w:val="22"/>
        </w:rPr>
        <w:t xml:space="preserve">Procedural Issues.  </w:t>
      </w:r>
    </w:p>
    <w:p w:rsidR="009E2560" w:rsidRPr="00EE591E" w:rsidP="009E1B64" w14:paraId="5F9D6780" w14:textId="77777777">
      <w:pPr>
        <w:autoSpaceDE w:val="0"/>
        <w:autoSpaceDN w:val="0"/>
        <w:adjustRightInd w:val="0"/>
        <w:ind w:firstLine="720"/>
        <w:rPr>
          <w:sz w:val="22"/>
          <w:szCs w:val="22"/>
        </w:rPr>
      </w:pPr>
    </w:p>
    <w:p w:rsidR="0049761F" w:rsidRPr="00EE591E" w:rsidP="009E1B64" w14:paraId="47251268" w14:textId="69F5A352">
      <w:pPr>
        <w:autoSpaceDE w:val="0"/>
        <w:autoSpaceDN w:val="0"/>
        <w:adjustRightInd w:val="0"/>
        <w:ind w:firstLine="720"/>
        <w:rPr>
          <w:sz w:val="22"/>
          <w:szCs w:val="22"/>
        </w:rPr>
      </w:pPr>
      <w:r w:rsidRPr="00EE591E">
        <w:rPr>
          <w:b/>
          <w:bCs/>
          <w:i/>
          <w:iCs/>
          <w:sz w:val="22"/>
          <w:szCs w:val="22"/>
        </w:rPr>
        <w:t>New Arguments.</w:t>
      </w:r>
      <w:r w:rsidRPr="00EE591E">
        <w:rPr>
          <w:b/>
          <w:bCs/>
          <w:sz w:val="22"/>
          <w:szCs w:val="22"/>
        </w:rPr>
        <w:t xml:space="preserve">  </w:t>
      </w:r>
      <w:r w:rsidRPr="00EE591E">
        <w:rPr>
          <w:sz w:val="22"/>
          <w:szCs w:val="22"/>
        </w:rPr>
        <w:t>We decline to consider any new arguments made in the Reply.</w:t>
      </w:r>
      <w:r>
        <w:rPr>
          <w:rStyle w:val="FootnoteReference"/>
          <w:sz w:val="22"/>
          <w:szCs w:val="22"/>
        </w:rPr>
        <w:footnoteReference w:id="22"/>
      </w:r>
      <w:r w:rsidRPr="00EE591E">
        <w:rPr>
          <w:sz w:val="22"/>
          <w:szCs w:val="22"/>
        </w:rPr>
        <w:t xml:space="preserve"> </w:t>
      </w:r>
      <w:r w:rsidRPr="00EE591E">
        <w:rPr>
          <w:i/>
          <w:iCs/>
          <w:sz w:val="22"/>
          <w:szCs w:val="22"/>
        </w:rPr>
        <w:t xml:space="preserve"> </w:t>
      </w:r>
      <w:r w:rsidRPr="00EE591E">
        <w:rPr>
          <w:sz w:val="22"/>
          <w:szCs w:val="22"/>
        </w:rPr>
        <w:t xml:space="preserve">The Commission did not authorize PVBC to submit a reply to the Response.  </w:t>
      </w:r>
      <w:r w:rsidRPr="00EE591E" w:rsidR="00B70A55">
        <w:rPr>
          <w:sz w:val="22"/>
          <w:szCs w:val="22"/>
        </w:rPr>
        <w:t xml:space="preserve">We note that normally </w:t>
      </w:r>
      <w:r w:rsidRPr="00EE591E">
        <w:rPr>
          <w:sz w:val="22"/>
          <w:szCs w:val="22"/>
        </w:rPr>
        <w:t>we would dismiss the entire pleading</w:t>
      </w:r>
      <w:r w:rsidRPr="00EE591E" w:rsidR="00C92E2A">
        <w:rPr>
          <w:sz w:val="22"/>
          <w:szCs w:val="22"/>
        </w:rPr>
        <w:t xml:space="preserve"> as unauthorized.</w:t>
      </w:r>
      <w:r w:rsidRPr="00EE591E">
        <w:rPr>
          <w:sz w:val="22"/>
          <w:szCs w:val="22"/>
        </w:rPr>
        <w:t xml:space="preserve">  However, as we explain below, </w:t>
      </w:r>
      <w:r w:rsidRPr="00EE591E" w:rsidR="00561340">
        <w:rPr>
          <w:sz w:val="22"/>
          <w:szCs w:val="22"/>
        </w:rPr>
        <w:t xml:space="preserve">because </w:t>
      </w:r>
      <w:r w:rsidRPr="00EE591E">
        <w:rPr>
          <w:sz w:val="22"/>
          <w:szCs w:val="22"/>
        </w:rPr>
        <w:t xml:space="preserve">we would have requested that PVBC provide certain </w:t>
      </w:r>
      <w:r w:rsidRPr="00EE591E" w:rsidR="006C1743">
        <w:rPr>
          <w:sz w:val="22"/>
          <w:szCs w:val="22"/>
        </w:rPr>
        <w:t xml:space="preserve">factual </w:t>
      </w:r>
      <w:r w:rsidRPr="00EE591E">
        <w:rPr>
          <w:sz w:val="22"/>
          <w:szCs w:val="22"/>
        </w:rPr>
        <w:t>information included in the Reply</w:t>
      </w:r>
      <w:r w:rsidRPr="00EE591E" w:rsidR="00BA6EC6">
        <w:rPr>
          <w:sz w:val="22"/>
          <w:szCs w:val="22"/>
        </w:rPr>
        <w:t xml:space="preserve">, </w:t>
      </w:r>
      <w:r w:rsidRPr="00EE591E" w:rsidR="00561340">
        <w:rPr>
          <w:sz w:val="22"/>
          <w:szCs w:val="22"/>
        </w:rPr>
        <w:t>we</w:t>
      </w:r>
      <w:r w:rsidRPr="00EE591E" w:rsidR="00BA6EC6">
        <w:rPr>
          <w:sz w:val="22"/>
          <w:szCs w:val="22"/>
        </w:rPr>
        <w:t xml:space="preserve"> will accept and </w:t>
      </w:r>
      <w:r w:rsidRPr="00EE591E" w:rsidR="00C92E2A">
        <w:rPr>
          <w:sz w:val="22"/>
          <w:szCs w:val="22"/>
        </w:rPr>
        <w:t xml:space="preserve">consider that </w:t>
      </w:r>
      <w:r w:rsidRPr="00EE591E" w:rsidR="00561340">
        <w:rPr>
          <w:sz w:val="22"/>
          <w:szCs w:val="22"/>
        </w:rPr>
        <w:t xml:space="preserve">factual </w:t>
      </w:r>
      <w:r w:rsidRPr="00EE591E" w:rsidR="00C92E2A">
        <w:rPr>
          <w:sz w:val="22"/>
          <w:szCs w:val="22"/>
        </w:rPr>
        <w:t>information</w:t>
      </w:r>
      <w:r w:rsidRPr="00EE591E">
        <w:rPr>
          <w:sz w:val="22"/>
          <w:szCs w:val="22"/>
        </w:rPr>
        <w:t xml:space="preserve">.  </w:t>
      </w:r>
      <w:r w:rsidRPr="00EE591E" w:rsidR="00C92E2A">
        <w:rPr>
          <w:sz w:val="22"/>
          <w:szCs w:val="22"/>
        </w:rPr>
        <w:t>As a result</w:t>
      </w:r>
      <w:r w:rsidRPr="00EE591E">
        <w:rPr>
          <w:sz w:val="22"/>
          <w:szCs w:val="22"/>
        </w:rPr>
        <w:t>, we</w:t>
      </w:r>
      <w:r w:rsidRPr="00EE591E" w:rsidR="00C92E2A">
        <w:rPr>
          <w:sz w:val="22"/>
          <w:szCs w:val="22"/>
        </w:rPr>
        <w:t xml:space="preserve"> will</w:t>
      </w:r>
      <w:r w:rsidRPr="00EE591E">
        <w:rPr>
          <w:sz w:val="22"/>
          <w:szCs w:val="22"/>
        </w:rPr>
        <w:t xml:space="preserve"> </w:t>
      </w:r>
      <w:r w:rsidRPr="00EE591E" w:rsidR="006C1743">
        <w:rPr>
          <w:sz w:val="22"/>
          <w:szCs w:val="22"/>
        </w:rPr>
        <w:t>grant the Second Motion in part, and strike</w:t>
      </w:r>
      <w:r w:rsidRPr="00EE591E">
        <w:rPr>
          <w:sz w:val="22"/>
          <w:szCs w:val="22"/>
        </w:rPr>
        <w:t xml:space="preserve"> </w:t>
      </w:r>
      <w:r w:rsidRPr="00EE591E" w:rsidR="00C92E2A">
        <w:rPr>
          <w:sz w:val="22"/>
          <w:szCs w:val="22"/>
        </w:rPr>
        <w:t>those</w:t>
      </w:r>
      <w:r w:rsidRPr="00EE591E" w:rsidR="00BA6EC6">
        <w:rPr>
          <w:sz w:val="22"/>
          <w:szCs w:val="22"/>
        </w:rPr>
        <w:t xml:space="preserve"> portions of the Reply not specifically accepted </w:t>
      </w:r>
      <w:r w:rsidRPr="00EE591E" w:rsidR="002C21A9">
        <w:rPr>
          <w:sz w:val="22"/>
          <w:szCs w:val="22"/>
        </w:rPr>
        <w:t>herein</w:t>
      </w:r>
      <w:r w:rsidRPr="00EE591E" w:rsidR="006C1743">
        <w:rPr>
          <w:sz w:val="22"/>
          <w:szCs w:val="22"/>
        </w:rPr>
        <w:t>.</w:t>
      </w:r>
    </w:p>
    <w:p w:rsidR="0049761F" w:rsidRPr="00EE591E" w:rsidP="009E1B64" w14:paraId="40D661A6" w14:textId="77777777">
      <w:pPr>
        <w:autoSpaceDE w:val="0"/>
        <w:autoSpaceDN w:val="0"/>
        <w:adjustRightInd w:val="0"/>
        <w:rPr>
          <w:sz w:val="22"/>
          <w:szCs w:val="22"/>
        </w:rPr>
      </w:pPr>
    </w:p>
    <w:p w:rsidR="00A7102F" w:rsidRPr="00EE591E" w:rsidP="009E1B64" w14:paraId="6B42BA6A" w14:textId="7DEF4C10">
      <w:pPr>
        <w:autoSpaceDE w:val="0"/>
        <w:autoSpaceDN w:val="0"/>
        <w:adjustRightInd w:val="0"/>
        <w:ind w:firstLine="720"/>
        <w:rPr>
          <w:sz w:val="22"/>
          <w:szCs w:val="22"/>
        </w:rPr>
      </w:pPr>
      <w:r w:rsidRPr="00EE591E">
        <w:rPr>
          <w:b/>
          <w:bCs/>
          <w:i/>
          <w:iCs/>
          <w:sz w:val="22"/>
          <w:szCs w:val="22"/>
        </w:rPr>
        <w:t>New Expense Item</w:t>
      </w:r>
      <w:r w:rsidRPr="00EE591E" w:rsidR="008553A1">
        <w:rPr>
          <w:b/>
          <w:bCs/>
          <w:i/>
          <w:iCs/>
          <w:sz w:val="22"/>
          <w:szCs w:val="22"/>
        </w:rPr>
        <w:t>s</w:t>
      </w:r>
      <w:r w:rsidRPr="00EE591E">
        <w:rPr>
          <w:b/>
          <w:bCs/>
          <w:sz w:val="22"/>
          <w:szCs w:val="22"/>
        </w:rPr>
        <w:t>.</w:t>
      </w:r>
      <w:r>
        <w:rPr>
          <w:rStyle w:val="FootnoteReference"/>
          <w:b/>
          <w:bCs/>
          <w:sz w:val="22"/>
          <w:szCs w:val="22"/>
        </w:rPr>
        <w:footnoteReference w:id="23"/>
      </w:r>
      <w:r w:rsidRPr="00EE591E">
        <w:rPr>
          <w:b/>
          <w:bCs/>
          <w:sz w:val="22"/>
          <w:szCs w:val="22"/>
        </w:rPr>
        <w:t xml:space="preserve">  </w:t>
      </w:r>
      <w:r w:rsidRPr="00EE591E" w:rsidR="007F1213">
        <w:rPr>
          <w:sz w:val="22"/>
          <w:szCs w:val="22"/>
        </w:rPr>
        <w:t xml:space="preserve">We reject Entravision’s argument that PVBC was required to submit a list of all expenses that it </w:t>
      </w:r>
      <w:r w:rsidRPr="00EE591E" w:rsidR="006C1743">
        <w:rPr>
          <w:sz w:val="22"/>
          <w:szCs w:val="22"/>
        </w:rPr>
        <w:t>claims ar</w:t>
      </w:r>
      <w:r w:rsidRPr="00EE591E" w:rsidR="007F1213">
        <w:rPr>
          <w:sz w:val="22"/>
          <w:szCs w:val="22"/>
        </w:rPr>
        <w:t xml:space="preserve">e reimbursable by February 24, 2022.  </w:t>
      </w:r>
      <w:r w:rsidRPr="00EE591E">
        <w:rPr>
          <w:sz w:val="22"/>
          <w:szCs w:val="22"/>
        </w:rPr>
        <w:t>We acknowledge that</w:t>
      </w:r>
      <w:r w:rsidRPr="00EE591E" w:rsidR="007F1213">
        <w:rPr>
          <w:sz w:val="22"/>
          <w:szCs w:val="22"/>
        </w:rPr>
        <w:t xml:space="preserve">, as Entravision notes, the text of the </w:t>
      </w:r>
      <w:r w:rsidRPr="00EE591E" w:rsidR="008553A1">
        <w:rPr>
          <w:i/>
          <w:iCs/>
          <w:sz w:val="22"/>
          <w:szCs w:val="22"/>
        </w:rPr>
        <w:t>Commission Order</w:t>
      </w:r>
      <w:r w:rsidRPr="00EE591E" w:rsidR="00554C32">
        <w:rPr>
          <w:sz w:val="22"/>
          <w:szCs w:val="22"/>
        </w:rPr>
        <w:t xml:space="preserve"> </w:t>
      </w:r>
      <w:r w:rsidRPr="00EE591E" w:rsidR="008553A1">
        <w:rPr>
          <w:sz w:val="22"/>
          <w:szCs w:val="22"/>
        </w:rPr>
        <w:t>specifie</w:t>
      </w:r>
      <w:r w:rsidRPr="00EE591E" w:rsidR="006C1743">
        <w:rPr>
          <w:sz w:val="22"/>
          <w:szCs w:val="22"/>
        </w:rPr>
        <w:t>s</w:t>
      </w:r>
      <w:r w:rsidRPr="00EE591E" w:rsidR="00554C32">
        <w:rPr>
          <w:sz w:val="22"/>
          <w:szCs w:val="22"/>
        </w:rPr>
        <w:t xml:space="preserve"> that PVBC must submit “a list of all </w:t>
      </w:r>
      <w:r w:rsidRPr="00EE591E" w:rsidR="00554C32">
        <w:rPr>
          <w:sz w:val="22"/>
          <w:szCs w:val="22"/>
        </w:rPr>
        <w:t>expenses that it claims are reimbursable”</w:t>
      </w:r>
      <w:r w:rsidRPr="00EE591E" w:rsidR="008553A1">
        <w:rPr>
          <w:sz w:val="22"/>
          <w:szCs w:val="22"/>
        </w:rPr>
        <w:t xml:space="preserve"> </w:t>
      </w:r>
      <w:r w:rsidRPr="00EE591E" w:rsidR="00152F06">
        <w:rPr>
          <w:sz w:val="22"/>
          <w:szCs w:val="22"/>
        </w:rPr>
        <w:t>by February 24, 2022</w:t>
      </w:r>
      <w:r w:rsidRPr="00EE591E" w:rsidR="008553A1">
        <w:rPr>
          <w:sz w:val="22"/>
          <w:szCs w:val="22"/>
        </w:rPr>
        <w:t>.</w:t>
      </w:r>
      <w:r>
        <w:rPr>
          <w:rStyle w:val="FootnoteReference"/>
          <w:sz w:val="22"/>
          <w:szCs w:val="22"/>
        </w:rPr>
        <w:footnoteReference w:id="24"/>
      </w:r>
      <w:r w:rsidRPr="00EE591E" w:rsidR="00554C32">
        <w:rPr>
          <w:sz w:val="22"/>
          <w:szCs w:val="22"/>
        </w:rPr>
        <w:t xml:space="preserve">  However, </w:t>
      </w:r>
      <w:r w:rsidRPr="00EE591E" w:rsidR="007F1213">
        <w:rPr>
          <w:sz w:val="22"/>
          <w:szCs w:val="22"/>
        </w:rPr>
        <w:t>Entravision ignores the fact that</w:t>
      </w:r>
      <w:r w:rsidRPr="00EE591E" w:rsidR="008553A1">
        <w:rPr>
          <w:sz w:val="22"/>
          <w:szCs w:val="22"/>
        </w:rPr>
        <w:t xml:space="preserve"> </w:t>
      </w:r>
      <w:r w:rsidRPr="00EE591E" w:rsidR="00554C32">
        <w:rPr>
          <w:sz w:val="22"/>
          <w:szCs w:val="22"/>
        </w:rPr>
        <w:t xml:space="preserve">the </w:t>
      </w:r>
      <w:r w:rsidRPr="00EE591E" w:rsidR="00B50529">
        <w:rPr>
          <w:i/>
          <w:iCs/>
          <w:sz w:val="22"/>
          <w:szCs w:val="22"/>
        </w:rPr>
        <w:t>Commission Order</w:t>
      </w:r>
      <w:r w:rsidRPr="00EE591E" w:rsidR="00B50529">
        <w:rPr>
          <w:sz w:val="22"/>
          <w:szCs w:val="22"/>
        </w:rPr>
        <w:t xml:space="preserve"> includes an ordering clause that requires</w:t>
      </w:r>
      <w:r w:rsidRPr="00EE591E" w:rsidR="007F1213">
        <w:rPr>
          <w:sz w:val="22"/>
          <w:szCs w:val="22"/>
        </w:rPr>
        <w:t xml:space="preserve"> </w:t>
      </w:r>
      <w:r w:rsidRPr="00EE591E" w:rsidR="00554C32">
        <w:rPr>
          <w:sz w:val="22"/>
          <w:szCs w:val="22"/>
        </w:rPr>
        <w:t xml:space="preserve">PVBC to submit “a list of all expenses that it </w:t>
      </w:r>
      <w:r w:rsidRPr="00EE591E" w:rsidR="00554C32">
        <w:rPr>
          <w:i/>
          <w:iCs/>
          <w:sz w:val="22"/>
          <w:szCs w:val="22"/>
        </w:rPr>
        <w:t>currently</w:t>
      </w:r>
      <w:r w:rsidRPr="00EE591E" w:rsidR="00554C32">
        <w:rPr>
          <w:sz w:val="22"/>
          <w:szCs w:val="22"/>
        </w:rPr>
        <w:t xml:space="preserve"> claims are reimbursable.”</w:t>
      </w:r>
      <w:r>
        <w:rPr>
          <w:rStyle w:val="FootnoteReference"/>
          <w:sz w:val="22"/>
          <w:szCs w:val="22"/>
        </w:rPr>
        <w:footnoteReference w:id="25"/>
      </w:r>
      <w:r w:rsidRPr="00EE591E" w:rsidR="00554C32">
        <w:rPr>
          <w:sz w:val="22"/>
          <w:szCs w:val="22"/>
        </w:rPr>
        <w:t xml:space="preserve">  </w:t>
      </w:r>
      <w:r w:rsidRPr="00EE591E" w:rsidR="00B50529">
        <w:rPr>
          <w:sz w:val="22"/>
          <w:szCs w:val="22"/>
        </w:rPr>
        <w:t>Entravision</w:t>
      </w:r>
      <w:r w:rsidRPr="00EE591E" w:rsidR="000925F0">
        <w:rPr>
          <w:sz w:val="22"/>
          <w:szCs w:val="22"/>
        </w:rPr>
        <w:t xml:space="preserve"> also ignores the unusual procedural posture of this case.</w:t>
      </w:r>
      <w:r>
        <w:rPr>
          <w:rStyle w:val="FootnoteReference"/>
          <w:sz w:val="22"/>
          <w:szCs w:val="22"/>
        </w:rPr>
        <w:footnoteReference w:id="26"/>
      </w:r>
      <w:r w:rsidRPr="00EE591E" w:rsidR="000925F0">
        <w:rPr>
          <w:sz w:val="22"/>
          <w:szCs w:val="22"/>
        </w:rPr>
        <w:t xml:space="preserve">  </w:t>
      </w:r>
      <w:r w:rsidRPr="00EE591E" w:rsidR="00732873">
        <w:rPr>
          <w:sz w:val="22"/>
          <w:szCs w:val="22"/>
        </w:rPr>
        <w:t>We conclude that, the Commission used the phrase “currently claims” in recognition of the fact that the KPPV(FM) channel change had not yet been implemented,</w:t>
      </w:r>
      <w:r w:rsidRPr="00EE591E" w:rsidR="000925F0">
        <w:rPr>
          <w:sz w:val="22"/>
          <w:szCs w:val="22"/>
        </w:rPr>
        <w:t xml:space="preserve"> </w:t>
      </w:r>
      <w:r w:rsidRPr="00EE591E" w:rsidR="00732873">
        <w:rPr>
          <w:sz w:val="22"/>
          <w:szCs w:val="22"/>
        </w:rPr>
        <w:t xml:space="preserve">and thus </w:t>
      </w:r>
      <w:r w:rsidRPr="00EE591E" w:rsidR="00554C32">
        <w:rPr>
          <w:sz w:val="22"/>
          <w:szCs w:val="22"/>
        </w:rPr>
        <w:t xml:space="preserve">PVBC </w:t>
      </w:r>
      <w:r w:rsidRPr="00EE591E" w:rsidR="005579E4">
        <w:rPr>
          <w:sz w:val="22"/>
          <w:szCs w:val="22"/>
        </w:rPr>
        <w:t xml:space="preserve">might </w:t>
      </w:r>
      <w:r w:rsidRPr="00EE591E" w:rsidR="00732873">
        <w:rPr>
          <w:sz w:val="22"/>
          <w:szCs w:val="22"/>
        </w:rPr>
        <w:t>incur</w:t>
      </w:r>
      <w:r w:rsidRPr="00EE591E" w:rsidR="00554C32">
        <w:rPr>
          <w:sz w:val="22"/>
          <w:szCs w:val="22"/>
        </w:rPr>
        <w:t xml:space="preserve"> additional </w:t>
      </w:r>
      <w:r w:rsidRPr="00EE591E" w:rsidR="005579E4">
        <w:rPr>
          <w:sz w:val="22"/>
          <w:szCs w:val="22"/>
        </w:rPr>
        <w:t>expenses it believes are reimbursable</w:t>
      </w:r>
      <w:r w:rsidRPr="00EE591E" w:rsidR="00554C32">
        <w:rPr>
          <w:sz w:val="22"/>
          <w:szCs w:val="22"/>
        </w:rPr>
        <w:t xml:space="preserve"> after February 24, 2022</w:t>
      </w:r>
      <w:r w:rsidRPr="00EE591E" w:rsidR="000925F0">
        <w:rPr>
          <w:sz w:val="22"/>
          <w:szCs w:val="22"/>
        </w:rPr>
        <w:t>.</w:t>
      </w:r>
      <w:r>
        <w:rPr>
          <w:rStyle w:val="FootnoteReference"/>
          <w:sz w:val="22"/>
          <w:szCs w:val="22"/>
        </w:rPr>
        <w:footnoteReference w:id="27"/>
      </w:r>
      <w:r w:rsidRPr="00EE591E" w:rsidR="000925F0">
        <w:rPr>
          <w:sz w:val="22"/>
          <w:szCs w:val="22"/>
        </w:rPr>
        <w:t xml:space="preserve">  </w:t>
      </w:r>
      <w:r w:rsidRPr="00EE591E">
        <w:rPr>
          <w:sz w:val="22"/>
          <w:szCs w:val="22"/>
        </w:rPr>
        <w:t xml:space="preserve">Accordingly, we will consider </w:t>
      </w:r>
      <w:r w:rsidRPr="00EE591E" w:rsidR="00DE7EA8">
        <w:rPr>
          <w:sz w:val="22"/>
          <w:szCs w:val="22"/>
        </w:rPr>
        <w:t xml:space="preserve">the new expense item (related to </w:t>
      </w:r>
      <w:r w:rsidRPr="00EE591E" w:rsidR="00152F06">
        <w:rPr>
          <w:sz w:val="22"/>
          <w:szCs w:val="22"/>
        </w:rPr>
        <w:t>a “Sign for Outside of Office Building”</w:t>
      </w:r>
      <w:r w:rsidRPr="00EE591E" w:rsidR="00DE7EA8">
        <w:rPr>
          <w:sz w:val="22"/>
          <w:szCs w:val="22"/>
        </w:rPr>
        <w:t>) that PVBC included in the Update.</w:t>
      </w:r>
      <w:r>
        <w:rPr>
          <w:rStyle w:val="FootnoteReference"/>
          <w:sz w:val="22"/>
          <w:szCs w:val="22"/>
        </w:rPr>
        <w:footnoteReference w:id="28"/>
      </w:r>
      <w:r w:rsidRPr="00EE591E" w:rsidR="000925F0">
        <w:rPr>
          <w:sz w:val="22"/>
          <w:szCs w:val="22"/>
        </w:rPr>
        <w:t xml:space="preserve">  </w:t>
      </w:r>
    </w:p>
    <w:p w:rsidR="004936E3" w:rsidRPr="00EE591E" w:rsidP="009E1B64" w14:paraId="2FE3434B" w14:textId="77777777">
      <w:pPr>
        <w:autoSpaceDE w:val="0"/>
        <w:autoSpaceDN w:val="0"/>
        <w:adjustRightInd w:val="0"/>
        <w:rPr>
          <w:i/>
          <w:iCs/>
          <w:sz w:val="22"/>
          <w:szCs w:val="22"/>
        </w:rPr>
      </w:pPr>
    </w:p>
    <w:p w:rsidR="00577C2E" w:rsidRPr="00EE591E" w:rsidP="009E1B64" w14:paraId="1A63001C" w14:textId="3C8629F3">
      <w:pPr>
        <w:autoSpaceDE w:val="0"/>
        <w:autoSpaceDN w:val="0"/>
        <w:adjustRightInd w:val="0"/>
        <w:ind w:firstLine="720"/>
        <w:rPr>
          <w:sz w:val="22"/>
          <w:szCs w:val="22"/>
        </w:rPr>
      </w:pPr>
      <w:r w:rsidRPr="00B4497B">
        <w:rPr>
          <w:b/>
          <w:bCs/>
          <w:i/>
          <w:iCs/>
          <w:sz w:val="22"/>
          <w:szCs w:val="22"/>
        </w:rPr>
        <w:t>New</w:t>
      </w:r>
      <w:r w:rsidRPr="00B4497B" w:rsidR="0072683A">
        <w:rPr>
          <w:b/>
          <w:bCs/>
          <w:i/>
          <w:iCs/>
          <w:sz w:val="22"/>
          <w:szCs w:val="22"/>
        </w:rPr>
        <w:t xml:space="preserve"> </w:t>
      </w:r>
      <w:r w:rsidRPr="00B4497B" w:rsidR="0066024A">
        <w:rPr>
          <w:b/>
          <w:bCs/>
          <w:i/>
          <w:iCs/>
          <w:sz w:val="22"/>
          <w:szCs w:val="22"/>
        </w:rPr>
        <w:t>Documents</w:t>
      </w:r>
      <w:r w:rsidRPr="00B4497B" w:rsidR="00D06997">
        <w:rPr>
          <w:b/>
          <w:bCs/>
          <w:i/>
          <w:iCs/>
          <w:sz w:val="22"/>
          <w:szCs w:val="22"/>
        </w:rPr>
        <w:t xml:space="preserve"> and Information</w:t>
      </w:r>
      <w:r w:rsidRPr="00B4497B" w:rsidR="0072683A">
        <w:rPr>
          <w:b/>
          <w:bCs/>
          <w:sz w:val="22"/>
          <w:szCs w:val="22"/>
        </w:rPr>
        <w:t>.</w:t>
      </w:r>
      <w:r w:rsidRPr="00B4497B" w:rsidR="0072683A">
        <w:rPr>
          <w:sz w:val="22"/>
          <w:szCs w:val="22"/>
        </w:rPr>
        <w:t xml:space="preserve">  </w:t>
      </w:r>
      <w:r w:rsidRPr="00B4497B">
        <w:rPr>
          <w:sz w:val="22"/>
          <w:szCs w:val="22"/>
        </w:rPr>
        <w:t>We</w:t>
      </w:r>
      <w:r w:rsidRPr="00EE591E">
        <w:rPr>
          <w:sz w:val="22"/>
          <w:szCs w:val="22"/>
        </w:rPr>
        <w:t xml:space="preserve"> reject Entravision’s argument that</w:t>
      </w:r>
      <w:r w:rsidRPr="00EE591E" w:rsidR="00D31043">
        <w:rPr>
          <w:sz w:val="22"/>
          <w:szCs w:val="22"/>
        </w:rPr>
        <w:t xml:space="preserve"> the </w:t>
      </w:r>
      <w:r w:rsidRPr="00EE591E" w:rsidR="00D31043">
        <w:rPr>
          <w:i/>
          <w:iCs/>
          <w:sz w:val="22"/>
          <w:szCs w:val="22"/>
        </w:rPr>
        <w:t>Commission Order</w:t>
      </w:r>
      <w:r w:rsidRPr="00EE591E" w:rsidR="00D31043">
        <w:rPr>
          <w:sz w:val="22"/>
          <w:szCs w:val="22"/>
        </w:rPr>
        <w:t xml:space="preserve"> </w:t>
      </w:r>
      <w:r w:rsidRPr="00EE591E" w:rsidR="00101DE1">
        <w:rPr>
          <w:sz w:val="22"/>
          <w:szCs w:val="22"/>
        </w:rPr>
        <w:t>set a February 24, 2022, deadline for</w:t>
      </w:r>
      <w:r w:rsidRPr="00EE591E">
        <w:rPr>
          <w:sz w:val="22"/>
          <w:szCs w:val="22"/>
        </w:rPr>
        <w:t xml:space="preserve"> </w:t>
      </w:r>
      <w:r w:rsidRPr="00EE591E" w:rsidR="00101DE1">
        <w:rPr>
          <w:sz w:val="22"/>
          <w:szCs w:val="22"/>
        </w:rPr>
        <w:t>the submission of</w:t>
      </w:r>
      <w:r w:rsidRPr="00EE591E" w:rsidR="004936E3">
        <w:rPr>
          <w:sz w:val="22"/>
          <w:szCs w:val="22"/>
        </w:rPr>
        <w:t xml:space="preserve"> </w:t>
      </w:r>
      <w:r w:rsidRPr="00EE591E">
        <w:rPr>
          <w:sz w:val="22"/>
          <w:szCs w:val="22"/>
        </w:rPr>
        <w:t xml:space="preserve">documentation </w:t>
      </w:r>
      <w:r w:rsidRPr="00EE591E" w:rsidR="0066024A">
        <w:rPr>
          <w:sz w:val="22"/>
          <w:szCs w:val="22"/>
        </w:rPr>
        <w:t xml:space="preserve">or </w:t>
      </w:r>
      <w:r w:rsidRPr="00EE591E" w:rsidR="00650F48">
        <w:rPr>
          <w:sz w:val="22"/>
          <w:szCs w:val="22"/>
        </w:rPr>
        <w:t xml:space="preserve">factual </w:t>
      </w:r>
      <w:r w:rsidRPr="00EE591E" w:rsidR="0066024A">
        <w:rPr>
          <w:sz w:val="22"/>
          <w:szCs w:val="22"/>
        </w:rPr>
        <w:t xml:space="preserve">information </w:t>
      </w:r>
      <w:r w:rsidRPr="00EE591E" w:rsidR="00D31043">
        <w:rPr>
          <w:sz w:val="22"/>
          <w:szCs w:val="22"/>
        </w:rPr>
        <w:t>regarding the expenses</w:t>
      </w:r>
      <w:r w:rsidRPr="00EE591E" w:rsidR="004936E3">
        <w:rPr>
          <w:sz w:val="22"/>
          <w:szCs w:val="22"/>
        </w:rPr>
        <w:t xml:space="preserve"> </w:t>
      </w:r>
      <w:r w:rsidRPr="00EE591E" w:rsidR="00101DE1">
        <w:rPr>
          <w:sz w:val="22"/>
          <w:szCs w:val="22"/>
        </w:rPr>
        <w:t>PVBC</w:t>
      </w:r>
      <w:r w:rsidRPr="00EE591E" w:rsidR="00D31043">
        <w:rPr>
          <w:sz w:val="22"/>
          <w:szCs w:val="22"/>
        </w:rPr>
        <w:t xml:space="preserve"> claims are reimbursable</w:t>
      </w:r>
      <w:r w:rsidRPr="00EE591E" w:rsidR="00460839">
        <w:rPr>
          <w:sz w:val="22"/>
          <w:szCs w:val="22"/>
        </w:rPr>
        <w:t xml:space="preserve">, and </w:t>
      </w:r>
      <w:r w:rsidRPr="00EE591E" w:rsidR="00650F48">
        <w:rPr>
          <w:sz w:val="22"/>
          <w:szCs w:val="22"/>
        </w:rPr>
        <w:t>thus we should not accept any additional documentation or factual information submitted by PVBC</w:t>
      </w:r>
      <w:r w:rsidRPr="00EE591E">
        <w:rPr>
          <w:sz w:val="22"/>
          <w:szCs w:val="22"/>
        </w:rPr>
        <w:t>.</w:t>
      </w:r>
      <w:r>
        <w:rPr>
          <w:rStyle w:val="FootnoteReference"/>
          <w:sz w:val="22"/>
          <w:szCs w:val="22"/>
        </w:rPr>
        <w:footnoteReference w:id="29"/>
      </w:r>
      <w:r w:rsidRPr="00EE591E" w:rsidR="004936E3">
        <w:rPr>
          <w:sz w:val="22"/>
          <w:szCs w:val="22"/>
        </w:rPr>
        <w:t xml:space="preserve">  </w:t>
      </w:r>
      <w:r w:rsidRPr="00EE591E" w:rsidR="00650F48">
        <w:rPr>
          <w:sz w:val="22"/>
          <w:szCs w:val="22"/>
        </w:rPr>
        <w:t>T</w:t>
      </w:r>
      <w:r w:rsidRPr="00EE591E" w:rsidR="0072683A">
        <w:rPr>
          <w:sz w:val="22"/>
          <w:szCs w:val="22"/>
        </w:rPr>
        <w:t xml:space="preserve">he </w:t>
      </w:r>
      <w:r w:rsidRPr="00EE591E" w:rsidR="004936E3">
        <w:rPr>
          <w:sz w:val="22"/>
          <w:szCs w:val="22"/>
        </w:rPr>
        <w:t xml:space="preserve">Commission </w:t>
      </w:r>
      <w:r w:rsidRPr="00EE591E" w:rsidR="00D31043">
        <w:rPr>
          <w:sz w:val="22"/>
          <w:szCs w:val="22"/>
        </w:rPr>
        <w:t xml:space="preserve">actually </w:t>
      </w:r>
      <w:r w:rsidRPr="00EE591E" w:rsidR="0072683A">
        <w:rPr>
          <w:sz w:val="22"/>
          <w:szCs w:val="22"/>
        </w:rPr>
        <w:t>anticipated that the Bureau might need additional information</w:t>
      </w:r>
      <w:r w:rsidRPr="00EE591E" w:rsidR="00792A1A">
        <w:rPr>
          <w:sz w:val="22"/>
          <w:szCs w:val="22"/>
        </w:rPr>
        <w:t xml:space="preserve"> and materials</w:t>
      </w:r>
      <w:r w:rsidRPr="00EE591E" w:rsidR="0072683A">
        <w:rPr>
          <w:sz w:val="22"/>
          <w:szCs w:val="22"/>
        </w:rPr>
        <w:t xml:space="preserve"> from the parties</w:t>
      </w:r>
      <w:r w:rsidRPr="00EE591E" w:rsidR="004936E3">
        <w:rPr>
          <w:sz w:val="22"/>
          <w:szCs w:val="22"/>
        </w:rPr>
        <w:t xml:space="preserve">, and </w:t>
      </w:r>
      <w:r w:rsidRPr="00EE591E" w:rsidR="0066024A">
        <w:rPr>
          <w:sz w:val="22"/>
          <w:szCs w:val="22"/>
        </w:rPr>
        <w:t xml:space="preserve">specifically </w:t>
      </w:r>
      <w:r w:rsidRPr="00EE591E" w:rsidR="004936E3">
        <w:rPr>
          <w:sz w:val="22"/>
          <w:szCs w:val="22"/>
        </w:rPr>
        <w:t>authorized the Bureau to request such information</w:t>
      </w:r>
      <w:r w:rsidRPr="00EE591E" w:rsidR="0072683A">
        <w:rPr>
          <w:sz w:val="22"/>
          <w:szCs w:val="22"/>
        </w:rPr>
        <w:t>.</w:t>
      </w:r>
      <w:r>
        <w:rPr>
          <w:rStyle w:val="FootnoteReference"/>
          <w:sz w:val="22"/>
          <w:szCs w:val="22"/>
        </w:rPr>
        <w:footnoteReference w:id="30"/>
      </w:r>
      <w:r w:rsidRPr="00EE591E" w:rsidR="0072683A">
        <w:rPr>
          <w:sz w:val="22"/>
          <w:szCs w:val="22"/>
        </w:rPr>
        <w:t xml:space="preserve"> </w:t>
      </w:r>
      <w:r w:rsidRPr="00EE591E" w:rsidR="00973FA3">
        <w:rPr>
          <w:sz w:val="22"/>
          <w:szCs w:val="22"/>
        </w:rPr>
        <w:t xml:space="preserve"> </w:t>
      </w:r>
      <w:r w:rsidRPr="00EE591E" w:rsidR="00101DE1">
        <w:rPr>
          <w:sz w:val="22"/>
          <w:szCs w:val="22"/>
        </w:rPr>
        <w:t>T</w:t>
      </w:r>
      <w:r w:rsidRPr="00EE591E" w:rsidR="00492A5E">
        <w:rPr>
          <w:sz w:val="22"/>
          <w:szCs w:val="22"/>
        </w:rPr>
        <w:t xml:space="preserve">he new documentation </w:t>
      </w:r>
      <w:r w:rsidRPr="00EE591E" w:rsidR="00D06997">
        <w:rPr>
          <w:sz w:val="22"/>
          <w:szCs w:val="22"/>
        </w:rPr>
        <w:t>that accompanied</w:t>
      </w:r>
      <w:r w:rsidRPr="00EE591E" w:rsidR="00492A5E">
        <w:rPr>
          <w:sz w:val="22"/>
          <w:szCs w:val="22"/>
        </w:rPr>
        <w:t xml:space="preserve"> the Update</w:t>
      </w:r>
      <w:r w:rsidRPr="00EE591E" w:rsidR="00D06997">
        <w:rPr>
          <w:sz w:val="22"/>
          <w:szCs w:val="22"/>
        </w:rPr>
        <w:t xml:space="preserve">, and the new </w:t>
      </w:r>
      <w:r w:rsidRPr="00EE591E" w:rsidR="00ED294E">
        <w:rPr>
          <w:sz w:val="22"/>
          <w:szCs w:val="22"/>
        </w:rPr>
        <w:t xml:space="preserve">factual </w:t>
      </w:r>
      <w:r w:rsidRPr="00EE591E" w:rsidR="00D06997">
        <w:rPr>
          <w:sz w:val="22"/>
          <w:szCs w:val="22"/>
        </w:rPr>
        <w:t>information</w:t>
      </w:r>
      <w:r w:rsidRPr="00EE591E" w:rsidR="0066024A">
        <w:rPr>
          <w:sz w:val="22"/>
          <w:szCs w:val="22"/>
        </w:rPr>
        <w:t xml:space="preserve"> and documentation</w:t>
      </w:r>
      <w:r w:rsidRPr="00EE591E" w:rsidR="00D06997">
        <w:rPr>
          <w:sz w:val="22"/>
          <w:szCs w:val="22"/>
        </w:rPr>
        <w:t xml:space="preserve"> </w:t>
      </w:r>
      <w:r w:rsidRPr="00EE591E" w:rsidR="00137FCA">
        <w:rPr>
          <w:sz w:val="22"/>
          <w:szCs w:val="22"/>
        </w:rPr>
        <w:t xml:space="preserve">in </w:t>
      </w:r>
      <w:r w:rsidRPr="00EE591E" w:rsidR="00D06997">
        <w:rPr>
          <w:sz w:val="22"/>
          <w:szCs w:val="22"/>
        </w:rPr>
        <w:t>the Reply</w:t>
      </w:r>
      <w:r w:rsidRPr="00EE591E" w:rsidR="00492A5E">
        <w:rPr>
          <w:sz w:val="22"/>
          <w:szCs w:val="22"/>
        </w:rPr>
        <w:t xml:space="preserve"> is the type of documentation</w:t>
      </w:r>
      <w:r w:rsidRPr="00EE591E" w:rsidR="00D06997">
        <w:rPr>
          <w:sz w:val="22"/>
          <w:szCs w:val="22"/>
        </w:rPr>
        <w:t xml:space="preserve"> and</w:t>
      </w:r>
      <w:r w:rsidRPr="00EE591E" w:rsidR="000160C8">
        <w:rPr>
          <w:sz w:val="22"/>
          <w:szCs w:val="22"/>
        </w:rPr>
        <w:t xml:space="preserve"> factual</w:t>
      </w:r>
      <w:r w:rsidRPr="00EE591E" w:rsidR="00D06997">
        <w:rPr>
          <w:sz w:val="22"/>
          <w:szCs w:val="22"/>
        </w:rPr>
        <w:t xml:space="preserve"> information</w:t>
      </w:r>
      <w:r w:rsidRPr="00EE591E" w:rsidR="00492A5E">
        <w:rPr>
          <w:sz w:val="22"/>
          <w:szCs w:val="22"/>
        </w:rPr>
        <w:t xml:space="preserve"> that we would have </w:t>
      </w:r>
      <w:r w:rsidRPr="00EE591E">
        <w:rPr>
          <w:sz w:val="22"/>
          <w:szCs w:val="22"/>
        </w:rPr>
        <w:t>requested</w:t>
      </w:r>
      <w:r w:rsidRPr="00EE591E" w:rsidR="00492A5E">
        <w:rPr>
          <w:sz w:val="22"/>
          <w:szCs w:val="22"/>
        </w:rPr>
        <w:t xml:space="preserve"> from PVBC</w:t>
      </w:r>
      <w:r w:rsidRPr="00EE591E" w:rsidR="00D31043">
        <w:rPr>
          <w:sz w:val="22"/>
          <w:szCs w:val="22"/>
        </w:rPr>
        <w:t>.</w:t>
      </w:r>
      <w:r w:rsidRPr="00EE591E" w:rsidR="0066024A">
        <w:rPr>
          <w:sz w:val="22"/>
          <w:szCs w:val="22"/>
        </w:rPr>
        <w:t xml:space="preserve">  Accordingly,</w:t>
      </w:r>
      <w:r w:rsidRPr="00EE591E" w:rsidR="00492A5E">
        <w:rPr>
          <w:sz w:val="22"/>
          <w:szCs w:val="22"/>
        </w:rPr>
        <w:t xml:space="preserve"> we will accept and consider </w:t>
      </w:r>
      <w:r w:rsidRPr="00EE591E">
        <w:rPr>
          <w:sz w:val="22"/>
          <w:szCs w:val="22"/>
        </w:rPr>
        <w:t>the</w:t>
      </w:r>
      <w:r w:rsidRPr="00EE591E" w:rsidR="00492A5E">
        <w:rPr>
          <w:sz w:val="22"/>
          <w:szCs w:val="22"/>
        </w:rPr>
        <w:t xml:space="preserve"> </w:t>
      </w:r>
      <w:r w:rsidRPr="00EE591E">
        <w:rPr>
          <w:sz w:val="22"/>
          <w:szCs w:val="22"/>
        </w:rPr>
        <w:t>following:</w:t>
      </w:r>
      <w:r w:rsidRPr="00EE591E" w:rsidR="00492A5E">
        <w:rPr>
          <w:sz w:val="22"/>
          <w:szCs w:val="22"/>
        </w:rPr>
        <w:t xml:space="preserve">  </w:t>
      </w:r>
    </w:p>
    <w:p w:rsidR="00577C2E" w:rsidRPr="00EE591E" w:rsidP="009E1B64" w14:paraId="61584F40" w14:textId="77777777">
      <w:pPr>
        <w:autoSpaceDE w:val="0"/>
        <w:autoSpaceDN w:val="0"/>
        <w:adjustRightInd w:val="0"/>
        <w:ind w:firstLine="720"/>
        <w:rPr>
          <w:sz w:val="22"/>
          <w:szCs w:val="22"/>
        </w:rPr>
      </w:pPr>
    </w:p>
    <w:p w:rsidR="00577C2E" w:rsidRPr="00EE591E" w:rsidP="009E1B64" w14:paraId="4FFFF901" w14:textId="598AE04D">
      <w:pPr>
        <w:numPr>
          <w:ilvl w:val="0"/>
          <w:numId w:val="3"/>
        </w:numPr>
        <w:autoSpaceDE w:val="0"/>
        <w:autoSpaceDN w:val="0"/>
        <w:adjustRightInd w:val="0"/>
        <w:rPr>
          <w:sz w:val="22"/>
          <w:szCs w:val="22"/>
        </w:rPr>
      </w:pPr>
      <w:r w:rsidRPr="00EE591E">
        <w:rPr>
          <w:sz w:val="22"/>
          <w:szCs w:val="22"/>
        </w:rPr>
        <w:t xml:space="preserve">Documentation </w:t>
      </w:r>
      <w:r w:rsidRPr="00EE591E" w:rsidR="009C4A76">
        <w:rPr>
          <w:sz w:val="22"/>
          <w:szCs w:val="22"/>
        </w:rPr>
        <w:t>regarding</w:t>
      </w:r>
      <w:r w:rsidRPr="00EE591E" w:rsidR="003E7C5E">
        <w:rPr>
          <w:sz w:val="22"/>
          <w:szCs w:val="22"/>
        </w:rPr>
        <w:t xml:space="preserve"> </w:t>
      </w:r>
      <w:r w:rsidRPr="00EE591E" w:rsidR="0066024A">
        <w:rPr>
          <w:sz w:val="22"/>
          <w:szCs w:val="22"/>
        </w:rPr>
        <w:t xml:space="preserve">the costs of </w:t>
      </w:r>
      <w:r w:rsidRPr="00EE591E" w:rsidR="003E7C5E">
        <w:rPr>
          <w:sz w:val="22"/>
          <w:szCs w:val="22"/>
        </w:rPr>
        <w:t>“Indoor Directional Signage with New Logos,</w:t>
      </w:r>
      <w:r w:rsidRPr="00EE591E" w:rsidR="0066024A">
        <w:rPr>
          <w:sz w:val="22"/>
          <w:szCs w:val="22"/>
        </w:rPr>
        <w:t>”</w:t>
      </w:r>
      <w:r w:rsidRPr="00EE591E" w:rsidR="003E7C5E">
        <w:rPr>
          <w:sz w:val="22"/>
          <w:szCs w:val="22"/>
        </w:rPr>
        <w:t xml:space="preserve"> “Banners,” “Lined Windbreakers,” “Redesigning and Repairing Websites, Fixing Search Engine Issues</w:t>
      </w:r>
      <w:r w:rsidRPr="00EE591E" w:rsidR="006434F8">
        <w:rPr>
          <w:sz w:val="22"/>
          <w:szCs w:val="22"/>
        </w:rPr>
        <w:t>,</w:t>
      </w:r>
      <w:r w:rsidRPr="00EE591E" w:rsidR="003E7C5E">
        <w:rPr>
          <w:sz w:val="22"/>
          <w:szCs w:val="22"/>
        </w:rPr>
        <w:t>”</w:t>
      </w:r>
      <w:r>
        <w:rPr>
          <w:rStyle w:val="FootnoteReference"/>
          <w:sz w:val="22"/>
          <w:szCs w:val="22"/>
        </w:rPr>
        <w:footnoteReference w:id="31"/>
      </w:r>
      <w:r w:rsidRPr="00EE591E" w:rsidR="003E7C5E">
        <w:rPr>
          <w:sz w:val="22"/>
          <w:szCs w:val="22"/>
        </w:rPr>
        <w:t xml:space="preserve">  </w:t>
      </w:r>
    </w:p>
    <w:p w:rsidR="00577C2E" w:rsidRPr="00EE591E" w:rsidP="009E1B64" w14:paraId="14203F5C" w14:textId="77777777">
      <w:pPr>
        <w:autoSpaceDE w:val="0"/>
        <w:autoSpaceDN w:val="0"/>
        <w:adjustRightInd w:val="0"/>
        <w:ind w:left="720"/>
        <w:rPr>
          <w:sz w:val="22"/>
          <w:szCs w:val="22"/>
        </w:rPr>
      </w:pPr>
    </w:p>
    <w:p w:rsidR="009C4A76" w:rsidRPr="00EE591E" w:rsidP="009E1B64" w14:paraId="45360910" w14:textId="15E2470E">
      <w:pPr>
        <w:numPr>
          <w:ilvl w:val="0"/>
          <w:numId w:val="3"/>
        </w:numPr>
        <w:autoSpaceDE w:val="0"/>
        <w:autoSpaceDN w:val="0"/>
        <w:adjustRightInd w:val="0"/>
        <w:rPr>
          <w:sz w:val="22"/>
          <w:szCs w:val="22"/>
        </w:rPr>
      </w:pPr>
      <w:r w:rsidRPr="00EE591E">
        <w:rPr>
          <w:sz w:val="22"/>
          <w:szCs w:val="22"/>
        </w:rPr>
        <w:t>Documentation regarding the cost of “Sign for Outside of Office Building,”</w:t>
      </w:r>
      <w:r>
        <w:rPr>
          <w:rStyle w:val="FootnoteReference"/>
          <w:sz w:val="22"/>
          <w:szCs w:val="22"/>
        </w:rPr>
        <w:footnoteReference w:id="32"/>
      </w:r>
    </w:p>
    <w:p w:rsidR="009C4A76" w:rsidRPr="00EE591E" w:rsidP="009E1B64" w14:paraId="45067E0F" w14:textId="77777777">
      <w:pPr>
        <w:pStyle w:val="ListParagraph"/>
        <w:spacing w:after="0" w:line="240" w:lineRule="auto"/>
        <w:rPr>
          <w:rFonts w:ascii="Times New Roman" w:hAnsi="Times New Roman"/>
        </w:rPr>
      </w:pPr>
    </w:p>
    <w:p w:rsidR="006434F8" w:rsidRPr="00EE591E" w:rsidP="009E1B64" w14:paraId="25943033" w14:textId="40188F65">
      <w:pPr>
        <w:numPr>
          <w:ilvl w:val="0"/>
          <w:numId w:val="3"/>
        </w:numPr>
        <w:autoSpaceDE w:val="0"/>
        <w:autoSpaceDN w:val="0"/>
        <w:adjustRightInd w:val="0"/>
        <w:rPr>
          <w:sz w:val="22"/>
          <w:szCs w:val="22"/>
        </w:rPr>
      </w:pPr>
      <w:r w:rsidRPr="00EE591E">
        <w:rPr>
          <w:sz w:val="22"/>
          <w:szCs w:val="22"/>
        </w:rPr>
        <w:t>“</w:t>
      </w:r>
      <w:r w:rsidRPr="00EE591E" w:rsidR="0075290F">
        <w:rPr>
          <w:sz w:val="22"/>
          <w:szCs w:val="22"/>
        </w:rPr>
        <w:t>P</w:t>
      </w:r>
      <w:r w:rsidRPr="00EE591E" w:rsidR="006C5EB9">
        <w:rPr>
          <w:sz w:val="22"/>
          <w:szCs w:val="22"/>
        </w:rPr>
        <w:t>hotographs of representative examples of office items and marketing materials</w:t>
      </w:r>
      <w:r w:rsidRPr="00EE591E">
        <w:rPr>
          <w:sz w:val="22"/>
          <w:szCs w:val="22"/>
        </w:rPr>
        <w:t>,</w:t>
      </w:r>
      <w:r w:rsidRPr="00EE591E" w:rsidR="006C5EB9">
        <w:rPr>
          <w:sz w:val="22"/>
          <w:szCs w:val="22"/>
        </w:rPr>
        <w:t>”</w:t>
      </w:r>
      <w:r>
        <w:rPr>
          <w:rStyle w:val="FootnoteReference"/>
          <w:sz w:val="22"/>
          <w:szCs w:val="22"/>
        </w:rPr>
        <w:footnoteReference w:id="33"/>
      </w:r>
      <w:r w:rsidRPr="00EE591E" w:rsidR="006C5EB9">
        <w:rPr>
          <w:sz w:val="22"/>
          <w:szCs w:val="22"/>
        </w:rPr>
        <w:t xml:space="preserve"> </w:t>
      </w:r>
    </w:p>
    <w:p w:rsidR="006434F8" w:rsidRPr="00EE591E" w:rsidP="009E1B64" w14:paraId="34BF2FA9" w14:textId="77777777">
      <w:pPr>
        <w:autoSpaceDE w:val="0"/>
        <w:autoSpaceDN w:val="0"/>
        <w:adjustRightInd w:val="0"/>
        <w:ind w:left="720"/>
        <w:rPr>
          <w:sz w:val="22"/>
          <w:szCs w:val="22"/>
        </w:rPr>
      </w:pPr>
    </w:p>
    <w:p w:rsidR="00D06997" w:rsidRPr="00EE591E" w:rsidP="009E1B64" w14:paraId="04ED0E8C" w14:textId="1455F013">
      <w:pPr>
        <w:numPr>
          <w:ilvl w:val="0"/>
          <w:numId w:val="3"/>
        </w:numPr>
        <w:autoSpaceDE w:val="0"/>
        <w:autoSpaceDN w:val="0"/>
        <w:adjustRightInd w:val="0"/>
        <w:rPr>
          <w:sz w:val="22"/>
          <w:szCs w:val="22"/>
        </w:rPr>
      </w:pPr>
      <w:r w:rsidRPr="00EE591E">
        <w:rPr>
          <w:sz w:val="22"/>
          <w:szCs w:val="22"/>
        </w:rPr>
        <w:t xml:space="preserve"> </w:t>
      </w:r>
      <w:r w:rsidRPr="00EE591E" w:rsidR="009C4A76">
        <w:rPr>
          <w:sz w:val="22"/>
          <w:szCs w:val="22"/>
        </w:rPr>
        <w:t xml:space="preserve">An invoice </w:t>
      </w:r>
      <w:r w:rsidRPr="00EE591E" w:rsidR="006434F8">
        <w:rPr>
          <w:sz w:val="22"/>
          <w:szCs w:val="22"/>
        </w:rPr>
        <w:t>for legal fees incurred</w:t>
      </w:r>
      <w:r w:rsidRPr="00EE591E" w:rsidR="009C4A76">
        <w:rPr>
          <w:sz w:val="22"/>
          <w:szCs w:val="22"/>
        </w:rPr>
        <w:t xml:space="preserve"> by PVBC</w:t>
      </w:r>
      <w:r w:rsidRPr="00EE591E" w:rsidR="006434F8">
        <w:rPr>
          <w:sz w:val="22"/>
          <w:szCs w:val="22"/>
        </w:rPr>
        <w:t xml:space="preserve"> in February 2022</w:t>
      </w:r>
      <w:r w:rsidRPr="00EE591E" w:rsidR="00F0462C">
        <w:rPr>
          <w:sz w:val="22"/>
          <w:szCs w:val="22"/>
        </w:rPr>
        <w:t>,</w:t>
      </w:r>
      <w:r>
        <w:rPr>
          <w:rStyle w:val="FootnoteReference"/>
          <w:sz w:val="22"/>
          <w:szCs w:val="22"/>
        </w:rPr>
        <w:footnoteReference w:id="34"/>
      </w:r>
      <w:r w:rsidRPr="00EE591E">
        <w:rPr>
          <w:sz w:val="22"/>
          <w:szCs w:val="22"/>
        </w:rPr>
        <w:t xml:space="preserve">  </w:t>
      </w:r>
      <w:r w:rsidRPr="00EE591E">
        <w:rPr>
          <w:sz w:val="22"/>
          <w:szCs w:val="22"/>
        </w:rPr>
        <w:br/>
      </w:r>
    </w:p>
    <w:p w:rsidR="00D06997" w:rsidRPr="00EE591E" w:rsidP="009E1B64" w14:paraId="521A5994" w14:textId="5AD5834F">
      <w:pPr>
        <w:numPr>
          <w:ilvl w:val="0"/>
          <w:numId w:val="3"/>
        </w:numPr>
        <w:autoSpaceDE w:val="0"/>
        <w:autoSpaceDN w:val="0"/>
        <w:adjustRightInd w:val="0"/>
        <w:rPr>
          <w:sz w:val="22"/>
          <w:szCs w:val="22"/>
        </w:rPr>
      </w:pPr>
      <w:r w:rsidRPr="00EE591E">
        <w:rPr>
          <w:sz w:val="22"/>
          <w:szCs w:val="22"/>
        </w:rPr>
        <w:t>I</w:t>
      </w:r>
      <w:r w:rsidRPr="00EE591E">
        <w:rPr>
          <w:sz w:val="22"/>
          <w:szCs w:val="22"/>
        </w:rPr>
        <w:t>nformation regarding</w:t>
      </w:r>
      <w:r w:rsidRPr="00EE591E" w:rsidR="0049761F">
        <w:rPr>
          <w:sz w:val="22"/>
          <w:szCs w:val="22"/>
        </w:rPr>
        <w:t xml:space="preserve"> </w:t>
      </w:r>
      <w:r w:rsidRPr="00EE591E">
        <w:rPr>
          <w:sz w:val="22"/>
          <w:szCs w:val="22"/>
        </w:rPr>
        <w:t xml:space="preserve">certain </w:t>
      </w:r>
      <w:r w:rsidRPr="00EE591E" w:rsidR="0049761F">
        <w:rPr>
          <w:sz w:val="22"/>
          <w:szCs w:val="22"/>
        </w:rPr>
        <w:t>equipment and engineering expenses listed in the Report,</w:t>
      </w:r>
      <w:r>
        <w:rPr>
          <w:rStyle w:val="FootnoteReference"/>
          <w:sz w:val="22"/>
          <w:szCs w:val="22"/>
        </w:rPr>
        <w:footnoteReference w:id="35"/>
      </w:r>
      <w:r w:rsidRPr="00EE591E">
        <w:rPr>
          <w:sz w:val="22"/>
          <w:szCs w:val="22"/>
        </w:rPr>
        <w:br/>
      </w:r>
    </w:p>
    <w:p w:rsidR="00D06997" w:rsidRPr="00EE591E" w:rsidP="009E1B64" w14:paraId="64FE9A73" w14:textId="4ACA06F1">
      <w:pPr>
        <w:numPr>
          <w:ilvl w:val="0"/>
          <w:numId w:val="3"/>
        </w:numPr>
        <w:autoSpaceDE w:val="0"/>
        <w:autoSpaceDN w:val="0"/>
        <w:adjustRightInd w:val="0"/>
        <w:rPr>
          <w:sz w:val="22"/>
          <w:szCs w:val="22"/>
        </w:rPr>
      </w:pPr>
      <w:r w:rsidRPr="00EE591E">
        <w:rPr>
          <w:sz w:val="22"/>
          <w:szCs w:val="22"/>
        </w:rPr>
        <w:t>I</w:t>
      </w:r>
      <w:r w:rsidRPr="00EE591E">
        <w:rPr>
          <w:sz w:val="22"/>
          <w:szCs w:val="22"/>
        </w:rPr>
        <w:t xml:space="preserve">nformation regarding </w:t>
      </w:r>
      <w:r w:rsidRPr="00EE591E">
        <w:rPr>
          <w:sz w:val="22"/>
          <w:szCs w:val="22"/>
        </w:rPr>
        <w:t xml:space="preserve">PVBC’s use of certain </w:t>
      </w:r>
      <w:r w:rsidRPr="00EE591E" w:rsidR="0049761F">
        <w:rPr>
          <w:sz w:val="22"/>
          <w:szCs w:val="22"/>
        </w:rPr>
        <w:t xml:space="preserve">office </w:t>
      </w:r>
      <w:r w:rsidRPr="00EE591E">
        <w:rPr>
          <w:sz w:val="22"/>
          <w:szCs w:val="22"/>
        </w:rPr>
        <w:t>supplies in operating KPPV(FM)</w:t>
      </w:r>
      <w:r w:rsidRPr="00EE591E" w:rsidR="0049761F">
        <w:rPr>
          <w:sz w:val="22"/>
          <w:szCs w:val="22"/>
        </w:rPr>
        <w:t>,</w:t>
      </w:r>
      <w:r>
        <w:rPr>
          <w:rStyle w:val="FootnoteReference"/>
          <w:sz w:val="22"/>
          <w:szCs w:val="22"/>
        </w:rPr>
        <w:footnoteReference w:id="36"/>
      </w:r>
      <w:r w:rsidRPr="00EE591E" w:rsidR="0049761F">
        <w:rPr>
          <w:sz w:val="22"/>
          <w:szCs w:val="22"/>
        </w:rPr>
        <w:t xml:space="preserve"> </w:t>
      </w:r>
      <w:r w:rsidRPr="00EE591E" w:rsidR="00A93B27">
        <w:rPr>
          <w:sz w:val="22"/>
          <w:szCs w:val="22"/>
        </w:rPr>
        <w:br/>
      </w:r>
    </w:p>
    <w:p w:rsidR="00D06997" w:rsidRPr="00EE591E" w:rsidP="009E1B64" w14:paraId="2DF26E33" w14:textId="6CF07CF3">
      <w:pPr>
        <w:numPr>
          <w:ilvl w:val="0"/>
          <w:numId w:val="3"/>
        </w:numPr>
        <w:autoSpaceDE w:val="0"/>
        <w:autoSpaceDN w:val="0"/>
        <w:adjustRightInd w:val="0"/>
        <w:rPr>
          <w:sz w:val="22"/>
          <w:szCs w:val="22"/>
        </w:rPr>
      </w:pPr>
      <w:r w:rsidRPr="00EE591E">
        <w:rPr>
          <w:sz w:val="22"/>
          <w:szCs w:val="22"/>
        </w:rPr>
        <w:t>I</w:t>
      </w:r>
      <w:r w:rsidRPr="00EE591E">
        <w:rPr>
          <w:sz w:val="22"/>
          <w:szCs w:val="22"/>
        </w:rPr>
        <w:t xml:space="preserve">nformation regarding </w:t>
      </w:r>
      <w:r w:rsidRPr="00EE591E">
        <w:rPr>
          <w:sz w:val="22"/>
          <w:szCs w:val="22"/>
        </w:rPr>
        <w:t xml:space="preserve">PVBC’s use of certain </w:t>
      </w:r>
      <w:r w:rsidRPr="00EE591E" w:rsidR="00384CAB">
        <w:rPr>
          <w:sz w:val="22"/>
          <w:szCs w:val="22"/>
        </w:rPr>
        <w:t>promotional</w:t>
      </w:r>
      <w:r w:rsidRPr="00EE591E" w:rsidR="0049761F">
        <w:rPr>
          <w:sz w:val="22"/>
          <w:szCs w:val="22"/>
        </w:rPr>
        <w:t xml:space="preserve"> materials</w:t>
      </w:r>
      <w:r w:rsidRPr="00EE591E">
        <w:rPr>
          <w:sz w:val="22"/>
          <w:szCs w:val="22"/>
        </w:rPr>
        <w:t xml:space="preserve"> for KPPV(FM)</w:t>
      </w:r>
      <w:r w:rsidRPr="00EE591E" w:rsidR="0049761F">
        <w:rPr>
          <w:sz w:val="22"/>
          <w:szCs w:val="22"/>
        </w:rPr>
        <w:t>,</w:t>
      </w:r>
      <w:r>
        <w:rPr>
          <w:rStyle w:val="FootnoteReference"/>
          <w:sz w:val="22"/>
          <w:szCs w:val="22"/>
        </w:rPr>
        <w:footnoteReference w:id="37"/>
      </w:r>
      <w:r w:rsidRPr="00EE591E" w:rsidR="0049761F">
        <w:rPr>
          <w:sz w:val="22"/>
          <w:szCs w:val="22"/>
        </w:rPr>
        <w:t xml:space="preserve"> </w:t>
      </w:r>
      <w:r w:rsidRPr="00EE591E" w:rsidR="00A93B27">
        <w:rPr>
          <w:sz w:val="22"/>
          <w:szCs w:val="22"/>
        </w:rPr>
        <w:br/>
      </w:r>
    </w:p>
    <w:p w:rsidR="00D06997" w:rsidRPr="00EE591E" w:rsidP="009E1B64" w14:paraId="1126B1C9" w14:textId="50940D58">
      <w:pPr>
        <w:numPr>
          <w:ilvl w:val="0"/>
          <w:numId w:val="3"/>
        </w:numPr>
        <w:autoSpaceDE w:val="0"/>
        <w:autoSpaceDN w:val="0"/>
        <w:adjustRightInd w:val="0"/>
        <w:rPr>
          <w:sz w:val="22"/>
          <w:szCs w:val="22"/>
        </w:rPr>
      </w:pPr>
      <w:r w:rsidRPr="00EE591E">
        <w:rPr>
          <w:sz w:val="22"/>
          <w:szCs w:val="22"/>
        </w:rPr>
        <w:t>Information</w:t>
      </w:r>
      <w:r w:rsidRPr="00EE591E">
        <w:rPr>
          <w:sz w:val="22"/>
          <w:szCs w:val="22"/>
        </w:rPr>
        <w:t xml:space="preserve"> regarding the</w:t>
      </w:r>
      <w:r w:rsidRPr="00EE591E">
        <w:rPr>
          <w:sz w:val="22"/>
          <w:szCs w:val="22"/>
        </w:rPr>
        <w:t xml:space="preserve"> current</w:t>
      </w:r>
      <w:r w:rsidRPr="00EE591E">
        <w:rPr>
          <w:sz w:val="22"/>
          <w:szCs w:val="22"/>
        </w:rPr>
        <w:t xml:space="preserve"> KPPV(FM)</w:t>
      </w:r>
      <w:r w:rsidRPr="00EE591E" w:rsidR="0049761F">
        <w:rPr>
          <w:sz w:val="22"/>
          <w:szCs w:val="22"/>
        </w:rPr>
        <w:t xml:space="preserve"> station identification,</w:t>
      </w:r>
      <w:r>
        <w:rPr>
          <w:rStyle w:val="FootnoteReference"/>
          <w:sz w:val="22"/>
          <w:szCs w:val="22"/>
        </w:rPr>
        <w:footnoteReference w:id="38"/>
      </w:r>
      <w:r w:rsidRPr="00EE591E" w:rsidR="0049761F">
        <w:rPr>
          <w:sz w:val="22"/>
          <w:szCs w:val="22"/>
        </w:rPr>
        <w:t xml:space="preserve"> </w:t>
      </w:r>
      <w:r w:rsidRPr="00EE591E" w:rsidR="00A93B27">
        <w:rPr>
          <w:sz w:val="22"/>
          <w:szCs w:val="22"/>
        </w:rPr>
        <w:br/>
      </w:r>
    </w:p>
    <w:p w:rsidR="00D06997" w:rsidRPr="00EE591E" w:rsidP="009E1B64" w14:paraId="45ED4C0C" w14:textId="23F7C22C">
      <w:pPr>
        <w:numPr>
          <w:ilvl w:val="0"/>
          <w:numId w:val="3"/>
        </w:numPr>
        <w:autoSpaceDE w:val="0"/>
        <w:autoSpaceDN w:val="0"/>
        <w:adjustRightInd w:val="0"/>
        <w:rPr>
          <w:sz w:val="22"/>
          <w:szCs w:val="22"/>
        </w:rPr>
      </w:pPr>
      <w:r w:rsidRPr="00EE591E">
        <w:rPr>
          <w:sz w:val="22"/>
          <w:szCs w:val="22"/>
        </w:rPr>
        <w:t>I</w:t>
      </w:r>
      <w:r w:rsidRPr="00EE591E">
        <w:rPr>
          <w:sz w:val="22"/>
          <w:szCs w:val="22"/>
        </w:rPr>
        <w:t>nformation regarding the</w:t>
      </w:r>
      <w:r w:rsidRPr="00EE591E">
        <w:rPr>
          <w:sz w:val="22"/>
          <w:szCs w:val="22"/>
        </w:rPr>
        <w:t xml:space="preserve"> current</w:t>
      </w:r>
      <w:r w:rsidRPr="00EE591E">
        <w:rPr>
          <w:sz w:val="22"/>
          <w:szCs w:val="22"/>
        </w:rPr>
        <w:t xml:space="preserve"> </w:t>
      </w:r>
      <w:r w:rsidRPr="00EE591E" w:rsidR="0049761F">
        <w:rPr>
          <w:sz w:val="22"/>
          <w:szCs w:val="22"/>
        </w:rPr>
        <w:t>Prescott Valley Chamber of Commerce Ad,</w:t>
      </w:r>
      <w:r>
        <w:rPr>
          <w:rStyle w:val="FootnoteReference"/>
          <w:sz w:val="22"/>
          <w:szCs w:val="22"/>
        </w:rPr>
        <w:footnoteReference w:id="39"/>
      </w:r>
      <w:r w:rsidRPr="00EE591E" w:rsidR="0049761F">
        <w:rPr>
          <w:sz w:val="22"/>
          <w:szCs w:val="22"/>
        </w:rPr>
        <w:t xml:space="preserve"> </w:t>
      </w:r>
      <w:r w:rsidRPr="00EE591E" w:rsidR="00A93B27">
        <w:rPr>
          <w:sz w:val="22"/>
          <w:szCs w:val="22"/>
        </w:rPr>
        <w:br/>
      </w:r>
    </w:p>
    <w:p w:rsidR="00D06997" w:rsidRPr="00EE591E" w:rsidP="009E1B64" w14:paraId="1E9BDEF7" w14:textId="421018B0">
      <w:pPr>
        <w:numPr>
          <w:ilvl w:val="0"/>
          <w:numId w:val="3"/>
        </w:numPr>
        <w:autoSpaceDE w:val="0"/>
        <w:autoSpaceDN w:val="0"/>
        <w:adjustRightInd w:val="0"/>
        <w:rPr>
          <w:sz w:val="22"/>
          <w:szCs w:val="22"/>
        </w:rPr>
      </w:pPr>
      <w:r w:rsidRPr="00EE591E">
        <w:rPr>
          <w:sz w:val="22"/>
          <w:szCs w:val="22"/>
        </w:rPr>
        <w:t>Information</w:t>
      </w:r>
      <w:r w:rsidRPr="00EE591E">
        <w:rPr>
          <w:sz w:val="22"/>
          <w:szCs w:val="22"/>
        </w:rPr>
        <w:t xml:space="preserve"> regarding </w:t>
      </w:r>
      <w:r w:rsidRPr="00EE591E">
        <w:rPr>
          <w:sz w:val="22"/>
          <w:szCs w:val="22"/>
        </w:rPr>
        <w:t xml:space="preserve">PVBC’s current use of </w:t>
      </w:r>
      <w:r w:rsidRPr="00EE591E" w:rsidR="0049761F">
        <w:rPr>
          <w:sz w:val="22"/>
          <w:szCs w:val="22"/>
        </w:rPr>
        <w:t>billboard advertising</w:t>
      </w:r>
      <w:r w:rsidRPr="00EE591E">
        <w:rPr>
          <w:sz w:val="22"/>
          <w:szCs w:val="22"/>
        </w:rPr>
        <w:t xml:space="preserve"> for KPPV(FM)</w:t>
      </w:r>
      <w:r w:rsidRPr="00EE591E" w:rsidR="0049761F">
        <w:rPr>
          <w:sz w:val="22"/>
          <w:szCs w:val="22"/>
        </w:rPr>
        <w:t>,</w:t>
      </w:r>
      <w:r>
        <w:rPr>
          <w:rStyle w:val="FootnoteReference"/>
          <w:sz w:val="22"/>
          <w:szCs w:val="22"/>
        </w:rPr>
        <w:footnoteReference w:id="40"/>
      </w:r>
      <w:r w:rsidRPr="00EE591E" w:rsidR="0049761F">
        <w:rPr>
          <w:sz w:val="22"/>
          <w:szCs w:val="22"/>
        </w:rPr>
        <w:t xml:space="preserve"> </w:t>
      </w:r>
      <w:r w:rsidRPr="00EE591E">
        <w:rPr>
          <w:sz w:val="22"/>
          <w:szCs w:val="22"/>
        </w:rPr>
        <w:br/>
      </w:r>
    </w:p>
    <w:p w:rsidR="00D06997" w:rsidRPr="00EE591E" w:rsidP="009E1B64" w14:paraId="422F82D4" w14:textId="427880F3">
      <w:pPr>
        <w:numPr>
          <w:ilvl w:val="0"/>
          <w:numId w:val="3"/>
        </w:numPr>
        <w:autoSpaceDE w:val="0"/>
        <w:autoSpaceDN w:val="0"/>
        <w:adjustRightInd w:val="0"/>
        <w:rPr>
          <w:sz w:val="22"/>
          <w:szCs w:val="22"/>
        </w:rPr>
      </w:pPr>
      <w:r w:rsidRPr="00EE591E">
        <w:rPr>
          <w:sz w:val="22"/>
          <w:szCs w:val="22"/>
        </w:rPr>
        <w:t>Information</w:t>
      </w:r>
      <w:r w:rsidRPr="00EE591E">
        <w:rPr>
          <w:sz w:val="22"/>
          <w:szCs w:val="22"/>
        </w:rPr>
        <w:t xml:space="preserve"> regarding </w:t>
      </w:r>
      <w:r w:rsidRPr="00EE591E">
        <w:rPr>
          <w:sz w:val="22"/>
          <w:szCs w:val="22"/>
        </w:rPr>
        <w:t>the current KPPV(FM)</w:t>
      </w:r>
      <w:r w:rsidRPr="00EE591E">
        <w:rPr>
          <w:sz w:val="22"/>
          <w:szCs w:val="22"/>
        </w:rPr>
        <w:t xml:space="preserve"> </w:t>
      </w:r>
      <w:r w:rsidRPr="00EE591E" w:rsidR="0049761F">
        <w:rPr>
          <w:sz w:val="22"/>
          <w:szCs w:val="22"/>
        </w:rPr>
        <w:t>bumper stickers,</w:t>
      </w:r>
      <w:r>
        <w:rPr>
          <w:rStyle w:val="FootnoteReference"/>
          <w:sz w:val="22"/>
          <w:szCs w:val="22"/>
        </w:rPr>
        <w:footnoteReference w:id="41"/>
      </w:r>
      <w:r w:rsidRPr="00EE591E" w:rsidR="00A93B27">
        <w:rPr>
          <w:sz w:val="22"/>
          <w:szCs w:val="22"/>
        </w:rPr>
        <w:br/>
      </w:r>
    </w:p>
    <w:p w:rsidR="00D06997" w:rsidRPr="00EE591E" w:rsidP="009E1B64" w14:paraId="08E289FF" w14:textId="437C2074">
      <w:pPr>
        <w:numPr>
          <w:ilvl w:val="0"/>
          <w:numId w:val="3"/>
        </w:numPr>
        <w:autoSpaceDE w:val="0"/>
        <w:autoSpaceDN w:val="0"/>
        <w:adjustRightInd w:val="0"/>
        <w:rPr>
          <w:sz w:val="22"/>
          <w:szCs w:val="22"/>
        </w:rPr>
      </w:pPr>
      <w:r w:rsidRPr="00EE591E">
        <w:rPr>
          <w:sz w:val="22"/>
          <w:szCs w:val="22"/>
        </w:rPr>
        <w:t>Information</w:t>
      </w:r>
      <w:r w:rsidRPr="00EE591E">
        <w:rPr>
          <w:sz w:val="22"/>
          <w:szCs w:val="22"/>
        </w:rPr>
        <w:t xml:space="preserve"> regarding </w:t>
      </w:r>
      <w:r w:rsidRPr="00EE591E">
        <w:rPr>
          <w:sz w:val="22"/>
          <w:szCs w:val="22"/>
        </w:rPr>
        <w:t>local</w:t>
      </w:r>
      <w:r w:rsidRPr="00EE591E" w:rsidR="0049761F">
        <w:rPr>
          <w:sz w:val="22"/>
          <w:szCs w:val="22"/>
        </w:rPr>
        <w:t xml:space="preserve"> scoreboard signage,</w:t>
      </w:r>
      <w:r>
        <w:rPr>
          <w:rStyle w:val="FootnoteReference"/>
          <w:sz w:val="22"/>
          <w:szCs w:val="22"/>
        </w:rPr>
        <w:footnoteReference w:id="42"/>
      </w:r>
      <w:r w:rsidRPr="00EE591E" w:rsidR="00A93B27">
        <w:rPr>
          <w:sz w:val="22"/>
          <w:szCs w:val="22"/>
        </w:rPr>
        <w:br/>
      </w:r>
    </w:p>
    <w:p w:rsidR="00A93B27" w:rsidRPr="00EE591E" w:rsidP="009E1B64" w14:paraId="786F0854" w14:textId="45CF82E8">
      <w:pPr>
        <w:numPr>
          <w:ilvl w:val="0"/>
          <w:numId w:val="3"/>
        </w:numPr>
        <w:autoSpaceDE w:val="0"/>
        <w:autoSpaceDN w:val="0"/>
        <w:adjustRightInd w:val="0"/>
        <w:rPr>
          <w:sz w:val="22"/>
          <w:szCs w:val="22"/>
        </w:rPr>
      </w:pPr>
      <w:r w:rsidRPr="00EE591E">
        <w:rPr>
          <w:sz w:val="22"/>
          <w:szCs w:val="22"/>
        </w:rPr>
        <w:t>I</w:t>
      </w:r>
      <w:r w:rsidRPr="00EE591E" w:rsidR="00D06997">
        <w:rPr>
          <w:sz w:val="22"/>
          <w:szCs w:val="22"/>
        </w:rPr>
        <w:t xml:space="preserve">nformation regarding the </w:t>
      </w:r>
      <w:r w:rsidRPr="00EE591E" w:rsidR="0049761F">
        <w:rPr>
          <w:sz w:val="22"/>
          <w:szCs w:val="22"/>
        </w:rPr>
        <w:t>television advertising</w:t>
      </w:r>
      <w:r w:rsidRPr="00EE591E" w:rsidR="00D06997">
        <w:rPr>
          <w:sz w:val="22"/>
          <w:szCs w:val="22"/>
        </w:rPr>
        <w:t xml:space="preserve"> listed in the Report</w:t>
      </w:r>
      <w:r w:rsidRPr="00EE591E" w:rsidR="0049761F">
        <w:rPr>
          <w:sz w:val="22"/>
          <w:szCs w:val="22"/>
        </w:rPr>
        <w:t>,</w:t>
      </w:r>
      <w:r>
        <w:rPr>
          <w:rStyle w:val="FootnoteReference"/>
          <w:sz w:val="22"/>
          <w:szCs w:val="22"/>
        </w:rPr>
        <w:footnoteReference w:id="43"/>
      </w:r>
      <w:r w:rsidRPr="00EE591E" w:rsidR="0049761F">
        <w:rPr>
          <w:sz w:val="22"/>
          <w:szCs w:val="22"/>
        </w:rPr>
        <w:t xml:space="preserve"> </w:t>
      </w:r>
      <w:r w:rsidRPr="00EE591E">
        <w:rPr>
          <w:sz w:val="22"/>
          <w:szCs w:val="22"/>
        </w:rPr>
        <w:t xml:space="preserve">and </w:t>
      </w:r>
      <w:r w:rsidRPr="00EE591E">
        <w:rPr>
          <w:sz w:val="22"/>
          <w:szCs w:val="22"/>
        </w:rPr>
        <w:br/>
      </w:r>
    </w:p>
    <w:p w:rsidR="0045563F" w:rsidRPr="00EE591E" w:rsidP="009E1B64" w14:paraId="2D7BC934" w14:textId="09E949D8">
      <w:pPr>
        <w:numPr>
          <w:ilvl w:val="0"/>
          <w:numId w:val="3"/>
        </w:numPr>
        <w:autoSpaceDE w:val="0"/>
        <w:autoSpaceDN w:val="0"/>
        <w:adjustRightInd w:val="0"/>
        <w:rPr>
          <w:b/>
          <w:bCs/>
          <w:i/>
          <w:iCs/>
          <w:sz w:val="22"/>
          <w:szCs w:val="22"/>
        </w:rPr>
      </w:pPr>
      <w:r w:rsidRPr="00EE591E">
        <w:rPr>
          <w:sz w:val="22"/>
          <w:szCs w:val="22"/>
        </w:rPr>
        <w:t>I</w:t>
      </w:r>
      <w:r w:rsidRPr="00EE591E" w:rsidR="00A93B27">
        <w:rPr>
          <w:sz w:val="22"/>
          <w:szCs w:val="22"/>
        </w:rPr>
        <w:t xml:space="preserve">nformation regarding the </w:t>
      </w:r>
      <w:r w:rsidRPr="00EE591E" w:rsidR="0049761F">
        <w:rPr>
          <w:sz w:val="22"/>
          <w:szCs w:val="22"/>
        </w:rPr>
        <w:t>website repairs</w:t>
      </w:r>
      <w:r w:rsidRPr="00EE591E" w:rsidR="00A93B27">
        <w:rPr>
          <w:sz w:val="22"/>
          <w:szCs w:val="22"/>
        </w:rPr>
        <w:t xml:space="preserve"> listed in the Report</w:t>
      </w:r>
      <w:r w:rsidRPr="00EE591E">
        <w:rPr>
          <w:sz w:val="22"/>
          <w:szCs w:val="22"/>
        </w:rPr>
        <w:t>.</w:t>
      </w:r>
      <w:r>
        <w:rPr>
          <w:rStyle w:val="FootnoteReference"/>
          <w:sz w:val="22"/>
          <w:szCs w:val="22"/>
        </w:rPr>
        <w:footnoteReference w:id="44"/>
      </w:r>
      <w:r w:rsidRPr="00EE591E" w:rsidR="004936E3">
        <w:rPr>
          <w:b/>
          <w:bCs/>
          <w:i/>
          <w:iCs/>
          <w:sz w:val="22"/>
          <w:szCs w:val="22"/>
        </w:rPr>
        <w:tab/>
      </w:r>
    </w:p>
    <w:p w:rsidR="0049761F" w:rsidRPr="00EE591E" w:rsidP="009E1B64" w14:paraId="7A52689A" w14:textId="40084803">
      <w:pPr>
        <w:autoSpaceDE w:val="0"/>
        <w:autoSpaceDN w:val="0"/>
        <w:adjustRightInd w:val="0"/>
        <w:rPr>
          <w:b/>
          <w:bCs/>
          <w:i/>
          <w:iCs/>
          <w:sz w:val="22"/>
          <w:szCs w:val="22"/>
        </w:rPr>
      </w:pPr>
    </w:p>
    <w:p w:rsidR="006F0FC5" w:rsidRPr="00EE591E" w:rsidP="009E1B64" w14:paraId="18BF772E" w14:textId="048EA336">
      <w:pPr>
        <w:autoSpaceDE w:val="0"/>
        <w:autoSpaceDN w:val="0"/>
        <w:adjustRightInd w:val="0"/>
        <w:ind w:firstLine="720"/>
        <w:rPr>
          <w:sz w:val="22"/>
          <w:szCs w:val="22"/>
        </w:rPr>
      </w:pPr>
      <w:r>
        <w:rPr>
          <w:sz w:val="22"/>
          <w:szCs w:val="22"/>
        </w:rPr>
        <w:t xml:space="preserve">Although we </w:t>
      </w:r>
      <w:r w:rsidR="00D358A2">
        <w:rPr>
          <w:sz w:val="22"/>
          <w:szCs w:val="22"/>
        </w:rPr>
        <w:t>are</w:t>
      </w:r>
      <w:r>
        <w:rPr>
          <w:sz w:val="22"/>
          <w:szCs w:val="22"/>
        </w:rPr>
        <w:t xml:space="preserve"> accept</w:t>
      </w:r>
      <w:r w:rsidR="00D358A2">
        <w:rPr>
          <w:sz w:val="22"/>
          <w:szCs w:val="22"/>
        </w:rPr>
        <w:t xml:space="preserve">ing </w:t>
      </w:r>
      <w:r>
        <w:rPr>
          <w:sz w:val="22"/>
          <w:szCs w:val="22"/>
        </w:rPr>
        <w:t>th</w:t>
      </w:r>
      <w:r w:rsidR="00D358A2">
        <w:rPr>
          <w:sz w:val="22"/>
          <w:szCs w:val="22"/>
        </w:rPr>
        <w:t xml:space="preserve">is additional documentation and factual information </w:t>
      </w:r>
      <w:r w:rsidR="00072F48">
        <w:rPr>
          <w:sz w:val="22"/>
          <w:szCs w:val="22"/>
        </w:rPr>
        <w:t>because</w:t>
      </w:r>
      <w:r w:rsidR="00A42A49">
        <w:rPr>
          <w:sz w:val="22"/>
          <w:szCs w:val="22"/>
        </w:rPr>
        <w:t xml:space="preserve"> </w:t>
      </w:r>
      <w:r w:rsidR="00072F48">
        <w:rPr>
          <w:sz w:val="22"/>
          <w:szCs w:val="22"/>
        </w:rPr>
        <w:t xml:space="preserve">it is </w:t>
      </w:r>
      <w:r w:rsidR="00A42A49">
        <w:rPr>
          <w:sz w:val="22"/>
          <w:szCs w:val="22"/>
        </w:rPr>
        <w:t xml:space="preserve">necessary to evaluate the reasonableness of PVBC’s reimbursement claim, we </w:t>
      </w:r>
      <w:r w:rsidRPr="00EE591E" w:rsidR="003667E3">
        <w:rPr>
          <w:sz w:val="22"/>
          <w:szCs w:val="22"/>
        </w:rPr>
        <w:t>do note</w:t>
      </w:r>
      <w:r w:rsidRPr="00EE591E" w:rsidR="00137FCA">
        <w:rPr>
          <w:sz w:val="22"/>
          <w:szCs w:val="22"/>
        </w:rPr>
        <w:t xml:space="preserve"> </w:t>
      </w:r>
      <w:r w:rsidRPr="00EE591E" w:rsidR="003667E3">
        <w:rPr>
          <w:sz w:val="22"/>
          <w:szCs w:val="22"/>
        </w:rPr>
        <w:t xml:space="preserve">that we find unpersuasive </w:t>
      </w:r>
      <w:r w:rsidRPr="00EE591E">
        <w:rPr>
          <w:sz w:val="22"/>
          <w:szCs w:val="22"/>
        </w:rPr>
        <w:t xml:space="preserve">PVBC’s </w:t>
      </w:r>
      <w:r w:rsidRPr="00EE591E" w:rsidR="003667E3">
        <w:rPr>
          <w:sz w:val="22"/>
          <w:szCs w:val="22"/>
        </w:rPr>
        <w:t>argument</w:t>
      </w:r>
      <w:r w:rsidRPr="00EE591E">
        <w:rPr>
          <w:sz w:val="22"/>
          <w:szCs w:val="22"/>
        </w:rPr>
        <w:t xml:space="preserve"> that “circumstances beyond </w:t>
      </w:r>
      <w:r w:rsidRPr="00EE591E" w:rsidR="003667E3">
        <w:rPr>
          <w:sz w:val="22"/>
          <w:szCs w:val="22"/>
        </w:rPr>
        <w:t>its</w:t>
      </w:r>
      <w:r w:rsidRPr="00EE591E">
        <w:rPr>
          <w:sz w:val="22"/>
          <w:szCs w:val="22"/>
        </w:rPr>
        <w:t xml:space="preserve"> control prevented it from providing copies of all estimates and invoices” in the Report.</w:t>
      </w:r>
      <w:r>
        <w:rPr>
          <w:rStyle w:val="FootnoteReference"/>
          <w:sz w:val="22"/>
          <w:szCs w:val="22"/>
        </w:rPr>
        <w:footnoteReference w:id="45"/>
      </w:r>
      <w:r w:rsidRPr="00EE591E">
        <w:rPr>
          <w:sz w:val="22"/>
          <w:szCs w:val="22"/>
        </w:rPr>
        <w:t xml:space="preserve">  </w:t>
      </w:r>
      <w:r w:rsidRPr="00EE591E" w:rsidR="003667E3">
        <w:rPr>
          <w:sz w:val="22"/>
          <w:szCs w:val="22"/>
        </w:rPr>
        <w:t>The record in this proceeding reveals that PVBC was estimating its expenses at least as early as October 2019.</w:t>
      </w:r>
      <w:r>
        <w:rPr>
          <w:rStyle w:val="FootnoteReference"/>
          <w:sz w:val="22"/>
          <w:szCs w:val="22"/>
        </w:rPr>
        <w:footnoteReference w:id="46"/>
      </w:r>
      <w:r w:rsidRPr="00EE591E" w:rsidR="003667E3">
        <w:rPr>
          <w:sz w:val="22"/>
          <w:szCs w:val="22"/>
        </w:rPr>
        <w:t xml:space="preserve">  In addition, the requirement that PVBC change KPPV(FM)’s channel became final on </w:t>
      </w:r>
      <w:r w:rsidRPr="00EE591E" w:rsidR="00F54B99">
        <w:rPr>
          <w:sz w:val="22"/>
          <w:szCs w:val="22"/>
        </w:rPr>
        <w:t>August 20, 2020</w:t>
      </w:r>
      <w:r w:rsidRPr="00EE591E" w:rsidR="003667E3">
        <w:rPr>
          <w:sz w:val="22"/>
          <w:szCs w:val="22"/>
        </w:rPr>
        <w:t>.  Finally, PVBC has been on notice that it should “thoroughly document [its expenses] with invoices and statements from the professionals involved” since October 2020.</w:t>
      </w:r>
      <w:r>
        <w:rPr>
          <w:rStyle w:val="FootnoteReference"/>
          <w:sz w:val="22"/>
          <w:szCs w:val="22"/>
        </w:rPr>
        <w:footnoteReference w:id="47"/>
      </w:r>
      <w:r w:rsidRPr="00EE591E" w:rsidR="003667E3">
        <w:rPr>
          <w:sz w:val="22"/>
          <w:szCs w:val="22"/>
        </w:rPr>
        <w:t xml:space="preserve">  </w:t>
      </w:r>
      <w:r w:rsidRPr="00EE591E">
        <w:rPr>
          <w:sz w:val="22"/>
          <w:szCs w:val="22"/>
        </w:rPr>
        <w:t xml:space="preserve">The fact that </w:t>
      </w:r>
      <w:r w:rsidRPr="00EE591E" w:rsidR="003667E3">
        <w:rPr>
          <w:sz w:val="22"/>
          <w:szCs w:val="22"/>
        </w:rPr>
        <w:t>PVBC</w:t>
      </w:r>
      <w:r w:rsidRPr="00EE591E">
        <w:rPr>
          <w:sz w:val="22"/>
          <w:szCs w:val="22"/>
        </w:rPr>
        <w:t xml:space="preserve"> delayed obtaining documentation to support its estimates </w:t>
      </w:r>
      <w:r w:rsidRPr="00EE591E" w:rsidR="003667E3">
        <w:rPr>
          <w:sz w:val="22"/>
          <w:szCs w:val="22"/>
        </w:rPr>
        <w:t>of</w:t>
      </w:r>
      <w:r w:rsidRPr="00EE591E">
        <w:rPr>
          <w:sz w:val="22"/>
          <w:szCs w:val="22"/>
        </w:rPr>
        <w:t xml:space="preserve"> the costs of various expense items </w:t>
      </w:r>
      <w:r w:rsidRPr="00EE591E" w:rsidR="003667E3">
        <w:rPr>
          <w:sz w:val="22"/>
          <w:szCs w:val="22"/>
        </w:rPr>
        <w:t>was</w:t>
      </w:r>
      <w:r w:rsidRPr="00EE591E">
        <w:rPr>
          <w:sz w:val="22"/>
          <w:szCs w:val="22"/>
        </w:rPr>
        <w:t xml:space="preserve"> not a circumstance beyond its control.</w:t>
      </w:r>
      <w:r>
        <w:rPr>
          <w:rStyle w:val="FootnoteReference"/>
          <w:sz w:val="22"/>
          <w:szCs w:val="22"/>
        </w:rPr>
        <w:footnoteReference w:id="48"/>
      </w:r>
      <w:r w:rsidRPr="00EE591E">
        <w:rPr>
          <w:sz w:val="22"/>
          <w:szCs w:val="22"/>
        </w:rPr>
        <w:t xml:space="preserve"> </w:t>
      </w:r>
    </w:p>
    <w:p w:rsidR="00DB3E36" w:rsidRPr="00EE591E" w:rsidP="009E1B64" w14:paraId="65717F43" w14:textId="11BD06E8">
      <w:pPr>
        <w:rPr>
          <w:sz w:val="22"/>
          <w:szCs w:val="22"/>
        </w:rPr>
      </w:pPr>
    </w:p>
    <w:p w:rsidR="00DB3E36" w:rsidRPr="00EE591E" w:rsidP="009E1B64" w14:paraId="1BBEA23D" w14:textId="49868BE5">
      <w:pPr>
        <w:ind w:firstLine="720"/>
        <w:rPr>
          <w:b/>
          <w:bCs/>
          <w:sz w:val="22"/>
          <w:szCs w:val="22"/>
        </w:rPr>
      </w:pPr>
      <w:r w:rsidRPr="00EE591E">
        <w:rPr>
          <w:b/>
          <w:bCs/>
          <w:sz w:val="22"/>
          <w:szCs w:val="22"/>
        </w:rPr>
        <w:t>B.</w:t>
      </w:r>
      <w:r w:rsidRPr="00EE591E">
        <w:rPr>
          <w:b/>
          <w:bCs/>
          <w:sz w:val="22"/>
          <w:szCs w:val="22"/>
        </w:rPr>
        <w:tab/>
        <w:t>Substantive Issues</w:t>
      </w:r>
    </w:p>
    <w:p w:rsidR="001E0268" w:rsidRPr="00EE591E" w:rsidP="009E1B64" w14:paraId="474B744F" w14:textId="77777777">
      <w:pPr>
        <w:ind w:firstLine="720"/>
        <w:rPr>
          <w:b/>
          <w:bCs/>
          <w:sz w:val="22"/>
          <w:szCs w:val="22"/>
        </w:rPr>
      </w:pPr>
    </w:p>
    <w:p w:rsidR="00DD49B5" w:rsidRPr="00EE591E" w:rsidP="00597CEA" w14:paraId="7A1A1E72" w14:textId="6753CB15">
      <w:pPr>
        <w:ind w:firstLine="720"/>
        <w:rPr>
          <w:sz w:val="22"/>
          <w:szCs w:val="22"/>
        </w:rPr>
      </w:pPr>
      <w:r w:rsidRPr="00EE591E">
        <w:rPr>
          <w:sz w:val="22"/>
          <w:szCs w:val="22"/>
        </w:rPr>
        <w:t xml:space="preserve">When </w:t>
      </w:r>
      <w:r w:rsidRPr="00EE591E" w:rsidR="00FF737B">
        <w:rPr>
          <w:sz w:val="22"/>
          <w:szCs w:val="22"/>
        </w:rPr>
        <w:t xml:space="preserve">the Commission </w:t>
      </w:r>
      <w:r w:rsidRPr="00EE591E" w:rsidR="00181156">
        <w:rPr>
          <w:sz w:val="22"/>
          <w:szCs w:val="22"/>
        </w:rPr>
        <w:t>modifies</w:t>
      </w:r>
      <w:r w:rsidRPr="00EE591E" w:rsidR="00FF737B">
        <w:rPr>
          <w:sz w:val="22"/>
          <w:szCs w:val="22"/>
        </w:rPr>
        <w:t xml:space="preserve"> a</w:t>
      </w:r>
      <w:r w:rsidRPr="00EE591E" w:rsidR="00181156">
        <w:rPr>
          <w:sz w:val="22"/>
          <w:szCs w:val="22"/>
        </w:rPr>
        <w:t xml:space="preserve">n existing FM station license (or construction permit) to specify a new </w:t>
      </w:r>
      <w:r w:rsidRPr="00EE591E" w:rsidR="00854D10">
        <w:rPr>
          <w:sz w:val="22"/>
          <w:szCs w:val="22"/>
        </w:rPr>
        <w:t>channel</w:t>
      </w:r>
      <w:r w:rsidRPr="00EE591E" w:rsidR="00181156">
        <w:rPr>
          <w:sz w:val="22"/>
          <w:szCs w:val="22"/>
        </w:rPr>
        <w:t xml:space="preserve"> in order</w:t>
      </w:r>
      <w:r w:rsidRPr="00EE591E">
        <w:rPr>
          <w:sz w:val="22"/>
          <w:szCs w:val="22"/>
        </w:rPr>
        <w:t xml:space="preserve"> to accommodate a new </w:t>
      </w:r>
      <w:r w:rsidRPr="00EE591E" w:rsidR="00127EB1">
        <w:rPr>
          <w:sz w:val="22"/>
          <w:szCs w:val="22"/>
        </w:rPr>
        <w:t>channel</w:t>
      </w:r>
      <w:r w:rsidRPr="00EE591E">
        <w:rPr>
          <w:sz w:val="22"/>
          <w:szCs w:val="22"/>
        </w:rPr>
        <w:t xml:space="preserve"> allotment</w:t>
      </w:r>
      <w:r w:rsidRPr="00EE591E" w:rsidR="005E017F">
        <w:rPr>
          <w:sz w:val="22"/>
          <w:szCs w:val="22"/>
        </w:rPr>
        <w:t xml:space="preserve"> or </w:t>
      </w:r>
      <w:r w:rsidRPr="00EE591E" w:rsidR="00CA5332">
        <w:rPr>
          <w:sz w:val="22"/>
          <w:szCs w:val="22"/>
        </w:rPr>
        <w:t xml:space="preserve">an upgrade to the facilities of another </w:t>
      </w:r>
      <w:r w:rsidRPr="00EE591E" w:rsidR="00181156">
        <w:rPr>
          <w:sz w:val="22"/>
          <w:szCs w:val="22"/>
        </w:rPr>
        <w:t xml:space="preserve">FM </w:t>
      </w:r>
      <w:r w:rsidRPr="00EE591E" w:rsidR="00CA5332">
        <w:rPr>
          <w:sz w:val="22"/>
          <w:szCs w:val="22"/>
        </w:rPr>
        <w:t>station</w:t>
      </w:r>
      <w:r w:rsidRPr="00EE591E">
        <w:rPr>
          <w:sz w:val="22"/>
          <w:szCs w:val="22"/>
        </w:rPr>
        <w:t xml:space="preserve">, </w:t>
      </w:r>
      <w:r w:rsidRPr="00EE591E" w:rsidR="00181156">
        <w:rPr>
          <w:sz w:val="22"/>
          <w:szCs w:val="22"/>
        </w:rPr>
        <w:t>it</w:t>
      </w:r>
      <w:r w:rsidRPr="00EE591E">
        <w:rPr>
          <w:sz w:val="22"/>
          <w:szCs w:val="22"/>
        </w:rPr>
        <w:t xml:space="preserve"> requires the party </w:t>
      </w:r>
      <w:r w:rsidRPr="00EE591E" w:rsidR="002618D9">
        <w:rPr>
          <w:sz w:val="22"/>
          <w:szCs w:val="22"/>
        </w:rPr>
        <w:t xml:space="preserve">benefitting from </w:t>
      </w:r>
      <w:r w:rsidRPr="00EE591E" w:rsidR="00A218DD">
        <w:rPr>
          <w:sz w:val="22"/>
          <w:szCs w:val="22"/>
        </w:rPr>
        <w:t>the order</w:t>
      </w:r>
      <w:r w:rsidRPr="00EE591E" w:rsidR="00CA5332">
        <w:rPr>
          <w:sz w:val="22"/>
          <w:szCs w:val="22"/>
        </w:rPr>
        <w:t xml:space="preserve"> </w:t>
      </w:r>
      <w:r w:rsidRPr="00EE591E" w:rsidR="002618D9">
        <w:rPr>
          <w:sz w:val="22"/>
          <w:szCs w:val="22"/>
        </w:rPr>
        <w:t xml:space="preserve">(benefitting party) </w:t>
      </w:r>
      <w:r w:rsidRPr="00EE591E">
        <w:rPr>
          <w:sz w:val="22"/>
          <w:szCs w:val="22"/>
        </w:rPr>
        <w:t xml:space="preserve">to reimburse the </w:t>
      </w:r>
      <w:r w:rsidRPr="00EE591E" w:rsidR="00400C6B">
        <w:rPr>
          <w:sz w:val="22"/>
          <w:szCs w:val="22"/>
        </w:rPr>
        <w:t>party</w:t>
      </w:r>
      <w:r w:rsidRPr="00EE591E" w:rsidR="00655752">
        <w:rPr>
          <w:sz w:val="22"/>
          <w:szCs w:val="22"/>
        </w:rPr>
        <w:t xml:space="preserve"> </w:t>
      </w:r>
      <w:r w:rsidRPr="00EE591E" w:rsidR="009F7B7D">
        <w:rPr>
          <w:sz w:val="22"/>
          <w:szCs w:val="22"/>
        </w:rPr>
        <w:t xml:space="preserve">whose license was modified </w:t>
      </w:r>
      <w:r w:rsidRPr="00EE591E" w:rsidR="00A16588">
        <w:rPr>
          <w:sz w:val="22"/>
          <w:szCs w:val="22"/>
        </w:rPr>
        <w:t>(accommodating party)</w:t>
      </w:r>
      <w:r w:rsidRPr="00EE591E" w:rsidR="00400C6B">
        <w:rPr>
          <w:sz w:val="22"/>
          <w:szCs w:val="22"/>
        </w:rPr>
        <w:t xml:space="preserve"> for the costs incurred in changing </w:t>
      </w:r>
      <w:r w:rsidRPr="00EE591E" w:rsidR="009F7B7D">
        <w:rPr>
          <w:sz w:val="22"/>
          <w:szCs w:val="22"/>
        </w:rPr>
        <w:t xml:space="preserve">its station’s </w:t>
      </w:r>
      <w:r w:rsidRPr="00EE591E" w:rsidR="00854D10">
        <w:rPr>
          <w:sz w:val="22"/>
          <w:szCs w:val="22"/>
        </w:rPr>
        <w:t>channel</w:t>
      </w:r>
      <w:r w:rsidRPr="00EE591E" w:rsidR="00844A5A">
        <w:rPr>
          <w:sz w:val="22"/>
          <w:szCs w:val="22"/>
        </w:rPr>
        <w:t>.</w:t>
      </w:r>
      <w:r>
        <w:rPr>
          <w:rStyle w:val="FootnoteReference"/>
          <w:sz w:val="22"/>
          <w:szCs w:val="22"/>
        </w:rPr>
        <w:footnoteReference w:id="49"/>
      </w:r>
      <w:r w:rsidRPr="00EE591E" w:rsidR="00844A5A">
        <w:rPr>
          <w:sz w:val="22"/>
          <w:szCs w:val="22"/>
        </w:rPr>
        <w:t xml:space="preserve">  </w:t>
      </w:r>
      <w:r w:rsidRPr="00EE591E" w:rsidR="002D7B4B">
        <w:rPr>
          <w:sz w:val="22"/>
          <w:szCs w:val="22"/>
        </w:rPr>
        <w:t>For an expense</w:t>
      </w:r>
      <w:r w:rsidRPr="00EE591E" w:rsidR="00263478">
        <w:rPr>
          <w:sz w:val="22"/>
          <w:szCs w:val="22"/>
        </w:rPr>
        <w:t xml:space="preserve"> </w:t>
      </w:r>
      <w:r w:rsidRPr="00EE591E" w:rsidR="00064E6C">
        <w:rPr>
          <w:sz w:val="22"/>
          <w:szCs w:val="22"/>
        </w:rPr>
        <w:t xml:space="preserve">incurred </w:t>
      </w:r>
      <w:r w:rsidRPr="00EE591E" w:rsidR="00EB1E3F">
        <w:rPr>
          <w:sz w:val="22"/>
          <w:szCs w:val="22"/>
        </w:rPr>
        <w:t>by an accommodating party</w:t>
      </w:r>
      <w:r w:rsidRPr="00EE591E" w:rsidR="002D7B4B">
        <w:rPr>
          <w:sz w:val="22"/>
          <w:szCs w:val="22"/>
        </w:rPr>
        <w:t xml:space="preserve"> to be reimbursable, </w:t>
      </w:r>
      <w:r w:rsidRPr="00EE591E" w:rsidR="00A27F76">
        <w:rPr>
          <w:sz w:val="22"/>
          <w:szCs w:val="22"/>
        </w:rPr>
        <w:t>there must be “</w:t>
      </w:r>
      <w:r w:rsidRPr="00EE591E" w:rsidR="00263478">
        <w:rPr>
          <w:sz w:val="22"/>
          <w:szCs w:val="22"/>
        </w:rPr>
        <w:t>some clear nexus between the frequency switch and the expense”</w:t>
      </w:r>
      <w:r w:rsidRPr="00EE591E" w:rsidR="00E63B9B">
        <w:rPr>
          <w:sz w:val="22"/>
          <w:szCs w:val="22"/>
        </w:rPr>
        <w:t xml:space="preserve"> and the expense must be “reasonable.”</w:t>
      </w:r>
      <w:r>
        <w:rPr>
          <w:rStyle w:val="FootnoteReference"/>
          <w:sz w:val="22"/>
          <w:szCs w:val="22"/>
        </w:rPr>
        <w:footnoteReference w:id="50"/>
      </w:r>
      <w:r w:rsidRPr="00EE591E" w:rsidR="00263478">
        <w:rPr>
          <w:sz w:val="22"/>
          <w:szCs w:val="22"/>
        </w:rPr>
        <w:t xml:space="preserve">  </w:t>
      </w:r>
      <w:r w:rsidRPr="00EE591E" w:rsidR="006A0CEE">
        <w:rPr>
          <w:sz w:val="22"/>
          <w:szCs w:val="22"/>
        </w:rPr>
        <w:t xml:space="preserve">An accommodating party may demonstrate </w:t>
      </w:r>
      <w:r w:rsidRPr="00EE591E" w:rsidR="00E63B9B">
        <w:rPr>
          <w:sz w:val="22"/>
          <w:szCs w:val="22"/>
        </w:rPr>
        <w:t>the required</w:t>
      </w:r>
      <w:r w:rsidRPr="00EE591E" w:rsidR="006A0CEE">
        <w:rPr>
          <w:sz w:val="22"/>
          <w:szCs w:val="22"/>
        </w:rPr>
        <w:t xml:space="preserve"> nexus</w:t>
      </w:r>
      <w:r w:rsidRPr="00EE591E" w:rsidR="00E63B9B">
        <w:rPr>
          <w:sz w:val="22"/>
          <w:szCs w:val="22"/>
        </w:rPr>
        <w:t xml:space="preserve"> between the expense and the involuntary channel change</w:t>
      </w:r>
      <w:r w:rsidRPr="00EE591E" w:rsidR="006A0CEE">
        <w:rPr>
          <w:sz w:val="22"/>
          <w:szCs w:val="22"/>
        </w:rPr>
        <w:t xml:space="preserve"> by showing </w:t>
      </w:r>
      <w:r w:rsidRPr="00BF3853" w:rsidR="006A0CEE">
        <w:rPr>
          <w:sz w:val="22"/>
          <w:szCs w:val="22"/>
        </w:rPr>
        <w:t>that</w:t>
      </w:r>
      <w:r w:rsidRPr="00BF3853" w:rsidR="000C221A">
        <w:rPr>
          <w:sz w:val="22"/>
          <w:szCs w:val="22"/>
        </w:rPr>
        <w:t xml:space="preserve"> an expense falls into one of the categories enunciated in </w:t>
      </w:r>
      <w:r w:rsidRPr="00386FD7" w:rsidR="000C221A">
        <w:rPr>
          <w:i/>
          <w:iCs/>
          <w:sz w:val="22"/>
          <w:szCs w:val="22"/>
        </w:rPr>
        <w:t>Circleville</w:t>
      </w:r>
      <w:r w:rsidRPr="00BF3853" w:rsidR="006A0CEE">
        <w:rPr>
          <w:sz w:val="22"/>
          <w:szCs w:val="22"/>
        </w:rPr>
        <w:t xml:space="preserve"> and its progeny:  (1) </w:t>
      </w:r>
      <w:r w:rsidRPr="00BF3853" w:rsidR="00D0774F">
        <w:rPr>
          <w:sz w:val="22"/>
          <w:szCs w:val="22"/>
        </w:rPr>
        <w:t xml:space="preserve">engineering, legal and equipment charges, </w:t>
      </w:r>
      <w:r w:rsidRPr="00BF3853" w:rsidR="006A0CEE">
        <w:rPr>
          <w:sz w:val="22"/>
          <w:szCs w:val="22"/>
        </w:rPr>
        <w:t xml:space="preserve">(2) </w:t>
      </w:r>
      <w:r w:rsidRPr="00BF3853" w:rsidR="00D0774F">
        <w:rPr>
          <w:sz w:val="22"/>
          <w:szCs w:val="22"/>
        </w:rPr>
        <w:t xml:space="preserve">printing (logs and stationery), </w:t>
      </w:r>
      <w:r w:rsidRPr="00BF3853" w:rsidR="006A0CEE">
        <w:rPr>
          <w:sz w:val="22"/>
          <w:szCs w:val="22"/>
        </w:rPr>
        <w:t xml:space="preserve">(3) </w:t>
      </w:r>
      <w:r w:rsidRPr="00BF3853" w:rsidR="00D0774F">
        <w:rPr>
          <w:sz w:val="22"/>
          <w:szCs w:val="22"/>
        </w:rPr>
        <w:t xml:space="preserve">out of pocket nonreducible expenses while the station is off the air, </w:t>
      </w:r>
      <w:r w:rsidRPr="00BF3853" w:rsidR="006A0CEE">
        <w:rPr>
          <w:sz w:val="22"/>
          <w:szCs w:val="22"/>
        </w:rPr>
        <w:t>(4)</w:t>
      </w:r>
      <w:r w:rsidRPr="00BF3853" w:rsidR="00D0774F">
        <w:rPr>
          <w:sz w:val="22"/>
          <w:szCs w:val="22"/>
        </w:rPr>
        <w:t xml:space="preserve"> advertising promotion for the new frequency</w:t>
      </w:r>
      <w:r w:rsidRPr="00BF3853" w:rsidR="006A0CEE">
        <w:rPr>
          <w:sz w:val="22"/>
          <w:szCs w:val="22"/>
        </w:rPr>
        <w:t xml:space="preserve">, </w:t>
      </w:r>
      <w:r w:rsidRPr="00BF3853" w:rsidR="00EB1E3F">
        <w:rPr>
          <w:sz w:val="22"/>
          <w:szCs w:val="22"/>
        </w:rPr>
        <w:t>or</w:t>
      </w:r>
      <w:r w:rsidRPr="00BF3853" w:rsidR="006A0CEE">
        <w:rPr>
          <w:sz w:val="22"/>
          <w:szCs w:val="22"/>
        </w:rPr>
        <w:t xml:space="preserve"> (5) promotional materials</w:t>
      </w:r>
      <w:r w:rsidRPr="00BF3853" w:rsidR="00A62FAA">
        <w:rPr>
          <w:sz w:val="22"/>
          <w:szCs w:val="22"/>
        </w:rPr>
        <w:t>.</w:t>
      </w:r>
      <w:r w:rsidRPr="00BF3853" w:rsidR="006A0CEE">
        <w:rPr>
          <w:sz w:val="22"/>
          <w:szCs w:val="22"/>
        </w:rPr>
        <w:t xml:space="preserve">  </w:t>
      </w:r>
      <w:r w:rsidRPr="00BF3853" w:rsidR="00CF7B4D">
        <w:rPr>
          <w:sz w:val="22"/>
          <w:szCs w:val="22"/>
        </w:rPr>
        <w:t>Alternatively, the accommodating party may demonstrate that</w:t>
      </w:r>
      <w:r w:rsidRPr="00BF3853" w:rsidR="00582470">
        <w:rPr>
          <w:sz w:val="22"/>
          <w:szCs w:val="22"/>
        </w:rPr>
        <w:t xml:space="preserve"> it incurred (or will incur)</w:t>
      </w:r>
      <w:r w:rsidRPr="00BF3853" w:rsidR="00CF7B4D">
        <w:rPr>
          <w:sz w:val="22"/>
          <w:szCs w:val="22"/>
        </w:rPr>
        <w:t xml:space="preserve"> </w:t>
      </w:r>
      <w:r w:rsidRPr="00BF3853" w:rsidR="00582470">
        <w:rPr>
          <w:sz w:val="22"/>
          <w:szCs w:val="22"/>
        </w:rPr>
        <w:t>the expense solely because of the involuntary channel change.</w:t>
      </w:r>
      <w:r w:rsidRPr="00BF3853">
        <w:rPr>
          <w:sz w:val="22"/>
          <w:szCs w:val="22"/>
        </w:rPr>
        <w:t xml:space="preserve"> </w:t>
      </w:r>
      <w:r w:rsidRPr="00BF3853" w:rsidR="00C607C5">
        <w:rPr>
          <w:sz w:val="22"/>
          <w:szCs w:val="22"/>
        </w:rPr>
        <w:t xml:space="preserve"> </w:t>
      </w:r>
      <w:r w:rsidRPr="00BF3853" w:rsidR="009C0FAB">
        <w:rPr>
          <w:sz w:val="22"/>
          <w:szCs w:val="22"/>
        </w:rPr>
        <w:t>In terms of reimbursement amounts, w</w:t>
      </w:r>
      <w:r w:rsidRPr="00BF3853" w:rsidR="0082027F">
        <w:rPr>
          <w:sz w:val="22"/>
          <w:szCs w:val="22"/>
        </w:rPr>
        <w:t xml:space="preserve">e </w:t>
      </w:r>
      <w:r w:rsidRPr="00BF3853" w:rsidR="00EF7D11">
        <w:rPr>
          <w:sz w:val="22"/>
          <w:szCs w:val="22"/>
        </w:rPr>
        <w:t>presume</w:t>
      </w:r>
      <w:r w:rsidRPr="00BF3853" w:rsidR="00747F37">
        <w:rPr>
          <w:sz w:val="22"/>
          <w:szCs w:val="22"/>
        </w:rPr>
        <w:t xml:space="preserve"> the</w:t>
      </w:r>
      <w:r w:rsidRPr="00BF3853" w:rsidR="003F40FA">
        <w:rPr>
          <w:sz w:val="22"/>
          <w:szCs w:val="22"/>
        </w:rPr>
        <w:t xml:space="preserve"> </w:t>
      </w:r>
      <w:r w:rsidRPr="00BF3853" w:rsidR="009C0FAB">
        <w:rPr>
          <w:sz w:val="22"/>
          <w:szCs w:val="22"/>
        </w:rPr>
        <w:t>cost</w:t>
      </w:r>
      <w:r w:rsidRPr="00BF3853" w:rsidR="003F40FA">
        <w:rPr>
          <w:sz w:val="22"/>
          <w:szCs w:val="22"/>
        </w:rPr>
        <w:t xml:space="preserve"> </w:t>
      </w:r>
      <w:r w:rsidRPr="00BF3853" w:rsidR="009C0FAB">
        <w:rPr>
          <w:sz w:val="22"/>
          <w:szCs w:val="22"/>
        </w:rPr>
        <w:t>of</w:t>
      </w:r>
      <w:r w:rsidRPr="00BF3853" w:rsidR="003F40FA">
        <w:rPr>
          <w:sz w:val="22"/>
          <w:szCs w:val="22"/>
        </w:rPr>
        <w:t xml:space="preserve"> a particular</w:t>
      </w:r>
      <w:r w:rsidRPr="00BF3853" w:rsidR="009C0FAB">
        <w:rPr>
          <w:sz w:val="22"/>
          <w:szCs w:val="22"/>
        </w:rPr>
        <w:t xml:space="preserve"> expense</w:t>
      </w:r>
      <w:r w:rsidRPr="00BF3853" w:rsidR="003F40FA">
        <w:rPr>
          <w:sz w:val="22"/>
          <w:szCs w:val="22"/>
        </w:rPr>
        <w:t xml:space="preserve"> </w:t>
      </w:r>
      <w:r w:rsidRPr="00BF3853" w:rsidR="009C0FAB">
        <w:rPr>
          <w:sz w:val="22"/>
          <w:szCs w:val="22"/>
        </w:rPr>
        <w:t>item is</w:t>
      </w:r>
      <w:r w:rsidRPr="00BF3853" w:rsidR="003F40FA">
        <w:rPr>
          <w:sz w:val="22"/>
          <w:szCs w:val="22"/>
        </w:rPr>
        <w:t xml:space="preserve"> reasonable </w:t>
      </w:r>
      <w:r w:rsidRPr="00BF3853" w:rsidR="009C0FAB">
        <w:rPr>
          <w:sz w:val="22"/>
          <w:szCs w:val="22"/>
        </w:rPr>
        <w:t xml:space="preserve">where </w:t>
      </w:r>
      <w:r w:rsidRPr="00BF3853" w:rsidR="00BF3853">
        <w:rPr>
          <w:sz w:val="22"/>
          <w:szCs w:val="22"/>
        </w:rPr>
        <w:t>the amount an accommodating party requests matches up with the amount specified in the</w:t>
      </w:r>
      <w:r w:rsidRPr="00BF3853" w:rsidR="003F40FA">
        <w:rPr>
          <w:sz w:val="22"/>
          <w:szCs w:val="22"/>
        </w:rPr>
        <w:t xml:space="preserve"> invoice or</w:t>
      </w:r>
      <w:r w:rsidRPr="00BF3853" w:rsidR="008F6AD4">
        <w:rPr>
          <w:sz w:val="22"/>
          <w:szCs w:val="22"/>
        </w:rPr>
        <w:t xml:space="preserve"> </w:t>
      </w:r>
      <w:r w:rsidRPr="00BF3853" w:rsidR="003F40FA">
        <w:rPr>
          <w:sz w:val="22"/>
          <w:szCs w:val="22"/>
        </w:rPr>
        <w:t>estimate</w:t>
      </w:r>
      <w:r w:rsidRPr="00BF3853" w:rsidR="00BF3853">
        <w:rPr>
          <w:sz w:val="22"/>
          <w:szCs w:val="22"/>
        </w:rPr>
        <w:t xml:space="preserve"> associated with that item</w:t>
      </w:r>
      <w:r w:rsidRPr="00BF3853" w:rsidR="00D54807">
        <w:rPr>
          <w:sz w:val="22"/>
          <w:szCs w:val="22"/>
        </w:rPr>
        <w:t>.</w:t>
      </w:r>
      <w:r>
        <w:rPr>
          <w:rStyle w:val="FootnoteReference"/>
          <w:sz w:val="22"/>
          <w:szCs w:val="22"/>
        </w:rPr>
        <w:footnoteReference w:id="51"/>
      </w:r>
      <w:r w:rsidRPr="00BF3853" w:rsidR="00D54807">
        <w:rPr>
          <w:sz w:val="22"/>
          <w:szCs w:val="22"/>
        </w:rPr>
        <w:t xml:space="preserve"> </w:t>
      </w:r>
      <w:r w:rsidRPr="00BF3853" w:rsidR="00EF7D11">
        <w:rPr>
          <w:sz w:val="22"/>
          <w:szCs w:val="22"/>
        </w:rPr>
        <w:t xml:space="preserve"> </w:t>
      </w:r>
      <w:r w:rsidRPr="00BF3853" w:rsidR="00162543">
        <w:rPr>
          <w:sz w:val="22"/>
          <w:szCs w:val="22"/>
        </w:rPr>
        <w:t>We</w:t>
      </w:r>
      <w:r w:rsidRPr="00BF3853" w:rsidR="00C372E9">
        <w:rPr>
          <w:sz w:val="22"/>
          <w:szCs w:val="22"/>
        </w:rPr>
        <w:t xml:space="preserve"> </w:t>
      </w:r>
      <w:r w:rsidR="00BF3853">
        <w:rPr>
          <w:sz w:val="22"/>
          <w:szCs w:val="22"/>
        </w:rPr>
        <w:t>evaluate</w:t>
      </w:r>
      <w:r w:rsidRPr="00BF3853" w:rsidR="00162543">
        <w:rPr>
          <w:sz w:val="22"/>
          <w:szCs w:val="22"/>
        </w:rPr>
        <w:t xml:space="preserve"> the various expense items identified by PVBC </w:t>
      </w:r>
      <w:r w:rsidRPr="00BF3853" w:rsidR="00C372E9">
        <w:rPr>
          <w:sz w:val="22"/>
          <w:szCs w:val="22"/>
        </w:rPr>
        <w:t xml:space="preserve">with this general </w:t>
      </w:r>
      <w:r w:rsidR="00BF3853">
        <w:rPr>
          <w:sz w:val="22"/>
          <w:szCs w:val="22"/>
        </w:rPr>
        <w:t>framework</w:t>
      </w:r>
      <w:r w:rsidRPr="00BF3853" w:rsidR="00C372E9">
        <w:rPr>
          <w:sz w:val="22"/>
          <w:szCs w:val="22"/>
        </w:rPr>
        <w:t xml:space="preserve"> in mind.</w:t>
      </w:r>
    </w:p>
    <w:p w:rsidR="00844A5A" w:rsidRPr="00EE591E" w:rsidP="009E1B64" w14:paraId="1E84890D" w14:textId="77777777">
      <w:pPr>
        <w:rPr>
          <w:sz w:val="22"/>
          <w:szCs w:val="22"/>
        </w:rPr>
      </w:pPr>
    </w:p>
    <w:p w:rsidR="00DB3E36" w:rsidRPr="00EE591E" w:rsidP="009E1B64" w14:paraId="558ECA52" w14:textId="2A0F3AE1">
      <w:pPr>
        <w:ind w:left="360" w:firstLine="360"/>
        <w:rPr>
          <w:b/>
          <w:bCs/>
          <w:sz w:val="22"/>
          <w:szCs w:val="22"/>
        </w:rPr>
      </w:pPr>
      <w:r w:rsidRPr="00EE591E">
        <w:rPr>
          <w:b/>
          <w:bCs/>
          <w:sz w:val="22"/>
          <w:szCs w:val="22"/>
        </w:rPr>
        <w:t>1</w:t>
      </w:r>
      <w:r w:rsidRPr="00EE591E" w:rsidR="00844A5A">
        <w:rPr>
          <w:b/>
          <w:bCs/>
          <w:sz w:val="22"/>
          <w:szCs w:val="22"/>
        </w:rPr>
        <w:t>.</w:t>
      </w:r>
      <w:r w:rsidRPr="00EE591E" w:rsidR="00844A5A">
        <w:rPr>
          <w:b/>
          <w:bCs/>
          <w:sz w:val="22"/>
          <w:szCs w:val="22"/>
        </w:rPr>
        <w:tab/>
      </w:r>
      <w:r w:rsidRPr="00EE591E">
        <w:rPr>
          <w:b/>
          <w:bCs/>
          <w:sz w:val="22"/>
          <w:szCs w:val="22"/>
        </w:rPr>
        <w:t xml:space="preserve">Engineering </w:t>
      </w:r>
      <w:r w:rsidRPr="00EE591E">
        <w:rPr>
          <w:b/>
          <w:bCs/>
          <w:sz w:val="22"/>
          <w:szCs w:val="22"/>
        </w:rPr>
        <w:t>Charges</w:t>
      </w:r>
    </w:p>
    <w:p w:rsidR="009774BA" w:rsidRPr="00EE591E" w:rsidP="009E1B64" w14:paraId="05F490FD" w14:textId="77777777">
      <w:pPr>
        <w:ind w:left="360" w:firstLine="360"/>
        <w:rPr>
          <w:b/>
          <w:bCs/>
          <w:sz w:val="22"/>
          <w:szCs w:val="22"/>
        </w:rPr>
      </w:pPr>
    </w:p>
    <w:p w:rsidR="00DB3E36" w:rsidRPr="00EE591E" w:rsidP="009E1B64" w14:paraId="61F484F4" w14:textId="7B8503FF">
      <w:pPr>
        <w:ind w:firstLine="720"/>
        <w:rPr>
          <w:sz w:val="22"/>
          <w:szCs w:val="22"/>
        </w:rPr>
      </w:pPr>
      <w:r w:rsidRPr="00EE591E">
        <w:rPr>
          <w:sz w:val="22"/>
          <w:szCs w:val="22"/>
        </w:rPr>
        <w:t>W</w:t>
      </w:r>
      <w:r w:rsidRPr="00EE591E" w:rsidR="00982AF2">
        <w:rPr>
          <w:sz w:val="22"/>
          <w:szCs w:val="22"/>
        </w:rPr>
        <w:t xml:space="preserve">e </w:t>
      </w:r>
      <w:r w:rsidRPr="00EE591E" w:rsidR="002D5BD5">
        <w:rPr>
          <w:sz w:val="22"/>
          <w:szCs w:val="22"/>
        </w:rPr>
        <w:t xml:space="preserve">find that </w:t>
      </w:r>
      <w:r w:rsidRPr="00EE591E" w:rsidR="009774BA">
        <w:rPr>
          <w:sz w:val="22"/>
          <w:szCs w:val="22"/>
        </w:rPr>
        <w:t xml:space="preserve">PVBC is entitled to reimbursement for the engineering fees associated with filing </w:t>
      </w:r>
      <w:r w:rsidRPr="00EE591E" w:rsidR="004026C9">
        <w:rPr>
          <w:sz w:val="22"/>
          <w:szCs w:val="22"/>
        </w:rPr>
        <w:t>an</w:t>
      </w:r>
      <w:r w:rsidRPr="00EE591E" w:rsidR="009774BA">
        <w:rPr>
          <w:sz w:val="22"/>
          <w:szCs w:val="22"/>
        </w:rPr>
        <w:t xml:space="preserve"> </w:t>
      </w:r>
      <w:r w:rsidRPr="00EE591E" w:rsidR="004026C9">
        <w:rPr>
          <w:sz w:val="22"/>
          <w:szCs w:val="22"/>
        </w:rPr>
        <w:t xml:space="preserve">FCC </w:t>
      </w:r>
      <w:r w:rsidRPr="00EE591E" w:rsidR="009774BA">
        <w:rPr>
          <w:sz w:val="22"/>
          <w:szCs w:val="22"/>
        </w:rPr>
        <w:t xml:space="preserve">application </w:t>
      </w:r>
      <w:r w:rsidRPr="00EE591E" w:rsidR="00146D28">
        <w:rPr>
          <w:sz w:val="22"/>
          <w:szCs w:val="22"/>
        </w:rPr>
        <w:t xml:space="preserve">for a construction permit </w:t>
      </w:r>
      <w:r w:rsidRPr="00EE591E" w:rsidR="004026C9">
        <w:rPr>
          <w:sz w:val="22"/>
          <w:szCs w:val="22"/>
        </w:rPr>
        <w:t>to implement the involuntary channel change</w:t>
      </w:r>
      <w:r w:rsidRPr="00EE591E" w:rsidR="00DF6A14">
        <w:rPr>
          <w:sz w:val="22"/>
          <w:szCs w:val="22"/>
        </w:rPr>
        <w:t xml:space="preserve"> (Permit Application)</w:t>
      </w:r>
      <w:r w:rsidRPr="00EE591E" w:rsidR="009774BA">
        <w:rPr>
          <w:sz w:val="22"/>
          <w:szCs w:val="22"/>
        </w:rPr>
        <w:t>.</w:t>
      </w:r>
      <w:r>
        <w:rPr>
          <w:rStyle w:val="FootnoteReference"/>
          <w:sz w:val="22"/>
          <w:szCs w:val="22"/>
        </w:rPr>
        <w:footnoteReference w:id="52"/>
      </w:r>
      <w:r w:rsidRPr="00EE591E" w:rsidR="009774BA">
        <w:rPr>
          <w:sz w:val="22"/>
          <w:szCs w:val="22"/>
        </w:rPr>
        <w:t xml:space="preserve">  PVBC has documented that these fees totaled $2,006</w:t>
      </w:r>
      <w:r w:rsidRPr="00EE591E" w:rsidR="00360C90">
        <w:rPr>
          <w:sz w:val="22"/>
          <w:szCs w:val="22"/>
        </w:rPr>
        <w:t>,</w:t>
      </w:r>
      <w:r>
        <w:rPr>
          <w:rStyle w:val="FootnoteReference"/>
          <w:sz w:val="22"/>
          <w:szCs w:val="22"/>
        </w:rPr>
        <w:footnoteReference w:id="53"/>
      </w:r>
      <w:r w:rsidRPr="00EE591E" w:rsidR="009774BA">
        <w:rPr>
          <w:sz w:val="22"/>
          <w:szCs w:val="22"/>
        </w:rPr>
        <w:t xml:space="preserve"> </w:t>
      </w:r>
      <w:r w:rsidRPr="00EE591E" w:rsidR="00360C90">
        <w:rPr>
          <w:sz w:val="22"/>
          <w:szCs w:val="22"/>
        </w:rPr>
        <w:t xml:space="preserve">and </w:t>
      </w:r>
      <w:r w:rsidRPr="00EE591E">
        <w:rPr>
          <w:sz w:val="22"/>
          <w:szCs w:val="22"/>
        </w:rPr>
        <w:t>Entravision has no</w:t>
      </w:r>
      <w:r w:rsidRPr="00EE591E" w:rsidR="009774BA">
        <w:rPr>
          <w:sz w:val="22"/>
          <w:szCs w:val="22"/>
        </w:rPr>
        <w:t>t</w:t>
      </w:r>
      <w:r w:rsidRPr="00EE591E">
        <w:rPr>
          <w:sz w:val="22"/>
          <w:szCs w:val="22"/>
        </w:rPr>
        <w:t xml:space="preserve"> </w:t>
      </w:r>
      <w:r w:rsidRPr="00EE591E" w:rsidR="009774BA">
        <w:rPr>
          <w:sz w:val="22"/>
          <w:szCs w:val="22"/>
        </w:rPr>
        <w:t>disputed</w:t>
      </w:r>
      <w:r w:rsidRPr="00EE591E">
        <w:rPr>
          <w:sz w:val="22"/>
          <w:szCs w:val="22"/>
        </w:rPr>
        <w:t xml:space="preserve"> </w:t>
      </w:r>
      <w:r w:rsidRPr="00EE591E" w:rsidR="009774BA">
        <w:rPr>
          <w:sz w:val="22"/>
          <w:szCs w:val="22"/>
        </w:rPr>
        <w:t>this amount</w:t>
      </w:r>
      <w:r w:rsidRPr="00EE591E">
        <w:rPr>
          <w:sz w:val="22"/>
          <w:szCs w:val="22"/>
        </w:rPr>
        <w:t xml:space="preserve">.  </w:t>
      </w:r>
      <w:r w:rsidRPr="00EE591E" w:rsidR="009774BA">
        <w:rPr>
          <w:sz w:val="22"/>
          <w:szCs w:val="22"/>
        </w:rPr>
        <w:t xml:space="preserve">Accordingly, we direct </w:t>
      </w:r>
      <w:r w:rsidRPr="00EE591E">
        <w:rPr>
          <w:sz w:val="22"/>
          <w:szCs w:val="22"/>
        </w:rPr>
        <w:t xml:space="preserve">Entravision </w:t>
      </w:r>
      <w:r w:rsidRPr="00EE591E" w:rsidR="009774BA">
        <w:rPr>
          <w:sz w:val="22"/>
          <w:szCs w:val="22"/>
        </w:rPr>
        <w:t>to</w:t>
      </w:r>
      <w:r w:rsidRPr="00EE591E">
        <w:rPr>
          <w:sz w:val="22"/>
          <w:szCs w:val="22"/>
        </w:rPr>
        <w:t xml:space="preserve"> reimburse </w:t>
      </w:r>
      <w:r w:rsidRPr="00EE591E" w:rsidR="009774BA">
        <w:rPr>
          <w:sz w:val="22"/>
          <w:szCs w:val="22"/>
        </w:rPr>
        <w:t>PVBC</w:t>
      </w:r>
      <w:r w:rsidRPr="00EE591E">
        <w:rPr>
          <w:sz w:val="22"/>
          <w:szCs w:val="22"/>
        </w:rPr>
        <w:t xml:space="preserve"> </w:t>
      </w:r>
      <w:r w:rsidRPr="00EE591E" w:rsidR="009774BA">
        <w:rPr>
          <w:sz w:val="22"/>
          <w:szCs w:val="22"/>
        </w:rPr>
        <w:t xml:space="preserve">$2,006 </w:t>
      </w:r>
      <w:r w:rsidRPr="00EE591E">
        <w:rPr>
          <w:sz w:val="22"/>
          <w:szCs w:val="22"/>
        </w:rPr>
        <w:t>for this expense</w:t>
      </w:r>
      <w:r w:rsidR="00317AEF">
        <w:rPr>
          <w:sz w:val="22"/>
          <w:szCs w:val="22"/>
        </w:rPr>
        <w:t xml:space="preserve"> within </w:t>
      </w:r>
      <w:r w:rsidR="008F3159">
        <w:rPr>
          <w:sz w:val="22"/>
          <w:szCs w:val="22"/>
        </w:rPr>
        <w:t>twenty (</w:t>
      </w:r>
      <w:r w:rsidR="00317AEF">
        <w:rPr>
          <w:sz w:val="22"/>
          <w:szCs w:val="22"/>
        </w:rPr>
        <w:t>20</w:t>
      </w:r>
      <w:r w:rsidR="008F3159">
        <w:rPr>
          <w:sz w:val="22"/>
          <w:szCs w:val="22"/>
        </w:rPr>
        <w:t>)</w:t>
      </w:r>
      <w:r w:rsidR="00317AEF">
        <w:rPr>
          <w:sz w:val="22"/>
          <w:szCs w:val="22"/>
        </w:rPr>
        <w:t xml:space="preserve"> </w:t>
      </w:r>
      <w:r w:rsidR="00862958">
        <w:rPr>
          <w:sz w:val="22"/>
          <w:szCs w:val="22"/>
        </w:rPr>
        <w:t xml:space="preserve">calendar </w:t>
      </w:r>
      <w:r w:rsidR="00317AEF">
        <w:rPr>
          <w:sz w:val="22"/>
          <w:szCs w:val="22"/>
        </w:rPr>
        <w:t>days of the date of this letter</w:t>
      </w:r>
      <w:r w:rsidRPr="00EE591E">
        <w:rPr>
          <w:sz w:val="22"/>
          <w:szCs w:val="22"/>
        </w:rPr>
        <w:t>.</w:t>
      </w:r>
      <w:r w:rsidR="00317AEF">
        <w:rPr>
          <w:sz w:val="22"/>
          <w:szCs w:val="22"/>
        </w:rPr>
        <w:t xml:space="preserve"> </w:t>
      </w:r>
      <w:r w:rsidR="00CB0E67">
        <w:rPr>
          <w:sz w:val="22"/>
          <w:szCs w:val="22"/>
        </w:rPr>
        <w:t xml:space="preserve"> PVBC shall report on the status of this payment within </w:t>
      </w:r>
      <w:r w:rsidR="008F3159">
        <w:rPr>
          <w:sz w:val="22"/>
          <w:szCs w:val="22"/>
        </w:rPr>
        <w:t>thirty (</w:t>
      </w:r>
      <w:r w:rsidR="00CB0E67">
        <w:rPr>
          <w:sz w:val="22"/>
          <w:szCs w:val="22"/>
        </w:rPr>
        <w:t>30</w:t>
      </w:r>
      <w:r w:rsidR="008F3159">
        <w:rPr>
          <w:sz w:val="22"/>
          <w:szCs w:val="22"/>
        </w:rPr>
        <w:t>)</w:t>
      </w:r>
      <w:r w:rsidR="00CB0E67">
        <w:rPr>
          <w:sz w:val="22"/>
          <w:szCs w:val="22"/>
        </w:rPr>
        <w:t xml:space="preserve"> </w:t>
      </w:r>
      <w:r w:rsidR="00862958">
        <w:rPr>
          <w:sz w:val="22"/>
          <w:szCs w:val="22"/>
        </w:rPr>
        <w:t xml:space="preserve">calendar </w:t>
      </w:r>
      <w:r w:rsidR="00CB0E67">
        <w:rPr>
          <w:sz w:val="22"/>
          <w:szCs w:val="22"/>
        </w:rPr>
        <w:t>days of the date of this letter.</w:t>
      </w:r>
    </w:p>
    <w:p w:rsidR="00212750" w:rsidRPr="00EE591E" w:rsidP="009E1B64" w14:paraId="6998E4D6" w14:textId="77777777">
      <w:pPr>
        <w:ind w:firstLine="720"/>
        <w:rPr>
          <w:sz w:val="22"/>
          <w:szCs w:val="22"/>
        </w:rPr>
      </w:pPr>
    </w:p>
    <w:p w:rsidR="00212750" w:rsidRPr="00EE591E" w:rsidP="009E1B64" w14:paraId="0FD16DF6" w14:textId="24EB68F7">
      <w:pPr>
        <w:ind w:firstLine="720"/>
        <w:rPr>
          <w:sz w:val="22"/>
          <w:szCs w:val="22"/>
        </w:rPr>
      </w:pPr>
      <w:r w:rsidRPr="00EE591E">
        <w:rPr>
          <w:sz w:val="22"/>
          <w:szCs w:val="22"/>
        </w:rPr>
        <w:t>We note that PVBC indicated it will seek reimbursement for a number of</w:t>
      </w:r>
      <w:r w:rsidRPr="00EE591E">
        <w:rPr>
          <w:sz w:val="22"/>
          <w:szCs w:val="22"/>
        </w:rPr>
        <w:t xml:space="preserve"> </w:t>
      </w:r>
      <w:r w:rsidRPr="00EE591E" w:rsidR="00013B6D">
        <w:rPr>
          <w:sz w:val="22"/>
          <w:szCs w:val="22"/>
        </w:rPr>
        <w:t>other</w:t>
      </w:r>
      <w:r w:rsidRPr="00EE591E">
        <w:rPr>
          <w:sz w:val="22"/>
          <w:szCs w:val="22"/>
        </w:rPr>
        <w:t xml:space="preserve"> engineering </w:t>
      </w:r>
      <w:r w:rsidRPr="00EE591E">
        <w:rPr>
          <w:sz w:val="22"/>
          <w:szCs w:val="22"/>
        </w:rPr>
        <w:t>services.</w:t>
      </w:r>
      <w:r w:rsidRPr="00EE591E" w:rsidR="009C21E8">
        <w:rPr>
          <w:sz w:val="22"/>
          <w:szCs w:val="22"/>
        </w:rPr>
        <w:t xml:space="preserve">  PVBC</w:t>
      </w:r>
      <w:r w:rsidRPr="00EE591E" w:rsidR="00886EC6">
        <w:rPr>
          <w:sz w:val="22"/>
          <w:szCs w:val="22"/>
        </w:rPr>
        <w:t xml:space="preserve"> </w:t>
      </w:r>
      <w:r w:rsidRPr="00EE591E" w:rsidR="009C21E8">
        <w:rPr>
          <w:sz w:val="22"/>
          <w:szCs w:val="22"/>
        </w:rPr>
        <w:t xml:space="preserve">submitted additional information </w:t>
      </w:r>
      <w:r w:rsidRPr="00EE591E" w:rsidR="00886EC6">
        <w:rPr>
          <w:sz w:val="22"/>
          <w:szCs w:val="22"/>
        </w:rPr>
        <w:t>regarding these services in the Reply.</w:t>
      </w:r>
      <w:r>
        <w:rPr>
          <w:rStyle w:val="FootnoteReference"/>
          <w:sz w:val="22"/>
          <w:szCs w:val="22"/>
        </w:rPr>
        <w:footnoteReference w:id="54"/>
      </w:r>
      <w:r w:rsidRPr="00EE591E">
        <w:rPr>
          <w:sz w:val="22"/>
          <w:szCs w:val="22"/>
        </w:rPr>
        <w:t xml:space="preserve">  </w:t>
      </w:r>
      <w:r w:rsidRPr="00EE591E" w:rsidR="00886EC6">
        <w:rPr>
          <w:sz w:val="22"/>
          <w:szCs w:val="22"/>
        </w:rPr>
        <w:t xml:space="preserve">Because we herein decide to accept the additional information, and </w:t>
      </w:r>
      <w:r w:rsidRPr="00EE591E" w:rsidR="00A25538">
        <w:rPr>
          <w:sz w:val="22"/>
          <w:szCs w:val="22"/>
        </w:rPr>
        <w:t>provide</w:t>
      </w:r>
      <w:r w:rsidRPr="00EE591E" w:rsidR="00886EC6">
        <w:rPr>
          <w:sz w:val="22"/>
          <w:szCs w:val="22"/>
        </w:rPr>
        <w:t xml:space="preserve"> Entravision the opportunity to </w:t>
      </w:r>
      <w:r w:rsidR="00F331CE">
        <w:rPr>
          <w:sz w:val="22"/>
          <w:szCs w:val="22"/>
        </w:rPr>
        <w:t>reply</w:t>
      </w:r>
      <w:r w:rsidRPr="00EE591E" w:rsidR="00F331CE">
        <w:rPr>
          <w:sz w:val="22"/>
          <w:szCs w:val="22"/>
        </w:rPr>
        <w:t xml:space="preserve"> </w:t>
      </w:r>
      <w:r w:rsidRPr="00EE591E" w:rsidR="00886EC6">
        <w:rPr>
          <w:sz w:val="22"/>
          <w:szCs w:val="22"/>
        </w:rPr>
        <w:t xml:space="preserve">to it, </w:t>
      </w:r>
      <w:r w:rsidRPr="00EE591E">
        <w:rPr>
          <w:sz w:val="22"/>
          <w:szCs w:val="22"/>
        </w:rPr>
        <w:t xml:space="preserve">we </w:t>
      </w:r>
      <w:r w:rsidRPr="00EE591E" w:rsidR="00A25538">
        <w:rPr>
          <w:sz w:val="22"/>
          <w:szCs w:val="22"/>
        </w:rPr>
        <w:t>do not—at this time—</w:t>
      </w:r>
      <w:r w:rsidRPr="00EE591E" w:rsidR="00EE591E">
        <w:rPr>
          <w:sz w:val="22"/>
          <w:szCs w:val="22"/>
        </w:rPr>
        <w:t>address</w:t>
      </w:r>
      <w:r w:rsidRPr="00EE591E">
        <w:rPr>
          <w:sz w:val="22"/>
          <w:szCs w:val="22"/>
        </w:rPr>
        <w:t xml:space="preserve"> whether </w:t>
      </w:r>
      <w:r w:rsidRPr="00EE591E" w:rsidR="00EE591E">
        <w:rPr>
          <w:sz w:val="22"/>
          <w:szCs w:val="22"/>
        </w:rPr>
        <w:t>these</w:t>
      </w:r>
      <w:r w:rsidRPr="00EE591E">
        <w:rPr>
          <w:sz w:val="22"/>
          <w:szCs w:val="22"/>
        </w:rPr>
        <w:t xml:space="preserve"> engineering services a</w:t>
      </w:r>
      <w:r w:rsidRPr="00EE591E">
        <w:rPr>
          <w:sz w:val="22"/>
          <w:szCs w:val="22"/>
        </w:rPr>
        <w:t xml:space="preserve">re reimbursable, </w:t>
      </w:r>
      <w:r w:rsidRPr="00EE591E">
        <w:rPr>
          <w:sz w:val="22"/>
          <w:szCs w:val="22"/>
        </w:rPr>
        <w:t>or whether the estimated costs of those services</w:t>
      </w:r>
      <w:r w:rsidRPr="00EE591E">
        <w:rPr>
          <w:sz w:val="22"/>
          <w:szCs w:val="22"/>
        </w:rPr>
        <w:t xml:space="preserve"> are reasonable</w:t>
      </w:r>
      <w:r w:rsidRPr="00EE591E">
        <w:rPr>
          <w:sz w:val="22"/>
          <w:szCs w:val="22"/>
        </w:rPr>
        <w:t>.</w:t>
      </w:r>
    </w:p>
    <w:p w:rsidR="00844A5A" w:rsidRPr="00EE591E" w:rsidP="009E1B64" w14:paraId="6DE359DC" w14:textId="77777777">
      <w:pPr>
        <w:rPr>
          <w:sz w:val="22"/>
          <w:szCs w:val="22"/>
        </w:rPr>
      </w:pPr>
    </w:p>
    <w:p w:rsidR="00DB3E36" w:rsidRPr="00EE591E" w:rsidP="009E6B7A" w14:paraId="3D1E9C45" w14:textId="5AA8FC56">
      <w:pPr>
        <w:ind w:left="360" w:firstLine="360"/>
        <w:rPr>
          <w:b/>
          <w:bCs/>
        </w:rPr>
      </w:pPr>
      <w:r w:rsidRPr="00EE591E">
        <w:rPr>
          <w:b/>
          <w:bCs/>
        </w:rPr>
        <w:t>2</w:t>
      </w:r>
      <w:r w:rsidRPr="00EE591E" w:rsidR="00844A5A">
        <w:rPr>
          <w:b/>
          <w:bCs/>
        </w:rPr>
        <w:t>.</w:t>
      </w:r>
      <w:r w:rsidRPr="00EE591E" w:rsidR="00844A5A">
        <w:rPr>
          <w:b/>
          <w:bCs/>
        </w:rPr>
        <w:tab/>
      </w:r>
      <w:r w:rsidRPr="00EE591E">
        <w:rPr>
          <w:b/>
          <w:bCs/>
        </w:rPr>
        <w:t>Legal</w:t>
      </w:r>
      <w:r w:rsidRPr="00EE591E">
        <w:rPr>
          <w:b/>
          <w:bCs/>
        </w:rPr>
        <w:t xml:space="preserve"> Charges</w:t>
      </w:r>
    </w:p>
    <w:p w:rsidR="002B27E2" w:rsidRPr="00EE591E" w:rsidP="009E1B64" w14:paraId="2F4FA7E4" w14:textId="77777777">
      <w:pPr>
        <w:pStyle w:val="ListParagraph"/>
        <w:spacing w:after="0" w:line="240" w:lineRule="auto"/>
        <w:rPr>
          <w:rFonts w:ascii="Times New Roman" w:hAnsi="Times New Roman"/>
          <w:b/>
          <w:bCs/>
        </w:rPr>
      </w:pPr>
    </w:p>
    <w:p w:rsidR="00141E6C" w:rsidRPr="00EE591E" w:rsidP="009E1B64" w14:paraId="173B745A" w14:textId="7BD17D26">
      <w:pPr>
        <w:ind w:firstLine="720"/>
        <w:rPr>
          <w:sz w:val="22"/>
          <w:szCs w:val="22"/>
        </w:rPr>
      </w:pPr>
      <w:r w:rsidRPr="00EE591E">
        <w:rPr>
          <w:sz w:val="22"/>
          <w:szCs w:val="22"/>
        </w:rPr>
        <w:t xml:space="preserve">In the Report, PVBC </w:t>
      </w:r>
      <w:r w:rsidRPr="00EE591E" w:rsidR="00847C24">
        <w:rPr>
          <w:sz w:val="22"/>
          <w:szCs w:val="22"/>
        </w:rPr>
        <w:t>seeks</w:t>
      </w:r>
      <w:r w:rsidRPr="00EE591E">
        <w:rPr>
          <w:sz w:val="22"/>
          <w:szCs w:val="22"/>
        </w:rPr>
        <w:t xml:space="preserve"> reimbursement for legal fees totaling $42,410.</w:t>
      </w:r>
      <w:r>
        <w:rPr>
          <w:rStyle w:val="FootnoteReference"/>
          <w:sz w:val="22"/>
          <w:szCs w:val="22"/>
        </w:rPr>
        <w:footnoteReference w:id="55"/>
      </w:r>
      <w:r w:rsidRPr="00EE591E">
        <w:rPr>
          <w:sz w:val="22"/>
          <w:szCs w:val="22"/>
        </w:rPr>
        <w:t xml:space="preserve">  </w:t>
      </w:r>
      <w:r w:rsidR="00595733">
        <w:rPr>
          <w:sz w:val="22"/>
          <w:szCs w:val="22"/>
        </w:rPr>
        <w:t>A</w:t>
      </w:r>
      <w:r w:rsidRPr="00EE591E" w:rsidR="00565F61">
        <w:rPr>
          <w:sz w:val="22"/>
          <w:szCs w:val="22"/>
        </w:rPr>
        <w:t xml:space="preserve">fter considering the Report and the Response, </w:t>
      </w:r>
      <w:r w:rsidRPr="00EE591E" w:rsidR="00280E55">
        <w:rPr>
          <w:sz w:val="22"/>
          <w:szCs w:val="22"/>
        </w:rPr>
        <w:t xml:space="preserve">we </w:t>
      </w:r>
      <w:r w:rsidRPr="00EE591E" w:rsidR="00BA3838">
        <w:rPr>
          <w:sz w:val="22"/>
          <w:szCs w:val="22"/>
        </w:rPr>
        <w:t xml:space="preserve">find </w:t>
      </w:r>
      <w:r w:rsidRPr="00EE591E" w:rsidR="00280E55">
        <w:rPr>
          <w:sz w:val="22"/>
          <w:szCs w:val="22"/>
        </w:rPr>
        <w:t>some of the</w:t>
      </w:r>
      <w:r w:rsidRPr="00EE591E" w:rsidR="00522963">
        <w:rPr>
          <w:sz w:val="22"/>
          <w:szCs w:val="22"/>
        </w:rPr>
        <w:t>se</w:t>
      </w:r>
      <w:r w:rsidRPr="00EE591E" w:rsidR="00280E55">
        <w:rPr>
          <w:sz w:val="22"/>
          <w:szCs w:val="22"/>
        </w:rPr>
        <w:t xml:space="preserve"> fees</w:t>
      </w:r>
      <w:r w:rsidRPr="00EE591E" w:rsidR="00BA3838">
        <w:rPr>
          <w:sz w:val="22"/>
          <w:szCs w:val="22"/>
        </w:rPr>
        <w:t xml:space="preserve"> are reimbursable while others are not.  We also determine that </w:t>
      </w:r>
      <w:r w:rsidRPr="00EE591E" w:rsidR="00522963">
        <w:rPr>
          <w:sz w:val="22"/>
          <w:szCs w:val="22"/>
        </w:rPr>
        <w:t xml:space="preserve">further </w:t>
      </w:r>
      <w:r w:rsidRPr="00EE591E" w:rsidR="00280E55">
        <w:rPr>
          <w:sz w:val="22"/>
          <w:szCs w:val="22"/>
        </w:rPr>
        <w:t xml:space="preserve">information is required </w:t>
      </w:r>
      <w:r w:rsidRPr="00EE591E" w:rsidR="00522963">
        <w:rPr>
          <w:sz w:val="22"/>
          <w:szCs w:val="22"/>
        </w:rPr>
        <w:t xml:space="preserve">regarding </w:t>
      </w:r>
      <w:r w:rsidRPr="00EE591E" w:rsidR="00BA3838">
        <w:rPr>
          <w:sz w:val="22"/>
          <w:szCs w:val="22"/>
        </w:rPr>
        <w:t>some of the fees</w:t>
      </w:r>
      <w:r w:rsidRPr="00EE591E" w:rsidR="00280E55">
        <w:rPr>
          <w:sz w:val="22"/>
          <w:szCs w:val="22"/>
        </w:rPr>
        <w:t xml:space="preserve">. </w:t>
      </w:r>
      <w:r w:rsidR="00991878">
        <w:rPr>
          <w:sz w:val="22"/>
          <w:szCs w:val="22"/>
        </w:rPr>
        <w:t xml:space="preserve"> </w:t>
      </w:r>
    </w:p>
    <w:p w:rsidR="00141E6C" w:rsidRPr="00EE591E" w:rsidP="009E1B64" w14:paraId="07A0EFC9" w14:textId="77777777">
      <w:pPr>
        <w:ind w:firstLine="720"/>
        <w:rPr>
          <w:sz w:val="22"/>
          <w:szCs w:val="22"/>
        </w:rPr>
      </w:pPr>
    </w:p>
    <w:p w:rsidR="007024BA" w:rsidRPr="00EE591E" w:rsidP="0033012F" w14:paraId="4B84F07A" w14:textId="6EF9D32C">
      <w:pPr>
        <w:ind w:firstLine="720"/>
        <w:rPr>
          <w:sz w:val="22"/>
          <w:szCs w:val="22"/>
        </w:rPr>
      </w:pPr>
      <w:r w:rsidRPr="00EE591E">
        <w:rPr>
          <w:i/>
          <w:iCs/>
          <w:sz w:val="22"/>
          <w:szCs w:val="22"/>
        </w:rPr>
        <w:t xml:space="preserve">Reimbursement Required.  </w:t>
      </w:r>
      <w:r w:rsidRPr="00EE591E" w:rsidR="001F0F04">
        <w:rPr>
          <w:sz w:val="22"/>
          <w:szCs w:val="22"/>
        </w:rPr>
        <w:t xml:space="preserve">PVBC is entitled to reimbursement for </w:t>
      </w:r>
      <w:r w:rsidRPr="00EE591E" w:rsidR="003C47D1">
        <w:rPr>
          <w:sz w:val="22"/>
          <w:szCs w:val="22"/>
        </w:rPr>
        <w:t>legal work</w:t>
      </w:r>
      <w:r w:rsidRPr="00EE591E" w:rsidR="00763975">
        <w:rPr>
          <w:sz w:val="22"/>
          <w:szCs w:val="22"/>
        </w:rPr>
        <w:t xml:space="preserve"> related to the filing</w:t>
      </w:r>
      <w:r w:rsidRPr="00EE591E" w:rsidR="00EE6F64">
        <w:rPr>
          <w:sz w:val="22"/>
          <w:szCs w:val="22"/>
        </w:rPr>
        <w:t xml:space="preserve"> and processing</w:t>
      </w:r>
      <w:r w:rsidRPr="00EE591E" w:rsidR="00763975">
        <w:rPr>
          <w:sz w:val="22"/>
          <w:szCs w:val="22"/>
        </w:rPr>
        <w:t xml:space="preserve"> of </w:t>
      </w:r>
      <w:r w:rsidRPr="00EE591E" w:rsidR="00F97AC2">
        <w:rPr>
          <w:sz w:val="22"/>
          <w:szCs w:val="22"/>
        </w:rPr>
        <w:t>the Permit Application,</w:t>
      </w:r>
      <w:r>
        <w:rPr>
          <w:rStyle w:val="FootnoteReference"/>
          <w:sz w:val="22"/>
          <w:szCs w:val="22"/>
        </w:rPr>
        <w:footnoteReference w:id="56"/>
      </w:r>
      <w:r w:rsidRPr="00EE591E" w:rsidR="00763975">
        <w:rPr>
          <w:sz w:val="22"/>
          <w:szCs w:val="22"/>
        </w:rPr>
        <w:t xml:space="preserve"> and </w:t>
      </w:r>
      <w:r w:rsidRPr="00EE591E">
        <w:rPr>
          <w:sz w:val="22"/>
          <w:szCs w:val="22"/>
        </w:rPr>
        <w:t xml:space="preserve">legal work related </w:t>
      </w:r>
      <w:r w:rsidRPr="00EE591E" w:rsidR="00BA3838">
        <w:rPr>
          <w:sz w:val="22"/>
          <w:szCs w:val="22"/>
        </w:rPr>
        <w:t>to</w:t>
      </w:r>
      <w:r w:rsidRPr="00EE591E">
        <w:rPr>
          <w:sz w:val="22"/>
          <w:szCs w:val="22"/>
        </w:rPr>
        <w:t xml:space="preserve"> </w:t>
      </w:r>
      <w:r w:rsidRPr="00EE591E" w:rsidR="00763975">
        <w:rPr>
          <w:sz w:val="22"/>
          <w:szCs w:val="22"/>
        </w:rPr>
        <w:t>reimbursement</w:t>
      </w:r>
      <w:r w:rsidRPr="00EE591E" w:rsidR="008D4A4E">
        <w:rPr>
          <w:sz w:val="22"/>
          <w:szCs w:val="22"/>
        </w:rPr>
        <w:t xml:space="preserve"> negotiations with Entravisio</w:t>
      </w:r>
      <w:r w:rsidRPr="00EE591E" w:rsidR="00CC2183">
        <w:rPr>
          <w:sz w:val="22"/>
          <w:szCs w:val="22"/>
        </w:rPr>
        <w:t>n.</w:t>
      </w:r>
      <w:r>
        <w:rPr>
          <w:rStyle w:val="FootnoteReference"/>
          <w:sz w:val="22"/>
          <w:szCs w:val="22"/>
        </w:rPr>
        <w:footnoteReference w:id="57"/>
      </w:r>
      <w:r w:rsidRPr="00EE591E" w:rsidR="00763975">
        <w:rPr>
          <w:sz w:val="22"/>
          <w:szCs w:val="22"/>
        </w:rPr>
        <w:t xml:space="preserve">  </w:t>
      </w:r>
      <w:r w:rsidRPr="00EE591E" w:rsidR="006D525C">
        <w:rPr>
          <w:sz w:val="22"/>
          <w:szCs w:val="22"/>
        </w:rPr>
        <w:t>PVBC is entitled</w:t>
      </w:r>
      <w:r w:rsidRPr="00EE591E">
        <w:rPr>
          <w:sz w:val="22"/>
          <w:szCs w:val="22"/>
        </w:rPr>
        <w:t xml:space="preserve"> </w:t>
      </w:r>
      <w:r w:rsidRPr="00EE591E" w:rsidR="006D525C">
        <w:rPr>
          <w:sz w:val="22"/>
          <w:szCs w:val="22"/>
        </w:rPr>
        <w:t>to reimbursement for these expenses</w:t>
      </w:r>
      <w:r w:rsidRPr="00EE591E">
        <w:rPr>
          <w:sz w:val="22"/>
          <w:szCs w:val="22"/>
        </w:rPr>
        <w:t xml:space="preserve"> under</w:t>
      </w:r>
      <w:r w:rsidRPr="00EE591E" w:rsidR="0006270A">
        <w:rPr>
          <w:sz w:val="22"/>
          <w:szCs w:val="22"/>
        </w:rPr>
        <w:t xml:space="preserve"> </w:t>
      </w:r>
      <w:r w:rsidRPr="00EE591E" w:rsidR="00CC2183">
        <w:rPr>
          <w:sz w:val="22"/>
          <w:szCs w:val="22"/>
        </w:rPr>
        <w:t xml:space="preserve">our </w:t>
      </w:r>
      <w:r w:rsidRPr="00EE591E" w:rsidR="0006270A">
        <w:rPr>
          <w:sz w:val="22"/>
          <w:szCs w:val="22"/>
        </w:rPr>
        <w:t>precedent</w:t>
      </w:r>
      <w:r w:rsidRPr="00EE591E">
        <w:rPr>
          <w:sz w:val="22"/>
          <w:szCs w:val="22"/>
        </w:rPr>
        <w:t>.</w:t>
      </w:r>
      <w:r>
        <w:rPr>
          <w:rStyle w:val="FootnoteReference"/>
          <w:sz w:val="22"/>
          <w:szCs w:val="22"/>
        </w:rPr>
        <w:footnoteReference w:id="58"/>
      </w:r>
      <w:r w:rsidRPr="00EE591E">
        <w:rPr>
          <w:sz w:val="22"/>
          <w:szCs w:val="22"/>
        </w:rPr>
        <w:t xml:space="preserve">  </w:t>
      </w:r>
      <w:r w:rsidRPr="00EE591E" w:rsidR="00522963">
        <w:rPr>
          <w:sz w:val="22"/>
          <w:szCs w:val="22"/>
        </w:rPr>
        <w:t>We note that, while Entravision disputes whether PVBC is entitled to reimb</w:t>
      </w:r>
      <w:r w:rsidRPr="002106BD" w:rsidR="00522963">
        <w:rPr>
          <w:sz w:val="22"/>
          <w:szCs w:val="22"/>
        </w:rPr>
        <w:t>ursement for certain legal fees,</w:t>
      </w:r>
      <w:r>
        <w:rPr>
          <w:rStyle w:val="FootnoteReference"/>
          <w:sz w:val="22"/>
          <w:szCs w:val="22"/>
        </w:rPr>
        <w:footnoteReference w:id="59"/>
      </w:r>
      <w:r w:rsidRPr="002106BD" w:rsidR="00522963">
        <w:rPr>
          <w:sz w:val="22"/>
          <w:szCs w:val="22"/>
        </w:rPr>
        <w:t xml:space="preserve"> it does not dispute that PVBC is entitled </w:t>
      </w:r>
      <w:r w:rsidR="009C4D6A">
        <w:rPr>
          <w:sz w:val="22"/>
          <w:szCs w:val="22"/>
        </w:rPr>
        <w:t xml:space="preserve">generally </w:t>
      </w:r>
      <w:r w:rsidRPr="002106BD" w:rsidR="00522963">
        <w:rPr>
          <w:sz w:val="22"/>
          <w:szCs w:val="22"/>
        </w:rPr>
        <w:t xml:space="preserve">to reimbursement for these </w:t>
      </w:r>
      <w:r w:rsidR="009C4D6A">
        <w:rPr>
          <w:sz w:val="22"/>
          <w:szCs w:val="22"/>
        </w:rPr>
        <w:t xml:space="preserve">types of </w:t>
      </w:r>
      <w:r w:rsidRPr="002106BD" w:rsidR="00522963">
        <w:rPr>
          <w:sz w:val="22"/>
          <w:szCs w:val="22"/>
        </w:rPr>
        <w:t>fees.</w:t>
      </w:r>
      <w:r w:rsidRPr="002106BD" w:rsidR="007106EC">
        <w:rPr>
          <w:sz w:val="22"/>
          <w:szCs w:val="22"/>
        </w:rPr>
        <w:t xml:space="preserve">  </w:t>
      </w:r>
      <w:r w:rsidRPr="002106BD" w:rsidR="002106BD">
        <w:rPr>
          <w:sz w:val="22"/>
          <w:szCs w:val="22"/>
        </w:rPr>
        <w:t>Further, Entravision does not dispute the reasonableness of the hourly rate charged by PVBC’s lawyers</w:t>
      </w:r>
      <w:r w:rsidR="002106BD">
        <w:t xml:space="preserve">.  </w:t>
      </w:r>
      <w:r w:rsidRPr="00EE591E" w:rsidR="00522963">
        <w:rPr>
          <w:sz w:val="22"/>
          <w:szCs w:val="22"/>
        </w:rPr>
        <w:t>Accordingly</w:t>
      </w:r>
      <w:r w:rsidRPr="00EE591E" w:rsidR="006D525C">
        <w:rPr>
          <w:sz w:val="22"/>
          <w:szCs w:val="22"/>
        </w:rPr>
        <w:t>, we direct Entravision to reimburse PVBC for these legal expenses</w:t>
      </w:r>
      <w:r w:rsidR="007D72FB">
        <w:rPr>
          <w:sz w:val="22"/>
          <w:szCs w:val="22"/>
        </w:rPr>
        <w:t xml:space="preserve">, which total </w:t>
      </w:r>
      <w:r w:rsidRPr="00EE591E" w:rsidR="007D72FB">
        <w:rPr>
          <w:sz w:val="22"/>
          <w:szCs w:val="22"/>
        </w:rPr>
        <w:t>$</w:t>
      </w:r>
      <w:r w:rsidR="00D46338">
        <w:rPr>
          <w:sz w:val="22"/>
          <w:szCs w:val="22"/>
        </w:rPr>
        <w:t>4,130</w:t>
      </w:r>
      <w:r w:rsidR="0033012F">
        <w:rPr>
          <w:sz w:val="22"/>
          <w:szCs w:val="22"/>
        </w:rPr>
        <w:t xml:space="preserve">, within </w:t>
      </w:r>
      <w:r w:rsidR="008F3159">
        <w:rPr>
          <w:sz w:val="22"/>
          <w:szCs w:val="22"/>
        </w:rPr>
        <w:t>twenty (</w:t>
      </w:r>
      <w:r w:rsidR="0033012F">
        <w:rPr>
          <w:sz w:val="22"/>
          <w:szCs w:val="22"/>
        </w:rPr>
        <w:t>20</w:t>
      </w:r>
      <w:r w:rsidR="008F3159">
        <w:rPr>
          <w:sz w:val="22"/>
          <w:szCs w:val="22"/>
        </w:rPr>
        <w:t>)</w:t>
      </w:r>
      <w:r w:rsidR="0033012F">
        <w:rPr>
          <w:sz w:val="22"/>
          <w:szCs w:val="22"/>
        </w:rPr>
        <w:t xml:space="preserve"> </w:t>
      </w:r>
      <w:r w:rsidR="00862958">
        <w:rPr>
          <w:sz w:val="22"/>
          <w:szCs w:val="22"/>
        </w:rPr>
        <w:t xml:space="preserve">calendar </w:t>
      </w:r>
      <w:r w:rsidR="0033012F">
        <w:rPr>
          <w:sz w:val="22"/>
          <w:szCs w:val="22"/>
        </w:rPr>
        <w:t>days of the date of this letter</w:t>
      </w:r>
      <w:r w:rsidRPr="00EE591E" w:rsidR="006D525C">
        <w:rPr>
          <w:sz w:val="22"/>
          <w:szCs w:val="22"/>
        </w:rPr>
        <w:t>.</w:t>
      </w:r>
      <w:r w:rsidR="0033012F">
        <w:rPr>
          <w:sz w:val="22"/>
          <w:szCs w:val="22"/>
        </w:rPr>
        <w:t xml:space="preserve">  PVBC shall report on the status of this payment within</w:t>
      </w:r>
      <w:r w:rsidR="008F3159">
        <w:rPr>
          <w:sz w:val="22"/>
          <w:szCs w:val="22"/>
        </w:rPr>
        <w:t xml:space="preserve"> thirty</w:t>
      </w:r>
      <w:r w:rsidR="0033012F">
        <w:rPr>
          <w:sz w:val="22"/>
          <w:szCs w:val="22"/>
        </w:rPr>
        <w:t xml:space="preserve"> </w:t>
      </w:r>
      <w:r w:rsidR="008F3159">
        <w:rPr>
          <w:sz w:val="22"/>
          <w:szCs w:val="22"/>
        </w:rPr>
        <w:t>(</w:t>
      </w:r>
      <w:r w:rsidR="0033012F">
        <w:rPr>
          <w:sz w:val="22"/>
          <w:szCs w:val="22"/>
        </w:rPr>
        <w:t>30</w:t>
      </w:r>
      <w:r w:rsidR="008F3159">
        <w:rPr>
          <w:sz w:val="22"/>
          <w:szCs w:val="22"/>
        </w:rPr>
        <w:t>)</w:t>
      </w:r>
      <w:r w:rsidR="0033012F">
        <w:rPr>
          <w:sz w:val="22"/>
          <w:szCs w:val="22"/>
        </w:rPr>
        <w:t xml:space="preserve"> </w:t>
      </w:r>
      <w:r w:rsidR="00862958">
        <w:rPr>
          <w:sz w:val="22"/>
          <w:szCs w:val="22"/>
        </w:rPr>
        <w:t xml:space="preserve">calendar </w:t>
      </w:r>
      <w:r w:rsidR="0033012F">
        <w:rPr>
          <w:sz w:val="22"/>
          <w:szCs w:val="22"/>
        </w:rPr>
        <w:t>days of the date of this letter.</w:t>
      </w:r>
    </w:p>
    <w:p w:rsidR="0093397E" w:rsidRPr="00EE591E" w:rsidP="009E1B64" w14:paraId="51320D7D" w14:textId="083C5FB6">
      <w:pPr>
        <w:ind w:firstLine="720"/>
        <w:rPr>
          <w:sz w:val="22"/>
          <w:szCs w:val="22"/>
        </w:rPr>
      </w:pPr>
    </w:p>
    <w:p w:rsidR="0093397E" w:rsidRPr="00EE591E" w:rsidP="00862958" w14:paraId="52C99DA6" w14:textId="759CA37B">
      <w:pPr>
        <w:ind w:firstLine="720"/>
        <w:rPr>
          <w:sz w:val="22"/>
          <w:szCs w:val="22"/>
        </w:rPr>
      </w:pPr>
      <w:r w:rsidRPr="00EE591E">
        <w:rPr>
          <w:sz w:val="22"/>
          <w:szCs w:val="22"/>
        </w:rPr>
        <w:t>We also conclude that PVBC should be reimbursed for the legal expenses it incurred in responding to Entravision’s Request to Delete Special Operating Condition</w:t>
      </w:r>
      <w:r w:rsidRPr="00EE591E" w:rsidR="00953A5F">
        <w:rPr>
          <w:sz w:val="22"/>
          <w:szCs w:val="22"/>
        </w:rPr>
        <w:t xml:space="preserve"> (Request)</w:t>
      </w:r>
      <w:r w:rsidRPr="00EE591E" w:rsidR="000656BA">
        <w:rPr>
          <w:i/>
          <w:iCs/>
          <w:sz w:val="22"/>
          <w:szCs w:val="22"/>
        </w:rPr>
        <w:t xml:space="preserve"> </w:t>
      </w:r>
      <w:r w:rsidRPr="00EE591E" w:rsidR="000656BA">
        <w:rPr>
          <w:sz w:val="22"/>
          <w:szCs w:val="22"/>
        </w:rPr>
        <w:t>and related Entravision</w:t>
      </w:r>
      <w:r w:rsidRPr="00EE591E" w:rsidR="00A510A9">
        <w:rPr>
          <w:sz w:val="22"/>
          <w:szCs w:val="22"/>
        </w:rPr>
        <w:t xml:space="preserve"> submissions</w:t>
      </w:r>
      <w:r w:rsidRPr="00EE591E">
        <w:rPr>
          <w:i/>
          <w:iCs/>
          <w:sz w:val="22"/>
          <w:szCs w:val="22"/>
        </w:rPr>
        <w:t>.</w:t>
      </w:r>
      <w:r>
        <w:rPr>
          <w:rStyle w:val="FootnoteReference"/>
          <w:i/>
          <w:iCs/>
          <w:sz w:val="22"/>
          <w:szCs w:val="22"/>
        </w:rPr>
        <w:footnoteReference w:id="60"/>
      </w:r>
      <w:r w:rsidRPr="00EE591E">
        <w:rPr>
          <w:i/>
          <w:iCs/>
          <w:sz w:val="22"/>
          <w:szCs w:val="22"/>
        </w:rPr>
        <w:t xml:space="preserve">  </w:t>
      </w:r>
      <w:r w:rsidRPr="00EE591E">
        <w:rPr>
          <w:sz w:val="22"/>
          <w:szCs w:val="22"/>
        </w:rPr>
        <w:t xml:space="preserve">We acknowledge that </w:t>
      </w:r>
      <w:r w:rsidRPr="00EE591E">
        <w:rPr>
          <w:i/>
          <w:iCs/>
          <w:sz w:val="22"/>
          <w:szCs w:val="22"/>
        </w:rPr>
        <w:t>Henderson</w:t>
      </w:r>
      <w:r w:rsidRPr="00EE591E">
        <w:rPr>
          <w:sz w:val="22"/>
          <w:szCs w:val="22"/>
        </w:rPr>
        <w:t xml:space="preserve"> suggests these legal expenses might not be reimbursable because, strictly speaking, they relate to KPPV(FM)’s operation on its old </w:t>
      </w:r>
      <w:r w:rsidR="004E3A17">
        <w:rPr>
          <w:sz w:val="22"/>
          <w:szCs w:val="22"/>
        </w:rPr>
        <w:t>channel</w:t>
      </w:r>
      <w:r w:rsidRPr="00EE591E">
        <w:rPr>
          <w:sz w:val="22"/>
          <w:szCs w:val="22"/>
        </w:rPr>
        <w:t xml:space="preserve"> pursuant to an implied STA not </w:t>
      </w:r>
      <w:r w:rsidR="004E3A17">
        <w:rPr>
          <w:sz w:val="22"/>
          <w:szCs w:val="22"/>
        </w:rPr>
        <w:t xml:space="preserve">to </w:t>
      </w:r>
      <w:r w:rsidRPr="00EE591E">
        <w:rPr>
          <w:sz w:val="22"/>
          <w:szCs w:val="22"/>
        </w:rPr>
        <w:t>the KPPV(FM) channel change.</w:t>
      </w:r>
      <w:r>
        <w:rPr>
          <w:rStyle w:val="FootnoteReference"/>
          <w:sz w:val="22"/>
          <w:szCs w:val="22"/>
        </w:rPr>
        <w:footnoteReference w:id="61"/>
      </w:r>
      <w:r w:rsidRPr="00EE591E">
        <w:rPr>
          <w:sz w:val="22"/>
          <w:szCs w:val="22"/>
        </w:rPr>
        <w:t xml:space="preserve">  However, these legal expenses arose solely due to </w:t>
      </w:r>
      <w:r w:rsidRPr="00EE591E" w:rsidR="001D4237">
        <w:rPr>
          <w:sz w:val="22"/>
          <w:szCs w:val="22"/>
        </w:rPr>
        <w:t xml:space="preserve">(1) </w:t>
      </w:r>
      <w:r w:rsidRPr="00EE591E">
        <w:rPr>
          <w:sz w:val="22"/>
          <w:szCs w:val="22"/>
        </w:rPr>
        <w:t xml:space="preserve">our decision to </w:t>
      </w:r>
      <w:r w:rsidRPr="00EE591E" w:rsidR="006649A6">
        <w:rPr>
          <w:sz w:val="22"/>
          <w:szCs w:val="22"/>
        </w:rPr>
        <w:t>modify the</w:t>
      </w:r>
      <w:r w:rsidRPr="00EE591E">
        <w:rPr>
          <w:sz w:val="22"/>
          <w:szCs w:val="22"/>
        </w:rPr>
        <w:t xml:space="preserve"> KPPV(FM) </w:t>
      </w:r>
      <w:r w:rsidRPr="00EE591E" w:rsidR="006649A6">
        <w:rPr>
          <w:sz w:val="22"/>
          <w:szCs w:val="22"/>
        </w:rPr>
        <w:t xml:space="preserve">license to specify a new </w:t>
      </w:r>
      <w:r w:rsidR="00C03543">
        <w:rPr>
          <w:sz w:val="22"/>
          <w:szCs w:val="22"/>
        </w:rPr>
        <w:t>channel</w:t>
      </w:r>
      <w:r w:rsidRPr="00EE591E" w:rsidR="001D4237">
        <w:rPr>
          <w:sz w:val="22"/>
          <w:szCs w:val="22"/>
        </w:rPr>
        <w:t xml:space="preserve">, which resulted </w:t>
      </w:r>
      <w:r w:rsidRPr="00EE591E">
        <w:rPr>
          <w:sz w:val="22"/>
          <w:szCs w:val="22"/>
        </w:rPr>
        <w:t xml:space="preserve">in </w:t>
      </w:r>
      <w:r w:rsidRPr="00EE591E">
        <w:rPr>
          <w:sz w:val="22"/>
          <w:szCs w:val="22"/>
        </w:rPr>
        <w:t>KPPV(FM) having only an implied STA to operate on its old channel</w:t>
      </w:r>
      <w:r w:rsidRPr="00EE591E" w:rsidR="006649A6">
        <w:rPr>
          <w:sz w:val="22"/>
          <w:szCs w:val="22"/>
        </w:rPr>
        <w:t>,</w:t>
      </w:r>
      <w:r w:rsidRPr="00EE591E">
        <w:rPr>
          <w:sz w:val="22"/>
          <w:szCs w:val="22"/>
        </w:rPr>
        <w:t xml:space="preserve"> and </w:t>
      </w:r>
      <w:r w:rsidRPr="00EE591E" w:rsidR="001D4237">
        <w:rPr>
          <w:sz w:val="22"/>
          <w:szCs w:val="22"/>
        </w:rPr>
        <w:t xml:space="preserve">(2) </w:t>
      </w:r>
      <w:r w:rsidRPr="00EE591E">
        <w:rPr>
          <w:sz w:val="22"/>
          <w:szCs w:val="22"/>
        </w:rPr>
        <w:t xml:space="preserve">Entravision’s decision to file the Request.  As a result, </w:t>
      </w:r>
      <w:r w:rsidRPr="00EE591E" w:rsidR="00305F7E">
        <w:rPr>
          <w:sz w:val="22"/>
          <w:szCs w:val="22"/>
        </w:rPr>
        <w:t xml:space="preserve">we conclude </w:t>
      </w:r>
      <w:r w:rsidRPr="00EE591E">
        <w:rPr>
          <w:sz w:val="22"/>
          <w:szCs w:val="22"/>
        </w:rPr>
        <w:t xml:space="preserve">PVBC is entitled to reimbursement for </w:t>
      </w:r>
      <w:r w:rsidRPr="00EE591E" w:rsidR="006A53EC">
        <w:rPr>
          <w:sz w:val="22"/>
          <w:szCs w:val="22"/>
        </w:rPr>
        <w:t>these legal fees.</w:t>
      </w:r>
      <w:r>
        <w:rPr>
          <w:rStyle w:val="FootnoteReference"/>
          <w:sz w:val="22"/>
          <w:szCs w:val="22"/>
        </w:rPr>
        <w:footnoteReference w:id="62"/>
      </w:r>
      <w:r w:rsidRPr="00EE591E">
        <w:rPr>
          <w:sz w:val="22"/>
          <w:szCs w:val="22"/>
        </w:rPr>
        <w:t xml:space="preserve">  </w:t>
      </w:r>
      <w:r w:rsidR="006D3BDB">
        <w:rPr>
          <w:sz w:val="22"/>
          <w:szCs w:val="22"/>
        </w:rPr>
        <w:t>As we noted in the preceding paragraph, Entravision does not dispute the reasonableness of the hourly rate charged by PVBC’s lawyers.  Accordingly, w</w:t>
      </w:r>
      <w:r w:rsidRPr="00EE591E">
        <w:rPr>
          <w:sz w:val="22"/>
          <w:szCs w:val="22"/>
        </w:rPr>
        <w:t xml:space="preserve">e direct Entravision to reimburse PVBC for these </w:t>
      </w:r>
      <w:r w:rsidR="00C03543">
        <w:rPr>
          <w:sz w:val="22"/>
          <w:szCs w:val="22"/>
        </w:rPr>
        <w:t xml:space="preserve">legal </w:t>
      </w:r>
      <w:r w:rsidRPr="00EE591E">
        <w:rPr>
          <w:sz w:val="22"/>
          <w:szCs w:val="22"/>
        </w:rPr>
        <w:t>expenses</w:t>
      </w:r>
      <w:r w:rsidR="00C03543">
        <w:rPr>
          <w:sz w:val="22"/>
          <w:szCs w:val="22"/>
        </w:rPr>
        <w:t xml:space="preserve">, which total </w:t>
      </w:r>
      <w:r w:rsidRPr="00EE591E" w:rsidR="00C03543">
        <w:rPr>
          <w:sz w:val="22"/>
          <w:szCs w:val="22"/>
        </w:rPr>
        <w:t>$10,685</w:t>
      </w:r>
      <w:r w:rsidR="00862958">
        <w:rPr>
          <w:sz w:val="22"/>
          <w:szCs w:val="22"/>
        </w:rPr>
        <w:t xml:space="preserve">, within </w:t>
      </w:r>
      <w:r w:rsidR="008F3159">
        <w:rPr>
          <w:sz w:val="22"/>
          <w:szCs w:val="22"/>
        </w:rPr>
        <w:t>twenty (</w:t>
      </w:r>
      <w:r w:rsidR="00862958">
        <w:rPr>
          <w:sz w:val="22"/>
          <w:szCs w:val="22"/>
        </w:rPr>
        <w:t>20</w:t>
      </w:r>
      <w:r w:rsidR="008F3159">
        <w:rPr>
          <w:sz w:val="22"/>
          <w:szCs w:val="22"/>
        </w:rPr>
        <w:t>)</w:t>
      </w:r>
      <w:r w:rsidR="00862958">
        <w:rPr>
          <w:sz w:val="22"/>
          <w:szCs w:val="22"/>
        </w:rPr>
        <w:t xml:space="preserve"> calendar days of the date of this letter</w:t>
      </w:r>
      <w:r w:rsidRPr="00EE591E">
        <w:rPr>
          <w:sz w:val="22"/>
          <w:szCs w:val="22"/>
        </w:rPr>
        <w:t xml:space="preserve">.  </w:t>
      </w:r>
      <w:r w:rsidR="00862958">
        <w:rPr>
          <w:sz w:val="22"/>
          <w:szCs w:val="22"/>
        </w:rPr>
        <w:t xml:space="preserve">PVBC shall report on the status of this payment within </w:t>
      </w:r>
      <w:r w:rsidR="008F3159">
        <w:rPr>
          <w:sz w:val="22"/>
          <w:szCs w:val="22"/>
        </w:rPr>
        <w:t>thirty (</w:t>
      </w:r>
      <w:r w:rsidR="00862958">
        <w:rPr>
          <w:sz w:val="22"/>
          <w:szCs w:val="22"/>
        </w:rPr>
        <w:t>30</w:t>
      </w:r>
      <w:r w:rsidR="008F3159">
        <w:rPr>
          <w:sz w:val="22"/>
          <w:szCs w:val="22"/>
        </w:rPr>
        <w:t>)</w:t>
      </w:r>
      <w:r w:rsidR="00862958">
        <w:rPr>
          <w:sz w:val="22"/>
          <w:szCs w:val="22"/>
        </w:rPr>
        <w:t xml:space="preserve"> calendar days of the date of this letter.</w:t>
      </w:r>
    </w:p>
    <w:p w:rsidR="007024BA" w:rsidRPr="00EE591E" w:rsidP="009E1B64" w14:paraId="16DBEB1A" w14:textId="77777777">
      <w:pPr>
        <w:rPr>
          <w:sz w:val="22"/>
          <w:szCs w:val="22"/>
        </w:rPr>
      </w:pPr>
    </w:p>
    <w:p w:rsidR="00DC170E" w:rsidRPr="00EE591E" w:rsidP="009E1B64" w14:paraId="271CFDE4" w14:textId="4337A405">
      <w:pPr>
        <w:ind w:firstLine="720"/>
        <w:rPr>
          <w:sz w:val="22"/>
          <w:szCs w:val="22"/>
        </w:rPr>
      </w:pPr>
      <w:r w:rsidRPr="00EE591E">
        <w:rPr>
          <w:i/>
          <w:iCs/>
          <w:sz w:val="22"/>
          <w:szCs w:val="22"/>
        </w:rPr>
        <w:t>Reimbursement Not Required</w:t>
      </w:r>
      <w:r w:rsidRPr="00EE591E">
        <w:rPr>
          <w:sz w:val="22"/>
          <w:szCs w:val="22"/>
        </w:rPr>
        <w:t xml:space="preserve">.  </w:t>
      </w:r>
      <w:r w:rsidRPr="00EE591E" w:rsidR="001F0F04">
        <w:rPr>
          <w:sz w:val="22"/>
          <w:szCs w:val="22"/>
        </w:rPr>
        <w:t xml:space="preserve">We </w:t>
      </w:r>
      <w:r w:rsidRPr="00EE591E" w:rsidR="003E2D8C">
        <w:rPr>
          <w:sz w:val="22"/>
          <w:szCs w:val="22"/>
        </w:rPr>
        <w:t xml:space="preserve">agree with Entravision that PVBC is not entitled to reimbursement </w:t>
      </w:r>
      <w:r w:rsidRPr="00EE591E" w:rsidR="00763975">
        <w:rPr>
          <w:sz w:val="22"/>
          <w:szCs w:val="22"/>
        </w:rPr>
        <w:t xml:space="preserve">for </w:t>
      </w:r>
      <w:r w:rsidR="00406D10">
        <w:rPr>
          <w:sz w:val="22"/>
          <w:szCs w:val="22"/>
        </w:rPr>
        <w:t xml:space="preserve">any </w:t>
      </w:r>
      <w:r w:rsidRPr="00EE591E" w:rsidR="00763975">
        <w:rPr>
          <w:sz w:val="22"/>
          <w:szCs w:val="22"/>
        </w:rPr>
        <w:t>legal work</w:t>
      </w:r>
      <w:r w:rsidRPr="00EE591E" w:rsidR="003C47D1">
        <w:rPr>
          <w:sz w:val="22"/>
          <w:szCs w:val="22"/>
        </w:rPr>
        <w:t xml:space="preserve"> </w:t>
      </w:r>
      <w:r w:rsidRPr="00EE591E" w:rsidR="00AC1499">
        <w:rPr>
          <w:sz w:val="22"/>
          <w:szCs w:val="22"/>
        </w:rPr>
        <w:t>performed</w:t>
      </w:r>
      <w:r w:rsidRPr="00EE591E" w:rsidR="003C47D1">
        <w:rPr>
          <w:sz w:val="22"/>
          <w:szCs w:val="22"/>
        </w:rPr>
        <w:t xml:space="preserve"> prior to </w:t>
      </w:r>
      <w:r w:rsidRPr="00EE591E" w:rsidR="00F011F3">
        <w:rPr>
          <w:sz w:val="22"/>
          <w:szCs w:val="22"/>
        </w:rPr>
        <w:t>issuance of the</w:t>
      </w:r>
      <w:r w:rsidRPr="00EE591E" w:rsidR="00AC1499">
        <w:rPr>
          <w:sz w:val="22"/>
          <w:szCs w:val="22"/>
        </w:rPr>
        <w:t xml:space="preserve"> </w:t>
      </w:r>
      <w:r w:rsidRPr="00EE591E" w:rsidR="00763975">
        <w:rPr>
          <w:i/>
          <w:iCs/>
          <w:sz w:val="22"/>
          <w:szCs w:val="22"/>
        </w:rPr>
        <w:t>Letter Decision</w:t>
      </w:r>
      <w:r w:rsidRPr="00EE591E" w:rsidR="007F6161">
        <w:rPr>
          <w:sz w:val="22"/>
          <w:szCs w:val="22"/>
        </w:rPr>
        <w:t>.</w:t>
      </w:r>
      <w:r>
        <w:rPr>
          <w:rStyle w:val="FootnoteReference"/>
          <w:sz w:val="22"/>
          <w:szCs w:val="22"/>
        </w:rPr>
        <w:footnoteReference w:id="63"/>
      </w:r>
      <w:r w:rsidRPr="00EE591E" w:rsidR="00F011F3">
        <w:rPr>
          <w:sz w:val="22"/>
          <w:szCs w:val="22"/>
        </w:rPr>
        <w:t xml:space="preserve">  </w:t>
      </w:r>
      <w:r w:rsidRPr="00EE591E" w:rsidR="000C631B">
        <w:rPr>
          <w:sz w:val="22"/>
          <w:szCs w:val="22"/>
        </w:rPr>
        <w:t>Accordingly, we deny PVBC’s request for</w:t>
      </w:r>
      <w:r w:rsidRPr="00EE591E" w:rsidR="00676301">
        <w:rPr>
          <w:sz w:val="22"/>
          <w:szCs w:val="22"/>
        </w:rPr>
        <w:t xml:space="preserve"> reimbursement </w:t>
      </w:r>
      <w:r w:rsidRPr="00EE591E" w:rsidR="000C631B">
        <w:rPr>
          <w:sz w:val="22"/>
          <w:szCs w:val="22"/>
        </w:rPr>
        <w:t>of</w:t>
      </w:r>
      <w:r w:rsidRPr="00EE591E" w:rsidR="00676301">
        <w:rPr>
          <w:sz w:val="22"/>
          <w:szCs w:val="22"/>
        </w:rPr>
        <w:t xml:space="preserve"> $</w:t>
      </w:r>
      <w:r w:rsidRPr="00EE591E" w:rsidR="00565F61">
        <w:rPr>
          <w:sz w:val="22"/>
          <w:szCs w:val="22"/>
        </w:rPr>
        <w:t>10,700</w:t>
      </w:r>
      <w:r w:rsidRPr="00EE591E" w:rsidR="00676301">
        <w:rPr>
          <w:sz w:val="22"/>
          <w:szCs w:val="22"/>
        </w:rPr>
        <w:t xml:space="preserve"> in </w:t>
      </w:r>
      <w:r w:rsidRPr="00EE591E">
        <w:rPr>
          <w:sz w:val="22"/>
          <w:szCs w:val="22"/>
        </w:rPr>
        <w:t xml:space="preserve">legal fees incurred </w:t>
      </w:r>
      <w:r w:rsidRPr="00EE591E" w:rsidR="007F6161">
        <w:rPr>
          <w:sz w:val="22"/>
          <w:szCs w:val="22"/>
        </w:rPr>
        <w:t>prior to July 21, 2020</w:t>
      </w:r>
      <w:r w:rsidRPr="00EE591E" w:rsidR="00676301">
        <w:rPr>
          <w:sz w:val="22"/>
          <w:szCs w:val="22"/>
        </w:rPr>
        <w:t>.</w:t>
      </w:r>
      <w:r>
        <w:rPr>
          <w:rStyle w:val="FootnoteReference"/>
          <w:sz w:val="22"/>
          <w:szCs w:val="22"/>
        </w:rPr>
        <w:footnoteReference w:id="64"/>
      </w:r>
    </w:p>
    <w:p w:rsidR="00DC170E" w:rsidRPr="00EE591E" w:rsidP="009E1B64" w14:paraId="545EB64D" w14:textId="33A8D9A9">
      <w:pPr>
        <w:rPr>
          <w:sz w:val="22"/>
          <w:szCs w:val="22"/>
        </w:rPr>
      </w:pPr>
    </w:p>
    <w:p w:rsidR="00F011F3" w:rsidRPr="00EE591E" w:rsidP="009E1B64" w14:paraId="0731F6FB" w14:textId="0A1F3F02">
      <w:pPr>
        <w:ind w:firstLine="720"/>
        <w:rPr>
          <w:sz w:val="22"/>
          <w:szCs w:val="22"/>
        </w:rPr>
      </w:pPr>
      <w:r w:rsidRPr="00EE591E">
        <w:rPr>
          <w:sz w:val="22"/>
          <w:szCs w:val="22"/>
        </w:rPr>
        <w:t xml:space="preserve">We also </w:t>
      </w:r>
      <w:r w:rsidRPr="00EE591E" w:rsidR="000C631B">
        <w:rPr>
          <w:sz w:val="22"/>
          <w:szCs w:val="22"/>
        </w:rPr>
        <w:t>deny PVBC’s request for</w:t>
      </w:r>
      <w:r w:rsidRPr="00EE591E">
        <w:rPr>
          <w:sz w:val="22"/>
          <w:szCs w:val="22"/>
        </w:rPr>
        <w:t xml:space="preserve"> </w:t>
      </w:r>
      <w:r w:rsidRPr="00EE591E" w:rsidR="000C631B">
        <w:rPr>
          <w:sz w:val="22"/>
          <w:szCs w:val="22"/>
        </w:rPr>
        <w:t>reimbursement for</w:t>
      </w:r>
      <w:r w:rsidRPr="00EE591E">
        <w:rPr>
          <w:sz w:val="22"/>
          <w:szCs w:val="22"/>
        </w:rPr>
        <w:t xml:space="preserve"> legal </w:t>
      </w:r>
      <w:r w:rsidRPr="00EE591E" w:rsidR="000C631B">
        <w:rPr>
          <w:sz w:val="22"/>
          <w:szCs w:val="22"/>
        </w:rPr>
        <w:t>fees</w:t>
      </w:r>
      <w:r w:rsidRPr="00EE591E">
        <w:rPr>
          <w:sz w:val="22"/>
          <w:szCs w:val="22"/>
        </w:rPr>
        <w:t xml:space="preserve"> related to</w:t>
      </w:r>
      <w:r w:rsidRPr="00EE591E" w:rsidR="00AB74DA">
        <w:rPr>
          <w:sz w:val="22"/>
          <w:szCs w:val="22"/>
        </w:rPr>
        <w:t xml:space="preserve"> </w:t>
      </w:r>
      <w:r w:rsidRPr="00EE591E" w:rsidR="00354676">
        <w:rPr>
          <w:sz w:val="22"/>
          <w:szCs w:val="22"/>
        </w:rPr>
        <w:t>the litigation it instituted</w:t>
      </w:r>
      <w:r w:rsidRPr="00EE591E" w:rsidR="00AB74DA">
        <w:rPr>
          <w:sz w:val="22"/>
          <w:szCs w:val="22"/>
        </w:rPr>
        <w:t xml:space="preserve"> </w:t>
      </w:r>
      <w:r w:rsidRPr="00EE591E" w:rsidR="00354676">
        <w:rPr>
          <w:sz w:val="22"/>
          <w:szCs w:val="22"/>
        </w:rPr>
        <w:t>after the Bureau declined to require Entravision to deposit funds in an escro</w:t>
      </w:r>
      <w:r w:rsidRPr="00EE591E" w:rsidR="00C308BB">
        <w:rPr>
          <w:sz w:val="22"/>
          <w:szCs w:val="22"/>
        </w:rPr>
        <w:t>w account.</w:t>
      </w:r>
      <w:r>
        <w:rPr>
          <w:rStyle w:val="FootnoteReference"/>
          <w:sz w:val="22"/>
          <w:szCs w:val="22"/>
        </w:rPr>
        <w:footnoteReference w:id="65"/>
      </w:r>
      <w:r w:rsidRPr="00EE591E" w:rsidR="00C308BB">
        <w:rPr>
          <w:sz w:val="22"/>
          <w:szCs w:val="22"/>
        </w:rPr>
        <w:t xml:space="preserve">  </w:t>
      </w:r>
      <w:r w:rsidRPr="00EE591E" w:rsidR="00F748BB">
        <w:rPr>
          <w:sz w:val="22"/>
          <w:szCs w:val="22"/>
        </w:rPr>
        <w:t>L</w:t>
      </w:r>
      <w:r w:rsidRPr="00EE591E" w:rsidR="00AA642E">
        <w:rPr>
          <w:sz w:val="22"/>
          <w:szCs w:val="22"/>
        </w:rPr>
        <w:t>ike Entravision,</w:t>
      </w:r>
      <w:r>
        <w:rPr>
          <w:rStyle w:val="FootnoteReference"/>
          <w:sz w:val="22"/>
          <w:szCs w:val="22"/>
        </w:rPr>
        <w:footnoteReference w:id="66"/>
      </w:r>
      <w:r w:rsidRPr="00EE591E" w:rsidR="00AA642E">
        <w:rPr>
          <w:sz w:val="22"/>
          <w:szCs w:val="22"/>
        </w:rPr>
        <w:t xml:space="preserve"> </w:t>
      </w:r>
      <w:r w:rsidRPr="00EE591E" w:rsidR="00DF37ED">
        <w:rPr>
          <w:sz w:val="22"/>
          <w:szCs w:val="22"/>
        </w:rPr>
        <w:t xml:space="preserve">we conclude that the legal expenses associated with </w:t>
      </w:r>
      <w:r w:rsidRPr="00EE591E" w:rsidR="00574B1D">
        <w:rPr>
          <w:sz w:val="22"/>
          <w:szCs w:val="22"/>
        </w:rPr>
        <w:t xml:space="preserve">the </w:t>
      </w:r>
      <w:r w:rsidRPr="00EE591E" w:rsidR="00CE0D16">
        <w:rPr>
          <w:sz w:val="22"/>
          <w:szCs w:val="22"/>
        </w:rPr>
        <w:t>escrow account litigation</w:t>
      </w:r>
      <w:r w:rsidRPr="00EE591E" w:rsidR="00BA7258">
        <w:rPr>
          <w:sz w:val="22"/>
          <w:szCs w:val="22"/>
        </w:rPr>
        <w:t xml:space="preserve"> </w:t>
      </w:r>
      <w:r w:rsidRPr="00EE591E" w:rsidR="0082408E">
        <w:rPr>
          <w:sz w:val="22"/>
          <w:szCs w:val="22"/>
        </w:rPr>
        <w:t>were</w:t>
      </w:r>
      <w:r w:rsidRPr="00EE591E" w:rsidR="00DF37ED">
        <w:rPr>
          <w:sz w:val="22"/>
          <w:szCs w:val="22"/>
        </w:rPr>
        <w:t xml:space="preserve"> </w:t>
      </w:r>
      <w:r w:rsidRPr="00EE591E" w:rsidR="00930DA6">
        <w:rPr>
          <w:sz w:val="22"/>
          <w:szCs w:val="22"/>
        </w:rPr>
        <w:t>neither</w:t>
      </w:r>
      <w:r w:rsidRPr="00EE591E">
        <w:rPr>
          <w:sz w:val="22"/>
          <w:szCs w:val="22"/>
        </w:rPr>
        <w:t xml:space="preserve"> reasonably related to the channel change</w:t>
      </w:r>
      <w:r w:rsidRPr="00EE591E" w:rsidR="00930DA6">
        <w:rPr>
          <w:sz w:val="22"/>
          <w:szCs w:val="22"/>
        </w:rPr>
        <w:t xml:space="preserve">, nor </w:t>
      </w:r>
      <w:r w:rsidRPr="00EE591E" w:rsidR="006B5DEF">
        <w:rPr>
          <w:sz w:val="22"/>
          <w:szCs w:val="22"/>
        </w:rPr>
        <w:t>connected to ongoing litigation related to the channel change</w:t>
      </w:r>
      <w:r w:rsidRPr="00EE591E">
        <w:rPr>
          <w:sz w:val="22"/>
          <w:szCs w:val="22"/>
        </w:rPr>
        <w:t>.</w:t>
      </w:r>
      <w:r>
        <w:rPr>
          <w:rStyle w:val="FootnoteReference"/>
          <w:sz w:val="22"/>
          <w:szCs w:val="22"/>
        </w:rPr>
        <w:footnoteReference w:id="67"/>
      </w:r>
      <w:r w:rsidRPr="00EE591E">
        <w:rPr>
          <w:sz w:val="22"/>
          <w:szCs w:val="22"/>
        </w:rPr>
        <w:t xml:space="preserve">  </w:t>
      </w:r>
      <w:r w:rsidRPr="00EE591E" w:rsidR="004362E8">
        <w:rPr>
          <w:sz w:val="22"/>
          <w:szCs w:val="22"/>
        </w:rPr>
        <w:t>While we acknowledge that</w:t>
      </w:r>
      <w:r w:rsidRPr="00EE591E" w:rsidR="00BC1C6E">
        <w:rPr>
          <w:sz w:val="22"/>
          <w:szCs w:val="22"/>
        </w:rPr>
        <w:t xml:space="preserve"> </w:t>
      </w:r>
      <w:r w:rsidR="00767405">
        <w:rPr>
          <w:sz w:val="22"/>
          <w:szCs w:val="22"/>
        </w:rPr>
        <w:t xml:space="preserve">the </w:t>
      </w:r>
      <w:r w:rsidRPr="00EE591E" w:rsidR="00BC1C6E">
        <w:rPr>
          <w:sz w:val="22"/>
          <w:szCs w:val="22"/>
        </w:rPr>
        <w:t xml:space="preserve">escrow account </w:t>
      </w:r>
      <w:r w:rsidRPr="00EE591E" w:rsidR="004362E8">
        <w:rPr>
          <w:sz w:val="22"/>
          <w:szCs w:val="22"/>
        </w:rPr>
        <w:t xml:space="preserve">issue </w:t>
      </w:r>
      <w:r w:rsidRPr="00EE591E" w:rsidR="00BC1C6E">
        <w:rPr>
          <w:sz w:val="22"/>
          <w:szCs w:val="22"/>
        </w:rPr>
        <w:t xml:space="preserve">could be considered a collateral matter, </w:t>
      </w:r>
      <w:r w:rsidRPr="00EE591E" w:rsidR="004362E8">
        <w:rPr>
          <w:sz w:val="22"/>
          <w:szCs w:val="22"/>
        </w:rPr>
        <w:t xml:space="preserve">we note that </w:t>
      </w:r>
      <w:r w:rsidRPr="00EE591E" w:rsidR="00D63BAD">
        <w:rPr>
          <w:sz w:val="22"/>
          <w:szCs w:val="22"/>
        </w:rPr>
        <w:t>PVBC is not entitled to reimbursement for</w:t>
      </w:r>
      <w:r w:rsidRPr="00EE591E" w:rsidR="009B7FBB">
        <w:rPr>
          <w:sz w:val="22"/>
          <w:szCs w:val="22"/>
        </w:rPr>
        <w:t xml:space="preserve"> legal fees</w:t>
      </w:r>
      <w:r w:rsidRPr="00EE591E" w:rsidR="00D63BAD">
        <w:rPr>
          <w:sz w:val="22"/>
          <w:szCs w:val="22"/>
        </w:rPr>
        <w:t xml:space="preserve"> </w:t>
      </w:r>
      <w:r w:rsidRPr="00EE591E" w:rsidR="00AA767B">
        <w:rPr>
          <w:sz w:val="22"/>
          <w:szCs w:val="22"/>
        </w:rPr>
        <w:t xml:space="preserve">associated with </w:t>
      </w:r>
      <w:r w:rsidRPr="00EE591E" w:rsidR="009B7FBB">
        <w:rPr>
          <w:sz w:val="22"/>
          <w:szCs w:val="22"/>
        </w:rPr>
        <w:t>collateral matters.</w:t>
      </w:r>
      <w:r>
        <w:rPr>
          <w:rStyle w:val="FootnoteReference"/>
          <w:sz w:val="22"/>
          <w:szCs w:val="22"/>
        </w:rPr>
        <w:footnoteReference w:id="68"/>
      </w:r>
    </w:p>
    <w:p w:rsidR="00333844" w:rsidRPr="00EE591E" w:rsidP="009E1B64" w14:paraId="6D0E1BFB" w14:textId="51545635">
      <w:pPr>
        <w:ind w:firstLine="720"/>
        <w:rPr>
          <w:sz w:val="22"/>
          <w:szCs w:val="22"/>
        </w:rPr>
      </w:pPr>
    </w:p>
    <w:p w:rsidR="00333844" w:rsidRPr="00EE591E" w:rsidP="009E1B64" w14:paraId="2B7C20EC" w14:textId="76D8D512">
      <w:pPr>
        <w:ind w:firstLine="720"/>
        <w:rPr>
          <w:sz w:val="22"/>
          <w:szCs w:val="22"/>
        </w:rPr>
      </w:pPr>
      <w:r w:rsidRPr="00EE591E">
        <w:rPr>
          <w:sz w:val="22"/>
          <w:szCs w:val="22"/>
        </w:rPr>
        <w:t>Finally, we will not require Entravision to reimburse PVBC for legal work performed on August 12, 2020, and August 28, 2020.  This work was entirely unrelated to the reimbursement negotiations or to implementation of the KPPV(FM) channel change.</w:t>
      </w:r>
      <w:r>
        <w:rPr>
          <w:rStyle w:val="FootnoteReference"/>
          <w:sz w:val="22"/>
          <w:szCs w:val="22"/>
        </w:rPr>
        <w:footnoteReference w:id="69"/>
      </w:r>
      <w:r w:rsidRPr="00EE591E">
        <w:rPr>
          <w:sz w:val="22"/>
          <w:szCs w:val="22"/>
        </w:rPr>
        <w:t xml:space="preserve">  </w:t>
      </w:r>
    </w:p>
    <w:p w:rsidR="00F011F3" w:rsidRPr="00EE591E" w:rsidP="009E1B64" w14:paraId="4AA29312" w14:textId="22DC9CE7">
      <w:pPr>
        <w:ind w:firstLine="720"/>
        <w:rPr>
          <w:sz w:val="22"/>
          <w:szCs w:val="22"/>
        </w:rPr>
      </w:pPr>
    </w:p>
    <w:p w:rsidR="00BE31A4" w:rsidRPr="00EE591E" w:rsidP="009E1B64" w14:paraId="446E75BB" w14:textId="516F360A">
      <w:pPr>
        <w:rPr>
          <w:sz w:val="22"/>
          <w:szCs w:val="22"/>
        </w:rPr>
      </w:pPr>
      <w:r w:rsidRPr="00EE591E">
        <w:rPr>
          <w:sz w:val="22"/>
          <w:szCs w:val="22"/>
        </w:rPr>
        <w:tab/>
      </w:r>
      <w:r w:rsidRPr="00EE591E" w:rsidR="0093397E">
        <w:rPr>
          <w:i/>
          <w:iCs/>
          <w:sz w:val="22"/>
          <w:szCs w:val="22"/>
        </w:rPr>
        <w:t>Further Information Required</w:t>
      </w:r>
      <w:r w:rsidRPr="00EE591E" w:rsidR="0093397E">
        <w:rPr>
          <w:sz w:val="22"/>
          <w:szCs w:val="22"/>
        </w:rPr>
        <w:t>.</w:t>
      </w:r>
      <w:r w:rsidRPr="00EE591E" w:rsidR="00333844">
        <w:rPr>
          <w:sz w:val="22"/>
          <w:szCs w:val="22"/>
        </w:rPr>
        <w:t xml:space="preserve">  We </w:t>
      </w:r>
      <w:r w:rsidRPr="00EE591E" w:rsidR="00EB21A1">
        <w:rPr>
          <w:sz w:val="22"/>
          <w:szCs w:val="22"/>
        </w:rPr>
        <w:t>need</w:t>
      </w:r>
      <w:r w:rsidRPr="00EE591E" w:rsidR="00333844">
        <w:rPr>
          <w:sz w:val="22"/>
          <w:szCs w:val="22"/>
        </w:rPr>
        <w:t xml:space="preserve"> further information regarding </w:t>
      </w:r>
      <w:r w:rsidRPr="00EE591E" w:rsidR="00F80213">
        <w:rPr>
          <w:sz w:val="22"/>
          <w:szCs w:val="22"/>
        </w:rPr>
        <w:t>a number of the</w:t>
      </w:r>
      <w:r w:rsidRPr="00EE591E" w:rsidR="00333844">
        <w:rPr>
          <w:sz w:val="22"/>
          <w:szCs w:val="22"/>
        </w:rPr>
        <w:t xml:space="preserve"> legal fees </w:t>
      </w:r>
      <w:r w:rsidRPr="00EE591E" w:rsidR="001340CF">
        <w:rPr>
          <w:sz w:val="22"/>
          <w:szCs w:val="22"/>
        </w:rPr>
        <w:t>listed in Attachment 3 to the</w:t>
      </w:r>
      <w:r w:rsidRPr="00EE591E" w:rsidR="00333844">
        <w:rPr>
          <w:sz w:val="22"/>
          <w:szCs w:val="22"/>
        </w:rPr>
        <w:t xml:space="preserve"> Report.  </w:t>
      </w:r>
      <w:r w:rsidRPr="00EE591E" w:rsidR="00743551">
        <w:rPr>
          <w:sz w:val="22"/>
          <w:szCs w:val="22"/>
        </w:rPr>
        <w:t>Below, we specify the information required.</w:t>
      </w:r>
    </w:p>
    <w:p w:rsidR="00AC42C3" w:rsidRPr="00EE591E" w:rsidP="009E1B64" w14:paraId="3B25691B" w14:textId="253E022F">
      <w:pPr>
        <w:rPr>
          <w:sz w:val="22"/>
          <w:szCs w:val="22"/>
        </w:rPr>
      </w:pPr>
    </w:p>
    <w:p w:rsidR="00AC42C3" w:rsidRPr="00EE591E" w:rsidP="009E1B64" w14:paraId="6837D0C9" w14:textId="5E88CB58">
      <w:pPr>
        <w:pStyle w:val="ListParagraph"/>
        <w:numPr>
          <w:ilvl w:val="0"/>
          <w:numId w:val="7"/>
        </w:numPr>
        <w:spacing w:after="0" w:line="240" w:lineRule="auto"/>
        <w:rPr>
          <w:rFonts w:ascii="Times New Roman" w:hAnsi="Times New Roman"/>
        </w:rPr>
      </w:pPr>
      <w:r w:rsidRPr="00EE591E">
        <w:rPr>
          <w:rFonts w:ascii="Times New Roman" w:hAnsi="Times New Roman"/>
        </w:rPr>
        <w:t xml:space="preserve">July 21, 2020.  </w:t>
      </w:r>
      <w:r w:rsidRPr="00EE591E" w:rsidR="00AF7C51">
        <w:rPr>
          <w:rFonts w:ascii="Times New Roman" w:hAnsi="Times New Roman"/>
        </w:rPr>
        <w:t xml:space="preserve">PVBC </w:t>
      </w:r>
      <w:r w:rsidRPr="00EE591E" w:rsidR="000A5D40">
        <w:rPr>
          <w:rFonts w:ascii="Times New Roman" w:hAnsi="Times New Roman"/>
        </w:rPr>
        <w:t xml:space="preserve">must </w:t>
      </w:r>
      <w:r w:rsidRPr="00EE591E" w:rsidR="00210BEA">
        <w:rPr>
          <w:rFonts w:ascii="Times New Roman" w:hAnsi="Times New Roman"/>
        </w:rPr>
        <w:t>identify</w:t>
      </w:r>
      <w:r w:rsidRPr="00EE591E" w:rsidR="00AF7C51">
        <w:rPr>
          <w:rFonts w:ascii="Times New Roman" w:hAnsi="Times New Roman"/>
        </w:rPr>
        <w:t xml:space="preserve"> </w:t>
      </w:r>
      <w:r w:rsidRPr="00EE591E" w:rsidR="009E3E43">
        <w:rPr>
          <w:rFonts w:ascii="Times New Roman" w:hAnsi="Times New Roman"/>
        </w:rPr>
        <w:t xml:space="preserve">the specific </w:t>
      </w:r>
      <w:r w:rsidRPr="00EE591E" w:rsidR="00210BEA">
        <w:rPr>
          <w:rFonts w:ascii="Times New Roman" w:hAnsi="Times New Roman"/>
        </w:rPr>
        <w:t>subject matter discussed during the</w:t>
      </w:r>
      <w:r w:rsidRPr="00EE591E" w:rsidR="00AF7C51">
        <w:rPr>
          <w:rFonts w:ascii="Times New Roman" w:hAnsi="Times New Roman"/>
        </w:rPr>
        <w:t xml:space="preserve"> conference</w:t>
      </w:r>
      <w:r w:rsidRPr="00EE591E" w:rsidR="004D0474">
        <w:rPr>
          <w:rFonts w:ascii="Times New Roman" w:hAnsi="Times New Roman"/>
        </w:rPr>
        <w:t xml:space="preserve"> </w:t>
      </w:r>
      <w:r w:rsidRPr="00EE591E" w:rsidR="00210BEA">
        <w:rPr>
          <w:rFonts w:ascii="Times New Roman" w:hAnsi="Times New Roman"/>
        </w:rPr>
        <w:t>that occurred</w:t>
      </w:r>
      <w:r w:rsidRPr="00EE591E" w:rsidR="004D0474">
        <w:rPr>
          <w:rFonts w:ascii="Times New Roman" w:hAnsi="Times New Roman"/>
        </w:rPr>
        <w:t xml:space="preserve"> on this date</w:t>
      </w:r>
      <w:r w:rsidRPr="00EE591E" w:rsidR="00AF7C51">
        <w:rPr>
          <w:rFonts w:ascii="Times New Roman" w:hAnsi="Times New Roman"/>
        </w:rPr>
        <w:t>, and</w:t>
      </w:r>
      <w:r w:rsidRPr="00EE591E" w:rsidR="004D0474">
        <w:rPr>
          <w:rFonts w:ascii="Times New Roman" w:hAnsi="Times New Roman"/>
        </w:rPr>
        <w:t xml:space="preserve"> the</w:t>
      </w:r>
      <w:r w:rsidRPr="00EE591E" w:rsidR="00210BEA">
        <w:rPr>
          <w:rFonts w:ascii="Times New Roman" w:hAnsi="Times New Roman"/>
        </w:rPr>
        <w:t xml:space="preserve"> specific</w:t>
      </w:r>
      <w:r w:rsidRPr="00EE591E" w:rsidR="004D0474">
        <w:rPr>
          <w:rFonts w:ascii="Times New Roman" w:hAnsi="Times New Roman"/>
        </w:rPr>
        <w:t xml:space="preserve"> subject matter researched on this date.  PVBC also must specify</w:t>
      </w:r>
      <w:r w:rsidRPr="00EE591E" w:rsidR="004C4DAA">
        <w:rPr>
          <w:rFonts w:ascii="Times New Roman" w:hAnsi="Times New Roman"/>
        </w:rPr>
        <w:t xml:space="preserve"> how much of the </w:t>
      </w:r>
      <w:r w:rsidRPr="00EE591E" w:rsidR="00182AAF">
        <w:rPr>
          <w:rFonts w:ascii="Times New Roman" w:hAnsi="Times New Roman"/>
        </w:rPr>
        <w:t>$735</w:t>
      </w:r>
      <w:r w:rsidRPr="00EE591E" w:rsidR="00EF7329">
        <w:rPr>
          <w:rFonts w:ascii="Times New Roman" w:hAnsi="Times New Roman"/>
        </w:rPr>
        <w:t xml:space="preserve"> charge </w:t>
      </w:r>
      <w:r w:rsidRPr="00EE591E" w:rsidR="003876AF">
        <w:rPr>
          <w:rFonts w:ascii="Times New Roman" w:hAnsi="Times New Roman"/>
        </w:rPr>
        <w:t xml:space="preserve">is attributable to each </w:t>
      </w:r>
      <w:r w:rsidRPr="00EE591E" w:rsidR="00210BEA">
        <w:rPr>
          <w:rFonts w:ascii="Times New Roman" w:hAnsi="Times New Roman"/>
        </w:rPr>
        <w:t>subj</w:t>
      </w:r>
      <w:r w:rsidRPr="00EE591E" w:rsidR="00AE76AA">
        <w:rPr>
          <w:rFonts w:ascii="Times New Roman" w:hAnsi="Times New Roman"/>
        </w:rPr>
        <w:t>ect</w:t>
      </w:r>
      <w:r w:rsidRPr="00EE591E" w:rsidR="00A5668D">
        <w:rPr>
          <w:rFonts w:ascii="Times New Roman" w:hAnsi="Times New Roman"/>
        </w:rPr>
        <w:t xml:space="preserve"> discussed or researched</w:t>
      </w:r>
      <w:r w:rsidRPr="00EE591E" w:rsidR="00AF7C51">
        <w:rPr>
          <w:rFonts w:ascii="Times New Roman" w:hAnsi="Times New Roman"/>
        </w:rPr>
        <w:t xml:space="preserve">. </w:t>
      </w:r>
      <w:r w:rsidRPr="00EE591E" w:rsidR="00AF7C51">
        <w:rPr>
          <w:rFonts w:ascii="Times New Roman" w:hAnsi="Times New Roman"/>
        </w:rPr>
        <w:br/>
      </w:r>
    </w:p>
    <w:p w:rsidR="00433C88" w:rsidRPr="00EE591E" w:rsidP="009E1B64" w14:paraId="3D10986A" w14:textId="7B1980BF">
      <w:pPr>
        <w:pStyle w:val="ListParagraph"/>
        <w:numPr>
          <w:ilvl w:val="0"/>
          <w:numId w:val="7"/>
        </w:numPr>
        <w:spacing w:after="0" w:line="240" w:lineRule="auto"/>
        <w:rPr>
          <w:rFonts w:ascii="Times New Roman" w:hAnsi="Times New Roman"/>
        </w:rPr>
      </w:pPr>
      <w:r w:rsidRPr="00EE591E">
        <w:rPr>
          <w:rFonts w:ascii="Times New Roman" w:hAnsi="Times New Roman"/>
        </w:rPr>
        <w:t>July 22, 2020.  PVBC</w:t>
      </w:r>
      <w:r w:rsidRPr="00EE591E" w:rsidR="000A5D40">
        <w:rPr>
          <w:rFonts w:ascii="Times New Roman" w:hAnsi="Times New Roman"/>
        </w:rPr>
        <w:t xml:space="preserve"> must</w:t>
      </w:r>
      <w:r w:rsidRPr="00EE591E">
        <w:rPr>
          <w:rFonts w:ascii="Times New Roman" w:hAnsi="Times New Roman"/>
        </w:rPr>
        <w:t xml:space="preserve"> </w:t>
      </w:r>
      <w:r w:rsidRPr="00EE591E" w:rsidR="00D517F9">
        <w:rPr>
          <w:rFonts w:ascii="Times New Roman" w:hAnsi="Times New Roman"/>
        </w:rPr>
        <w:t>identify</w:t>
      </w:r>
      <w:r w:rsidRPr="00EE591E">
        <w:rPr>
          <w:rFonts w:ascii="Times New Roman" w:hAnsi="Times New Roman"/>
        </w:rPr>
        <w:t xml:space="preserve"> </w:t>
      </w:r>
      <w:r w:rsidRPr="00EE591E" w:rsidR="00EF2062">
        <w:rPr>
          <w:rFonts w:ascii="Times New Roman" w:hAnsi="Times New Roman"/>
        </w:rPr>
        <w:t xml:space="preserve">the </w:t>
      </w:r>
      <w:r w:rsidRPr="00EE591E" w:rsidR="00654D0A">
        <w:rPr>
          <w:rFonts w:ascii="Times New Roman" w:hAnsi="Times New Roman"/>
        </w:rPr>
        <w:t>specific subject matter</w:t>
      </w:r>
      <w:r w:rsidRPr="00EE591E" w:rsidR="00EF2062">
        <w:rPr>
          <w:rFonts w:ascii="Times New Roman" w:hAnsi="Times New Roman"/>
        </w:rPr>
        <w:t xml:space="preserve"> discussed at the conference</w:t>
      </w:r>
      <w:r w:rsidRPr="00EE591E" w:rsidR="005746F1">
        <w:rPr>
          <w:rFonts w:ascii="Times New Roman" w:hAnsi="Times New Roman"/>
        </w:rPr>
        <w:t xml:space="preserve"> </w:t>
      </w:r>
      <w:r w:rsidRPr="00EE591E" w:rsidR="00654D0A">
        <w:rPr>
          <w:rFonts w:ascii="Times New Roman" w:hAnsi="Times New Roman"/>
        </w:rPr>
        <w:t>that</w:t>
      </w:r>
      <w:r w:rsidRPr="00EE591E" w:rsidR="00746DAD">
        <w:rPr>
          <w:rFonts w:ascii="Times New Roman" w:hAnsi="Times New Roman"/>
        </w:rPr>
        <w:t xml:space="preserve"> occurred</w:t>
      </w:r>
      <w:r w:rsidRPr="00EE591E" w:rsidR="005746F1">
        <w:rPr>
          <w:rFonts w:ascii="Times New Roman" w:hAnsi="Times New Roman"/>
        </w:rPr>
        <w:t xml:space="preserve"> on this date</w:t>
      </w:r>
      <w:r w:rsidRPr="00EE591E">
        <w:rPr>
          <w:rFonts w:ascii="Times New Roman" w:hAnsi="Times New Roman"/>
        </w:rPr>
        <w:t xml:space="preserve">.  </w:t>
      </w:r>
      <w:r w:rsidRPr="00EE591E" w:rsidR="00654D0A">
        <w:rPr>
          <w:rFonts w:ascii="Times New Roman" w:hAnsi="Times New Roman"/>
        </w:rPr>
        <w:t>PVBC must also specify</w:t>
      </w:r>
      <w:r w:rsidRPr="00EE591E">
        <w:rPr>
          <w:rFonts w:ascii="Times New Roman" w:hAnsi="Times New Roman"/>
        </w:rPr>
        <w:t xml:space="preserve"> </w:t>
      </w:r>
      <w:r w:rsidRPr="00EE591E" w:rsidR="00D517F9">
        <w:rPr>
          <w:rFonts w:ascii="Times New Roman" w:hAnsi="Times New Roman"/>
        </w:rPr>
        <w:t>how much of</w:t>
      </w:r>
      <w:r w:rsidRPr="00EE591E">
        <w:rPr>
          <w:rFonts w:ascii="Times New Roman" w:hAnsi="Times New Roman"/>
        </w:rPr>
        <w:t xml:space="preserve"> the $700 charge is attributable to </w:t>
      </w:r>
      <w:r w:rsidRPr="00EE591E" w:rsidR="00A5668D">
        <w:rPr>
          <w:rFonts w:ascii="Times New Roman" w:hAnsi="Times New Roman"/>
        </w:rPr>
        <w:t xml:space="preserve">each </w:t>
      </w:r>
      <w:r w:rsidRPr="00EE591E" w:rsidR="00C91181">
        <w:rPr>
          <w:rFonts w:ascii="Times New Roman" w:hAnsi="Times New Roman"/>
        </w:rPr>
        <w:t>subject</w:t>
      </w:r>
      <w:r w:rsidRPr="00EE591E" w:rsidR="00A5668D">
        <w:rPr>
          <w:rFonts w:ascii="Times New Roman" w:hAnsi="Times New Roman"/>
        </w:rPr>
        <w:t xml:space="preserve"> discussed</w:t>
      </w:r>
      <w:r w:rsidRPr="00EE591E" w:rsidR="00D517F9">
        <w:rPr>
          <w:rFonts w:ascii="Times New Roman" w:hAnsi="Times New Roman"/>
        </w:rPr>
        <w:t>,</w:t>
      </w:r>
      <w:r w:rsidRPr="00EE591E">
        <w:rPr>
          <w:rFonts w:ascii="Times New Roman" w:hAnsi="Times New Roman"/>
        </w:rPr>
        <w:t xml:space="preserve"> and how much is attributable to preparation of the Petition.</w:t>
      </w:r>
      <w:r w:rsidRPr="00EE591E">
        <w:rPr>
          <w:rFonts w:ascii="Times New Roman" w:hAnsi="Times New Roman"/>
        </w:rPr>
        <w:br/>
      </w:r>
    </w:p>
    <w:p w:rsidR="00AC42C3" w:rsidRPr="00EE591E" w:rsidP="009E1B64" w14:paraId="25824F4C" w14:textId="087118C6">
      <w:pPr>
        <w:pStyle w:val="ListParagraph"/>
        <w:numPr>
          <w:ilvl w:val="0"/>
          <w:numId w:val="7"/>
        </w:numPr>
        <w:spacing w:after="0" w:line="240" w:lineRule="auto"/>
        <w:rPr>
          <w:rFonts w:ascii="Times New Roman" w:hAnsi="Times New Roman"/>
        </w:rPr>
      </w:pPr>
      <w:r w:rsidRPr="00EE591E">
        <w:rPr>
          <w:rFonts w:ascii="Times New Roman" w:hAnsi="Times New Roman"/>
        </w:rPr>
        <w:t xml:space="preserve">August 4, </w:t>
      </w:r>
      <w:r w:rsidRPr="00EE591E" w:rsidR="000A5D40">
        <w:rPr>
          <w:rFonts w:ascii="Times New Roman" w:hAnsi="Times New Roman"/>
        </w:rPr>
        <w:t xml:space="preserve">6, and </w:t>
      </w:r>
      <w:r w:rsidRPr="00EE591E" w:rsidR="00700BA0">
        <w:rPr>
          <w:rFonts w:ascii="Times New Roman" w:hAnsi="Times New Roman"/>
        </w:rPr>
        <w:t>7, 2020</w:t>
      </w:r>
      <w:r w:rsidRPr="00EE591E">
        <w:rPr>
          <w:rFonts w:ascii="Times New Roman" w:hAnsi="Times New Roman"/>
        </w:rPr>
        <w:t xml:space="preserve">.  </w:t>
      </w:r>
      <w:r w:rsidRPr="00EE591E" w:rsidR="00442BE4">
        <w:rPr>
          <w:rFonts w:ascii="Times New Roman" w:hAnsi="Times New Roman"/>
        </w:rPr>
        <w:t>PVBC must</w:t>
      </w:r>
      <w:r w:rsidRPr="00EE591E">
        <w:rPr>
          <w:rFonts w:ascii="Times New Roman" w:hAnsi="Times New Roman"/>
        </w:rPr>
        <w:t xml:space="preserve"> </w:t>
      </w:r>
      <w:r w:rsidRPr="00EE591E" w:rsidR="00FF13DD">
        <w:rPr>
          <w:rFonts w:ascii="Times New Roman" w:hAnsi="Times New Roman"/>
        </w:rPr>
        <w:t>identify the</w:t>
      </w:r>
      <w:r w:rsidRPr="00EE591E" w:rsidR="00D517F9">
        <w:rPr>
          <w:rFonts w:ascii="Times New Roman" w:hAnsi="Times New Roman"/>
        </w:rPr>
        <w:t xml:space="preserve"> FCC pleadings </w:t>
      </w:r>
      <w:r w:rsidRPr="00EE591E" w:rsidR="00FF13DD">
        <w:rPr>
          <w:rFonts w:ascii="Times New Roman" w:hAnsi="Times New Roman"/>
        </w:rPr>
        <w:t>and</w:t>
      </w:r>
      <w:r w:rsidRPr="00EE591E" w:rsidR="007311EB">
        <w:rPr>
          <w:rFonts w:ascii="Times New Roman" w:hAnsi="Times New Roman"/>
        </w:rPr>
        <w:t xml:space="preserve"> proceeding</w:t>
      </w:r>
      <w:r w:rsidRPr="00EE591E" w:rsidR="00FF13DD">
        <w:rPr>
          <w:rFonts w:ascii="Times New Roman" w:hAnsi="Times New Roman"/>
        </w:rPr>
        <w:t xml:space="preserve"> referenced </w:t>
      </w:r>
      <w:r w:rsidRPr="00EE591E" w:rsidR="0006362E">
        <w:rPr>
          <w:rFonts w:ascii="Times New Roman" w:hAnsi="Times New Roman"/>
        </w:rPr>
        <w:t>in th</w:t>
      </w:r>
      <w:r w:rsidRPr="00EE591E" w:rsidR="00442BE4">
        <w:rPr>
          <w:rFonts w:ascii="Times New Roman" w:hAnsi="Times New Roman"/>
        </w:rPr>
        <w:t>e entries for these dates</w:t>
      </w:r>
      <w:r w:rsidRPr="00EE591E">
        <w:rPr>
          <w:rFonts w:ascii="Times New Roman" w:hAnsi="Times New Roman"/>
        </w:rPr>
        <w:t xml:space="preserve">. </w:t>
      </w:r>
      <w:r w:rsidRPr="00EE591E" w:rsidR="00291142">
        <w:rPr>
          <w:rFonts w:ascii="Times New Roman" w:hAnsi="Times New Roman"/>
        </w:rPr>
        <w:br/>
      </w:r>
    </w:p>
    <w:p w:rsidR="00AC42C3" w:rsidRPr="00EE591E" w:rsidP="009E1B64" w14:paraId="23F964D3" w14:textId="1C918C03">
      <w:pPr>
        <w:pStyle w:val="ListParagraph"/>
        <w:numPr>
          <w:ilvl w:val="0"/>
          <w:numId w:val="7"/>
        </w:numPr>
        <w:spacing w:after="0" w:line="240" w:lineRule="auto"/>
        <w:rPr>
          <w:rFonts w:ascii="Times New Roman" w:hAnsi="Times New Roman"/>
        </w:rPr>
      </w:pPr>
      <w:r w:rsidRPr="00EE591E">
        <w:rPr>
          <w:rFonts w:ascii="Times New Roman" w:hAnsi="Times New Roman"/>
        </w:rPr>
        <w:t xml:space="preserve">September 22, 2020. </w:t>
      </w:r>
      <w:r w:rsidRPr="00EE591E" w:rsidR="00116615">
        <w:rPr>
          <w:rFonts w:ascii="Times New Roman" w:hAnsi="Times New Roman"/>
        </w:rPr>
        <w:t xml:space="preserve"> </w:t>
      </w:r>
      <w:r w:rsidRPr="00EE591E" w:rsidR="002D730E">
        <w:rPr>
          <w:rFonts w:ascii="Times New Roman" w:hAnsi="Times New Roman"/>
        </w:rPr>
        <w:t xml:space="preserve">PVBC </w:t>
      </w:r>
      <w:r w:rsidRPr="00EE591E" w:rsidR="0034004C">
        <w:rPr>
          <w:rFonts w:ascii="Times New Roman" w:hAnsi="Times New Roman"/>
        </w:rPr>
        <w:t xml:space="preserve">must </w:t>
      </w:r>
      <w:r w:rsidRPr="00EE591E" w:rsidR="00165F3D">
        <w:rPr>
          <w:rFonts w:ascii="Times New Roman" w:hAnsi="Times New Roman"/>
        </w:rPr>
        <w:t xml:space="preserve">explain what </w:t>
      </w:r>
      <w:r w:rsidRPr="00EE591E" w:rsidR="006E7207">
        <w:rPr>
          <w:rFonts w:ascii="Times New Roman" w:hAnsi="Times New Roman"/>
        </w:rPr>
        <w:t>topics related to</w:t>
      </w:r>
      <w:r w:rsidRPr="00EE591E" w:rsidR="00165F3D">
        <w:rPr>
          <w:rFonts w:ascii="Times New Roman" w:hAnsi="Times New Roman"/>
        </w:rPr>
        <w:t xml:space="preserve"> the “Entravision proceeding” were </w:t>
      </w:r>
      <w:r w:rsidRPr="00EE591E" w:rsidR="002D730E">
        <w:rPr>
          <w:rFonts w:ascii="Times New Roman" w:hAnsi="Times New Roman"/>
        </w:rPr>
        <w:t xml:space="preserve">discussed in </w:t>
      </w:r>
      <w:r w:rsidRPr="00EE591E" w:rsidR="00116615">
        <w:rPr>
          <w:rFonts w:ascii="Times New Roman" w:hAnsi="Times New Roman"/>
        </w:rPr>
        <w:t>the</w:t>
      </w:r>
      <w:r w:rsidRPr="00EE591E" w:rsidR="002D730E">
        <w:rPr>
          <w:rFonts w:ascii="Times New Roman" w:hAnsi="Times New Roman"/>
        </w:rPr>
        <w:t xml:space="preserve"> confere</w:t>
      </w:r>
      <w:r w:rsidRPr="00EE591E" w:rsidR="009B5EDC">
        <w:rPr>
          <w:rFonts w:ascii="Times New Roman" w:hAnsi="Times New Roman"/>
        </w:rPr>
        <w:t>n</w:t>
      </w:r>
      <w:r w:rsidRPr="00EE591E" w:rsidR="002D730E">
        <w:rPr>
          <w:rFonts w:ascii="Times New Roman" w:hAnsi="Times New Roman"/>
        </w:rPr>
        <w:t>ce</w:t>
      </w:r>
      <w:r w:rsidRPr="00EE591E" w:rsidR="00670560">
        <w:rPr>
          <w:rFonts w:ascii="Times New Roman" w:hAnsi="Times New Roman"/>
        </w:rPr>
        <w:t xml:space="preserve">.  </w:t>
      </w:r>
      <w:r w:rsidRPr="00EE591E" w:rsidR="006C7866">
        <w:rPr>
          <w:rFonts w:ascii="Times New Roman" w:hAnsi="Times New Roman"/>
        </w:rPr>
        <w:t xml:space="preserve">PVBC </w:t>
      </w:r>
      <w:r w:rsidRPr="00EE591E" w:rsidR="004F0681">
        <w:rPr>
          <w:rFonts w:ascii="Times New Roman" w:hAnsi="Times New Roman"/>
        </w:rPr>
        <w:t xml:space="preserve">also </w:t>
      </w:r>
      <w:r w:rsidRPr="00EE591E" w:rsidR="006C7866">
        <w:rPr>
          <w:rFonts w:ascii="Times New Roman" w:hAnsi="Times New Roman"/>
        </w:rPr>
        <w:t>must specify</w:t>
      </w:r>
      <w:r w:rsidRPr="00EE591E" w:rsidR="00753559">
        <w:rPr>
          <w:rFonts w:ascii="Times New Roman" w:hAnsi="Times New Roman"/>
        </w:rPr>
        <w:t xml:space="preserve"> how much of the </w:t>
      </w:r>
      <w:r w:rsidRPr="00EE591E" w:rsidR="006C7866">
        <w:rPr>
          <w:rFonts w:ascii="Times New Roman" w:hAnsi="Times New Roman"/>
        </w:rPr>
        <w:t>$840</w:t>
      </w:r>
      <w:r w:rsidRPr="00EE591E" w:rsidR="00753559">
        <w:rPr>
          <w:rFonts w:ascii="Times New Roman" w:hAnsi="Times New Roman"/>
        </w:rPr>
        <w:t xml:space="preserve"> </w:t>
      </w:r>
      <w:r w:rsidRPr="00EE591E" w:rsidR="00A2241E">
        <w:rPr>
          <w:rFonts w:ascii="Times New Roman" w:hAnsi="Times New Roman"/>
        </w:rPr>
        <w:t>charge</w:t>
      </w:r>
      <w:r w:rsidRPr="00EE591E" w:rsidR="00753559">
        <w:rPr>
          <w:rFonts w:ascii="Times New Roman" w:hAnsi="Times New Roman"/>
        </w:rPr>
        <w:t xml:space="preserve"> is </w:t>
      </w:r>
      <w:r w:rsidRPr="00EE591E" w:rsidR="006C7866">
        <w:rPr>
          <w:rFonts w:ascii="Times New Roman" w:hAnsi="Times New Roman"/>
        </w:rPr>
        <w:t xml:space="preserve">attributable to each </w:t>
      </w:r>
      <w:r w:rsidRPr="00EE591E" w:rsidR="004962D0">
        <w:rPr>
          <w:rFonts w:ascii="Times New Roman" w:hAnsi="Times New Roman"/>
        </w:rPr>
        <w:t>topic</w:t>
      </w:r>
      <w:r w:rsidRPr="00EE591E" w:rsidR="00E33399">
        <w:rPr>
          <w:rFonts w:ascii="Times New Roman" w:hAnsi="Times New Roman"/>
        </w:rPr>
        <w:t xml:space="preserve"> discussed</w:t>
      </w:r>
      <w:r w:rsidRPr="00EE591E" w:rsidR="004F0681">
        <w:rPr>
          <w:rFonts w:ascii="Times New Roman" w:hAnsi="Times New Roman"/>
        </w:rPr>
        <w:t xml:space="preserve">.  </w:t>
      </w:r>
    </w:p>
    <w:p w:rsidR="00670560" w:rsidRPr="00EE591E" w:rsidP="009E1B64" w14:paraId="57E0B463" w14:textId="77777777">
      <w:pPr>
        <w:pStyle w:val="ListParagraph"/>
        <w:spacing w:after="0" w:line="240" w:lineRule="auto"/>
        <w:rPr>
          <w:rFonts w:ascii="Times New Roman" w:hAnsi="Times New Roman"/>
        </w:rPr>
      </w:pPr>
    </w:p>
    <w:p w:rsidR="002F51EE" w:rsidRPr="00EE591E" w:rsidP="009E1B64" w14:paraId="4CC45D68" w14:textId="54421CE2">
      <w:pPr>
        <w:pStyle w:val="ListParagraph"/>
        <w:numPr>
          <w:ilvl w:val="0"/>
          <w:numId w:val="7"/>
        </w:numPr>
        <w:spacing w:after="0" w:line="240" w:lineRule="auto"/>
        <w:rPr>
          <w:rFonts w:ascii="Times New Roman" w:hAnsi="Times New Roman"/>
        </w:rPr>
      </w:pPr>
      <w:r w:rsidRPr="00EE591E">
        <w:rPr>
          <w:rFonts w:ascii="Times New Roman" w:hAnsi="Times New Roman"/>
        </w:rPr>
        <w:t xml:space="preserve">October 22, 2020.  </w:t>
      </w:r>
      <w:r w:rsidRPr="00EE591E" w:rsidR="00FF1BD1">
        <w:rPr>
          <w:rFonts w:ascii="Times New Roman" w:hAnsi="Times New Roman"/>
        </w:rPr>
        <w:t>PVBC should</w:t>
      </w:r>
      <w:r w:rsidRPr="00EE591E" w:rsidR="00D3135B">
        <w:rPr>
          <w:rFonts w:ascii="Times New Roman" w:hAnsi="Times New Roman"/>
        </w:rPr>
        <w:t xml:space="preserve"> indicate </w:t>
      </w:r>
      <w:r w:rsidRPr="00EE591E" w:rsidR="001764BE">
        <w:rPr>
          <w:rFonts w:ascii="Times New Roman" w:hAnsi="Times New Roman"/>
        </w:rPr>
        <w:t xml:space="preserve">which Entravision letter </w:t>
      </w:r>
      <w:r w:rsidRPr="00EE591E" w:rsidR="002B6E47">
        <w:rPr>
          <w:rFonts w:ascii="Times New Roman" w:hAnsi="Times New Roman"/>
        </w:rPr>
        <w:t>was being reviewed</w:t>
      </w:r>
      <w:r w:rsidRPr="00EE591E">
        <w:rPr>
          <w:rFonts w:ascii="Times New Roman" w:hAnsi="Times New Roman"/>
        </w:rPr>
        <w:t xml:space="preserve">.  PVBC </w:t>
      </w:r>
      <w:r w:rsidRPr="00EE591E" w:rsidR="002B6E47">
        <w:rPr>
          <w:rFonts w:ascii="Times New Roman" w:hAnsi="Times New Roman"/>
        </w:rPr>
        <w:t>also must provide</w:t>
      </w:r>
      <w:r w:rsidRPr="00EE591E">
        <w:rPr>
          <w:rFonts w:ascii="Times New Roman" w:hAnsi="Times New Roman"/>
        </w:rPr>
        <w:t xml:space="preserve"> a list of the </w:t>
      </w:r>
      <w:r w:rsidRPr="00EE591E" w:rsidR="008532CB">
        <w:rPr>
          <w:rFonts w:ascii="Times New Roman" w:hAnsi="Times New Roman"/>
        </w:rPr>
        <w:t>subject</w:t>
      </w:r>
      <w:r w:rsidRPr="00EE591E" w:rsidR="0019492A">
        <w:rPr>
          <w:rFonts w:ascii="Times New Roman" w:hAnsi="Times New Roman"/>
        </w:rPr>
        <w:t xml:space="preserve"> matter</w:t>
      </w:r>
      <w:r w:rsidR="00767405">
        <w:rPr>
          <w:rFonts w:ascii="Times New Roman" w:hAnsi="Times New Roman"/>
        </w:rPr>
        <w:t>s</w:t>
      </w:r>
      <w:r w:rsidRPr="00EE591E">
        <w:rPr>
          <w:rFonts w:ascii="Times New Roman" w:hAnsi="Times New Roman"/>
        </w:rPr>
        <w:t xml:space="preserve"> discussed during the conference with FCC staff</w:t>
      </w:r>
      <w:r w:rsidRPr="00EE591E" w:rsidR="0019492A">
        <w:rPr>
          <w:rFonts w:ascii="Times New Roman" w:hAnsi="Times New Roman"/>
        </w:rPr>
        <w:t xml:space="preserve">.  PVBC must specify </w:t>
      </w:r>
      <w:r w:rsidRPr="00EE591E" w:rsidR="003F2D22">
        <w:rPr>
          <w:rFonts w:ascii="Times New Roman" w:hAnsi="Times New Roman"/>
        </w:rPr>
        <w:t xml:space="preserve">the portion of the </w:t>
      </w:r>
      <w:r w:rsidRPr="00EE591E" w:rsidR="003B27F2">
        <w:rPr>
          <w:rFonts w:ascii="Times New Roman" w:hAnsi="Times New Roman"/>
        </w:rPr>
        <w:t>$490</w:t>
      </w:r>
      <w:r w:rsidRPr="00EE591E" w:rsidR="003F2D22">
        <w:rPr>
          <w:rFonts w:ascii="Times New Roman" w:hAnsi="Times New Roman"/>
        </w:rPr>
        <w:t xml:space="preserve"> charge attributable to </w:t>
      </w:r>
      <w:r w:rsidRPr="00EE591E" w:rsidR="0019492A">
        <w:rPr>
          <w:rFonts w:ascii="Times New Roman" w:hAnsi="Times New Roman"/>
        </w:rPr>
        <w:t>each subje</w:t>
      </w:r>
      <w:r w:rsidRPr="00EE591E" w:rsidR="007005A2">
        <w:rPr>
          <w:rFonts w:ascii="Times New Roman" w:hAnsi="Times New Roman"/>
        </w:rPr>
        <w:t>ct</w:t>
      </w:r>
      <w:r w:rsidRPr="00EE591E">
        <w:rPr>
          <w:rFonts w:ascii="Times New Roman" w:hAnsi="Times New Roman"/>
        </w:rPr>
        <w:t>.</w:t>
      </w:r>
      <w:r w:rsidRPr="00EE591E" w:rsidR="006714BA">
        <w:rPr>
          <w:rFonts w:ascii="Times New Roman" w:hAnsi="Times New Roman"/>
        </w:rPr>
        <w:t xml:space="preserve"> </w:t>
      </w:r>
      <w:r w:rsidRPr="00EE591E">
        <w:rPr>
          <w:rFonts w:ascii="Times New Roman" w:hAnsi="Times New Roman"/>
        </w:rPr>
        <w:br/>
      </w:r>
    </w:p>
    <w:p w:rsidR="00AC42C3" w:rsidRPr="00EE591E" w:rsidP="009E1B64" w14:paraId="089EEA4B" w14:textId="47760B28">
      <w:pPr>
        <w:pStyle w:val="ListParagraph"/>
        <w:numPr>
          <w:ilvl w:val="0"/>
          <w:numId w:val="7"/>
        </w:numPr>
        <w:spacing w:after="0" w:line="240" w:lineRule="auto"/>
        <w:rPr>
          <w:rFonts w:ascii="Times New Roman" w:hAnsi="Times New Roman"/>
        </w:rPr>
      </w:pPr>
      <w:r w:rsidRPr="00EE591E">
        <w:rPr>
          <w:rFonts w:ascii="Times New Roman" w:hAnsi="Times New Roman"/>
        </w:rPr>
        <w:t>November 5</w:t>
      </w:r>
      <w:r w:rsidRPr="00EE591E" w:rsidR="003B27F2">
        <w:rPr>
          <w:rFonts w:ascii="Times New Roman" w:hAnsi="Times New Roman"/>
        </w:rPr>
        <w:t xml:space="preserve"> and</w:t>
      </w:r>
      <w:r w:rsidRPr="00EE591E" w:rsidR="007340A2">
        <w:rPr>
          <w:rFonts w:ascii="Times New Roman" w:hAnsi="Times New Roman"/>
        </w:rPr>
        <w:t xml:space="preserve"> 6, 2020</w:t>
      </w:r>
      <w:r w:rsidRPr="00EE591E">
        <w:rPr>
          <w:rFonts w:ascii="Times New Roman" w:hAnsi="Times New Roman"/>
        </w:rPr>
        <w:t xml:space="preserve">.  </w:t>
      </w:r>
      <w:r w:rsidRPr="00EE591E" w:rsidR="00184C00">
        <w:rPr>
          <w:rFonts w:ascii="Times New Roman" w:hAnsi="Times New Roman"/>
        </w:rPr>
        <w:t xml:space="preserve">For each date, </w:t>
      </w:r>
      <w:r w:rsidRPr="00EE591E" w:rsidR="003B27F2">
        <w:rPr>
          <w:rFonts w:ascii="Times New Roman" w:hAnsi="Times New Roman"/>
        </w:rPr>
        <w:t>PVBC must</w:t>
      </w:r>
      <w:r w:rsidRPr="00EE591E">
        <w:rPr>
          <w:rFonts w:ascii="Times New Roman" w:hAnsi="Times New Roman"/>
        </w:rPr>
        <w:t xml:space="preserve"> </w:t>
      </w:r>
      <w:r w:rsidRPr="00EE591E" w:rsidR="00810756">
        <w:rPr>
          <w:rFonts w:ascii="Times New Roman" w:hAnsi="Times New Roman"/>
        </w:rPr>
        <w:t>specify</w:t>
      </w:r>
      <w:r w:rsidRPr="00EE591E">
        <w:rPr>
          <w:rFonts w:ascii="Times New Roman" w:hAnsi="Times New Roman"/>
        </w:rPr>
        <w:t xml:space="preserve"> how much of </w:t>
      </w:r>
      <w:r w:rsidRPr="00EE591E" w:rsidR="007340A2">
        <w:rPr>
          <w:rFonts w:ascii="Times New Roman" w:hAnsi="Times New Roman"/>
        </w:rPr>
        <w:t>the charge is</w:t>
      </w:r>
      <w:r w:rsidRPr="00EE591E" w:rsidR="009B5EDC">
        <w:rPr>
          <w:rFonts w:ascii="Times New Roman" w:hAnsi="Times New Roman"/>
        </w:rPr>
        <w:t xml:space="preserve"> attributable to work related to</w:t>
      </w:r>
      <w:r w:rsidRPr="00EE591E">
        <w:rPr>
          <w:rFonts w:ascii="Times New Roman" w:hAnsi="Times New Roman"/>
        </w:rPr>
        <w:t xml:space="preserve"> the reimbursement negotiations</w:t>
      </w:r>
      <w:r w:rsidRPr="00EE591E" w:rsidR="009B5EDC">
        <w:rPr>
          <w:rFonts w:ascii="Times New Roman" w:hAnsi="Times New Roman"/>
        </w:rPr>
        <w:t xml:space="preserve">, and how much is attributable to </w:t>
      </w:r>
      <w:r w:rsidRPr="00EE591E" w:rsidR="0058281A">
        <w:rPr>
          <w:rFonts w:ascii="Times New Roman" w:hAnsi="Times New Roman"/>
        </w:rPr>
        <w:t>work on</w:t>
      </w:r>
      <w:r w:rsidRPr="00EE591E" w:rsidR="009B5EDC">
        <w:rPr>
          <w:rFonts w:ascii="Times New Roman" w:hAnsi="Times New Roman"/>
        </w:rPr>
        <w:t xml:space="preserve"> </w:t>
      </w:r>
      <w:r w:rsidRPr="00EE591E">
        <w:rPr>
          <w:rFonts w:ascii="Times New Roman" w:hAnsi="Times New Roman"/>
        </w:rPr>
        <w:t xml:space="preserve">the </w:t>
      </w:r>
      <w:r w:rsidRPr="00EE591E" w:rsidR="00AC3728">
        <w:rPr>
          <w:rFonts w:ascii="Times New Roman" w:hAnsi="Times New Roman"/>
        </w:rPr>
        <w:t>Application for Review</w:t>
      </w:r>
      <w:r w:rsidRPr="00EE591E" w:rsidR="009B5EDC">
        <w:rPr>
          <w:rFonts w:ascii="Times New Roman" w:hAnsi="Times New Roman"/>
        </w:rPr>
        <w:t>.</w:t>
      </w:r>
      <w:r w:rsidRPr="00EE591E" w:rsidR="00291142">
        <w:rPr>
          <w:rFonts w:ascii="Times New Roman" w:hAnsi="Times New Roman"/>
        </w:rPr>
        <w:br/>
      </w:r>
    </w:p>
    <w:p w:rsidR="00D64F2B" w:rsidRPr="00EE591E" w:rsidP="009E1B64" w14:paraId="7A0BEAEE" w14:textId="3DABF380">
      <w:pPr>
        <w:pStyle w:val="ListParagraph"/>
        <w:numPr>
          <w:ilvl w:val="0"/>
          <w:numId w:val="7"/>
        </w:numPr>
        <w:spacing w:after="0" w:line="240" w:lineRule="auto"/>
        <w:rPr>
          <w:rFonts w:ascii="Times New Roman" w:hAnsi="Times New Roman"/>
        </w:rPr>
      </w:pPr>
      <w:r w:rsidRPr="00EE591E">
        <w:rPr>
          <w:rFonts w:ascii="Times New Roman" w:hAnsi="Times New Roman"/>
        </w:rPr>
        <w:t xml:space="preserve">December 7, 2020.  </w:t>
      </w:r>
      <w:r w:rsidRPr="00EE591E" w:rsidR="003B27F2">
        <w:rPr>
          <w:rFonts w:ascii="Times New Roman" w:hAnsi="Times New Roman"/>
        </w:rPr>
        <w:t>PVBC must</w:t>
      </w:r>
      <w:r w:rsidRPr="00EE591E">
        <w:rPr>
          <w:rFonts w:ascii="Times New Roman" w:hAnsi="Times New Roman"/>
        </w:rPr>
        <w:t xml:space="preserve"> indicate the topics discussed</w:t>
      </w:r>
      <w:r w:rsidRPr="00EE591E" w:rsidR="00B2553A">
        <w:rPr>
          <w:rFonts w:ascii="Times New Roman" w:hAnsi="Times New Roman"/>
        </w:rPr>
        <w:t xml:space="preserve"> at </w:t>
      </w:r>
      <w:r w:rsidR="00C77AE4">
        <w:rPr>
          <w:rFonts w:ascii="Times New Roman" w:hAnsi="Times New Roman"/>
        </w:rPr>
        <w:t xml:space="preserve">the </w:t>
      </w:r>
      <w:r w:rsidRPr="00EE591E" w:rsidR="00B2553A">
        <w:rPr>
          <w:rFonts w:ascii="Times New Roman" w:hAnsi="Times New Roman"/>
        </w:rPr>
        <w:t>conference</w:t>
      </w:r>
      <w:r w:rsidR="00C77AE4">
        <w:rPr>
          <w:rFonts w:ascii="Times New Roman" w:hAnsi="Times New Roman"/>
        </w:rPr>
        <w:t xml:space="preserve"> that occurred on this date</w:t>
      </w:r>
      <w:r w:rsidRPr="00EE591E">
        <w:rPr>
          <w:rFonts w:ascii="Times New Roman" w:hAnsi="Times New Roman"/>
        </w:rPr>
        <w:t xml:space="preserve">. </w:t>
      </w:r>
      <w:r w:rsidRPr="00EE591E" w:rsidR="0058281A">
        <w:rPr>
          <w:rFonts w:ascii="Times New Roman" w:hAnsi="Times New Roman"/>
        </w:rPr>
        <w:t xml:space="preserve"> PVBC must also specify how much of the </w:t>
      </w:r>
      <w:r w:rsidRPr="00EE591E" w:rsidR="003B27F2">
        <w:rPr>
          <w:rFonts w:ascii="Times New Roman" w:hAnsi="Times New Roman"/>
        </w:rPr>
        <w:t>$140</w:t>
      </w:r>
      <w:r w:rsidRPr="00EE591E" w:rsidR="0058281A">
        <w:rPr>
          <w:rFonts w:ascii="Times New Roman" w:hAnsi="Times New Roman"/>
        </w:rPr>
        <w:t xml:space="preserve"> charge is attributable to each topic.</w:t>
      </w:r>
      <w:r w:rsidRPr="00EE591E">
        <w:rPr>
          <w:rFonts w:ascii="Times New Roman" w:hAnsi="Times New Roman"/>
        </w:rPr>
        <w:br/>
      </w:r>
    </w:p>
    <w:p w:rsidR="00AC42C3" w:rsidRPr="00EE591E" w:rsidP="009E1B64" w14:paraId="2984AE7B" w14:textId="374E88C2">
      <w:pPr>
        <w:pStyle w:val="ListParagraph"/>
        <w:numPr>
          <w:ilvl w:val="0"/>
          <w:numId w:val="7"/>
        </w:numPr>
        <w:spacing w:after="0" w:line="240" w:lineRule="auto"/>
        <w:rPr>
          <w:rFonts w:ascii="Times New Roman" w:hAnsi="Times New Roman"/>
        </w:rPr>
      </w:pPr>
      <w:r w:rsidRPr="00EE591E">
        <w:rPr>
          <w:rFonts w:ascii="Times New Roman" w:hAnsi="Times New Roman"/>
        </w:rPr>
        <w:t xml:space="preserve">December 9, </w:t>
      </w:r>
      <w:r w:rsidRPr="00EE591E" w:rsidR="00535D84">
        <w:rPr>
          <w:rFonts w:ascii="Times New Roman" w:hAnsi="Times New Roman"/>
        </w:rPr>
        <w:t xml:space="preserve">10, 11, and </w:t>
      </w:r>
      <w:r w:rsidRPr="00EE591E" w:rsidR="00BA562F">
        <w:rPr>
          <w:rFonts w:ascii="Times New Roman" w:hAnsi="Times New Roman"/>
        </w:rPr>
        <w:t>14, 2020, January 8, 2021, June 24, 2021</w:t>
      </w:r>
      <w:r w:rsidRPr="00EE591E">
        <w:rPr>
          <w:rFonts w:ascii="Times New Roman" w:hAnsi="Times New Roman"/>
        </w:rPr>
        <w:t xml:space="preserve">.  </w:t>
      </w:r>
      <w:r w:rsidRPr="00EE591E" w:rsidR="00535D84">
        <w:rPr>
          <w:rFonts w:ascii="Times New Roman" w:hAnsi="Times New Roman"/>
        </w:rPr>
        <w:t>PVBC must</w:t>
      </w:r>
      <w:r w:rsidRPr="00EE591E" w:rsidR="00A73AA3">
        <w:rPr>
          <w:rFonts w:ascii="Times New Roman" w:hAnsi="Times New Roman"/>
        </w:rPr>
        <w:t xml:space="preserve"> indicate the </w:t>
      </w:r>
      <w:r w:rsidRPr="00EE591E" w:rsidR="00843D11">
        <w:rPr>
          <w:rFonts w:ascii="Times New Roman" w:hAnsi="Times New Roman"/>
        </w:rPr>
        <w:t xml:space="preserve">subject matter discussed in the </w:t>
      </w:r>
      <w:r w:rsidRPr="00EE591E" w:rsidR="00A73AA3">
        <w:rPr>
          <w:rFonts w:ascii="Times New Roman" w:hAnsi="Times New Roman"/>
        </w:rPr>
        <w:t>conferences</w:t>
      </w:r>
      <w:r w:rsidRPr="00EE591E" w:rsidR="00843D11">
        <w:rPr>
          <w:rFonts w:ascii="Times New Roman" w:hAnsi="Times New Roman"/>
        </w:rPr>
        <w:t xml:space="preserve"> that occurred on these dates,</w:t>
      </w:r>
      <w:r w:rsidRPr="00EE591E" w:rsidR="00A73AA3">
        <w:rPr>
          <w:rFonts w:ascii="Times New Roman" w:hAnsi="Times New Roman"/>
        </w:rPr>
        <w:t xml:space="preserve"> and </w:t>
      </w:r>
      <w:r w:rsidRPr="00EE591E" w:rsidR="00843D11">
        <w:rPr>
          <w:rFonts w:ascii="Times New Roman" w:hAnsi="Times New Roman"/>
        </w:rPr>
        <w:t xml:space="preserve">specify the </w:t>
      </w:r>
      <w:r w:rsidRPr="00EE591E" w:rsidR="008311C8">
        <w:rPr>
          <w:rFonts w:ascii="Times New Roman" w:hAnsi="Times New Roman"/>
        </w:rPr>
        <w:t>subject matter</w:t>
      </w:r>
      <w:r w:rsidRPr="00EE591E" w:rsidR="00A73AA3">
        <w:rPr>
          <w:rFonts w:ascii="Times New Roman" w:hAnsi="Times New Roman"/>
        </w:rPr>
        <w:t xml:space="preserve"> </w:t>
      </w:r>
      <w:r w:rsidRPr="00EE591E" w:rsidR="002E7CA1">
        <w:rPr>
          <w:rFonts w:ascii="Times New Roman" w:hAnsi="Times New Roman"/>
        </w:rPr>
        <w:t>of any other</w:t>
      </w:r>
      <w:r w:rsidRPr="00EE591E" w:rsidR="008311C8">
        <w:rPr>
          <w:rFonts w:ascii="Times New Roman" w:hAnsi="Times New Roman"/>
        </w:rPr>
        <w:t xml:space="preserve"> legal work performed on these dates</w:t>
      </w:r>
      <w:r w:rsidRPr="00EE591E" w:rsidR="00A73AA3">
        <w:rPr>
          <w:rFonts w:ascii="Times New Roman" w:hAnsi="Times New Roman"/>
        </w:rPr>
        <w:t xml:space="preserve">.  </w:t>
      </w:r>
      <w:r w:rsidRPr="00EE591E" w:rsidR="00F939F4">
        <w:rPr>
          <w:rFonts w:ascii="Times New Roman" w:hAnsi="Times New Roman"/>
        </w:rPr>
        <w:t xml:space="preserve">For each date, PVBC must indicate the portion of </w:t>
      </w:r>
      <w:r w:rsidRPr="00EE591E" w:rsidR="00F6568F">
        <w:rPr>
          <w:rFonts w:ascii="Times New Roman" w:hAnsi="Times New Roman"/>
        </w:rPr>
        <w:t xml:space="preserve">the </w:t>
      </w:r>
      <w:r w:rsidR="00DE03CD">
        <w:rPr>
          <w:rFonts w:ascii="Times New Roman" w:hAnsi="Times New Roman"/>
        </w:rPr>
        <w:t>charges for each date that are</w:t>
      </w:r>
      <w:r w:rsidRPr="00EE591E" w:rsidR="00A73AA3">
        <w:rPr>
          <w:rFonts w:ascii="Times New Roman" w:hAnsi="Times New Roman"/>
        </w:rPr>
        <w:t xml:space="preserve"> attributable to each </w:t>
      </w:r>
      <w:r w:rsidRPr="00EE591E" w:rsidR="00F3638F">
        <w:rPr>
          <w:rFonts w:ascii="Times New Roman" w:hAnsi="Times New Roman"/>
        </w:rPr>
        <w:t>subject</w:t>
      </w:r>
      <w:r w:rsidRPr="00EE591E" w:rsidR="00A73AA3">
        <w:rPr>
          <w:rFonts w:ascii="Times New Roman" w:hAnsi="Times New Roman"/>
        </w:rPr>
        <w:t xml:space="preserve">. </w:t>
      </w:r>
      <w:r w:rsidRPr="00EE591E" w:rsidR="00291142">
        <w:rPr>
          <w:rFonts w:ascii="Times New Roman" w:hAnsi="Times New Roman"/>
        </w:rPr>
        <w:br/>
      </w:r>
    </w:p>
    <w:p w:rsidR="00FB35DC" w:rsidRPr="00EE591E" w:rsidP="009E1B64" w14:paraId="0FDFFF45" w14:textId="3A596FF5">
      <w:pPr>
        <w:pStyle w:val="ListParagraph"/>
        <w:numPr>
          <w:ilvl w:val="0"/>
          <w:numId w:val="7"/>
        </w:numPr>
        <w:spacing w:after="0" w:line="240" w:lineRule="auto"/>
        <w:rPr>
          <w:rFonts w:ascii="Times New Roman" w:hAnsi="Times New Roman"/>
        </w:rPr>
      </w:pPr>
      <w:r w:rsidRPr="00EE591E">
        <w:rPr>
          <w:rFonts w:ascii="Times New Roman" w:hAnsi="Times New Roman"/>
        </w:rPr>
        <w:t>January 15, 2021</w:t>
      </w:r>
      <w:r w:rsidR="00767405">
        <w:rPr>
          <w:rFonts w:ascii="Times New Roman" w:hAnsi="Times New Roman"/>
        </w:rPr>
        <w:t>.</w:t>
      </w:r>
      <w:r w:rsidRPr="00EE591E">
        <w:rPr>
          <w:rFonts w:ascii="Times New Roman" w:hAnsi="Times New Roman"/>
        </w:rPr>
        <w:t xml:space="preserve">  </w:t>
      </w:r>
      <w:r w:rsidRPr="00EE591E" w:rsidR="00380967">
        <w:rPr>
          <w:rFonts w:ascii="Times New Roman" w:hAnsi="Times New Roman"/>
        </w:rPr>
        <w:t>PVBC must</w:t>
      </w:r>
      <w:r w:rsidRPr="00EE591E">
        <w:rPr>
          <w:rFonts w:ascii="Times New Roman" w:hAnsi="Times New Roman"/>
        </w:rPr>
        <w:t xml:space="preserve"> explain </w:t>
      </w:r>
      <w:r w:rsidRPr="00EE591E" w:rsidR="00380967">
        <w:rPr>
          <w:rFonts w:ascii="Times New Roman" w:hAnsi="Times New Roman"/>
        </w:rPr>
        <w:t>the nexus between</w:t>
      </w:r>
      <w:r w:rsidRPr="00EE591E">
        <w:rPr>
          <w:rFonts w:ascii="Times New Roman" w:hAnsi="Times New Roman"/>
        </w:rPr>
        <w:t xml:space="preserve"> each </w:t>
      </w:r>
      <w:r w:rsidRPr="00EE591E" w:rsidR="00340A3A">
        <w:rPr>
          <w:rFonts w:ascii="Times New Roman" w:hAnsi="Times New Roman"/>
        </w:rPr>
        <w:t xml:space="preserve">task performed on this date </w:t>
      </w:r>
      <w:r w:rsidRPr="00EE591E" w:rsidR="00380967">
        <w:rPr>
          <w:rFonts w:ascii="Times New Roman" w:hAnsi="Times New Roman"/>
        </w:rPr>
        <w:t xml:space="preserve">and the </w:t>
      </w:r>
      <w:r w:rsidRPr="00EE591E">
        <w:rPr>
          <w:rFonts w:ascii="Times New Roman" w:hAnsi="Times New Roman"/>
        </w:rPr>
        <w:t xml:space="preserve">KPPV(FM) channel change.  </w:t>
      </w:r>
      <w:r w:rsidRPr="00EE591E" w:rsidR="00380967">
        <w:rPr>
          <w:rFonts w:ascii="Times New Roman" w:hAnsi="Times New Roman"/>
        </w:rPr>
        <w:t>PVBC must also</w:t>
      </w:r>
      <w:r w:rsidRPr="00EE591E">
        <w:rPr>
          <w:rFonts w:ascii="Times New Roman" w:hAnsi="Times New Roman"/>
        </w:rPr>
        <w:t xml:space="preserve"> provide a list of the </w:t>
      </w:r>
      <w:r w:rsidRPr="00EE591E" w:rsidR="00F3638F">
        <w:rPr>
          <w:rFonts w:ascii="Times New Roman" w:hAnsi="Times New Roman"/>
        </w:rPr>
        <w:t>subject matter</w:t>
      </w:r>
      <w:r w:rsidR="00767405">
        <w:rPr>
          <w:rFonts w:ascii="Times New Roman" w:hAnsi="Times New Roman"/>
        </w:rPr>
        <w:t>s</w:t>
      </w:r>
      <w:r w:rsidRPr="00EE591E">
        <w:rPr>
          <w:rFonts w:ascii="Times New Roman" w:hAnsi="Times New Roman"/>
        </w:rPr>
        <w:t xml:space="preserve"> discussed during the conference with FCC staff.  </w:t>
      </w:r>
      <w:r w:rsidRPr="00EE591E">
        <w:rPr>
          <w:rFonts w:ascii="Times New Roman" w:hAnsi="Times New Roman"/>
        </w:rPr>
        <w:br/>
      </w:r>
    </w:p>
    <w:p w:rsidR="00D47AEA" w14:paraId="2293A1D7" w14:textId="77777777">
      <w:pPr>
        <w:rPr>
          <w:rFonts w:eastAsia="Calibri"/>
          <w:sz w:val="22"/>
          <w:szCs w:val="22"/>
        </w:rPr>
      </w:pPr>
      <w:r>
        <w:br w:type="page"/>
      </w:r>
    </w:p>
    <w:p w:rsidR="00844A5A" w:rsidRPr="00EE591E" w:rsidP="009E1B64" w14:paraId="07D2CFCE" w14:textId="12214D00">
      <w:pPr>
        <w:pStyle w:val="ListParagraph"/>
        <w:numPr>
          <w:ilvl w:val="0"/>
          <w:numId w:val="7"/>
        </w:numPr>
        <w:spacing w:after="0" w:line="240" w:lineRule="auto"/>
        <w:rPr>
          <w:rFonts w:ascii="Times New Roman" w:hAnsi="Times New Roman"/>
        </w:rPr>
      </w:pPr>
      <w:r w:rsidRPr="00EE591E">
        <w:rPr>
          <w:rFonts w:ascii="Times New Roman" w:hAnsi="Times New Roman"/>
        </w:rPr>
        <w:t xml:space="preserve">July </w:t>
      </w:r>
      <w:r w:rsidRPr="00EE591E" w:rsidR="00A73AA3">
        <w:rPr>
          <w:rFonts w:ascii="Times New Roman" w:hAnsi="Times New Roman"/>
        </w:rPr>
        <w:t>14</w:t>
      </w:r>
      <w:r w:rsidRPr="00EE591E" w:rsidR="00380967">
        <w:rPr>
          <w:rFonts w:ascii="Times New Roman" w:hAnsi="Times New Roman"/>
        </w:rPr>
        <w:t>, and</w:t>
      </w:r>
      <w:r w:rsidRPr="00EE591E" w:rsidR="00A73AA3">
        <w:rPr>
          <w:rFonts w:ascii="Times New Roman" w:hAnsi="Times New Roman"/>
        </w:rPr>
        <w:t xml:space="preserve"> </w:t>
      </w:r>
      <w:r w:rsidRPr="00EE591E">
        <w:rPr>
          <w:rFonts w:ascii="Times New Roman" w:hAnsi="Times New Roman"/>
        </w:rPr>
        <w:t xml:space="preserve">15, 2021.  </w:t>
      </w:r>
      <w:r w:rsidR="00A47864">
        <w:rPr>
          <w:rFonts w:ascii="Times New Roman" w:hAnsi="Times New Roman"/>
        </w:rPr>
        <w:t>PVBC must</w:t>
      </w:r>
      <w:r w:rsidRPr="00EE591E" w:rsidR="00F56B08">
        <w:rPr>
          <w:rFonts w:ascii="Times New Roman" w:hAnsi="Times New Roman"/>
        </w:rPr>
        <w:t xml:space="preserve"> indicate whether the</w:t>
      </w:r>
      <w:r w:rsidRPr="00EE591E" w:rsidR="0060038C">
        <w:rPr>
          <w:rFonts w:ascii="Times New Roman" w:hAnsi="Times New Roman"/>
        </w:rPr>
        <w:t xml:space="preserve"> legal work performed on July 14, 2021, and the</w:t>
      </w:r>
      <w:r w:rsidRPr="00EE591E" w:rsidR="00F56B08">
        <w:rPr>
          <w:rFonts w:ascii="Times New Roman" w:hAnsi="Times New Roman"/>
        </w:rPr>
        <w:t xml:space="preserve"> conference </w:t>
      </w:r>
      <w:r w:rsidRPr="00EE591E" w:rsidR="00D81534">
        <w:rPr>
          <w:rFonts w:ascii="Times New Roman" w:hAnsi="Times New Roman"/>
        </w:rPr>
        <w:t>that occurred</w:t>
      </w:r>
      <w:r w:rsidRPr="00EE591E" w:rsidR="0060038C">
        <w:rPr>
          <w:rFonts w:ascii="Times New Roman" w:hAnsi="Times New Roman"/>
        </w:rPr>
        <w:t xml:space="preserve"> on July 15, 2021, were</w:t>
      </w:r>
      <w:r w:rsidRPr="00EE591E" w:rsidR="00F56B08">
        <w:rPr>
          <w:rFonts w:ascii="Times New Roman" w:hAnsi="Times New Roman"/>
        </w:rPr>
        <w:t xml:space="preserve"> related to its reimbursement negotiations with Entravision.  If </w:t>
      </w:r>
      <w:r w:rsidR="00FA3479">
        <w:rPr>
          <w:rFonts w:ascii="Times New Roman" w:hAnsi="Times New Roman"/>
        </w:rPr>
        <w:t>any of the</w:t>
      </w:r>
      <w:r w:rsidRPr="00EE591E" w:rsidR="00100BF5">
        <w:rPr>
          <w:rFonts w:ascii="Times New Roman" w:hAnsi="Times New Roman"/>
        </w:rPr>
        <w:t xml:space="preserve"> </w:t>
      </w:r>
      <w:r w:rsidRPr="00EE591E" w:rsidR="00F56B08">
        <w:rPr>
          <w:rFonts w:ascii="Times New Roman" w:hAnsi="Times New Roman"/>
        </w:rPr>
        <w:t xml:space="preserve">legal work was not, </w:t>
      </w:r>
      <w:r w:rsidR="00FA3479">
        <w:rPr>
          <w:rFonts w:ascii="Times New Roman" w:hAnsi="Times New Roman"/>
        </w:rPr>
        <w:t>PVBC must</w:t>
      </w:r>
      <w:r w:rsidRPr="00EE591E" w:rsidR="00F56B08">
        <w:rPr>
          <w:rFonts w:ascii="Times New Roman" w:hAnsi="Times New Roman"/>
        </w:rPr>
        <w:t xml:space="preserve"> identify the </w:t>
      </w:r>
      <w:r w:rsidRPr="00EE591E" w:rsidR="00BE25F4">
        <w:rPr>
          <w:rFonts w:ascii="Times New Roman" w:hAnsi="Times New Roman"/>
        </w:rPr>
        <w:t>subject matter covered</w:t>
      </w:r>
      <w:r w:rsidRPr="00EE591E" w:rsidR="00F56B08">
        <w:rPr>
          <w:rFonts w:ascii="Times New Roman" w:hAnsi="Times New Roman"/>
        </w:rPr>
        <w:t xml:space="preserve">, and provide a breakdown of how much of the charge for each date is attributable to each </w:t>
      </w:r>
      <w:r w:rsidRPr="00EE591E" w:rsidR="00BE25F4">
        <w:rPr>
          <w:rFonts w:ascii="Times New Roman" w:hAnsi="Times New Roman"/>
        </w:rPr>
        <w:t>subject</w:t>
      </w:r>
      <w:r w:rsidRPr="00EE591E" w:rsidR="00F56B08">
        <w:rPr>
          <w:rFonts w:ascii="Times New Roman" w:hAnsi="Times New Roman"/>
        </w:rPr>
        <w:t>.</w:t>
      </w:r>
      <w:r w:rsidRPr="00EE591E" w:rsidR="00291142">
        <w:rPr>
          <w:rFonts w:ascii="Times New Roman" w:hAnsi="Times New Roman"/>
        </w:rPr>
        <w:br/>
      </w:r>
    </w:p>
    <w:p w:rsidR="00A706CE" w:rsidRPr="00EE591E" w:rsidP="009E1B64" w14:paraId="622C191C" w14:textId="3368C67E">
      <w:pPr>
        <w:pStyle w:val="ListParagraph"/>
        <w:spacing w:after="0" w:line="240" w:lineRule="auto"/>
        <w:rPr>
          <w:rFonts w:ascii="Times New Roman" w:hAnsi="Times New Roman"/>
          <w:b/>
          <w:bCs/>
        </w:rPr>
      </w:pPr>
      <w:r w:rsidRPr="00EE591E">
        <w:rPr>
          <w:rFonts w:ascii="Times New Roman" w:hAnsi="Times New Roman"/>
          <w:b/>
          <w:bCs/>
        </w:rPr>
        <w:t>3.</w:t>
      </w:r>
      <w:r w:rsidRPr="00EE591E">
        <w:rPr>
          <w:rFonts w:ascii="Times New Roman" w:hAnsi="Times New Roman"/>
          <w:b/>
          <w:bCs/>
        </w:rPr>
        <w:tab/>
        <w:t>Equipment</w:t>
      </w:r>
    </w:p>
    <w:p w:rsidR="00A706CE" w:rsidRPr="00EE591E" w:rsidP="009E1B64" w14:paraId="1A271D02" w14:textId="77777777">
      <w:pPr>
        <w:pStyle w:val="ListParagraph"/>
        <w:spacing w:after="0" w:line="240" w:lineRule="auto"/>
        <w:rPr>
          <w:rFonts w:ascii="Times New Roman" w:hAnsi="Times New Roman"/>
          <w:b/>
          <w:bCs/>
        </w:rPr>
      </w:pPr>
    </w:p>
    <w:p w:rsidR="00A706CE" w:rsidRPr="00EE591E" w:rsidP="009E1B64" w14:paraId="68D56298" w14:textId="528B1B27">
      <w:pPr>
        <w:pStyle w:val="ListParagraph"/>
        <w:spacing w:after="0" w:line="240" w:lineRule="auto"/>
        <w:ind w:left="0" w:firstLine="720"/>
        <w:rPr>
          <w:rFonts w:ascii="Times New Roman" w:hAnsi="Times New Roman"/>
        </w:rPr>
      </w:pPr>
      <w:r w:rsidRPr="00EE591E">
        <w:rPr>
          <w:rFonts w:ascii="Times New Roman" w:hAnsi="Times New Roman"/>
        </w:rPr>
        <w:t xml:space="preserve">While we are unable, at this time, to </w:t>
      </w:r>
      <w:r w:rsidRPr="00EE591E" w:rsidR="00FD0387">
        <w:rPr>
          <w:rFonts w:ascii="Times New Roman" w:hAnsi="Times New Roman"/>
        </w:rPr>
        <w:t>determine</w:t>
      </w:r>
      <w:r w:rsidRPr="00EE591E">
        <w:rPr>
          <w:rFonts w:ascii="Times New Roman" w:hAnsi="Times New Roman"/>
        </w:rPr>
        <w:t xml:space="preserve"> whether </w:t>
      </w:r>
      <w:r w:rsidRPr="00EE591E" w:rsidR="00964BD8">
        <w:rPr>
          <w:rFonts w:ascii="Times New Roman" w:hAnsi="Times New Roman"/>
        </w:rPr>
        <w:t xml:space="preserve">PVBC is entitled to reimbursement for </w:t>
      </w:r>
      <w:r w:rsidRPr="00EE591E" w:rsidR="0057325C">
        <w:rPr>
          <w:rFonts w:ascii="Times New Roman" w:hAnsi="Times New Roman"/>
        </w:rPr>
        <w:t>the equipment</w:t>
      </w:r>
      <w:r w:rsidRPr="00EE591E">
        <w:rPr>
          <w:rFonts w:ascii="Times New Roman" w:hAnsi="Times New Roman"/>
        </w:rPr>
        <w:t xml:space="preserve"> </w:t>
      </w:r>
      <w:r w:rsidRPr="00EE591E" w:rsidR="00FC7011">
        <w:rPr>
          <w:rFonts w:ascii="Times New Roman" w:hAnsi="Times New Roman"/>
        </w:rPr>
        <w:t>listed in the Report</w:t>
      </w:r>
      <w:r w:rsidRPr="00EE591E">
        <w:rPr>
          <w:rFonts w:ascii="Times New Roman" w:hAnsi="Times New Roman"/>
        </w:rPr>
        <w:t>,</w:t>
      </w:r>
      <w:r>
        <w:rPr>
          <w:rStyle w:val="FootnoteReference"/>
          <w:rFonts w:ascii="Times New Roman" w:hAnsi="Times New Roman"/>
        </w:rPr>
        <w:footnoteReference w:id="70"/>
      </w:r>
      <w:r w:rsidRPr="00EE591E">
        <w:rPr>
          <w:rFonts w:ascii="Times New Roman" w:hAnsi="Times New Roman"/>
        </w:rPr>
        <w:t xml:space="preserve"> we offer some guidance regarding equipment expenses.  First, we remind the parties that</w:t>
      </w:r>
      <w:r w:rsidRPr="00EE591E" w:rsidR="00F8704C">
        <w:rPr>
          <w:rFonts w:ascii="Times New Roman" w:hAnsi="Times New Roman"/>
        </w:rPr>
        <w:t xml:space="preserve"> PVBC </w:t>
      </w:r>
      <w:r w:rsidRPr="00EE591E" w:rsidR="00504603">
        <w:rPr>
          <w:rFonts w:ascii="Times New Roman" w:hAnsi="Times New Roman"/>
        </w:rPr>
        <w:t>is “</w:t>
      </w:r>
      <w:r w:rsidRPr="00EE591E" w:rsidR="003D015D">
        <w:rPr>
          <w:rFonts w:ascii="Times New Roman" w:hAnsi="Times New Roman"/>
        </w:rPr>
        <w:t>entitled to reimbursement for equipment only to the extent new equipment is actually required (</w:t>
      </w:r>
      <w:r w:rsidRPr="00EE591E" w:rsidR="003D015D">
        <w:rPr>
          <w:rFonts w:ascii="Times New Roman" w:hAnsi="Times New Roman"/>
          <w:i/>
          <w:iCs/>
        </w:rPr>
        <w:t>i.e.,</w:t>
      </w:r>
      <w:r w:rsidRPr="00EE591E" w:rsidR="003D015D">
        <w:rPr>
          <w:rFonts w:ascii="Times New Roman" w:hAnsi="Times New Roman"/>
        </w:rPr>
        <w:t xml:space="preserve"> </w:t>
      </w:r>
      <w:r w:rsidR="001B7EF2">
        <w:rPr>
          <w:rFonts w:ascii="Times New Roman" w:hAnsi="Times New Roman"/>
        </w:rPr>
        <w:t xml:space="preserve">some </w:t>
      </w:r>
      <w:r w:rsidRPr="00EE591E" w:rsidR="003D015D">
        <w:rPr>
          <w:rFonts w:ascii="Times New Roman" w:hAnsi="Times New Roman"/>
        </w:rPr>
        <w:t xml:space="preserve">antennas can be retuned </w:t>
      </w:r>
      <w:r w:rsidR="001B7EF2">
        <w:rPr>
          <w:rFonts w:ascii="Times New Roman" w:hAnsi="Times New Roman"/>
        </w:rPr>
        <w:t>[</w:t>
      </w:r>
      <w:r w:rsidR="00723619">
        <w:rPr>
          <w:rFonts w:ascii="Times New Roman" w:hAnsi="Times New Roman"/>
        </w:rPr>
        <w:t>but in other cases a new antenna could be required</w:t>
      </w:r>
      <w:r w:rsidR="001B7EF2">
        <w:rPr>
          <w:rFonts w:ascii="Times New Roman" w:hAnsi="Times New Roman"/>
        </w:rPr>
        <w:t>]</w:t>
      </w:r>
      <w:r w:rsidRPr="00EE591E" w:rsidR="003D015D">
        <w:rPr>
          <w:rFonts w:ascii="Times New Roman" w:hAnsi="Times New Roman"/>
        </w:rPr>
        <w:t>), and only for equipment corresponding to that previously in use.”</w:t>
      </w:r>
      <w:r>
        <w:rPr>
          <w:rStyle w:val="FootnoteReference"/>
          <w:rFonts w:ascii="Times New Roman" w:hAnsi="Times New Roman"/>
        </w:rPr>
        <w:footnoteReference w:id="71"/>
      </w:r>
      <w:r w:rsidRPr="00EE591E" w:rsidR="003D015D">
        <w:rPr>
          <w:rFonts w:ascii="Times New Roman" w:hAnsi="Times New Roman"/>
        </w:rPr>
        <w:t xml:space="preserve">  </w:t>
      </w:r>
      <w:r w:rsidRPr="00EE591E" w:rsidR="00CC2339">
        <w:rPr>
          <w:rFonts w:ascii="Times New Roman" w:hAnsi="Times New Roman"/>
        </w:rPr>
        <w:t xml:space="preserve">Second, </w:t>
      </w:r>
      <w:r w:rsidRPr="00EE591E" w:rsidR="00650A5D">
        <w:rPr>
          <w:rFonts w:ascii="Times New Roman" w:hAnsi="Times New Roman"/>
        </w:rPr>
        <w:t xml:space="preserve">on at least one occasion, we have required reimbursement </w:t>
      </w:r>
      <w:r w:rsidRPr="00EE591E" w:rsidR="00C96696">
        <w:rPr>
          <w:rFonts w:ascii="Times New Roman" w:hAnsi="Times New Roman"/>
        </w:rPr>
        <w:t>for</w:t>
      </w:r>
      <w:r w:rsidRPr="00EE591E" w:rsidR="00F933E7">
        <w:rPr>
          <w:rFonts w:ascii="Times New Roman" w:hAnsi="Times New Roman"/>
        </w:rPr>
        <w:t xml:space="preserve"> a</w:t>
      </w:r>
      <w:r w:rsidRPr="00EE591E" w:rsidR="00C96696">
        <w:rPr>
          <w:rFonts w:ascii="Times New Roman" w:hAnsi="Times New Roman"/>
        </w:rPr>
        <w:t xml:space="preserve"> </w:t>
      </w:r>
      <w:r w:rsidRPr="00EE591E" w:rsidR="00650A5D">
        <w:rPr>
          <w:rFonts w:ascii="Times New Roman" w:hAnsi="Times New Roman"/>
        </w:rPr>
        <w:t>“stand by antenna</w:t>
      </w:r>
      <w:r w:rsidR="001A26A6">
        <w:rPr>
          <w:rFonts w:ascii="Times New Roman" w:hAnsi="Times New Roman"/>
        </w:rPr>
        <w:t>.</w:t>
      </w:r>
      <w:r w:rsidRPr="00EE591E" w:rsidR="00650A5D">
        <w:rPr>
          <w:rFonts w:ascii="Times New Roman" w:hAnsi="Times New Roman"/>
        </w:rPr>
        <w:t>”</w:t>
      </w:r>
      <w:r>
        <w:rPr>
          <w:rStyle w:val="FootnoteReference"/>
          <w:rFonts w:ascii="Times New Roman" w:hAnsi="Times New Roman"/>
        </w:rPr>
        <w:footnoteReference w:id="72"/>
      </w:r>
      <w:r w:rsidR="00A34EAC">
        <w:rPr>
          <w:rFonts w:ascii="Times New Roman" w:hAnsi="Times New Roman"/>
        </w:rPr>
        <w:t xml:space="preserve">  </w:t>
      </w:r>
      <w:r w:rsidRPr="00EE591E" w:rsidR="00E70EAC">
        <w:rPr>
          <w:rFonts w:ascii="Times New Roman" w:hAnsi="Times New Roman"/>
        </w:rPr>
        <w:t>T</w:t>
      </w:r>
      <w:r w:rsidRPr="00EE591E" w:rsidR="00FE4D08">
        <w:rPr>
          <w:rFonts w:ascii="Times New Roman" w:hAnsi="Times New Roman"/>
        </w:rPr>
        <w:t>o the extent t</w:t>
      </w:r>
      <w:r w:rsidRPr="00EE591E" w:rsidR="007B6796">
        <w:rPr>
          <w:rFonts w:ascii="Times New Roman" w:hAnsi="Times New Roman"/>
        </w:rPr>
        <w:t xml:space="preserve">hat the </w:t>
      </w:r>
      <w:r w:rsidR="00A34EAC">
        <w:rPr>
          <w:rFonts w:ascii="Times New Roman" w:hAnsi="Times New Roman"/>
        </w:rPr>
        <w:t xml:space="preserve">KPPV(FM) </w:t>
      </w:r>
      <w:r w:rsidRPr="00EE591E" w:rsidR="007B6796">
        <w:rPr>
          <w:rFonts w:ascii="Times New Roman" w:hAnsi="Times New Roman"/>
        </w:rPr>
        <w:t xml:space="preserve">channel change requires PVBC to </w:t>
      </w:r>
      <w:r w:rsidRPr="00EE591E" w:rsidR="001D7101">
        <w:rPr>
          <w:rFonts w:ascii="Times New Roman" w:hAnsi="Times New Roman"/>
        </w:rPr>
        <w:t xml:space="preserve">modify or replace </w:t>
      </w:r>
      <w:r w:rsidRPr="00EE591E" w:rsidR="007B6796">
        <w:rPr>
          <w:rFonts w:ascii="Times New Roman" w:hAnsi="Times New Roman"/>
        </w:rPr>
        <w:t>equipment at its back</w:t>
      </w:r>
      <w:r w:rsidR="00723619">
        <w:rPr>
          <w:rFonts w:ascii="Times New Roman" w:hAnsi="Times New Roman"/>
        </w:rPr>
        <w:t>-</w:t>
      </w:r>
      <w:r w:rsidRPr="00EE591E" w:rsidR="007B6796">
        <w:rPr>
          <w:rFonts w:ascii="Times New Roman" w:hAnsi="Times New Roman"/>
        </w:rPr>
        <w:t>up site</w:t>
      </w:r>
      <w:r w:rsidRPr="00EE591E" w:rsidR="001D7101">
        <w:rPr>
          <w:rFonts w:ascii="Times New Roman" w:hAnsi="Times New Roman"/>
        </w:rPr>
        <w:t>, we believe it is entitled to reimbursement for those expenses.  T</w:t>
      </w:r>
      <w:r w:rsidRPr="00EE591E" w:rsidR="00E70EAC">
        <w:rPr>
          <w:rFonts w:ascii="Times New Roman" w:hAnsi="Times New Roman"/>
        </w:rPr>
        <w:t>hird, we note that</w:t>
      </w:r>
      <w:r w:rsidRPr="00EE591E" w:rsidR="005D3AFC">
        <w:rPr>
          <w:rFonts w:ascii="Times New Roman" w:hAnsi="Times New Roman"/>
        </w:rPr>
        <w:t xml:space="preserve">, </w:t>
      </w:r>
      <w:r w:rsidRPr="00EE591E" w:rsidR="00A0078B">
        <w:rPr>
          <w:rFonts w:ascii="Times New Roman" w:hAnsi="Times New Roman"/>
        </w:rPr>
        <w:t>where a</w:t>
      </w:r>
      <w:r w:rsidRPr="00EE591E" w:rsidR="008122B5">
        <w:rPr>
          <w:rFonts w:ascii="Times New Roman" w:hAnsi="Times New Roman"/>
        </w:rPr>
        <w:t xml:space="preserve"> station’s</w:t>
      </w:r>
      <w:r w:rsidRPr="00EE591E" w:rsidR="00A0078B">
        <w:rPr>
          <w:rFonts w:ascii="Times New Roman" w:hAnsi="Times New Roman"/>
        </w:rPr>
        <w:t xml:space="preserve"> involuntary</w:t>
      </w:r>
      <w:r w:rsidRPr="00EE591E" w:rsidR="005D3AFC">
        <w:rPr>
          <w:rFonts w:ascii="Times New Roman" w:hAnsi="Times New Roman"/>
        </w:rPr>
        <w:t xml:space="preserve"> channel change results in the need </w:t>
      </w:r>
      <w:r w:rsidRPr="00EE591E" w:rsidR="004B54DE">
        <w:rPr>
          <w:rFonts w:ascii="Times New Roman" w:hAnsi="Times New Roman"/>
        </w:rPr>
        <w:t>to</w:t>
      </w:r>
      <w:r w:rsidRPr="00EE591E" w:rsidR="00940C4D">
        <w:rPr>
          <w:rFonts w:ascii="Times New Roman" w:hAnsi="Times New Roman"/>
        </w:rPr>
        <w:t xml:space="preserve"> </w:t>
      </w:r>
      <w:r w:rsidRPr="00EE591E" w:rsidR="004B54DE">
        <w:rPr>
          <w:rFonts w:ascii="Times New Roman" w:hAnsi="Times New Roman"/>
        </w:rPr>
        <w:t>replace or modify</w:t>
      </w:r>
      <w:r w:rsidRPr="00EE591E" w:rsidR="00940C4D">
        <w:rPr>
          <w:rFonts w:ascii="Times New Roman" w:hAnsi="Times New Roman"/>
        </w:rPr>
        <w:t xml:space="preserve"> equipment used to operate</w:t>
      </w:r>
      <w:r w:rsidRPr="00EE591E" w:rsidR="008122B5">
        <w:rPr>
          <w:rFonts w:ascii="Times New Roman" w:hAnsi="Times New Roman"/>
        </w:rPr>
        <w:t xml:space="preserve"> its</w:t>
      </w:r>
      <w:r w:rsidRPr="00EE591E" w:rsidR="00940C4D">
        <w:rPr>
          <w:rFonts w:ascii="Times New Roman" w:hAnsi="Times New Roman"/>
        </w:rPr>
        <w:t xml:space="preserve"> </w:t>
      </w:r>
      <w:r w:rsidRPr="00EE591E" w:rsidR="005D3AFC">
        <w:rPr>
          <w:rFonts w:ascii="Times New Roman" w:hAnsi="Times New Roman"/>
        </w:rPr>
        <w:t>booster stat</w:t>
      </w:r>
      <w:r w:rsidRPr="00EE591E" w:rsidR="006F0E4B">
        <w:rPr>
          <w:rFonts w:ascii="Times New Roman" w:hAnsi="Times New Roman"/>
        </w:rPr>
        <w:t xml:space="preserve">ion, </w:t>
      </w:r>
      <w:r w:rsidRPr="00EE591E" w:rsidR="008122B5">
        <w:rPr>
          <w:rFonts w:ascii="Times New Roman" w:hAnsi="Times New Roman"/>
        </w:rPr>
        <w:t>the benefiting party</w:t>
      </w:r>
      <w:r w:rsidRPr="00EE591E" w:rsidR="006F0E4B">
        <w:rPr>
          <w:rFonts w:ascii="Times New Roman" w:hAnsi="Times New Roman"/>
        </w:rPr>
        <w:t xml:space="preserve"> should </w:t>
      </w:r>
      <w:r w:rsidRPr="00EE591E" w:rsidR="008122B5">
        <w:rPr>
          <w:rFonts w:ascii="Times New Roman" w:hAnsi="Times New Roman"/>
        </w:rPr>
        <w:t>reimburse the accommodating party</w:t>
      </w:r>
      <w:r w:rsidRPr="00EE591E" w:rsidR="006F0E4B">
        <w:rPr>
          <w:rFonts w:ascii="Times New Roman" w:hAnsi="Times New Roman"/>
        </w:rPr>
        <w:t xml:space="preserve"> for the cost of such equipment.</w:t>
      </w:r>
      <w:r>
        <w:rPr>
          <w:rStyle w:val="FootnoteReference"/>
          <w:rFonts w:ascii="Times New Roman" w:hAnsi="Times New Roman"/>
        </w:rPr>
        <w:footnoteReference w:id="73"/>
      </w:r>
      <w:r w:rsidRPr="00EE591E" w:rsidR="006F0E4B">
        <w:rPr>
          <w:rFonts w:ascii="Times New Roman" w:hAnsi="Times New Roman"/>
        </w:rPr>
        <w:t xml:space="preserve">  </w:t>
      </w:r>
      <w:r w:rsidRPr="00EE591E" w:rsidR="008122B5">
        <w:rPr>
          <w:rFonts w:ascii="Times New Roman" w:hAnsi="Times New Roman"/>
        </w:rPr>
        <w:t>B</w:t>
      </w:r>
      <w:r w:rsidRPr="00EE591E" w:rsidR="00CB352F">
        <w:rPr>
          <w:rFonts w:ascii="Times New Roman" w:hAnsi="Times New Roman"/>
        </w:rPr>
        <w:t xml:space="preserve">ooster stations </w:t>
      </w:r>
      <w:r w:rsidRPr="00EE591E" w:rsidR="00A57FB4">
        <w:rPr>
          <w:rFonts w:ascii="Times New Roman" w:hAnsi="Times New Roman"/>
        </w:rPr>
        <w:t>must operate</w:t>
      </w:r>
      <w:r w:rsidRPr="00EE591E" w:rsidR="00054E9B">
        <w:rPr>
          <w:rFonts w:ascii="Times New Roman" w:hAnsi="Times New Roman"/>
        </w:rPr>
        <w:t xml:space="preserve"> on </w:t>
      </w:r>
      <w:r w:rsidRPr="00EE591E" w:rsidR="00A57FB4">
        <w:rPr>
          <w:rFonts w:ascii="Times New Roman" w:hAnsi="Times New Roman"/>
        </w:rPr>
        <w:t xml:space="preserve">the same frequency as </w:t>
      </w:r>
      <w:r w:rsidRPr="00EE591E" w:rsidR="008122B5">
        <w:rPr>
          <w:rFonts w:ascii="Times New Roman" w:hAnsi="Times New Roman"/>
        </w:rPr>
        <w:t>the</w:t>
      </w:r>
      <w:r w:rsidRPr="00EE591E" w:rsidR="001B774B">
        <w:rPr>
          <w:rFonts w:ascii="Times New Roman" w:hAnsi="Times New Roman"/>
        </w:rPr>
        <w:t>ir primary stations</w:t>
      </w:r>
      <w:r w:rsidRPr="00EE591E" w:rsidR="000460C3">
        <w:rPr>
          <w:rFonts w:ascii="Times New Roman" w:hAnsi="Times New Roman"/>
        </w:rPr>
        <w:t>.</w:t>
      </w:r>
      <w:r>
        <w:rPr>
          <w:rStyle w:val="FootnoteReference"/>
          <w:rFonts w:ascii="Times New Roman" w:hAnsi="Times New Roman"/>
        </w:rPr>
        <w:footnoteReference w:id="74"/>
      </w:r>
      <w:r w:rsidRPr="00EE591E" w:rsidR="00001FEE">
        <w:rPr>
          <w:rFonts w:ascii="Times New Roman" w:hAnsi="Times New Roman"/>
        </w:rPr>
        <w:t xml:space="preserve"> </w:t>
      </w:r>
      <w:r w:rsidRPr="00EE591E" w:rsidR="004B54DE">
        <w:rPr>
          <w:rFonts w:ascii="Times New Roman" w:hAnsi="Times New Roman"/>
        </w:rPr>
        <w:t xml:space="preserve"> </w:t>
      </w:r>
      <w:r w:rsidRPr="00EE591E" w:rsidR="001B774B">
        <w:rPr>
          <w:rFonts w:ascii="Times New Roman" w:hAnsi="Times New Roman"/>
        </w:rPr>
        <w:t xml:space="preserve">Thus, when </w:t>
      </w:r>
      <w:r w:rsidRPr="00EE591E" w:rsidR="001D7101">
        <w:rPr>
          <w:rFonts w:ascii="Times New Roman" w:hAnsi="Times New Roman"/>
        </w:rPr>
        <w:t>an</w:t>
      </w:r>
      <w:r w:rsidRPr="00EE591E" w:rsidR="001B774B">
        <w:rPr>
          <w:rFonts w:ascii="Times New Roman" w:hAnsi="Times New Roman"/>
        </w:rPr>
        <w:t xml:space="preserve"> FM station is ordered by the </w:t>
      </w:r>
      <w:r w:rsidR="00376915">
        <w:rPr>
          <w:rFonts w:ascii="Times New Roman" w:hAnsi="Times New Roman"/>
        </w:rPr>
        <w:t>Commission</w:t>
      </w:r>
      <w:r w:rsidRPr="00EE591E" w:rsidR="001B774B">
        <w:rPr>
          <w:rFonts w:ascii="Times New Roman" w:hAnsi="Times New Roman"/>
        </w:rPr>
        <w:t xml:space="preserve"> to change its </w:t>
      </w:r>
      <w:r w:rsidR="00376915">
        <w:rPr>
          <w:rFonts w:ascii="Times New Roman" w:hAnsi="Times New Roman"/>
        </w:rPr>
        <w:t>frequency</w:t>
      </w:r>
      <w:r w:rsidRPr="00EE591E" w:rsidR="004B54DE">
        <w:rPr>
          <w:rFonts w:ascii="Times New Roman" w:hAnsi="Times New Roman"/>
        </w:rPr>
        <w:t xml:space="preserve">, </w:t>
      </w:r>
      <w:r w:rsidRPr="00EE591E" w:rsidR="001D7101">
        <w:rPr>
          <w:rFonts w:ascii="Times New Roman" w:hAnsi="Times New Roman"/>
        </w:rPr>
        <w:t xml:space="preserve">it </w:t>
      </w:r>
      <w:r w:rsidRPr="00EE591E" w:rsidR="001A1194">
        <w:rPr>
          <w:rFonts w:ascii="Times New Roman" w:hAnsi="Times New Roman"/>
        </w:rPr>
        <w:t>has</w:t>
      </w:r>
      <w:r w:rsidRPr="00EE591E" w:rsidR="004B54DE">
        <w:rPr>
          <w:rFonts w:ascii="Times New Roman" w:hAnsi="Times New Roman"/>
        </w:rPr>
        <w:t xml:space="preserve"> no c</w:t>
      </w:r>
      <w:r w:rsidRPr="00EE591E" w:rsidR="00805C2E">
        <w:rPr>
          <w:rFonts w:ascii="Times New Roman" w:hAnsi="Times New Roman"/>
        </w:rPr>
        <w:t xml:space="preserve">hoice but to </w:t>
      </w:r>
      <w:r w:rsidRPr="00EE591E" w:rsidR="001B774B">
        <w:rPr>
          <w:rFonts w:ascii="Times New Roman" w:hAnsi="Times New Roman"/>
        </w:rPr>
        <w:t xml:space="preserve">change </w:t>
      </w:r>
      <w:r w:rsidRPr="00EE591E" w:rsidR="00970ECC">
        <w:rPr>
          <w:rFonts w:ascii="Times New Roman" w:hAnsi="Times New Roman"/>
        </w:rPr>
        <w:t>its booster station’s</w:t>
      </w:r>
      <w:r w:rsidRPr="00EE591E" w:rsidR="001B774B">
        <w:rPr>
          <w:rFonts w:ascii="Times New Roman" w:hAnsi="Times New Roman"/>
        </w:rPr>
        <w:t xml:space="preserve"> </w:t>
      </w:r>
      <w:r w:rsidR="00376915">
        <w:rPr>
          <w:rFonts w:ascii="Times New Roman" w:hAnsi="Times New Roman"/>
        </w:rPr>
        <w:t>frequency</w:t>
      </w:r>
      <w:r w:rsidRPr="00EE591E" w:rsidR="00061522">
        <w:rPr>
          <w:rFonts w:ascii="Times New Roman" w:hAnsi="Times New Roman"/>
        </w:rPr>
        <w:t xml:space="preserve"> too</w:t>
      </w:r>
      <w:r w:rsidRPr="00EE591E" w:rsidR="004B54DE">
        <w:rPr>
          <w:rFonts w:ascii="Times New Roman" w:hAnsi="Times New Roman"/>
        </w:rPr>
        <w:t>.</w:t>
      </w:r>
      <w:r w:rsidRPr="00EE591E" w:rsidR="005A283B">
        <w:rPr>
          <w:rFonts w:ascii="Times New Roman" w:hAnsi="Times New Roman"/>
        </w:rPr>
        <w:t xml:space="preserve">  </w:t>
      </w:r>
      <w:r w:rsidRPr="00EE591E" w:rsidR="00B97598">
        <w:rPr>
          <w:rFonts w:ascii="Times New Roman" w:hAnsi="Times New Roman"/>
        </w:rPr>
        <w:t xml:space="preserve">We also note that, in order to ensure that </w:t>
      </w:r>
      <w:r w:rsidRPr="00EE591E" w:rsidR="00FA201A">
        <w:rPr>
          <w:rFonts w:ascii="Times New Roman" w:hAnsi="Times New Roman"/>
        </w:rPr>
        <w:t>a</w:t>
      </w:r>
      <w:r w:rsidRPr="00EE591E" w:rsidR="00B97598">
        <w:rPr>
          <w:rFonts w:ascii="Times New Roman" w:hAnsi="Times New Roman"/>
        </w:rPr>
        <w:t xml:space="preserve"> booster station </w:t>
      </w:r>
      <w:r w:rsidRPr="00EE591E" w:rsidR="00970ECC">
        <w:rPr>
          <w:rFonts w:ascii="Times New Roman" w:hAnsi="Times New Roman"/>
        </w:rPr>
        <w:t>impacted</w:t>
      </w:r>
      <w:r w:rsidRPr="00EE591E" w:rsidR="00FA201A">
        <w:rPr>
          <w:rFonts w:ascii="Times New Roman" w:hAnsi="Times New Roman"/>
        </w:rPr>
        <w:t xml:space="preserve"> by an involuntary channel change at its primary station continues to receive that station’s</w:t>
      </w:r>
      <w:r w:rsidRPr="00EE591E" w:rsidR="00B97598">
        <w:rPr>
          <w:rFonts w:ascii="Times New Roman" w:hAnsi="Times New Roman"/>
        </w:rPr>
        <w:t xml:space="preserve"> signal, </w:t>
      </w:r>
      <w:r w:rsidRPr="00EE591E" w:rsidR="00FA201A">
        <w:rPr>
          <w:rFonts w:ascii="Times New Roman" w:hAnsi="Times New Roman"/>
        </w:rPr>
        <w:t>an accommodating party</w:t>
      </w:r>
      <w:r w:rsidRPr="00EE591E" w:rsidR="00B97598">
        <w:rPr>
          <w:rFonts w:ascii="Times New Roman" w:hAnsi="Times New Roman"/>
        </w:rPr>
        <w:t xml:space="preserve"> may need to modify </w:t>
      </w:r>
      <w:r w:rsidRPr="00EE591E" w:rsidR="00D613AB">
        <w:rPr>
          <w:rFonts w:ascii="Times New Roman" w:hAnsi="Times New Roman"/>
        </w:rPr>
        <w:t xml:space="preserve">or replace the equipment the booster station uses to receive </w:t>
      </w:r>
      <w:r w:rsidRPr="00EE591E" w:rsidR="00FA201A">
        <w:rPr>
          <w:rFonts w:ascii="Times New Roman" w:hAnsi="Times New Roman"/>
        </w:rPr>
        <w:t>the primary station’s</w:t>
      </w:r>
      <w:r w:rsidRPr="00EE591E" w:rsidR="00D613AB">
        <w:rPr>
          <w:rFonts w:ascii="Times New Roman" w:hAnsi="Times New Roman"/>
        </w:rPr>
        <w:t xml:space="preserve"> signal.</w:t>
      </w:r>
      <w:r w:rsidRPr="00EE591E" w:rsidR="00B97598">
        <w:rPr>
          <w:rFonts w:ascii="Times New Roman" w:hAnsi="Times New Roman"/>
        </w:rPr>
        <w:t xml:space="preserve"> </w:t>
      </w:r>
      <w:r w:rsidRPr="00EE591E" w:rsidR="0029297E">
        <w:rPr>
          <w:rFonts w:ascii="Times New Roman" w:hAnsi="Times New Roman"/>
        </w:rPr>
        <w:t xml:space="preserve"> </w:t>
      </w:r>
      <w:r w:rsidRPr="00EE591E" w:rsidR="00DD3CA1">
        <w:rPr>
          <w:rFonts w:ascii="Times New Roman" w:hAnsi="Times New Roman"/>
        </w:rPr>
        <w:t>An accommodating party also would be entitled to reimbursement for the costs associated with the modification or replacement of such equipment.</w:t>
      </w:r>
    </w:p>
    <w:p w:rsidR="002B27E2" w:rsidRPr="00EE591E" w:rsidP="009E1B64" w14:paraId="7FEAA458" w14:textId="264ED08F">
      <w:pPr>
        <w:pStyle w:val="ListParagraph"/>
        <w:spacing w:after="0" w:line="240" w:lineRule="auto"/>
        <w:rPr>
          <w:rFonts w:ascii="Times New Roman" w:hAnsi="Times New Roman"/>
          <w:b/>
          <w:bCs/>
        </w:rPr>
      </w:pPr>
      <w:r w:rsidRPr="00EE591E">
        <w:rPr>
          <w:rFonts w:ascii="Times New Roman" w:hAnsi="Times New Roman"/>
          <w:b/>
          <w:bCs/>
        </w:rPr>
        <w:t>4.</w:t>
      </w:r>
      <w:r w:rsidRPr="00EE591E">
        <w:rPr>
          <w:rFonts w:ascii="Times New Roman" w:hAnsi="Times New Roman"/>
          <w:b/>
          <w:bCs/>
        </w:rPr>
        <w:tab/>
      </w:r>
      <w:r w:rsidRPr="00EE591E">
        <w:rPr>
          <w:rFonts w:ascii="Times New Roman" w:hAnsi="Times New Roman"/>
          <w:b/>
          <w:bCs/>
        </w:rPr>
        <w:t>Application Processing Fees</w:t>
      </w:r>
    </w:p>
    <w:p w:rsidR="002B27E2" w:rsidRPr="00EE591E" w:rsidP="009E1B64" w14:paraId="505C5DF2" w14:textId="028CDC44">
      <w:pPr>
        <w:pStyle w:val="ListParagraph"/>
        <w:spacing w:after="0" w:line="240" w:lineRule="auto"/>
        <w:rPr>
          <w:rFonts w:ascii="Times New Roman" w:hAnsi="Times New Roman"/>
          <w:b/>
          <w:bCs/>
        </w:rPr>
      </w:pPr>
    </w:p>
    <w:p w:rsidR="002B27E2" w:rsidRPr="00EE591E" w:rsidP="005B4DE5" w14:paraId="70EADDE3" w14:textId="2012E385">
      <w:pPr>
        <w:ind w:firstLine="720"/>
        <w:rPr>
          <w:sz w:val="22"/>
          <w:szCs w:val="22"/>
        </w:rPr>
      </w:pPr>
      <w:r w:rsidRPr="00EE591E">
        <w:rPr>
          <w:sz w:val="22"/>
          <w:szCs w:val="22"/>
        </w:rPr>
        <w:t>We find that PVBC is entitled to reimbursement for the application fee associated with filing the Permit Application.</w:t>
      </w:r>
      <w:r>
        <w:rPr>
          <w:rStyle w:val="FootnoteReference"/>
          <w:sz w:val="22"/>
          <w:szCs w:val="22"/>
        </w:rPr>
        <w:footnoteReference w:id="75"/>
      </w:r>
      <w:r w:rsidRPr="00EE591E">
        <w:rPr>
          <w:sz w:val="22"/>
          <w:szCs w:val="22"/>
        </w:rPr>
        <w:t xml:space="preserve">  PVBC has documented that this fee totaled $1,110,</w:t>
      </w:r>
      <w:r>
        <w:rPr>
          <w:rStyle w:val="FootnoteReference"/>
          <w:sz w:val="22"/>
          <w:szCs w:val="22"/>
        </w:rPr>
        <w:footnoteReference w:id="76"/>
      </w:r>
      <w:r w:rsidRPr="00EE591E">
        <w:rPr>
          <w:sz w:val="22"/>
          <w:szCs w:val="22"/>
        </w:rPr>
        <w:t xml:space="preserve"> and Entravision has not disputed this amount.  Accordingly, we direct Entravision to reimburse PVBC $</w:t>
      </w:r>
      <w:r w:rsidRPr="00EE591E" w:rsidR="00127456">
        <w:rPr>
          <w:sz w:val="22"/>
          <w:szCs w:val="22"/>
        </w:rPr>
        <w:t>1,110</w:t>
      </w:r>
      <w:r w:rsidRPr="00EE591E">
        <w:rPr>
          <w:sz w:val="22"/>
          <w:szCs w:val="22"/>
        </w:rPr>
        <w:t xml:space="preserve"> for this expense</w:t>
      </w:r>
      <w:r w:rsidR="005B4DE5">
        <w:rPr>
          <w:sz w:val="22"/>
          <w:szCs w:val="22"/>
        </w:rPr>
        <w:t xml:space="preserve"> within </w:t>
      </w:r>
      <w:r w:rsidR="008F3159">
        <w:rPr>
          <w:sz w:val="22"/>
          <w:szCs w:val="22"/>
        </w:rPr>
        <w:t>twenty (</w:t>
      </w:r>
      <w:r w:rsidR="005B4DE5">
        <w:rPr>
          <w:sz w:val="22"/>
          <w:szCs w:val="22"/>
        </w:rPr>
        <w:t>20</w:t>
      </w:r>
      <w:r w:rsidR="008F3159">
        <w:rPr>
          <w:sz w:val="22"/>
          <w:szCs w:val="22"/>
        </w:rPr>
        <w:t>)</w:t>
      </w:r>
      <w:r w:rsidR="005B4DE5">
        <w:rPr>
          <w:sz w:val="22"/>
          <w:szCs w:val="22"/>
        </w:rPr>
        <w:t xml:space="preserve"> calendar days of the date of this letter</w:t>
      </w:r>
      <w:r w:rsidRPr="00EE591E">
        <w:rPr>
          <w:sz w:val="22"/>
          <w:szCs w:val="22"/>
        </w:rPr>
        <w:t>.</w:t>
      </w:r>
      <w:r w:rsidR="005B4DE5">
        <w:rPr>
          <w:sz w:val="22"/>
          <w:szCs w:val="22"/>
        </w:rPr>
        <w:t xml:space="preserve">  PVBC shall report on the status of this payment within </w:t>
      </w:r>
      <w:r w:rsidR="008F3159">
        <w:rPr>
          <w:sz w:val="22"/>
          <w:szCs w:val="22"/>
        </w:rPr>
        <w:t>thirty (</w:t>
      </w:r>
      <w:r w:rsidR="005B4DE5">
        <w:rPr>
          <w:sz w:val="22"/>
          <w:szCs w:val="22"/>
        </w:rPr>
        <w:t>30</w:t>
      </w:r>
      <w:r w:rsidR="008F3159">
        <w:rPr>
          <w:sz w:val="22"/>
          <w:szCs w:val="22"/>
        </w:rPr>
        <w:t>)</w:t>
      </w:r>
      <w:r w:rsidR="005B4DE5">
        <w:rPr>
          <w:sz w:val="22"/>
          <w:szCs w:val="22"/>
        </w:rPr>
        <w:t xml:space="preserve"> calendar days of the date of this letter.</w:t>
      </w:r>
    </w:p>
    <w:p w:rsidR="002B27E2" w:rsidRPr="00EE591E" w:rsidP="009E1B64" w14:paraId="5E2AD08A" w14:textId="77777777">
      <w:pPr>
        <w:pStyle w:val="ListParagraph"/>
        <w:spacing w:after="0" w:line="240" w:lineRule="auto"/>
        <w:rPr>
          <w:rFonts w:ascii="Times New Roman" w:hAnsi="Times New Roman"/>
          <w:b/>
          <w:bCs/>
        </w:rPr>
      </w:pPr>
    </w:p>
    <w:p w:rsidR="00DB3E36" w:rsidRPr="00EE591E" w:rsidP="009E1B64" w14:paraId="3ECBFC03" w14:textId="64332BF0">
      <w:pPr>
        <w:pStyle w:val="ListParagraph"/>
        <w:spacing w:after="0" w:line="240" w:lineRule="auto"/>
        <w:rPr>
          <w:rFonts w:ascii="Times New Roman" w:hAnsi="Times New Roman"/>
          <w:b/>
          <w:bCs/>
        </w:rPr>
      </w:pPr>
      <w:r w:rsidRPr="00EE591E">
        <w:rPr>
          <w:rFonts w:ascii="Times New Roman" w:hAnsi="Times New Roman"/>
          <w:b/>
          <w:bCs/>
        </w:rPr>
        <w:t>5.</w:t>
      </w:r>
      <w:r w:rsidRPr="00EE591E">
        <w:rPr>
          <w:rFonts w:ascii="Times New Roman" w:hAnsi="Times New Roman"/>
          <w:b/>
          <w:bCs/>
        </w:rPr>
        <w:tab/>
      </w:r>
      <w:r w:rsidRPr="00EE591E">
        <w:rPr>
          <w:rFonts w:ascii="Times New Roman" w:hAnsi="Times New Roman"/>
          <w:b/>
          <w:bCs/>
        </w:rPr>
        <w:t>Printing (Logs and Stationery).</w:t>
      </w:r>
    </w:p>
    <w:p w:rsidR="00127456" w:rsidRPr="00EE591E" w:rsidP="009E1B64" w14:paraId="1A297978" w14:textId="77777777">
      <w:pPr>
        <w:pStyle w:val="ListParagraph"/>
        <w:spacing w:after="0" w:line="240" w:lineRule="auto"/>
        <w:rPr>
          <w:rFonts w:ascii="Times New Roman" w:hAnsi="Times New Roman"/>
          <w:b/>
          <w:bCs/>
        </w:rPr>
      </w:pPr>
    </w:p>
    <w:p w:rsidR="00AD0B9E" w:rsidRPr="00EE591E" w:rsidP="000B1540" w14:paraId="63A86684" w14:textId="3EB1B091">
      <w:pPr>
        <w:ind w:firstLine="720"/>
        <w:rPr>
          <w:sz w:val="22"/>
          <w:szCs w:val="22"/>
        </w:rPr>
      </w:pPr>
      <w:r w:rsidRPr="00EE591E">
        <w:rPr>
          <w:sz w:val="22"/>
          <w:szCs w:val="22"/>
        </w:rPr>
        <w:t xml:space="preserve">While we are unable, at this time, to determine whether PVBC is entitled to reimbursement for the </w:t>
      </w:r>
      <w:r w:rsidRPr="00EE591E" w:rsidR="005E5C12">
        <w:rPr>
          <w:sz w:val="22"/>
          <w:szCs w:val="22"/>
        </w:rPr>
        <w:t>printing expense items</w:t>
      </w:r>
      <w:r w:rsidRPr="00EE591E">
        <w:rPr>
          <w:sz w:val="22"/>
          <w:szCs w:val="22"/>
        </w:rPr>
        <w:t xml:space="preserve"> listed in the Report</w:t>
      </w:r>
      <w:r w:rsidRPr="00EE591E" w:rsidR="008A67E0">
        <w:rPr>
          <w:sz w:val="22"/>
          <w:szCs w:val="22"/>
        </w:rPr>
        <w:t xml:space="preserve">, </w:t>
      </w:r>
      <w:r w:rsidR="00716774">
        <w:rPr>
          <w:sz w:val="22"/>
          <w:szCs w:val="22"/>
        </w:rPr>
        <w:t>or</w:t>
      </w:r>
      <w:r w:rsidRPr="00EE591E" w:rsidR="008A67E0">
        <w:rPr>
          <w:sz w:val="22"/>
          <w:szCs w:val="22"/>
        </w:rPr>
        <w:t xml:space="preserve"> whether the costs of </w:t>
      </w:r>
      <w:r w:rsidRPr="00EE591E" w:rsidR="005E5C12">
        <w:rPr>
          <w:sz w:val="22"/>
          <w:szCs w:val="22"/>
        </w:rPr>
        <w:t>those expense items</w:t>
      </w:r>
      <w:r w:rsidRPr="00EE591E" w:rsidR="008A67E0">
        <w:rPr>
          <w:sz w:val="22"/>
          <w:szCs w:val="22"/>
        </w:rPr>
        <w:t xml:space="preserve"> are reasonable</w:t>
      </w:r>
      <w:r w:rsidRPr="00EE591E">
        <w:rPr>
          <w:sz w:val="22"/>
          <w:szCs w:val="22"/>
        </w:rPr>
        <w:t>,</w:t>
      </w:r>
      <w:r>
        <w:rPr>
          <w:rStyle w:val="FootnoteReference"/>
          <w:sz w:val="22"/>
          <w:szCs w:val="22"/>
        </w:rPr>
        <w:footnoteReference w:id="77"/>
      </w:r>
      <w:r w:rsidRPr="00EE591E" w:rsidR="004F1920">
        <w:rPr>
          <w:sz w:val="22"/>
          <w:szCs w:val="22"/>
        </w:rPr>
        <w:t xml:space="preserve"> </w:t>
      </w:r>
      <w:r w:rsidRPr="00EE591E">
        <w:rPr>
          <w:sz w:val="22"/>
          <w:szCs w:val="22"/>
        </w:rPr>
        <w:t>w</w:t>
      </w:r>
      <w:r w:rsidRPr="00EE591E" w:rsidR="009B38B0">
        <w:rPr>
          <w:sz w:val="22"/>
          <w:szCs w:val="22"/>
        </w:rPr>
        <w:t>e</w:t>
      </w:r>
      <w:r w:rsidRPr="00EE591E" w:rsidR="007454FB">
        <w:rPr>
          <w:sz w:val="22"/>
          <w:szCs w:val="22"/>
        </w:rPr>
        <w:t xml:space="preserve"> </w:t>
      </w:r>
      <w:r w:rsidRPr="00EE591E" w:rsidR="00ED630A">
        <w:rPr>
          <w:sz w:val="22"/>
          <w:szCs w:val="22"/>
        </w:rPr>
        <w:t>do</w:t>
      </w:r>
      <w:r w:rsidRPr="00EE591E">
        <w:rPr>
          <w:sz w:val="22"/>
          <w:szCs w:val="22"/>
        </w:rPr>
        <w:t xml:space="preserve"> </w:t>
      </w:r>
      <w:r w:rsidRPr="00EE591E" w:rsidR="00E464A2">
        <w:rPr>
          <w:sz w:val="22"/>
          <w:szCs w:val="22"/>
        </w:rPr>
        <w:t>provide some guidance</w:t>
      </w:r>
      <w:r w:rsidRPr="00EE591E">
        <w:rPr>
          <w:sz w:val="22"/>
          <w:szCs w:val="22"/>
        </w:rPr>
        <w:t xml:space="preserve"> regarding this category of </w:t>
      </w:r>
      <w:r w:rsidRPr="00EE591E">
        <w:rPr>
          <w:i/>
          <w:iCs/>
          <w:sz w:val="22"/>
          <w:szCs w:val="22"/>
        </w:rPr>
        <w:t>Circleville</w:t>
      </w:r>
      <w:r w:rsidRPr="00EE591E">
        <w:rPr>
          <w:sz w:val="22"/>
          <w:szCs w:val="22"/>
        </w:rPr>
        <w:t xml:space="preserve"> expenses.  </w:t>
      </w:r>
      <w:r w:rsidRPr="00EE591E" w:rsidR="00182C04">
        <w:rPr>
          <w:sz w:val="22"/>
          <w:szCs w:val="22"/>
        </w:rPr>
        <w:t>First, we acknowledge that</w:t>
      </w:r>
      <w:r w:rsidRPr="00EE591E" w:rsidR="003F5D0C">
        <w:rPr>
          <w:sz w:val="22"/>
          <w:szCs w:val="22"/>
        </w:rPr>
        <w:t>—as Entravision points out—</w:t>
      </w:r>
      <w:r w:rsidRPr="00EE591E" w:rsidR="000E4582">
        <w:rPr>
          <w:sz w:val="22"/>
          <w:szCs w:val="22"/>
        </w:rPr>
        <w:t xml:space="preserve">much business </w:t>
      </w:r>
      <w:r w:rsidRPr="00EE591E" w:rsidR="001D6A28">
        <w:rPr>
          <w:sz w:val="22"/>
          <w:szCs w:val="22"/>
        </w:rPr>
        <w:t>is now</w:t>
      </w:r>
      <w:r w:rsidRPr="00EE591E" w:rsidR="000E4582">
        <w:rPr>
          <w:sz w:val="22"/>
          <w:szCs w:val="22"/>
        </w:rPr>
        <w:t xml:space="preserve"> conducted digitally</w:t>
      </w:r>
      <w:r w:rsidRPr="00EE591E" w:rsidR="00182C04">
        <w:rPr>
          <w:sz w:val="22"/>
          <w:szCs w:val="22"/>
        </w:rPr>
        <w:t>.</w:t>
      </w:r>
      <w:r>
        <w:rPr>
          <w:rStyle w:val="FootnoteReference"/>
          <w:sz w:val="22"/>
          <w:szCs w:val="22"/>
        </w:rPr>
        <w:footnoteReference w:id="78"/>
      </w:r>
      <w:r w:rsidRPr="00EE591E" w:rsidR="00182C04">
        <w:rPr>
          <w:sz w:val="22"/>
          <w:szCs w:val="22"/>
        </w:rPr>
        <w:t xml:space="preserve">  However, we reject Entravision’s assertion that, </w:t>
      </w:r>
      <w:r w:rsidRPr="00EE591E" w:rsidR="003F5D0C">
        <w:rPr>
          <w:sz w:val="22"/>
          <w:szCs w:val="22"/>
        </w:rPr>
        <w:t xml:space="preserve">because business can be conducted digitally, </w:t>
      </w:r>
      <w:r w:rsidRPr="00EE591E" w:rsidR="009B31E4">
        <w:rPr>
          <w:sz w:val="22"/>
          <w:szCs w:val="22"/>
        </w:rPr>
        <w:t xml:space="preserve">PVBC </w:t>
      </w:r>
      <w:r w:rsidRPr="00EE591E" w:rsidR="003F5D0C">
        <w:rPr>
          <w:sz w:val="22"/>
          <w:szCs w:val="22"/>
        </w:rPr>
        <w:t>may</w:t>
      </w:r>
      <w:r w:rsidRPr="00EE591E" w:rsidR="00F8320E">
        <w:rPr>
          <w:sz w:val="22"/>
          <w:szCs w:val="22"/>
        </w:rPr>
        <w:t xml:space="preserve"> not be entitled to reimbursement for </w:t>
      </w:r>
      <w:r w:rsidRPr="00EE591E" w:rsidR="001D6A28">
        <w:rPr>
          <w:sz w:val="22"/>
          <w:szCs w:val="22"/>
        </w:rPr>
        <w:t>certain</w:t>
      </w:r>
      <w:r w:rsidRPr="00EE591E" w:rsidR="00C84AE8">
        <w:rPr>
          <w:sz w:val="22"/>
          <w:szCs w:val="22"/>
        </w:rPr>
        <w:t xml:space="preserve"> </w:t>
      </w:r>
      <w:r w:rsidRPr="00EE591E" w:rsidR="002839C3">
        <w:rPr>
          <w:sz w:val="22"/>
          <w:szCs w:val="22"/>
        </w:rPr>
        <w:t>printed</w:t>
      </w:r>
      <w:r w:rsidRPr="00EE591E" w:rsidR="00C84AE8">
        <w:rPr>
          <w:sz w:val="22"/>
          <w:szCs w:val="22"/>
        </w:rPr>
        <w:t xml:space="preserve"> items listed in the Report.</w:t>
      </w:r>
      <w:r>
        <w:rPr>
          <w:rStyle w:val="FootnoteReference"/>
          <w:sz w:val="22"/>
          <w:szCs w:val="22"/>
        </w:rPr>
        <w:footnoteReference w:id="79"/>
      </w:r>
      <w:r w:rsidRPr="00EE591E" w:rsidR="00C84AE8">
        <w:rPr>
          <w:sz w:val="22"/>
          <w:szCs w:val="22"/>
        </w:rPr>
        <w:t xml:space="preserve">  </w:t>
      </w:r>
      <w:r w:rsidRPr="00EE591E" w:rsidR="00F159F7">
        <w:rPr>
          <w:sz w:val="22"/>
          <w:szCs w:val="22"/>
        </w:rPr>
        <w:t>If PVBC still uses these items</w:t>
      </w:r>
      <w:r w:rsidRPr="00EE591E" w:rsidR="00BE22D7">
        <w:rPr>
          <w:sz w:val="22"/>
          <w:szCs w:val="22"/>
        </w:rPr>
        <w:t xml:space="preserve"> and there is a clear nexus between the need to replace these items and the KPPV(FM) channel change</w:t>
      </w:r>
      <w:r w:rsidRPr="00EE591E" w:rsidR="00F159F7">
        <w:rPr>
          <w:sz w:val="22"/>
          <w:szCs w:val="22"/>
        </w:rPr>
        <w:t xml:space="preserve">, </w:t>
      </w:r>
      <w:r w:rsidRPr="00EE591E" w:rsidR="00FC4385">
        <w:rPr>
          <w:sz w:val="22"/>
          <w:szCs w:val="22"/>
        </w:rPr>
        <w:t>that is all that matters.</w:t>
      </w:r>
      <w:r w:rsidRPr="00EE591E" w:rsidR="00F159F7">
        <w:rPr>
          <w:sz w:val="22"/>
          <w:szCs w:val="22"/>
        </w:rPr>
        <w:t xml:space="preserve">  </w:t>
      </w:r>
      <w:r w:rsidRPr="00EE591E" w:rsidR="00717438">
        <w:rPr>
          <w:sz w:val="22"/>
          <w:szCs w:val="22"/>
        </w:rPr>
        <w:t xml:space="preserve">Second, </w:t>
      </w:r>
      <w:r w:rsidRPr="00EE591E" w:rsidR="00E00374">
        <w:rPr>
          <w:sz w:val="22"/>
          <w:szCs w:val="22"/>
        </w:rPr>
        <w:t>if a stationery</w:t>
      </w:r>
      <w:r w:rsidRPr="00EE591E" w:rsidR="00706569">
        <w:rPr>
          <w:sz w:val="22"/>
          <w:szCs w:val="22"/>
        </w:rPr>
        <w:t xml:space="preserve"> </w:t>
      </w:r>
      <w:r w:rsidRPr="00EE591E" w:rsidR="00E00374">
        <w:rPr>
          <w:sz w:val="22"/>
          <w:szCs w:val="22"/>
        </w:rPr>
        <w:t>item</w:t>
      </w:r>
      <w:r w:rsidRPr="00EE591E" w:rsidR="00706569">
        <w:rPr>
          <w:sz w:val="22"/>
          <w:szCs w:val="22"/>
        </w:rPr>
        <w:t xml:space="preserve"> </w:t>
      </w:r>
      <w:r w:rsidRPr="00EE591E" w:rsidR="00E00374">
        <w:rPr>
          <w:sz w:val="22"/>
          <w:szCs w:val="22"/>
        </w:rPr>
        <w:t>is</w:t>
      </w:r>
      <w:r w:rsidRPr="00EE591E" w:rsidR="00706569">
        <w:rPr>
          <w:sz w:val="22"/>
          <w:szCs w:val="22"/>
        </w:rPr>
        <w:t xml:space="preserve"> reimbursable, PVBC </w:t>
      </w:r>
      <w:r w:rsidRPr="00EE591E" w:rsidR="00E00374">
        <w:rPr>
          <w:sz w:val="22"/>
          <w:szCs w:val="22"/>
        </w:rPr>
        <w:t xml:space="preserve">is entitled to reimbursement </w:t>
      </w:r>
      <w:r w:rsidRPr="00EE591E" w:rsidR="00706569">
        <w:rPr>
          <w:sz w:val="22"/>
          <w:szCs w:val="22"/>
        </w:rPr>
        <w:t xml:space="preserve">for </w:t>
      </w:r>
      <w:r w:rsidRPr="00EE591E" w:rsidR="005B4D0F">
        <w:rPr>
          <w:sz w:val="22"/>
          <w:szCs w:val="22"/>
        </w:rPr>
        <w:t xml:space="preserve">the </w:t>
      </w:r>
      <w:r w:rsidRPr="00EE591E" w:rsidR="006F1338">
        <w:rPr>
          <w:sz w:val="22"/>
          <w:szCs w:val="22"/>
        </w:rPr>
        <w:t>number of units</w:t>
      </w:r>
      <w:r w:rsidRPr="00EE591E" w:rsidR="00E00374">
        <w:rPr>
          <w:sz w:val="22"/>
          <w:szCs w:val="22"/>
        </w:rPr>
        <w:t xml:space="preserve"> of that </w:t>
      </w:r>
      <w:r w:rsidRPr="00EE591E" w:rsidR="005B4D0F">
        <w:rPr>
          <w:sz w:val="22"/>
          <w:szCs w:val="22"/>
        </w:rPr>
        <w:t xml:space="preserve">item </w:t>
      </w:r>
      <w:r w:rsidRPr="00EE591E" w:rsidR="006F1338">
        <w:rPr>
          <w:sz w:val="22"/>
          <w:szCs w:val="22"/>
        </w:rPr>
        <w:t>that PVBC has on hand</w:t>
      </w:r>
      <w:r w:rsidRPr="00EE591E" w:rsidR="004447BF">
        <w:rPr>
          <w:sz w:val="22"/>
          <w:szCs w:val="22"/>
        </w:rPr>
        <w:t xml:space="preserve">.  </w:t>
      </w:r>
      <w:r w:rsidRPr="00EE591E">
        <w:rPr>
          <w:sz w:val="22"/>
          <w:szCs w:val="22"/>
        </w:rPr>
        <w:t xml:space="preserve">Finally, we note </w:t>
      </w:r>
      <w:r w:rsidRPr="00EE591E" w:rsidR="00F52649">
        <w:rPr>
          <w:sz w:val="22"/>
          <w:szCs w:val="22"/>
        </w:rPr>
        <w:t xml:space="preserve">Entravision has agreed to </w:t>
      </w:r>
      <w:r w:rsidRPr="00EE591E" w:rsidR="000B1540">
        <w:rPr>
          <w:sz w:val="22"/>
          <w:szCs w:val="22"/>
        </w:rPr>
        <w:t>PVBC’s</w:t>
      </w:r>
      <w:r w:rsidRPr="00EE591E" w:rsidR="00F52649">
        <w:rPr>
          <w:sz w:val="22"/>
          <w:szCs w:val="22"/>
        </w:rPr>
        <w:t xml:space="preserve"> estimated</w:t>
      </w:r>
      <w:r w:rsidRPr="00EE591E">
        <w:rPr>
          <w:sz w:val="22"/>
          <w:szCs w:val="22"/>
        </w:rPr>
        <w:t xml:space="preserve"> unit costs for the following printed items:  (1) $60 per box of business cards, (2) $195 per box of window envelopes, and  (3) $85 per box of plain envelopes.</w:t>
      </w:r>
      <w:r>
        <w:rPr>
          <w:rStyle w:val="FootnoteReference"/>
          <w:sz w:val="22"/>
          <w:szCs w:val="22"/>
        </w:rPr>
        <w:footnoteReference w:id="80"/>
      </w:r>
      <w:r w:rsidR="001651F4">
        <w:rPr>
          <w:sz w:val="22"/>
          <w:szCs w:val="22"/>
        </w:rPr>
        <w:t xml:space="preserve">  </w:t>
      </w:r>
    </w:p>
    <w:p w:rsidR="00AD0B9E" w:rsidRPr="00EE591E" w:rsidP="000B1540" w14:paraId="4E52DE4C" w14:textId="77777777">
      <w:pPr>
        <w:rPr>
          <w:sz w:val="22"/>
          <w:szCs w:val="22"/>
        </w:rPr>
      </w:pPr>
    </w:p>
    <w:p w:rsidR="00717438" w:rsidRPr="00EE591E" w:rsidP="00AD3000" w14:paraId="1808D35A" w14:textId="1CB7E03A">
      <w:pPr>
        <w:ind w:firstLine="720"/>
        <w:rPr>
          <w:sz w:val="22"/>
          <w:szCs w:val="22"/>
        </w:rPr>
      </w:pPr>
      <w:r w:rsidRPr="00EE591E">
        <w:rPr>
          <w:sz w:val="22"/>
          <w:szCs w:val="22"/>
        </w:rPr>
        <w:t xml:space="preserve">We have determined that PVBC must supplement the information it has submitted regarding the printed expense items.  Specifically, </w:t>
      </w:r>
      <w:r w:rsidRPr="00EE591E" w:rsidR="00284CB9">
        <w:rPr>
          <w:sz w:val="22"/>
          <w:szCs w:val="22"/>
        </w:rPr>
        <w:t>to</w:t>
      </w:r>
      <w:r w:rsidRPr="00EE591E">
        <w:rPr>
          <w:sz w:val="22"/>
          <w:szCs w:val="22"/>
        </w:rPr>
        <w:t xml:space="preserve"> the extent that PVBC has not demonstrated that each of the printed items listed in the Report has KPPV(FM)’s old frequency on it, PVBC must submit photographs or other evidence demonstrating that this is the case.</w:t>
      </w:r>
      <w:r>
        <w:rPr>
          <w:rStyle w:val="FootnoteReference"/>
          <w:sz w:val="22"/>
          <w:szCs w:val="22"/>
        </w:rPr>
        <w:footnoteReference w:id="81"/>
      </w:r>
      <w:r w:rsidRPr="00EE591E">
        <w:rPr>
          <w:sz w:val="22"/>
          <w:szCs w:val="22"/>
        </w:rPr>
        <w:t xml:space="preserve">  PVBC </w:t>
      </w:r>
      <w:r w:rsidRPr="00EE591E" w:rsidR="00AD3000">
        <w:rPr>
          <w:sz w:val="22"/>
          <w:szCs w:val="22"/>
        </w:rPr>
        <w:t>also</w:t>
      </w:r>
      <w:r w:rsidRPr="00EE591E" w:rsidR="009633CB">
        <w:rPr>
          <w:sz w:val="22"/>
          <w:szCs w:val="22"/>
        </w:rPr>
        <w:t xml:space="preserve"> </w:t>
      </w:r>
      <w:r w:rsidRPr="00EE591E" w:rsidR="006F1338">
        <w:rPr>
          <w:sz w:val="22"/>
          <w:szCs w:val="22"/>
        </w:rPr>
        <w:t>must specify</w:t>
      </w:r>
      <w:r w:rsidRPr="00EE591E" w:rsidR="00E542F0">
        <w:rPr>
          <w:sz w:val="22"/>
          <w:szCs w:val="22"/>
        </w:rPr>
        <w:t xml:space="preserve"> how many of </w:t>
      </w:r>
      <w:r w:rsidRPr="00EE591E" w:rsidR="009633CB">
        <w:rPr>
          <w:sz w:val="22"/>
          <w:szCs w:val="22"/>
        </w:rPr>
        <w:t>each</w:t>
      </w:r>
      <w:r w:rsidRPr="00EE591E" w:rsidR="00A508EC">
        <w:rPr>
          <w:sz w:val="22"/>
          <w:szCs w:val="22"/>
        </w:rPr>
        <w:t xml:space="preserve"> </w:t>
      </w:r>
      <w:r w:rsidRPr="00EE591E" w:rsidR="006F1338">
        <w:rPr>
          <w:sz w:val="22"/>
          <w:szCs w:val="22"/>
        </w:rPr>
        <w:t>printed</w:t>
      </w:r>
      <w:r w:rsidRPr="00EE591E" w:rsidR="00E542F0">
        <w:rPr>
          <w:sz w:val="22"/>
          <w:szCs w:val="22"/>
        </w:rPr>
        <w:t xml:space="preserve"> item </w:t>
      </w:r>
      <w:r w:rsidRPr="00EE591E" w:rsidR="009633CB">
        <w:rPr>
          <w:sz w:val="22"/>
          <w:szCs w:val="22"/>
        </w:rPr>
        <w:t xml:space="preserve">it </w:t>
      </w:r>
      <w:r w:rsidRPr="00EE591E" w:rsidR="005B4D0F">
        <w:rPr>
          <w:sz w:val="22"/>
          <w:szCs w:val="22"/>
        </w:rPr>
        <w:t>had</w:t>
      </w:r>
      <w:r w:rsidRPr="00EE591E" w:rsidR="009633CB">
        <w:rPr>
          <w:sz w:val="22"/>
          <w:szCs w:val="22"/>
        </w:rPr>
        <w:t xml:space="preserve"> </w:t>
      </w:r>
      <w:r w:rsidRPr="00EE591E" w:rsidR="00A508EC">
        <w:rPr>
          <w:sz w:val="22"/>
          <w:szCs w:val="22"/>
        </w:rPr>
        <w:t>in its possession as of the date of</w:t>
      </w:r>
      <w:r w:rsidRPr="00EE591E" w:rsidR="005B4D0F">
        <w:rPr>
          <w:sz w:val="22"/>
          <w:szCs w:val="22"/>
        </w:rPr>
        <w:t xml:space="preserve"> this </w:t>
      </w:r>
      <w:r w:rsidRPr="00EE591E" w:rsidR="00A508EC">
        <w:rPr>
          <w:sz w:val="22"/>
          <w:szCs w:val="22"/>
        </w:rPr>
        <w:t>letter</w:t>
      </w:r>
      <w:r w:rsidRPr="00EE591E" w:rsidR="00E542F0">
        <w:rPr>
          <w:sz w:val="22"/>
          <w:szCs w:val="22"/>
        </w:rPr>
        <w:t xml:space="preserve">.  </w:t>
      </w:r>
      <w:r w:rsidR="0061350F">
        <w:rPr>
          <w:sz w:val="22"/>
          <w:szCs w:val="22"/>
        </w:rPr>
        <w:t xml:space="preserve">We caution </w:t>
      </w:r>
      <w:r w:rsidRPr="00EE591E" w:rsidR="00E542F0">
        <w:rPr>
          <w:sz w:val="22"/>
          <w:szCs w:val="22"/>
        </w:rPr>
        <w:t xml:space="preserve">PVBC </w:t>
      </w:r>
      <w:r w:rsidR="0061350F">
        <w:rPr>
          <w:sz w:val="22"/>
          <w:szCs w:val="22"/>
        </w:rPr>
        <w:t xml:space="preserve">that it </w:t>
      </w:r>
      <w:r w:rsidR="006B2BF7">
        <w:rPr>
          <w:sz w:val="22"/>
          <w:szCs w:val="22"/>
        </w:rPr>
        <w:t xml:space="preserve">cannot expect to be reimbursed for any </w:t>
      </w:r>
      <w:r w:rsidRPr="00EE591E" w:rsidR="00E542F0">
        <w:rPr>
          <w:sz w:val="22"/>
          <w:szCs w:val="22"/>
        </w:rPr>
        <w:t xml:space="preserve">of these </w:t>
      </w:r>
      <w:r w:rsidRPr="00EE591E" w:rsidR="005B4D0F">
        <w:rPr>
          <w:sz w:val="22"/>
          <w:szCs w:val="22"/>
        </w:rPr>
        <w:t xml:space="preserve">printed </w:t>
      </w:r>
      <w:r w:rsidRPr="00EE591E" w:rsidR="00E542F0">
        <w:rPr>
          <w:sz w:val="22"/>
          <w:szCs w:val="22"/>
        </w:rPr>
        <w:t>items</w:t>
      </w:r>
      <w:r w:rsidR="000833EF">
        <w:rPr>
          <w:sz w:val="22"/>
          <w:szCs w:val="22"/>
        </w:rPr>
        <w:t xml:space="preserve"> </w:t>
      </w:r>
      <w:r w:rsidR="006B2BF7">
        <w:rPr>
          <w:sz w:val="22"/>
          <w:szCs w:val="22"/>
        </w:rPr>
        <w:t xml:space="preserve">purchased </w:t>
      </w:r>
      <w:r w:rsidR="000833EF">
        <w:rPr>
          <w:sz w:val="22"/>
          <w:szCs w:val="22"/>
        </w:rPr>
        <w:t xml:space="preserve">after </w:t>
      </w:r>
      <w:r w:rsidR="005B45B6">
        <w:rPr>
          <w:sz w:val="22"/>
          <w:szCs w:val="22"/>
        </w:rPr>
        <w:t>the KPPV(FM) license was modified on July 21, 2020</w:t>
      </w:r>
      <w:r w:rsidRPr="00EE591E" w:rsidR="00E542F0">
        <w:rPr>
          <w:sz w:val="22"/>
          <w:szCs w:val="22"/>
        </w:rPr>
        <w:t xml:space="preserve">.  PVBC </w:t>
      </w:r>
      <w:r w:rsidRPr="00EE591E" w:rsidR="006F1338">
        <w:rPr>
          <w:sz w:val="22"/>
          <w:szCs w:val="22"/>
        </w:rPr>
        <w:t>must</w:t>
      </w:r>
      <w:r w:rsidRPr="00EE591E" w:rsidR="00E542F0">
        <w:rPr>
          <w:sz w:val="22"/>
          <w:szCs w:val="22"/>
        </w:rPr>
        <w:t xml:space="preserve"> </w:t>
      </w:r>
      <w:r w:rsidR="003F2560">
        <w:rPr>
          <w:sz w:val="22"/>
          <w:szCs w:val="22"/>
        </w:rPr>
        <w:t>state</w:t>
      </w:r>
      <w:r w:rsidRPr="00EE591E" w:rsidR="00E542F0">
        <w:rPr>
          <w:sz w:val="22"/>
          <w:szCs w:val="22"/>
        </w:rPr>
        <w:t xml:space="preserve"> when it last placed an order for each </w:t>
      </w:r>
      <w:r w:rsidRPr="00EE591E" w:rsidR="006F1338">
        <w:rPr>
          <w:sz w:val="22"/>
          <w:szCs w:val="22"/>
        </w:rPr>
        <w:t>printed</w:t>
      </w:r>
      <w:r w:rsidRPr="00EE591E" w:rsidR="005B4D0F">
        <w:rPr>
          <w:sz w:val="22"/>
          <w:szCs w:val="22"/>
        </w:rPr>
        <w:t xml:space="preserve"> </w:t>
      </w:r>
      <w:r w:rsidRPr="00EE591E" w:rsidR="00E542F0">
        <w:rPr>
          <w:sz w:val="22"/>
          <w:szCs w:val="22"/>
        </w:rPr>
        <w:t>item</w:t>
      </w:r>
      <w:r w:rsidR="003F2560">
        <w:rPr>
          <w:sz w:val="22"/>
          <w:szCs w:val="22"/>
        </w:rPr>
        <w:t xml:space="preserve">, and provide </w:t>
      </w:r>
      <w:r w:rsidR="00B41D50">
        <w:rPr>
          <w:sz w:val="22"/>
          <w:szCs w:val="22"/>
        </w:rPr>
        <w:t>the invoice</w:t>
      </w:r>
      <w:r w:rsidR="003F2560">
        <w:rPr>
          <w:sz w:val="22"/>
          <w:szCs w:val="22"/>
        </w:rPr>
        <w:t xml:space="preserve"> or other documentation</w:t>
      </w:r>
      <w:r w:rsidR="00B41D50">
        <w:rPr>
          <w:sz w:val="22"/>
          <w:szCs w:val="22"/>
        </w:rPr>
        <w:t xml:space="preserve"> related to that order</w:t>
      </w:r>
      <w:r w:rsidRPr="00EE591E" w:rsidR="005B4D0F">
        <w:rPr>
          <w:sz w:val="22"/>
          <w:szCs w:val="22"/>
        </w:rPr>
        <w:t>.</w:t>
      </w:r>
    </w:p>
    <w:p w:rsidR="00844A5A" w:rsidRPr="00EE591E" w:rsidP="009E1B64" w14:paraId="4E1185F0" w14:textId="77777777">
      <w:pPr>
        <w:rPr>
          <w:sz w:val="22"/>
          <w:szCs w:val="22"/>
        </w:rPr>
      </w:pPr>
    </w:p>
    <w:p w:rsidR="00721BFB" w:rsidRPr="00EE591E" w:rsidP="009E1B64" w14:paraId="1549F7E8" w14:textId="03D61B9C">
      <w:pPr>
        <w:pStyle w:val="ListParagraph"/>
        <w:spacing w:after="0" w:line="240" w:lineRule="auto"/>
        <w:rPr>
          <w:rFonts w:ascii="Times New Roman" w:hAnsi="Times New Roman"/>
          <w:b/>
          <w:bCs/>
        </w:rPr>
      </w:pPr>
      <w:r w:rsidRPr="00EE591E">
        <w:rPr>
          <w:rFonts w:ascii="Times New Roman" w:hAnsi="Times New Roman"/>
          <w:b/>
          <w:bCs/>
        </w:rPr>
        <w:t>5.</w:t>
      </w:r>
      <w:r w:rsidRPr="00EE591E">
        <w:rPr>
          <w:rFonts w:ascii="Times New Roman" w:hAnsi="Times New Roman"/>
          <w:b/>
          <w:bCs/>
        </w:rPr>
        <w:tab/>
      </w:r>
      <w:r w:rsidRPr="00EE591E" w:rsidR="00DB3E36">
        <w:rPr>
          <w:rFonts w:ascii="Times New Roman" w:hAnsi="Times New Roman"/>
          <w:b/>
          <w:bCs/>
        </w:rPr>
        <w:t>Advertising</w:t>
      </w:r>
      <w:r w:rsidRPr="00EE591E" w:rsidR="00F41AA2">
        <w:rPr>
          <w:rFonts w:ascii="Times New Roman" w:hAnsi="Times New Roman"/>
          <w:b/>
          <w:bCs/>
        </w:rPr>
        <w:t xml:space="preserve"> Promotion for New Frequency</w:t>
      </w:r>
    </w:p>
    <w:p w:rsidR="0061205C" w:rsidRPr="00EE591E" w:rsidP="009E1B64" w14:paraId="0E27875B" w14:textId="77777777">
      <w:pPr>
        <w:pStyle w:val="ListParagraph"/>
        <w:spacing w:after="0" w:line="240" w:lineRule="auto"/>
        <w:rPr>
          <w:rFonts w:ascii="Times New Roman" w:hAnsi="Times New Roman"/>
        </w:rPr>
      </w:pPr>
    </w:p>
    <w:p w:rsidR="00A67992" w:rsidRPr="00EE591E" w:rsidP="006E1F56" w14:paraId="1C175FB1" w14:textId="43A40E6C">
      <w:pPr>
        <w:pStyle w:val="ListParagraph"/>
        <w:spacing w:after="0" w:line="240" w:lineRule="auto"/>
        <w:ind w:left="0" w:firstLine="720"/>
        <w:rPr>
          <w:rFonts w:ascii="Times New Roman" w:hAnsi="Times New Roman"/>
        </w:rPr>
      </w:pPr>
      <w:r w:rsidRPr="00EE591E">
        <w:rPr>
          <w:rFonts w:ascii="Times New Roman" w:hAnsi="Times New Roman"/>
        </w:rPr>
        <w:t xml:space="preserve">While we are unable, at this time, to rule upon whether </w:t>
      </w:r>
      <w:r w:rsidRPr="00EE591E" w:rsidR="00626615">
        <w:rPr>
          <w:rFonts w:ascii="Times New Roman" w:hAnsi="Times New Roman"/>
        </w:rPr>
        <w:t>most of the</w:t>
      </w:r>
      <w:r w:rsidRPr="00EE591E">
        <w:rPr>
          <w:rFonts w:ascii="Times New Roman" w:hAnsi="Times New Roman"/>
        </w:rPr>
        <w:t xml:space="preserve"> advertising expense items listed in the Report are reimbursable, and whether the costs of </w:t>
      </w:r>
      <w:r w:rsidRPr="00EE591E" w:rsidR="006E1F56">
        <w:rPr>
          <w:rFonts w:ascii="Times New Roman" w:hAnsi="Times New Roman"/>
        </w:rPr>
        <w:t>these</w:t>
      </w:r>
      <w:r w:rsidRPr="00EE591E">
        <w:rPr>
          <w:rFonts w:ascii="Times New Roman" w:hAnsi="Times New Roman"/>
        </w:rPr>
        <w:t xml:space="preserve"> item</w:t>
      </w:r>
      <w:r w:rsidRPr="00EE591E" w:rsidR="006E1F56">
        <w:rPr>
          <w:rFonts w:ascii="Times New Roman" w:hAnsi="Times New Roman"/>
        </w:rPr>
        <w:t>s</w:t>
      </w:r>
      <w:r w:rsidRPr="00EE591E">
        <w:rPr>
          <w:rFonts w:ascii="Times New Roman" w:hAnsi="Times New Roman"/>
        </w:rPr>
        <w:t xml:space="preserve"> are reasonable,</w:t>
      </w:r>
      <w:r>
        <w:rPr>
          <w:rStyle w:val="FootnoteReference"/>
          <w:rFonts w:ascii="Times New Roman" w:hAnsi="Times New Roman"/>
        </w:rPr>
        <w:footnoteReference w:id="82"/>
      </w:r>
      <w:r w:rsidRPr="00EE591E">
        <w:rPr>
          <w:rFonts w:ascii="Times New Roman" w:hAnsi="Times New Roman"/>
        </w:rPr>
        <w:t xml:space="preserve"> </w:t>
      </w:r>
      <w:r w:rsidRPr="00EE591E" w:rsidR="00626615">
        <w:rPr>
          <w:rFonts w:ascii="Times New Roman" w:hAnsi="Times New Roman"/>
        </w:rPr>
        <w:t xml:space="preserve">we </w:t>
      </w:r>
      <w:r w:rsidRPr="00EE591E">
        <w:rPr>
          <w:rFonts w:ascii="Times New Roman" w:hAnsi="Times New Roman"/>
        </w:rPr>
        <w:t xml:space="preserve">provide some general guidance regarding this category of </w:t>
      </w:r>
      <w:r w:rsidRPr="00EE591E" w:rsidR="00626615">
        <w:rPr>
          <w:rFonts w:ascii="Times New Roman" w:hAnsi="Times New Roman"/>
          <w:i/>
          <w:iCs/>
        </w:rPr>
        <w:t>Circleville</w:t>
      </w:r>
      <w:r w:rsidRPr="00EE591E" w:rsidR="00626615">
        <w:rPr>
          <w:rFonts w:ascii="Times New Roman" w:hAnsi="Times New Roman"/>
        </w:rPr>
        <w:t xml:space="preserve"> </w:t>
      </w:r>
      <w:r w:rsidRPr="00EE591E">
        <w:rPr>
          <w:rFonts w:ascii="Times New Roman" w:hAnsi="Times New Roman"/>
        </w:rPr>
        <w:t xml:space="preserve">expenses.  First, any advertising undertaken must be reasonable in duration.  Barring exceptional circumstances, advertising an involuntary channel change for longer than 3 months </w:t>
      </w:r>
      <w:r w:rsidRPr="00EE591E" w:rsidR="004727D8">
        <w:rPr>
          <w:rFonts w:ascii="Times New Roman" w:hAnsi="Times New Roman"/>
        </w:rPr>
        <w:t>would not be</w:t>
      </w:r>
      <w:r w:rsidRPr="00EE591E">
        <w:rPr>
          <w:rFonts w:ascii="Times New Roman" w:hAnsi="Times New Roman"/>
        </w:rPr>
        <w:t xml:space="preserve"> reasonable.</w:t>
      </w:r>
      <w:r>
        <w:rPr>
          <w:rStyle w:val="FootnoteReference"/>
          <w:rFonts w:ascii="Times New Roman" w:hAnsi="Times New Roman"/>
        </w:rPr>
        <w:footnoteReference w:id="83"/>
      </w:r>
      <w:r w:rsidRPr="00EE591E">
        <w:rPr>
          <w:rFonts w:ascii="Times New Roman" w:hAnsi="Times New Roman"/>
        </w:rPr>
        <w:t xml:space="preserve">  Second, the </w:t>
      </w:r>
      <w:r w:rsidRPr="00EE591E" w:rsidR="004C1D0E">
        <w:rPr>
          <w:rFonts w:ascii="Times New Roman" w:hAnsi="Times New Roman"/>
        </w:rPr>
        <w:t xml:space="preserve">media outlets utilized to advertise the involuntary channel change </w:t>
      </w:r>
      <w:r w:rsidRPr="00EE591E">
        <w:rPr>
          <w:rFonts w:ascii="Times New Roman" w:hAnsi="Times New Roman"/>
        </w:rPr>
        <w:t>must be reasonable</w:t>
      </w:r>
      <w:r w:rsidR="0085143C">
        <w:rPr>
          <w:rFonts w:ascii="Times New Roman" w:hAnsi="Times New Roman"/>
        </w:rPr>
        <w:t xml:space="preserve"> in terms of </w:t>
      </w:r>
      <w:r w:rsidR="00951CD9">
        <w:rPr>
          <w:rFonts w:ascii="Times New Roman" w:hAnsi="Times New Roman"/>
        </w:rPr>
        <w:t>number and reach</w:t>
      </w:r>
      <w:r w:rsidRPr="00EE591E">
        <w:rPr>
          <w:rFonts w:ascii="Times New Roman" w:hAnsi="Times New Roman"/>
        </w:rPr>
        <w:t>.</w:t>
      </w:r>
      <w:r>
        <w:rPr>
          <w:rStyle w:val="FootnoteReference"/>
          <w:rFonts w:ascii="Times New Roman" w:hAnsi="Times New Roman"/>
        </w:rPr>
        <w:footnoteReference w:id="84"/>
      </w:r>
      <w:r w:rsidRPr="00EE591E">
        <w:rPr>
          <w:rFonts w:ascii="Times New Roman" w:hAnsi="Times New Roman"/>
        </w:rPr>
        <w:t xml:space="preserve">  </w:t>
      </w:r>
      <w:r w:rsidRPr="00EE591E" w:rsidR="00F364C9">
        <w:rPr>
          <w:rFonts w:ascii="Times New Roman" w:hAnsi="Times New Roman"/>
        </w:rPr>
        <w:t>Third</w:t>
      </w:r>
      <w:r w:rsidRPr="00EE591E">
        <w:rPr>
          <w:rFonts w:ascii="Times New Roman" w:hAnsi="Times New Roman"/>
        </w:rPr>
        <w:t xml:space="preserve">, for an </w:t>
      </w:r>
      <w:r w:rsidRPr="00EE591E" w:rsidR="00781D0C">
        <w:rPr>
          <w:rFonts w:ascii="Times New Roman" w:hAnsi="Times New Roman"/>
        </w:rPr>
        <w:t>advertising expense</w:t>
      </w:r>
      <w:r w:rsidRPr="00EE591E">
        <w:rPr>
          <w:rFonts w:ascii="Times New Roman" w:hAnsi="Times New Roman"/>
        </w:rPr>
        <w:t xml:space="preserve"> to be reimbursable, </w:t>
      </w:r>
      <w:r w:rsidR="002F1A1B">
        <w:rPr>
          <w:rFonts w:ascii="Times New Roman" w:hAnsi="Times New Roman"/>
        </w:rPr>
        <w:t xml:space="preserve">the advertisement must </w:t>
      </w:r>
      <w:r w:rsidR="009710AF">
        <w:rPr>
          <w:rFonts w:ascii="Times New Roman" w:hAnsi="Times New Roman"/>
        </w:rPr>
        <w:t>have the sole purpose of notifying</w:t>
      </w:r>
      <w:r w:rsidRPr="00EE591E" w:rsidR="00DC09C9">
        <w:rPr>
          <w:rFonts w:ascii="Times New Roman" w:hAnsi="Times New Roman"/>
        </w:rPr>
        <w:t xml:space="preserve"> </w:t>
      </w:r>
      <w:r w:rsidRPr="00EE591E">
        <w:rPr>
          <w:rFonts w:ascii="Times New Roman" w:hAnsi="Times New Roman"/>
        </w:rPr>
        <w:t xml:space="preserve">the public of the </w:t>
      </w:r>
      <w:r w:rsidRPr="00EE591E" w:rsidR="00C100B0">
        <w:rPr>
          <w:rFonts w:ascii="Times New Roman" w:hAnsi="Times New Roman"/>
        </w:rPr>
        <w:t>involuntary</w:t>
      </w:r>
      <w:r w:rsidRPr="00EE591E">
        <w:rPr>
          <w:rFonts w:ascii="Times New Roman" w:hAnsi="Times New Roman"/>
        </w:rPr>
        <w:t xml:space="preserve"> channel change.  If a</w:t>
      </w:r>
      <w:r w:rsidR="00DB75E3">
        <w:rPr>
          <w:rFonts w:ascii="Times New Roman" w:hAnsi="Times New Roman"/>
        </w:rPr>
        <w:t xml:space="preserve">n accommodating party </w:t>
      </w:r>
      <w:r w:rsidRPr="00EE591E">
        <w:rPr>
          <w:rFonts w:ascii="Times New Roman" w:hAnsi="Times New Roman"/>
        </w:rPr>
        <w:t xml:space="preserve">has historically </w:t>
      </w:r>
      <w:r w:rsidRPr="00EE591E" w:rsidR="0089169A">
        <w:rPr>
          <w:rFonts w:ascii="Times New Roman" w:hAnsi="Times New Roman"/>
        </w:rPr>
        <w:t xml:space="preserve">advertised </w:t>
      </w:r>
      <w:r w:rsidR="009710AF">
        <w:rPr>
          <w:rFonts w:ascii="Times New Roman" w:hAnsi="Times New Roman"/>
        </w:rPr>
        <w:t>with</w:t>
      </w:r>
      <w:r w:rsidRPr="00EE591E" w:rsidR="0076327C">
        <w:rPr>
          <w:rFonts w:ascii="Times New Roman" w:hAnsi="Times New Roman"/>
        </w:rPr>
        <w:t xml:space="preserve"> a media outlet—or would advertise </w:t>
      </w:r>
      <w:r w:rsidR="009710AF">
        <w:rPr>
          <w:rFonts w:ascii="Times New Roman" w:hAnsi="Times New Roman"/>
        </w:rPr>
        <w:t>with</w:t>
      </w:r>
      <w:r w:rsidRPr="00EE591E" w:rsidR="0076327C">
        <w:rPr>
          <w:rFonts w:ascii="Times New Roman" w:hAnsi="Times New Roman"/>
        </w:rPr>
        <w:t xml:space="preserve"> that outlet </w:t>
      </w:r>
      <w:r w:rsidRPr="00EE591E">
        <w:rPr>
          <w:rFonts w:ascii="Times New Roman" w:hAnsi="Times New Roman"/>
        </w:rPr>
        <w:t xml:space="preserve">regardless of the </w:t>
      </w:r>
      <w:r w:rsidR="009710AF">
        <w:rPr>
          <w:rFonts w:ascii="Times New Roman" w:hAnsi="Times New Roman"/>
        </w:rPr>
        <w:t xml:space="preserve">involuntary </w:t>
      </w:r>
      <w:r w:rsidRPr="00EE591E">
        <w:rPr>
          <w:rFonts w:ascii="Times New Roman" w:hAnsi="Times New Roman"/>
        </w:rPr>
        <w:t>channel change</w:t>
      </w:r>
      <w:r w:rsidRPr="00EE591E" w:rsidR="00C100B0">
        <w:rPr>
          <w:rFonts w:ascii="Times New Roman" w:hAnsi="Times New Roman"/>
        </w:rPr>
        <w:t xml:space="preserve">, </w:t>
      </w:r>
      <w:r w:rsidR="00DB75E3">
        <w:rPr>
          <w:rFonts w:ascii="Times New Roman" w:hAnsi="Times New Roman"/>
        </w:rPr>
        <w:t>and the</w:t>
      </w:r>
      <w:r w:rsidRPr="00EE591E" w:rsidR="004F18FA">
        <w:rPr>
          <w:rFonts w:ascii="Times New Roman" w:hAnsi="Times New Roman"/>
        </w:rPr>
        <w:t xml:space="preserve"> accommodating party</w:t>
      </w:r>
      <w:r w:rsidRPr="00EE591E" w:rsidR="00E347D0">
        <w:rPr>
          <w:rFonts w:ascii="Times New Roman" w:hAnsi="Times New Roman"/>
        </w:rPr>
        <w:t xml:space="preserve"> </w:t>
      </w:r>
      <w:r w:rsidRPr="00EE591E" w:rsidR="00C100B0">
        <w:rPr>
          <w:rFonts w:ascii="Times New Roman" w:hAnsi="Times New Roman"/>
        </w:rPr>
        <w:t xml:space="preserve">has </w:t>
      </w:r>
      <w:r w:rsidR="00DB75E3">
        <w:rPr>
          <w:rFonts w:ascii="Times New Roman" w:hAnsi="Times New Roman"/>
        </w:rPr>
        <w:t>run</w:t>
      </w:r>
      <w:r w:rsidRPr="00EE591E" w:rsidR="0089169A">
        <w:rPr>
          <w:rFonts w:ascii="Times New Roman" w:hAnsi="Times New Roman"/>
        </w:rPr>
        <w:t xml:space="preserve"> advertisements</w:t>
      </w:r>
      <w:r w:rsidRPr="00EE591E" w:rsidR="00E347D0">
        <w:rPr>
          <w:rFonts w:ascii="Times New Roman" w:hAnsi="Times New Roman"/>
        </w:rPr>
        <w:t xml:space="preserve"> with identical or similar content in the past</w:t>
      </w:r>
      <w:r w:rsidRPr="00EE591E">
        <w:rPr>
          <w:rFonts w:ascii="Times New Roman" w:hAnsi="Times New Roman"/>
        </w:rPr>
        <w:t xml:space="preserve">, </w:t>
      </w:r>
      <w:r w:rsidRPr="00EE591E" w:rsidR="006838DA">
        <w:rPr>
          <w:rFonts w:ascii="Times New Roman" w:hAnsi="Times New Roman"/>
        </w:rPr>
        <w:t xml:space="preserve">that </w:t>
      </w:r>
      <w:r w:rsidR="00DB75E3">
        <w:rPr>
          <w:rFonts w:ascii="Times New Roman" w:hAnsi="Times New Roman"/>
        </w:rPr>
        <w:t>suggests</w:t>
      </w:r>
      <w:r w:rsidRPr="00EE591E" w:rsidR="006838DA">
        <w:rPr>
          <w:rFonts w:ascii="Times New Roman" w:hAnsi="Times New Roman"/>
        </w:rPr>
        <w:t xml:space="preserve"> </w:t>
      </w:r>
      <w:r w:rsidR="00DB75E3">
        <w:rPr>
          <w:rFonts w:ascii="Times New Roman" w:hAnsi="Times New Roman"/>
        </w:rPr>
        <w:t>that</w:t>
      </w:r>
      <w:r w:rsidRPr="00EE591E" w:rsidR="006838DA">
        <w:rPr>
          <w:rFonts w:ascii="Times New Roman" w:hAnsi="Times New Roman"/>
        </w:rPr>
        <w:t xml:space="preserve"> there is no clear nexus between the involuntary channel change and the advertisements</w:t>
      </w:r>
      <w:r w:rsidRPr="00EE591E">
        <w:rPr>
          <w:rFonts w:ascii="Times New Roman" w:hAnsi="Times New Roman"/>
        </w:rPr>
        <w:t>.</w:t>
      </w:r>
      <w:r w:rsidRPr="00EE591E" w:rsidR="00F364C9">
        <w:rPr>
          <w:rFonts w:ascii="Times New Roman" w:hAnsi="Times New Roman"/>
        </w:rPr>
        <w:t xml:space="preserve">  </w:t>
      </w:r>
      <w:r w:rsidRPr="00EE591E" w:rsidR="00C63583">
        <w:rPr>
          <w:rFonts w:ascii="Times New Roman" w:hAnsi="Times New Roman"/>
        </w:rPr>
        <w:t>Finally</w:t>
      </w:r>
      <w:r w:rsidRPr="00EE591E" w:rsidR="00F364C9">
        <w:rPr>
          <w:rFonts w:ascii="Times New Roman" w:hAnsi="Times New Roman"/>
        </w:rPr>
        <w:t xml:space="preserve">, we note that </w:t>
      </w:r>
      <w:r w:rsidRPr="00EE591E" w:rsidR="00A22C0E">
        <w:rPr>
          <w:rFonts w:ascii="Times New Roman" w:hAnsi="Times New Roman"/>
        </w:rPr>
        <w:t xml:space="preserve">the Commission previously has required reimbursement for newspaper and </w:t>
      </w:r>
      <w:r w:rsidRPr="00EE591E" w:rsidR="007855E5">
        <w:rPr>
          <w:rFonts w:ascii="Times New Roman" w:hAnsi="Times New Roman"/>
        </w:rPr>
        <w:t>television</w:t>
      </w:r>
      <w:r w:rsidRPr="00EE591E" w:rsidR="00A22C0E">
        <w:rPr>
          <w:rFonts w:ascii="Times New Roman" w:hAnsi="Times New Roman"/>
        </w:rPr>
        <w:t xml:space="preserve"> advertising.</w:t>
      </w:r>
      <w:r>
        <w:rPr>
          <w:rStyle w:val="FootnoteReference"/>
          <w:rFonts w:ascii="Times New Roman" w:hAnsi="Times New Roman"/>
        </w:rPr>
        <w:footnoteReference w:id="85"/>
      </w:r>
    </w:p>
    <w:p w:rsidR="002F0A13" w:rsidRPr="00EE591E" w:rsidP="006E1F56" w14:paraId="1661FD82" w14:textId="77777777">
      <w:pPr>
        <w:pStyle w:val="ListParagraph"/>
        <w:spacing w:after="0" w:line="240" w:lineRule="auto"/>
        <w:ind w:left="0" w:firstLine="720"/>
        <w:rPr>
          <w:rFonts w:ascii="Times New Roman" w:hAnsi="Times New Roman"/>
        </w:rPr>
      </w:pPr>
    </w:p>
    <w:p w:rsidR="00AA3531" w:rsidRPr="00EE591E" w:rsidP="000A7D64" w14:paraId="0D2A0E80" w14:textId="3E3C1717">
      <w:pPr>
        <w:pStyle w:val="ListParagraph"/>
        <w:spacing w:after="0" w:line="240" w:lineRule="auto"/>
        <w:ind w:left="0" w:firstLine="720"/>
        <w:rPr>
          <w:rFonts w:ascii="Times New Roman" w:hAnsi="Times New Roman"/>
        </w:rPr>
      </w:pPr>
      <w:r w:rsidRPr="00EE591E">
        <w:rPr>
          <w:rFonts w:ascii="Times New Roman" w:hAnsi="Times New Roman"/>
        </w:rPr>
        <w:t>Based on this</w:t>
      </w:r>
      <w:r w:rsidRPr="00EE591E" w:rsidR="00E2070B">
        <w:rPr>
          <w:rFonts w:ascii="Times New Roman" w:hAnsi="Times New Roman"/>
        </w:rPr>
        <w:t xml:space="preserve"> general guidance</w:t>
      </w:r>
      <w:r w:rsidRPr="00EE591E">
        <w:rPr>
          <w:rFonts w:ascii="Times New Roman" w:hAnsi="Times New Roman"/>
        </w:rPr>
        <w:t xml:space="preserve">, and </w:t>
      </w:r>
      <w:r w:rsidRPr="00EE591E" w:rsidR="00537E4D">
        <w:rPr>
          <w:rFonts w:ascii="Times New Roman" w:hAnsi="Times New Roman"/>
        </w:rPr>
        <w:t>our review of the Report and Response</w:t>
      </w:r>
      <w:r w:rsidRPr="00EE591E" w:rsidR="00E2070B">
        <w:rPr>
          <w:rFonts w:ascii="Times New Roman" w:hAnsi="Times New Roman"/>
        </w:rPr>
        <w:t xml:space="preserve">, </w:t>
      </w:r>
      <w:r w:rsidRPr="00EE591E" w:rsidR="002B1C95">
        <w:rPr>
          <w:rFonts w:ascii="Times New Roman" w:hAnsi="Times New Roman"/>
        </w:rPr>
        <w:t>we</w:t>
      </w:r>
      <w:r w:rsidRPr="00EE591E">
        <w:rPr>
          <w:rFonts w:ascii="Times New Roman" w:hAnsi="Times New Roman"/>
        </w:rPr>
        <w:t xml:space="preserve"> </w:t>
      </w:r>
      <w:r w:rsidRPr="00EE591E" w:rsidR="002B1C95">
        <w:rPr>
          <w:rFonts w:ascii="Times New Roman" w:hAnsi="Times New Roman"/>
        </w:rPr>
        <w:t xml:space="preserve">require Entravision to reimburse PVBC for the costs of three months of </w:t>
      </w:r>
      <w:r w:rsidRPr="00EE591E" w:rsidR="00BE11BD">
        <w:rPr>
          <w:rFonts w:ascii="Times New Roman" w:hAnsi="Times New Roman"/>
        </w:rPr>
        <w:t xml:space="preserve">inserts in the </w:t>
      </w:r>
      <w:r w:rsidRPr="00EE591E" w:rsidR="002B1C95">
        <w:rPr>
          <w:rFonts w:ascii="Times New Roman" w:hAnsi="Times New Roman"/>
        </w:rPr>
        <w:t xml:space="preserve">Prescott Valley Chamber of Commerce </w:t>
      </w:r>
      <w:r w:rsidRPr="00EE591E" w:rsidR="00BE11BD">
        <w:rPr>
          <w:rFonts w:ascii="Times New Roman" w:hAnsi="Times New Roman"/>
        </w:rPr>
        <w:t>newsletter</w:t>
      </w:r>
      <w:r w:rsidRPr="00EE591E" w:rsidR="002B1C95">
        <w:rPr>
          <w:rFonts w:ascii="Times New Roman" w:hAnsi="Times New Roman"/>
        </w:rPr>
        <w:t xml:space="preserve">.  In the Report, PVBC indicated it </w:t>
      </w:r>
      <w:r w:rsidRPr="00EE591E" w:rsidR="00CA24CD">
        <w:rPr>
          <w:rFonts w:ascii="Times New Roman" w:hAnsi="Times New Roman"/>
        </w:rPr>
        <w:t>expects</w:t>
      </w:r>
      <w:r w:rsidRPr="00EE591E" w:rsidR="00AD4B4C">
        <w:rPr>
          <w:rFonts w:ascii="Times New Roman" w:hAnsi="Times New Roman"/>
        </w:rPr>
        <w:t xml:space="preserve"> to </w:t>
      </w:r>
      <w:r w:rsidRPr="00EE591E" w:rsidR="007D7B27">
        <w:rPr>
          <w:rFonts w:ascii="Times New Roman" w:hAnsi="Times New Roman"/>
        </w:rPr>
        <w:t xml:space="preserve">seek reimbursement for the cost of </w:t>
      </w:r>
      <w:r w:rsidR="00FE5760">
        <w:rPr>
          <w:rFonts w:ascii="Times New Roman" w:hAnsi="Times New Roman"/>
        </w:rPr>
        <w:t>twelve</w:t>
      </w:r>
      <w:r w:rsidRPr="00EE591E" w:rsidR="00CA24CD">
        <w:rPr>
          <w:rFonts w:ascii="Times New Roman" w:hAnsi="Times New Roman"/>
        </w:rPr>
        <w:t xml:space="preserve"> months of </w:t>
      </w:r>
      <w:r w:rsidRPr="00EE591E" w:rsidR="007D7B27">
        <w:rPr>
          <w:rFonts w:ascii="Times New Roman" w:hAnsi="Times New Roman"/>
        </w:rPr>
        <w:t>these inserts</w:t>
      </w:r>
      <w:r w:rsidRPr="00EE591E" w:rsidR="002B1C95">
        <w:rPr>
          <w:rFonts w:ascii="Times New Roman" w:hAnsi="Times New Roman"/>
        </w:rPr>
        <w:t xml:space="preserve">.  </w:t>
      </w:r>
      <w:r w:rsidRPr="00EE591E" w:rsidR="00904670">
        <w:rPr>
          <w:rFonts w:ascii="Times New Roman" w:hAnsi="Times New Roman"/>
        </w:rPr>
        <w:t xml:space="preserve">Entravision </w:t>
      </w:r>
      <w:r w:rsidRPr="00EE591E" w:rsidR="007D7B27">
        <w:rPr>
          <w:rFonts w:ascii="Times New Roman" w:hAnsi="Times New Roman"/>
        </w:rPr>
        <w:t>does not</w:t>
      </w:r>
      <w:r w:rsidRPr="00EE591E" w:rsidR="00131946">
        <w:rPr>
          <w:rFonts w:ascii="Times New Roman" w:hAnsi="Times New Roman"/>
        </w:rPr>
        <w:t xml:space="preserve"> dispute</w:t>
      </w:r>
      <w:r w:rsidRPr="00EE591E" w:rsidR="006B102B">
        <w:rPr>
          <w:rFonts w:ascii="Times New Roman" w:hAnsi="Times New Roman"/>
        </w:rPr>
        <w:t xml:space="preserve"> that the inserts are a reimbursable </w:t>
      </w:r>
      <w:r w:rsidRPr="00EE591E" w:rsidR="00D30343">
        <w:rPr>
          <w:rFonts w:ascii="Times New Roman" w:hAnsi="Times New Roman"/>
        </w:rPr>
        <w:t>advertising expense</w:t>
      </w:r>
      <w:r w:rsidRPr="00EE591E" w:rsidR="007D7B27">
        <w:rPr>
          <w:rFonts w:ascii="Times New Roman" w:hAnsi="Times New Roman"/>
        </w:rPr>
        <w:t>.</w:t>
      </w:r>
      <w:r>
        <w:rPr>
          <w:rStyle w:val="FootnoteReference"/>
          <w:rFonts w:ascii="Times New Roman" w:hAnsi="Times New Roman"/>
        </w:rPr>
        <w:footnoteReference w:id="86"/>
      </w:r>
      <w:r w:rsidRPr="00EE591E" w:rsidR="003B5A30">
        <w:rPr>
          <w:rFonts w:ascii="Times New Roman" w:hAnsi="Times New Roman"/>
        </w:rPr>
        <w:t xml:space="preserve"> </w:t>
      </w:r>
      <w:r w:rsidRPr="00EE591E" w:rsidR="007D7B27">
        <w:rPr>
          <w:rFonts w:ascii="Times New Roman" w:hAnsi="Times New Roman"/>
        </w:rPr>
        <w:t xml:space="preserve"> However, Entravision asserts that </w:t>
      </w:r>
      <w:r w:rsidRPr="00EE591E" w:rsidR="00EC7134">
        <w:rPr>
          <w:rFonts w:ascii="Times New Roman" w:hAnsi="Times New Roman"/>
        </w:rPr>
        <w:t>it</w:t>
      </w:r>
      <w:r w:rsidRPr="00EE591E" w:rsidR="00F770CB">
        <w:rPr>
          <w:rFonts w:ascii="Times New Roman" w:hAnsi="Times New Roman"/>
        </w:rPr>
        <w:t xml:space="preserve"> should be required to</w:t>
      </w:r>
      <w:r w:rsidRPr="00EE591E" w:rsidR="000B5A2E">
        <w:rPr>
          <w:rFonts w:ascii="Times New Roman" w:hAnsi="Times New Roman"/>
        </w:rPr>
        <w:t xml:space="preserve"> </w:t>
      </w:r>
      <w:r w:rsidRPr="00EE591E" w:rsidR="00F770CB">
        <w:rPr>
          <w:rFonts w:ascii="Times New Roman" w:hAnsi="Times New Roman"/>
        </w:rPr>
        <w:t>reimburse PVBC only for</w:t>
      </w:r>
      <w:r w:rsidRPr="00EE591E" w:rsidR="000B5A2E">
        <w:rPr>
          <w:rFonts w:ascii="Times New Roman" w:hAnsi="Times New Roman"/>
        </w:rPr>
        <w:t xml:space="preserve"> </w:t>
      </w:r>
      <w:r w:rsidRPr="00EE591E" w:rsidR="003B5A30">
        <w:rPr>
          <w:rFonts w:ascii="Times New Roman" w:hAnsi="Times New Roman"/>
        </w:rPr>
        <w:t>three</w:t>
      </w:r>
      <w:r w:rsidRPr="00EE591E" w:rsidR="00F770CB">
        <w:rPr>
          <w:rFonts w:ascii="Times New Roman" w:hAnsi="Times New Roman"/>
        </w:rPr>
        <w:t xml:space="preserve"> </w:t>
      </w:r>
      <w:r w:rsidRPr="00797FBD" w:rsidR="003B5A30">
        <w:rPr>
          <w:rFonts w:ascii="Times New Roman" w:hAnsi="Times New Roman"/>
        </w:rPr>
        <w:t xml:space="preserve">months of </w:t>
      </w:r>
      <w:r w:rsidRPr="00797FBD" w:rsidR="00BE11BD">
        <w:rPr>
          <w:rFonts w:ascii="Times New Roman" w:hAnsi="Times New Roman"/>
        </w:rPr>
        <w:t>the inserts</w:t>
      </w:r>
      <w:r w:rsidRPr="00797FBD" w:rsidR="003B5A30">
        <w:rPr>
          <w:rFonts w:ascii="Times New Roman" w:hAnsi="Times New Roman"/>
        </w:rPr>
        <w:t>.</w:t>
      </w:r>
      <w:r>
        <w:rPr>
          <w:rStyle w:val="FootnoteReference"/>
          <w:rFonts w:ascii="Times New Roman" w:hAnsi="Times New Roman"/>
        </w:rPr>
        <w:footnoteReference w:id="87"/>
      </w:r>
      <w:r w:rsidRPr="00797FBD" w:rsidR="00F114AD">
        <w:rPr>
          <w:rFonts w:ascii="Times New Roman" w:hAnsi="Times New Roman"/>
        </w:rPr>
        <w:t xml:space="preserve">  </w:t>
      </w:r>
      <w:r w:rsidRPr="00797FBD" w:rsidR="003D3AD2">
        <w:rPr>
          <w:rFonts w:ascii="Times New Roman" w:hAnsi="Times New Roman"/>
        </w:rPr>
        <w:t xml:space="preserve">We </w:t>
      </w:r>
      <w:r w:rsidRPr="00797FBD" w:rsidR="00F770CB">
        <w:rPr>
          <w:rFonts w:ascii="Times New Roman" w:hAnsi="Times New Roman"/>
        </w:rPr>
        <w:t>agree</w:t>
      </w:r>
      <w:r w:rsidRPr="00797FBD" w:rsidR="00C63FEA">
        <w:rPr>
          <w:rFonts w:ascii="Times New Roman" w:hAnsi="Times New Roman"/>
        </w:rPr>
        <w:t xml:space="preserve">.  </w:t>
      </w:r>
      <w:r w:rsidRPr="00797FBD" w:rsidR="00D43598">
        <w:rPr>
          <w:rFonts w:ascii="Times New Roman" w:hAnsi="Times New Roman"/>
        </w:rPr>
        <w:t xml:space="preserve">PVBC </w:t>
      </w:r>
      <w:r w:rsidRPr="00797FBD" w:rsidR="008B3BA6">
        <w:rPr>
          <w:rFonts w:ascii="Times New Roman" w:hAnsi="Times New Roman"/>
        </w:rPr>
        <w:t>has not offered</w:t>
      </w:r>
      <w:r w:rsidRPr="00797FBD" w:rsidR="00814EE2">
        <w:rPr>
          <w:rFonts w:ascii="Times New Roman" w:hAnsi="Times New Roman"/>
        </w:rPr>
        <w:t xml:space="preserve"> any</w:t>
      </w:r>
      <w:r w:rsidRPr="00797FBD" w:rsidR="00C3477C">
        <w:rPr>
          <w:rFonts w:ascii="Times New Roman" w:hAnsi="Times New Roman"/>
        </w:rPr>
        <w:t xml:space="preserve"> evidence </w:t>
      </w:r>
      <w:r w:rsidRPr="00797FBD" w:rsidR="00E948AE">
        <w:rPr>
          <w:rFonts w:ascii="Times New Roman" w:hAnsi="Times New Roman"/>
        </w:rPr>
        <w:t xml:space="preserve">of exceptional circumstances </w:t>
      </w:r>
      <w:r w:rsidRPr="00797FBD" w:rsidR="00F02BFC">
        <w:rPr>
          <w:rFonts w:ascii="Times New Roman" w:hAnsi="Times New Roman"/>
        </w:rPr>
        <w:t>that would necessitate advertising</w:t>
      </w:r>
      <w:r w:rsidRPr="00797FBD" w:rsidR="00865FC0">
        <w:rPr>
          <w:rFonts w:ascii="Times New Roman" w:hAnsi="Times New Roman"/>
        </w:rPr>
        <w:t xml:space="preserve"> the KPPV(FM) channel change for </w:t>
      </w:r>
      <w:r w:rsidRPr="00797FBD" w:rsidR="00C63FEA">
        <w:rPr>
          <w:rFonts w:ascii="Times New Roman" w:hAnsi="Times New Roman"/>
        </w:rPr>
        <w:t xml:space="preserve">more than three months. </w:t>
      </w:r>
      <w:r w:rsidRPr="00797FBD" w:rsidR="00FE5760">
        <w:rPr>
          <w:rFonts w:ascii="Times New Roman" w:hAnsi="Times New Roman"/>
        </w:rPr>
        <w:t xml:space="preserve"> Accordingly, we require Entravision </w:t>
      </w:r>
      <w:r w:rsidRPr="00797FBD" w:rsidR="0090592E">
        <w:rPr>
          <w:rFonts w:ascii="Times New Roman" w:hAnsi="Times New Roman"/>
        </w:rPr>
        <w:t xml:space="preserve">to </w:t>
      </w:r>
      <w:r w:rsidRPr="00797FBD" w:rsidR="00FE5760">
        <w:rPr>
          <w:rFonts w:ascii="Times New Roman" w:hAnsi="Times New Roman"/>
        </w:rPr>
        <w:t>reimburse PVBC for</w:t>
      </w:r>
      <w:r w:rsidRPr="00797FBD" w:rsidR="00797FBD">
        <w:rPr>
          <w:rFonts w:ascii="Times New Roman" w:hAnsi="Times New Roman"/>
        </w:rPr>
        <w:t xml:space="preserve"> the cost of</w:t>
      </w:r>
      <w:r w:rsidRPr="00797FBD" w:rsidR="00FE5760">
        <w:rPr>
          <w:rFonts w:ascii="Times New Roman" w:hAnsi="Times New Roman"/>
        </w:rPr>
        <w:t xml:space="preserve"> three months of inserts in the Prescott Valley Chamber of Commerce newsletter.</w:t>
      </w:r>
      <w:r>
        <w:rPr>
          <w:rStyle w:val="FootnoteReference"/>
          <w:rFonts w:ascii="Times New Roman" w:hAnsi="Times New Roman"/>
        </w:rPr>
        <w:footnoteReference w:id="88"/>
      </w:r>
    </w:p>
    <w:p w:rsidR="00C63210" w:rsidRPr="00EE591E" w:rsidP="009E1B64" w14:paraId="72B8D674" w14:textId="77777777">
      <w:pPr>
        <w:pStyle w:val="ListParagraph"/>
        <w:spacing w:after="0" w:line="240" w:lineRule="auto"/>
        <w:ind w:left="0" w:firstLine="720"/>
        <w:rPr>
          <w:rFonts w:ascii="Times New Roman" w:hAnsi="Times New Roman"/>
        </w:rPr>
      </w:pPr>
    </w:p>
    <w:p w:rsidR="00C63210" w:rsidRPr="00EE591E" w:rsidP="00825A28" w14:paraId="2843FEF2" w14:textId="6FF33D3E">
      <w:pPr>
        <w:pStyle w:val="ListParagraph"/>
        <w:spacing w:after="0" w:line="240" w:lineRule="auto"/>
        <w:ind w:left="0" w:firstLine="720"/>
        <w:rPr>
          <w:rFonts w:ascii="Times New Roman" w:hAnsi="Times New Roman"/>
        </w:rPr>
      </w:pPr>
      <w:r w:rsidRPr="00EE591E">
        <w:rPr>
          <w:rFonts w:ascii="Times New Roman" w:hAnsi="Times New Roman"/>
        </w:rPr>
        <w:t xml:space="preserve">In order to determine whether </w:t>
      </w:r>
      <w:r w:rsidRPr="00EE591E" w:rsidR="008A0DF0">
        <w:rPr>
          <w:rFonts w:ascii="Times New Roman" w:hAnsi="Times New Roman"/>
        </w:rPr>
        <w:t xml:space="preserve">and how much </w:t>
      </w:r>
      <w:r w:rsidRPr="00EE591E" w:rsidR="00354C5F">
        <w:rPr>
          <w:rFonts w:ascii="Times New Roman" w:hAnsi="Times New Roman"/>
        </w:rPr>
        <w:t xml:space="preserve">PVBC should be reimbursed for </w:t>
      </w:r>
      <w:r w:rsidRPr="00EE591E" w:rsidR="00150398">
        <w:rPr>
          <w:rFonts w:ascii="Times New Roman" w:hAnsi="Times New Roman"/>
        </w:rPr>
        <w:t xml:space="preserve">the </w:t>
      </w:r>
      <w:r w:rsidRPr="00EE591E" w:rsidR="008B3BA6">
        <w:rPr>
          <w:rFonts w:ascii="Times New Roman" w:hAnsi="Times New Roman"/>
        </w:rPr>
        <w:t>other</w:t>
      </w:r>
      <w:r w:rsidRPr="00EE591E" w:rsidR="00354C5F">
        <w:rPr>
          <w:rFonts w:ascii="Times New Roman" w:hAnsi="Times New Roman"/>
        </w:rPr>
        <w:t xml:space="preserve"> advertising expense</w:t>
      </w:r>
      <w:r w:rsidRPr="00EE591E" w:rsidR="00761F0B">
        <w:rPr>
          <w:rFonts w:ascii="Times New Roman" w:hAnsi="Times New Roman"/>
        </w:rPr>
        <w:t xml:space="preserve"> items</w:t>
      </w:r>
      <w:r w:rsidRPr="00EE591E" w:rsidR="008B3BA6">
        <w:rPr>
          <w:rFonts w:ascii="Times New Roman" w:hAnsi="Times New Roman"/>
        </w:rPr>
        <w:t xml:space="preserve"> listed in the Report</w:t>
      </w:r>
      <w:r w:rsidRPr="00EE591E" w:rsidR="00167A36">
        <w:rPr>
          <w:rFonts w:ascii="Times New Roman" w:hAnsi="Times New Roman"/>
        </w:rPr>
        <w:t xml:space="preserve">, </w:t>
      </w:r>
      <w:r w:rsidRPr="00EE591E" w:rsidR="008B3BA6">
        <w:rPr>
          <w:rFonts w:ascii="Times New Roman" w:hAnsi="Times New Roman"/>
        </w:rPr>
        <w:t>we request</w:t>
      </w:r>
      <w:r w:rsidRPr="00EE591E" w:rsidR="003A0304">
        <w:rPr>
          <w:rFonts w:ascii="Times New Roman" w:hAnsi="Times New Roman"/>
        </w:rPr>
        <w:t xml:space="preserve"> additional information</w:t>
      </w:r>
      <w:r w:rsidRPr="00EE591E" w:rsidR="008A0DF0">
        <w:rPr>
          <w:rFonts w:ascii="Times New Roman" w:hAnsi="Times New Roman"/>
        </w:rPr>
        <w:t xml:space="preserve">.  </w:t>
      </w:r>
      <w:r w:rsidRPr="00EE591E" w:rsidR="003A0304">
        <w:rPr>
          <w:rFonts w:ascii="Times New Roman" w:hAnsi="Times New Roman"/>
        </w:rPr>
        <w:t xml:space="preserve">PVBC must </w:t>
      </w:r>
      <w:r w:rsidRPr="00EE591E" w:rsidR="00FC6C03">
        <w:rPr>
          <w:rFonts w:ascii="Times New Roman" w:hAnsi="Times New Roman"/>
        </w:rPr>
        <w:t>submit a narrative statement that indicates</w:t>
      </w:r>
      <w:r w:rsidRPr="00EE591E" w:rsidR="003A0304">
        <w:rPr>
          <w:rFonts w:ascii="Times New Roman" w:hAnsi="Times New Roman"/>
        </w:rPr>
        <w:t xml:space="preserve"> whether it </w:t>
      </w:r>
      <w:r w:rsidRPr="00EE591E" w:rsidR="001852C7">
        <w:rPr>
          <w:rFonts w:ascii="Times New Roman" w:hAnsi="Times New Roman"/>
        </w:rPr>
        <w:t xml:space="preserve">previously has </w:t>
      </w:r>
      <w:r w:rsidRPr="00EE591E" w:rsidR="008B3BA6">
        <w:rPr>
          <w:rFonts w:ascii="Times New Roman" w:hAnsi="Times New Roman"/>
        </w:rPr>
        <w:t>advertised</w:t>
      </w:r>
      <w:r w:rsidRPr="00EE591E" w:rsidR="00A01BA1">
        <w:rPr>
          <w:rFonts w:ascii="Times New Roman" w:hAnsi="Times New Roman"/>
        </w:rPr>
        <w:t xml:space="preserve"> KPPV(FM) </w:t>
      </w:r>
      <w:r w:rsidRPr="00EE591E" w:rsidR="00E662A5">
        <w:rPr>
          <w:rFonts w:ascii="Times New Roman" w:hAnsi="Times New Roman"/>
        </w:rPr>
        <w:t>using</w:t>
      </w:r>
      <w:r w:rsidRPr="00EE591E" w:rsidR="00A01BA1">
        <w:rPr>
          <w:rFonts w:ascii="Times New Roman" w:hAnsi="Times New Roman"/>
        </w:rPr>
        <w:t xml:space="preserve"> </w:t>
      </w:r>
      <w:r w:rsidRPr="00EE591E" w:rsidR="00E662A5">
        <w:rPr>
          <w:rFonts w:ascii="Times New Roman" w:hAnsi="Times New Roman"/>
        </w:rPr>
        <w:t xml:space="preserve">any of </w:t>
      </w:r>
      <w:r w:rsidRPr="00EE591E" w:rsidR="00A01BA1">
        <w:rPr>
          <w:rFonts w:ascii="Times New Roman" w:hAnsi="Times New Roman"/>
        </w:rPr>
        <w:t xml:space="preserve">the </w:t>
      </w:r>
      <w:r w:rsidRPr="00EE591E" w:rsidR="00E662A5">
        <w:rPr>
          <w:rFonts w:ascii="Times New Roman" w:hAnsi="Times New Roman"/>
        </w:rPr>
        <w:t>other medi</w:t>
      </w:r>
      <w:r w:rsidR="00723619">
        <w:rPr>
          <w:rFonts w:ascii="Times New Roman" w:hAnsi="Times New Roman"/>
        </w:rPr>
        <w:t>a</w:t>
      </w:r>
      <w:r w:rsidRPr="00EE591E" w:rsidR="00E662A5">
        <w:rPr>
          <w:rFonts w:ascii="Times New Roman" w:hAnsi="Times New Roman"/>
        </w:rPr>
        <w:t xml:space="preserve"> listed in the Report</w:t>
      </w:r>
      <w:r w:rsidRPr="00EE591E" w:rsidR="0024049E">
        <w:rPr>
          <w:rFonts w:ascii="Times New Roman" w:hAnsi="Times New Roman"/>
        </w:rPr>
        <w:t xml:space="preserve">:  (1) </w:t>
      </w:r>
      <w:r w:rsidRPr="00EE591E" w:rsidR="00E20D80">
        <w:rPr>
          <w:rFonts w:ascii="Times New Roman" w:hAnsi="Times New Roman"/>
        </w:rPr>
        <w:t xml:space="preserve">other </w:t>
      </w:r>
      <w:r w:rsidRPr="00EE591E" w:rsidR="00E503AF">
        <w:rPr>
          <w:rFonts w:ascii="Times New Roman" w:hAnsi="Times New Roman"/>
        </w:rPr>
        <w:t>Prescott Valley Chamber of Commerce</w:t>
      </w:r>
      <w:r w:rsidRPr="00EE591E" w:rsidR="00E20D80">
        <w:rPr>
          <w:rFonts w:ascii="Times New Roman" w:hAnsi="Times New Roman"/>
        </w:rPr>
        <w:t xml:space="preserve"> publications</w:t>
      </w:r>
      <w:r w:rsidRPr="00EE591E" w:rsidR="00E503AF">
        <w:rPr>
          <w:rFonts w:ascii="Times New Roman" w:hAnsi="Times New Roman"/>
        </w:rPr>
        <w:t xml:space="preserve">, </w:t>
      </w:r>
      <w:r w:rsidRPr="00EE591E" w:rsidR="0024049E">
        <w:rPr>
          <w:rFonts w:ascii="Times New Roman" w:hAnsi="Times New Roman"/>
        </w:rPr>
        <w:t xml:space="preserve">(2) </w:t>
      </w:r>
      <w:r w:rsidRPr="00EE591E" w:rsidR="00E503AF">
        <w:rPr>
          <w:rFonts w:ascii="Times New Roman" w:hAnsi="Times New Roman"/>
        </w:rPr>
        <w:t xml:space="preserve">Billboards, </w:t>
      </w:r>
      <w:r w:rsidRPr="00EE591E" w:rsidR="0024049E">
        <w:rPr>
          <w:rFonts w:ascii="Times New Roman" w:hAnsi="Times New Roman"/>
        </w:rPr>
        <w:t xml:space="preserve">(3) </w:t>
      </w:r>
      <w:r w:rsidR="008A7AF6">
        <w:rPr>
          <w:rFonts w:ascii="Times New Roman" w:hAnsi="Times New Roman"/>
        </w:rPr>
        <w:t xml:space="preserve">the </w:t>
      </w:r>
      <w:r w:rsidRPr="00EE591E" w:rsidR="00E503AF">
        <w:rPr>
          <w:rFonts w:ascii="Times New Roman" w:hAnsi="Times New Roman"/>
        </w:rPr>
        <w:t>Prescott Courier,</w:t>
      </w:r>
      <w:r w:rsidRPr="00EE591E" w:rsidR="00273B6C">
        <w:rPr>
          <w:rFonts w:ascii="Times New Roman" w:hAnsi="Times New Roman"/>
        </w:rPr>
        <w:t xml:space="preserve"> (4)</w:t>
      </w:r>
      <w:r w:rsidRPr="00EE591E" w:rsidR="00E503AF">
        <w:rPr>
          <w:rFonts w:ascii="Times New Roman" w:hAnsi="Times New Roman"/>
        </w:rPr>
        <w:t xml:space="preserve"> </w:t>
      </w:r>
      <w:r w:rsidR="008A7AF6">
        <w:rPr>
          <w:rFonts w:ascii="Times New Roman" w:hAnsi="Times New Roman"/>
        </w:rPr>
        <w:t xml:space="preserve">the </w:t>
      </w:r>
      <w:r w:rsidRPr="00EE591E" w:rsidR="00E503AF">
        <w:rPr>
          <w:rFonts w:ascii="Times New Roman" w:hAnsi="Times New Roman"/>
        </w:rPr>
        <w:t xml:space="preserve">Chino Valley Review, </w:t>
      </w:r>
      <w:r w:rsidRPr="00EE591E" w:rsidR="00273B6C">
        <w:rPr>
          <w:rFonts w:ascii="Times New Roman" w:hAnsi="Times New Roman"/>
        </w:rPr>
        <w:t xml:space="preserve">(5) </w:t>
      </w:r>
      <w:r w:rsidR="008A7AF6">
        <w:rPr>
          <w:rFonts w:ascii="Times New Roman" w:hAnsi="Times New Roman"/>
        </w:rPr>
        <w:t xml:space="preserve">the </w:t>
      </w:r>
      <w:r w:rsidRPr="00EE591E" w:rsidR="00E503AF">
        <w:rPr>
          <w:rFonts w:ascii="Times New Roman" w:hAnsi="Times New Roman"/>
        </w:rPr>
        <w:t xml:space="preserve">Prescott Valley Tribune, </w:t>
      </w:r>
      <w:r w:rsidRPr="00EE591E" w:rsidR="00273B6C">
        <w:rPr>
          <w:rFonts w:ascii="Times New Roman" w:hAnsi="Times New Roman"/>
        </w:rPr>
        <w:t>(6)</w:t>
      </w:r>
      <w:r w:rsidRPr="00EE591E" w:rsidR="00E503AF">
        <w:rPr>
          <w:rFonts w:ascii="Times New Roman" w:hAnsi="Times New Roman"/>
        </w:rPr>
        <w:t xml:space="preserve"> </w:t>
      </w:r>
      <w:r w:rsidR="008A7AF6">
        <w:rPr>
          <w:rFonts w:ascii="Times New Roman" w:hAnsi="Times New Roman"/>
        </w:rPr>
        <w:t xml:space="preserve">the </w:t>
      </w:r>
      <w:r w:rsidRPr="00EE591E" w:rsidR="00E503AF">
        <w:rPr>
          <w:rFonts w:ascii="Times New Roman" w:hAnsi="Times New Roman"/>
        </w:rPr>
        <w:t xml:space="preserve">Verde Independent, </w:t>
      </w:r>
      <w:r w:rsidRPr="00EE591E" w:rsidR="00C15010">
        <w:rPr>
          <w:rFonts w:ascii="Times New Roman" w:hAnsi="Times New Roman"/>
        </w:rPr>
        <w:t>(</w:t>
      </w:r>
      <w:r w:rsidRPr="00EE591E" w:rsidR="00273B6C">
        <w:rPr>
          <w:rFonts w:ascii="Times New Roman" w:hAnsi="Times New Roman"/>
        </w:rPr>
        <w:t>7</w:t>
      </w:r>
      <w:r w:rsidRPr="00EE591E" w:rsidR="00C15010">
        <w:rPr>
          <w:rFonts w:ascii="Times New Roman" w:hAnsi="Times New Roman"/>
        </w:rPr>
        <w:t xml:space="preserve">) </w:t>
      </w:r>
      <w:r w:rsidR="0095426E">
        <w:rPr>
          <w:rFonts w:ascii="Times New Roman" w:hAnsi="Times New Roman"/>
        </w:rPr>
        <w:t>t</w:t>
      </w:r>
      <w:r w:rsidRPr="00EE591E" w:rsidR="00C15010">
        <w:rPr>
          <w:rFonts w:ascii="Times New Roman" w:hAnsi="Times New Roman"/>
        </w:rPr>
        <w:t xml:space="preserve">elevision </w:t>
      </w:r>
      <w:r w:rsidR="0095426E">
        <w:rPr>
          <w:rFonts w:ascii="Times New Roman" w:hAnsi="Times New Roman"/>
        </w:rPr>
        <w:t>a</w:t>
      </w:r>
      <w:r w:rsidRPr="00EE591E" w:rsidR="00C15010">
        <w:rPr>
          <w:rFonts w:ascii="Times New Roman" w:hAnsi="Times New Roman"/>
        </w:rPr>
        <w:t>dvertising, (</w:t>
      </w:r>
      <w:r w:rsidRPr="00EE591E" w:rsidR="00273B6C">
        <w:rPr>
          <w:rFonts w:ascii="Times New Roman" w:hAnsi="Times New Roman"/>
        </w:rPr>
        <w:t>8</w:t>
      </w:r>
      <w:r w:rsidRPr="00EE591E" w:rsidR="00C15010">
        <w:rPr>
          <w:rFonts w:ascii="Times New Roman" w:hAnsi="Times New Roman"/>
        </w:rPr>
        <w:t xml:space="preserve">) Valpak Inserts, </w:t>
      </w:r>
      <w:r w:rsidRPr="00EE591E" w:rsidR="00781D0C">
        <w:rPr>
          <w:rFonts w:ascii="Times New Roman" w:hAnsi="Times New Roman"/>
        </w:rPr>
        <w:t>(</w:t>
      </w:r>
      <w:r w:rsidRPr="00EE591E" w:rsidR="00273B6C">
        <w:rPr>
          <w:rFonts w:ascii="Times New Roman" w:hAnsi="Times New Roman"/>
        </w:rPr>
        <w:t>9</w:t>
      </w:r>
      <w:r w:rsidRPr="00EE591E" w:rsidR="00781D0C">
        <w:rPr>
          <w:rFonts w:ascii="Times New Roman" w:hAnsi="Times New Roman"/>
        </w:rPr>
        <w:t>) Zion</w:t>
      </w:r>
      <w:r w:rsidRPr="00EE591E" w:rsidR="00C15010">
        <w:rPr>
          <w:rFonts w:ascii="Times New Roman" w:hAnsi="Times New Roman"/>
        </w:rPr>
        <w:t xml:space="preserve"> Marketing Mailings, </w:t>
      </w:r>
      <w:r w:rsidRPr="00EE591E" w:rsidR="00E662A5">
        <w:rPr>
          <w:rFonts w:ascii="Times New Roman" w:hAnsi="Times New Roman"/>
        </w:rPr>
        <w:t>or</w:t>
      </w:r>
      <w:r w:rsidRPr="00EE591E" w:rsidR="00C15010">
        <w:rPr>
          <w:rFonts w:ascii="Times New Roman" w:hAnsi="Times New Roman"/>
        </w:rPr>
        <w:t xml:space="preserve"> (</w:t>
      </w:r>
      <w:r w:rsidRPr="00EE591E" w:rsidR="00273B6C">
        <w:rPr>
          <w:rFonts w:ascii="Times New Roman" w:hAnsi="Times New Roman"/>
        </w:rPr>
        <w:t>10</w:t>
      </w:r>
      <w:r w:rsidRPr="00EE591E" w:rsidR="00781D0C">
        <w:rPr>
          <w:rFonts w:ascii="Times New Roman" w:hAnsi="Times New Roman"/>
        </w:rPr>
        <w:t>)</w:t>
      </w:r>
      <w:r w:rsidRPr="00EE591E" w:rsidR="00C15010">
        <w:rPr>
          <w:rFonts w:ascii="Times New Roman" w:hAnsi="Times New Roman"/>
        </w:rPr>
        <w:t xml:space="preserve"> Verde Valley Advertising Mailings.  </w:t>
      </w:r>
      <w:r w:rsidRPr="00EE591E" w:rsidR="00FD76CE">
        <w:rPr>
          <w:rFonts w:ascii="Times New Roman" w:hAnsi="Times New Roman"/>
        </w:rPr>
        <w:t xml:space="preserve">For each </w:t>
      </w:r>
      <w:r w:rsidR="008A7AF6">
        <w:rPr>
          <w:rFonts w:ascii="Times New Roman" w:hAnsi="Times New Roman"/>
        </w:rPr>
        <w:t xml:space="preserve">media </w:t>
      </w:r>
      <w:r w:rsidRPr="00EE591E" w:rsidR="00FD76CE">
        <w:rPr>
          <w:rFonts w:ascii="Times New Roman" w:hAnsi="Times New Roman"/>
        </w:rPr>
        <w:t>outlet on which PVBC has previously run</w:t>
      </w:r>
      <w:r w:rsidRPr="00EE591E" w:rsidR="00AA50EB">
        <w:rPr>
          <w:rFonts w:ascii="Times New Roman" w:hAnsi="Times New Roman"/>
        </w:rPr>
        <w:t xml:space="preserve"> advertising, PVBC must indicate</w:t>
      </w:r>
      <w:r w:rsidRPr="00EE591E" w:rsidR="00AE25B9">
        <w:rPr>
          <w:rFonts w:ascii="Times New Roman" w:hAnsi="Times New Roman"/>
        </w:rPr>
        <w:t xml:space="preserve"> how often </w:t>
      </w:r>
      <w:r w:rsidRPr="00EE591E" w:rsidR="00FD76CE">
        <w:rPr>
          <w:rFonts w:ascii="Times New Roman" w:hAnsi="Times New Roman"/>
        </w:rPr>
        <w:t>that</w:t>
      </w:r>
      <w:r w:rsidRPr="00EE591E" w:rsidR="00761F0B">
        <w:rPr>
          <w:rFonts w:ascii="Times New Roman" w:hAnsi="Times New Roman"/>
        </w:rPr>
        <w:t xml:space="preserve"> advertising </w:t>
      </w:r>
      <w:r w:rsidRPr="00EE591E" w:rsidR="00FD76CE">
        <w:rPr>
          <w:rFonts w:ascii="Times New Roman" w:hAnsi="Times New Roman"/>
        </w:rPr>
        <w:t>ran</w:t>
      </w:r>
      <w:r w:rsidRPr="00EE591E" w:rsidR="00AE25B9">
        <w:rPr>
          <w:rFonts w:ascii="Times New Roman" w:hAnsi="Times New Roman"/>
        </w:rPr>
        <w:t xml:space="preserve"> </w:t>
      </w:r>
      <w:r w:rsidRPr="00EE591E" w:rsidR="00AE25B9">
        <w:rPr>
          <w:rFonts w:ascii="Times New Roman" w:hAnsi="Times New Roman"/>
          <w:i/>
          <w:iCs/>
        </w:rPr>
        <w:t>(</w:t>
      </w:r>
      <w:r w:rsidRPr="00EE591E" w:rsidR="00933D73">
        <w:rPr>
          <w:rFonts w:ascii="Times New Roman" w:hAnsi="Times New Roman"/>
          <w:i/>
          <w:iCs/>
        </w:rPr>
        <w:t>e</w:t>
      </w:r>
      <w:r w:rsidR="0095426E">
        <w:rPr>
          <w:rFonts w:ascii="Times New Roman" w:hAnsi="Times New Roman"/>
          <w:i/>
          <w:iCs/>
        </w:rPr>
        <w:t>.</w:t>
      </w:r>
      <w:r w:rsidRPr="00EE591E" w:rsidR="00933D73">
        <w:rPr>
          <w:rFonts w:ascii="Times New Roman" w:hAnsi="Times New Roman"/>
          <w:i/>
          <w:iCs/>
        </w:rPr>
        <w:t>g</w:t>
      </w:r>
      <w:r w:rsidRPr="00EE591E" w:rsidR="00AE25B9">
        <w:rPr>
          <w:rFonts w:ascii="Times New Roman" w:hAnsi="Times New Roman"/>
        </w:rPr>
        <w:t xml:space="preserve">., </w:t>
      </w:r>
      <w:r w:rsidRPr="00EE591E" w:rsidR="004A126F">
        <w:rPr>
          <w:rFonts w:ascii="Times New Roman" w:hAnsi="Times New Roman"/>
        </w:rPr>
        <w:t xml:space="preserve">daily, weekly, </w:t>
      </w:r>
      <w:r w:rsidRPr="00EE591E" w:rsidR="00AE25B9">
        <w:rPr>
          <w:rFonts w:ascii="Times New Roman" w:hAnsi="Times New Roman"/>
        </w:rPr>
        <w:t>monthly, bimonthly, quarterly,</w:t>
      </w:r>
      <w:r w:rsidRPr="00EE591E" w:rsidR="004A126F">
        <w:rPr>
          <w:rFonts w:ascii="Times New Roman" w:hAnsi="Times New Roman"/>
        </w:rPr>
        <w:t xml:space="preserve"> biannually, annually</w:t>
      </w:r>
      <w:r w:rsidRPr="00EE591E" w:rsidR="00AE25B9">
        <w:rPr>
          <w:rFonts w:ascii="Times New Roman" w:hAnsi="Times New Roman"/>
        </w:rPr>
        <w:t>)</w:t>
      </w:r>
      <w:r w:rsidRPr="00EE591E" w:rsidR="00DA3DC6">
        <w:rPr>
          <w:rFonts w:ascii="Times New Roman" w:hAnsi="Times New Roman"/>
        </w:rPr>
        <w:t xml:space="preserve">, provide copies of any invoices or other documents </w:t>
      </w:r>
      <w:r w:rsidRPr="00EE591E" w:rsidR="008A0DF0">
        <w:rPr>
          <w:rFonts w:ascii="Times New Roman" w:hAnsi="Times New Roman"/>
        </w:rPr>
        <w:t>related to that advertising</w:t>
      </w:r>
      <w:r w:rsidRPr="00EE591E" w:rsidR="00DA3DC6">
        <w:rPr>
          <w:rFonts w:ascii="Times New Roman" w:hAnsi="Times New Roman"/>
        </w:rPr>
        <w:t xml:space="preserve">, and provide </w:t>
      </w:r>
      <w:r w:rsidRPr="00EE591E" w:rsidR="004A126F">
        <w:rPr>
          <w:rFonts w:ascii="Times New Roman" w:hAnsi="Times New Roman"/>
        </w:rPr>
        <w:t xml:space="preserve">copies </w:t>
      </w:r>
      <w:r w:rsidRPr="00EE591E" w:rsidR="00DA3DC6">
        <w:rPr>
          <w:rFonts w:ascii="Times New Roman" w:hAnsi="Times New Roman"/>
        </w:rPr>
        <w:t>of</w:t>
      </w:r>
      <w:r w:rsidRPr="00EE591E" w:rsidR="00FD76CE">
        <w:rPr>
          <w:rFonts w:ascii="Times New Roman" w:hAnsi="Times New Roman"/>
        </w:rPr>
        <w:t>—or otherwise summarize the content of—</w:t>
      </w:r>
      <w:r w:rsidRPr="00EE591E" w:rsidR="00DA3DC6">
        <w:rPr>
          <w:rFonts w:ascii="Times New Roman" w:hAnsi="Times New Roman"/>
        </w:rPr>
        <w:t xml:space="preserve">the </w:t>
      </w:r>
      <w:r w:rsidRPr="00EE591E" w:rsidR="00781D0C">
        <w:rPr>
          <w:rFonts w:ascii="Times New Roman" w:hAnsi="Times New Roman"/>
        </w:rPr>
        <w:t>advertisements</w:t>
      </w:r>
      <w:r w:rsidRPr="00EE591E" w:rsidR="00DA3DC6">
        <w:rPr>
          <w:rFonts w:ascii="Times New Roman" w:hAnsi="Times New Roman"/>
        </w:rPr>
        <w:t xml:space="preserve">.  </w:t>
      </w:r>
      <w:r w:rsidRPr="00EE591E" w:rsidR="008A0DF0">
        <w:rPr>
          <w:rFonts w:ascii="Times New Roman" w:hAnsi="Times New Roman"/>
        </w:rPr>
        <w:t>In addition</w:t>
      </w:r>
      <w:r w:rsidRPr="00EE591E" w:rsidR="00933D73">
        <w:rPr>
          <w:rFonts w:ascii="Times New Roman" w:hAnsi="Times New Roman"/>
        </w:rPr>
        <w:t xml:space="preserve">, </w:t>
      </w:r>
      <w:r w:rsidRPr="00EE591E" w:rsidR="00DD4B70">
        <w:rPr>
          <w:rFonts w:ascii="Times New Roman" w:hAnsi="Times New Roman"/>
        </w:rPr>
        <w:t xml:space="preserve">to the extent it has not already done so, </w:t>
      </w:r>
      <w:r w:rsidRPr="00EE591E" w:rsidR="00DA3DC6">
        <w:rPr>
          <w:rFonts w:ascii="Times New Roman" w:hAnsi="Times New Roman"/>
        </w:rPr>
        <w:t xml:space="preserve">PVBC </w:t>
      </w:r>
      <w:r w:rsidRPr="00EE591E" w:rsidR="00314F20">
        <w:rPr>
          <w:rFonts w:ascii="Times New Roman" w:hAnsi="Times New Roman"/>
        </w:rPr>
        <w:t xml:space="preserve">must </w:t>
      </w:r>
      <w:r w:rsidRPr="00EE591E" w:rsidR="00530BEB">
        <w:rPr>
          <w:rFonts w:ascii="Times New Roman" w:hAnsi="Times New Roman"/>
        </w:rPr>
        <w:t>state</w:t>
      </w:r>
      <w:r w:rsidRPr="00EE591E" w:rsidR="00314F20">
        <w:rPr>
          <w:rFonts w:ascii="Times New Roman" w:hAnsi="Times New Roman"/>
        </w:rPr>
        <w:t xml:space="preserve"> </w:t>
      </w:r>
      <w:r w:rsidRPr="00EE591E" w:rsidR="008530BB">
        <w:rPr>
          <w:rFonts w:ascii="Times New Roman" w:hAnsi="Times New Roman"/>
        </w:rPr>
        <w:t>how frequently</w:t>
      </w:r>
      <w:r w:rsidRPr="00EE591E" w:rsidR="00933D73">
        <w:rPr>
          <w:rFonts w:ascii="Times New Roman" w:hAnsi="Times New Roman"/>
        </w:rPr>
        <w:t xml:space="preserve"> (</w:t>
      </w:r>
      <w:r w:rsidRPr="00EE591E" w:rsidR="00933D73">
        <w:rPr>
          <w:rFonts w:ascii="Times New Roman" w:hAnsi="Times New Roman"/>
          <w:i/>
          <w:iCs/>
        </w:rPr>
        <w:t>e.g</w:t>
      </w:r>
      <w:r w:rsidRPr="00EE591E" w:rsidR="00933D73">
        <w:rPr>
          <w:rFonts w:ascii="Times New Roman" w:hAnsi="Times New Roman"/>
        </w:rPr>
        <w:t xml:space="preserve">., daily, weekly, monthly, bimonthly, quarterly, biannually, </w:t>
      </w:r>
      <w:r w:rsidRPr="00EE591E" w:rsidR="004A126F">
        <w:rPr>
          <w:rFonts w:ascii="Times New Roman" w:hAnsi="Times New Roman"/>
        </w:rPr>
        <w:t>annually</w:t>
      </w:r>
      <w:r w:rsidRPr="00EE591E" w:rsidR="00933D73">
        <w:rPr>
          <w:rFonts w:ascii="Times New Roman" w:hAnsi="Times New Roman"/>
        </w:rPr>
        <w:t>),</w:t>
      </w:r>
      <w:r w:rsidRPr="00EE591E" w:rsidR="00C540BF">
        <w:rPr>
          <w:rFonts w:ascii="Times New Roman" w:hAnsi="Times New Roman"/>
        </w:rPr>
        <w:t xml:space="preserve"> for how long</w:t>
      </w:r>
      <w:r w:rsidRPr="00EE591E" w:rsidR="008530BB">
        <w:rPr>
          <w:rFonts w:ascii="Times New Roman" w:hAnsi="Times New Roman"/>
        </w:rPr>
        <w:t xml:space="preserve"> it proposes to </w:t>
      </w:r>
      <w:r w:rsidRPr="00EE591E" w:rsidR="008A0DF0">
        <w:rPr>
          <w:rFonts w:ascii="Times New Roman" w:hAnsi="Times New Roman"/>
        </w:rPr>
        <w:t>run</w:t>
      </w:r>
      <w:r w:rsidRPr="00EE591E" w:rsidR="00B369C3">
        <w:rPr>
          <w:rFonts w:ascii="Times New Roman" w:hAnsi="Times New Roman"/>
        </w:rPr>
        <w:t xml:space="preserve"> </w:t>
      </w:r>
      <w:r w:rsidRPr="00EE591E" w:rsidR="00C540BF">
        <w:rPr>
          <w:rFonts w:ascii="Times New Roman" w:hAnsi="Times New Roman"/>
        </w:rPr>
        <w:t xml:space="preserve">each </w:t>
      </w:r>
      <w:r w:rsidRPr="00EE591E" w:rsidR="008A0DF0">
        <w:rPr>
          <w:rFonts w:ascii="Times New Roman" w:hAnsi="Times New Roman"/>
        </w:rPr>
        <w:t>ad</w:t>
      </w:r>
      <w:r w:rsidRPr="00EE591E" w:rsidR="004A126F">
        <w:rPr>
          <w:rFonts w:ascii="Times New Roman" w:hAnsi="Times New Roman"/>
        </w:rPr>
        <w:t>vertisement</w:t>
      </w:r>
      <w:r w:rsidRPr="00EE591E" w:rsidR="005C2EF9">
        <w:rPr>
          <w:rFonts w:ascii="Times New Roman" w:hAnsi="Times New Roman"/>
        </w:rPr>
        <w:t xml:space="preserve"> </w:t>
      </w:r>
      <w:r w:rsidRPr="00EE591E" w:rsidR="004A126F">
        <w:rPr>
          <w:rFonts w:ascii="Times New Roman" w:hAnsi="Times New Roman"/>
        </w:rPr>
        <w:t>referenced</w:t>
      </w:r>
      <w:r w:rsidRPr="00EE591E" w:rsidR="005C2EF9">
        <w:rPr>
          <w:rFonts w:ascii="Times New Roman" w:hAnsi="Times New Roman"/>
        </w:rPr>
        <w:t xml:space="preserve"> in the Report</w:t>
      </w:r>
      <w:r w:rsidR="00FE4BF7">
        <w:rPr>
          <w:rFonts w:ascii="Times New Roman" w:hAnsi="Times New Roman"/>
        </w:rPr>
        <w:t>, and the cost for each outlet</w:t>
      </w:r>
      <w:r w:rsidRPr="00EE591E" w:rsidR="00530BEB">
        <w:rPr>
          <w:rFonts w:ascii="Times New Roman" w:hAnsi="Times New Roman"/>
        </w:rPr>
        <w:t xml:space="preserve">.  Finally, PVBC must describe </w:t>
      </w:r>
      <w:r w:rsidRPr="00EE591E" w:rsidR="00314F20">
        <w:rPr>
          <w:rFonts w:ascii="Times New Roman" w:hAnsi="Times New Roman"/>
        </w:rPr>
        <w:t xml:space="preserve">the </w:t>
      </w:r>
      <w:r w:rsidRPr="00EE591E" w:rsidR="00530BEB">
        <w:rPr>
          <w:rFonts w:ascii="Times New Roman" w:hAnsi="Times New Roman"/>
        </w:rPr>
        <w:t>content of each ad</w:t>
      </w:r>
      <w:r w:rsidRPr="00EE591E" w:rsidR="00DD4B70">
        <w:rPr>
          <w:rFonts w:ascii="Times New Roman" w:hAnsi="Times New Roman"/>
        </w:rPr>
        <w:t>vertisement</w:t>
      </w:r>
      <w:r w:rsidRPr="00EE591E" w:rsidR="00781D0C">
        <w:rPr>
          <w:rFonts w:ascii="Times New Roman" w:hAnsi="Times New Roman"/>
        </w:rPr>
        <w:t xml:space="preserve"> it proposes to run</w:t>
      </w:r>
      <w:r w:rsidRPr="00EE591E" w:rsidR="00B84832">
        <w:rPr>
          <w:rFonts w:ascii="Times New Roman" w:hAnsi="Times New Roman"/>
        </w:rPr>
        <w:t xml:space="preserve">, and attach </w:t>
      </w:r>
      <w:r w:rsidRPr="00EE591E" w:rsidR="00DA3DC6">
        <w:rPr>
          <w:rFonts w:ascii="Times New Roman" w:hAnsi="Times New Roman"/>
        </w:rPr>
        <w:t xml:space="preserve">mock ups </w:t>
      </w:r>
      <w:r w:rsidRPr="00EE591E" w:rsidR="00825A28">
        <w:rPr>
          <w:rFonts w:ascii="Times New Roman" w:hAnsi="Times New Roman"/>
        </w:rPr>
        <w:t xml:space="preserve">or proofs </w:t>
      </w:r>
      <w:r w:rsidR="007B6656">
        <w:rPr>
          <w:rFonts w:ascii="Times New Roman" w:hAnsi="Times New Roman"/>
        </w:rPr>
        <w:t>of the advertisements</w:t>
      </w:r>
      <w:r w:rsidRPr="00EE591E" w:rsidR="00314F20">
        <w:rPr>
          <w:rFonts w:ascii="Times New Roman" w:hAnsi="Times New Roman"/>
        </w:rPr>
        <w:t xml:space="preserve">.  </w:t>
      </w:r>
    </w:p>
    <w:p w:rsidR="00AC4500" w:rsidRPr="00EE591E" w:rsidP="009E1B64" w14:paraId="71E5E452" w14:textId="77777777">
      <w:pPr>
        <w:rPr>
          <w:b/>
          <w:bCs/>
          <w:sz w:val="22"/>
          <w:szCs w:val="22"/>
        </w:rPr>
      </w:pPr>
    </w:p>
    <w:p w:rsidR="00DB3E36" w:rsidRPr="00EE591E" w:rsidP="009E1B64" w14:paraId="2CA5C9F6" w14:textId="12834D83">
      <w:pPr>
        <w:ind w:firstLine="720"/>
        <w:rPr>
          <w:b/>
          <w:bCs/>
          <w:sz w:val="22"/>
          <w:szCs w:val="22"/>
        </w:rPr>
      </w:pPr>
      <w:r w:rsidRPr="00C265DC">
        <w:rPr>
          <w:b/>
          <w:bCs/>
          <w:sz w:val="22"/>
          <w:szCs w:val="22"/>
        </w:rPr>
        <w:t>6.</w:t>
      </w:r>
      <w:r w:rsidRPr="00C265DC">
        <w:rPr>
          <w:b/>
          <w:bCs/>
          <w:sz w:val="22"/>
          <w:szCs w:val="22"/>
        </w:rPr>
        <w:tab/>
      </w:r>
      <w:r w:rsidRPr="00C265DC" w:rsidR="00D711AA">
        <w:rPr>
          <w:b/>
          <w:bCs/>
          <w:sz w:val="22"/>
          <w:szCs w:val="22"/>
        </w:rPr>
        <w:t>Promotional Expenses</w:t>
      </w:r>
      <w:r w:rsidRPr="00C265DC">
        <w:rPr>
          <w:b/>
          <w:bCs/>
          <w:sz w:val="22"/>
          <w:szCs w:val="22"/>
        </w:rPr>
        <w:t>.</w:t>
      </w:r>
    </w:p>
    <w:p w:rsidR="00844A5A" w:rsidRPr="00EE591E" w:rsidP="009E1B64" w14:paraId="0B523FD5" w14:textId="651B8AD2">
      <w:pPr>
        <w:ind w:firstLine="720"/>
        <w:rPr>
          <w:sz w:val="22"/>
          <w:szCs w:val="22"/>
        </w:rPr>
      </w:pPr>
    </w:p>
    <w:p w:rsidR="00BE0140" w:rsidP="00751B43" w14:paraId="2A58FF3E" w14:textId="48EAA9CA">
      <w:pPr>
        <w:ind w:firstLine="720"/>
        <w:rPr>
          <w:sz w:val="22"/>
          <w:szCs w:val="22"/>
        </w:rPr>
      </w:pPr>
      <w:r w:rsidRPr="00EE591E">
        <w:rPr>
          <w:sz w:val="22"/>
          <w:szCs w:val="22"/>
        </w:rPr>
        <w:t xml:space="preserve">We note that PVBC </w:t>
      </w:r>
      <w:r w:rsidR="009E2FE9">
        <w:rPr>
          <w:sz w:val="22"/>
          <w:szCs w:val="22"/>
        </w:rPr>
        <w:t>indicated in the Report that</w:t>
      </w:r>
      <w:r w:rsidRPr="00EE591E">
        <w:rPr>
          <w:sz w:val="22"/>
          <w:szCs w:val="22"/>
        </w:rPr>
        <w:t xml:space="preserve"> it will seek reimbursement for a number of </w:t>
      </w:r>
      <w:r>
        <w:rPr>
          <w:sz w:val="22"/>
          <w:szCs w:val="22"/>
        </w:rPr>
        <w:t xml:space="preserve">promotional </w:t>
      </w:r>
      <w:r w:rsidR="00183440">
        <w:rPr>
          <w:sz w:val="22"/>
          <w:szCs w:val="22"/>
        </w:rPr>
        <w:t>items</w:t>
      </w:r>
      <w:r w:rsidRPr="00EE591E">
        <w:rPr>
          <w:sz w:val="22"/>
          <w:szCs w:val="22"/>
        </w:rPr>
        <w:t xml:space="preserve">.  PVBC submitted additional information regarding these </w:t>
      </w:r>
      <w:r w:rsidR="00183440">
        <w:rPr>
          <w:sz w:val="22"/>
          <w:szCs w:val="22"/>
        </w:rPr>
        <w:t>items</w:t>
      </w:r>
      <w:r w:rsidR="009E2FE9">
        <w:rPr>
          <w:sz w:val="22"/>
          <w:szCs w:val="22"/>
        </w:rPr>
        <w:t xml:space="preserve"> </w:t>
      </w:r>
      <w:r w:rsidRPr="00EE591E">
        <w:rPr>
          <w:sz w:val="22"/>
          <w:szCs w:val="22"/>
        </w:rPr>
        <w:t xml:space="preserve">in the </w:t>
      </w:r>
      <w:r w:rsidR="009E2FE9">
        <w:rPr>
          <w:sz w:val="22"/>
          <w:szCs w:val="22"/>
        </w:rPr>
        <w:t xml:space="preserve">Update and the </w:t>
      </w:r>
      <w:r w:rsidRPr="00EE591E">
        <w:rPr>
          <w:sz w:val="22"/>
          <w:szCs w:val="22"/>
        </w:rPr>
        <w:t>Reply.</w:t>
      </w:r>
      <w:r>
        <w:rPr>
          <w:rStyle w:val="FootnoteReference"/>
          <w:sz w:val="22"/>
          <w:szCs w:val="22"/>
        </w:rPr>
        <w:footnoteReference w:id="89"/>
      </w:r>
      <w:r w:rsidRPr="00EE591E">
        <w:rPr>
          <w:sz w:val="22"/>
          <w:szCs w:val="22"/>
        </w:rPr>
        <w:t xml:space="preserve">  </w:t>
      </w:r>
      <w:r w:rsidR="008E1578">
        <w:rPr>
          <w:sz w:val="22"/>
          <w:szCs w:val="22"/>
        </w:rPr>
        <w:t>We</w:t>
      </w:r>
      <w:r w:rsidRPr="00EE591E">
        <w:rPr>
          <w:sz w:val="22"/>
          <w:szCs w:val="22"/>
        </w:rPr>
        <w:t xml:space="preserve"> herein accept the additional information</w:t>
      </w:r>
      <w:r w:rsidR="008E1578">
        <w:rPr>
          <w:sz w:val="22"/>
          <w:szCs w:val="22"/>
        </w:rPr>
        <w:t xml:space="preserve">, </w:t>
      </w:r>
      <w:r w:rsidR="00F97CFC">
        <w:rPr>
          <w:sz w:val="22"/>
          <w:szCs w:val="22"/>
        </w:rPr>
        <w:t xml:space="preserve">and </w:t>
      </w:r>
      <w:r w:rsidR="00FB0606">
        <w:rPr>
          <w:sz w:val="22"/>
          <w:szCs w:val="22"/>
        </w:rPr>
        <w:t>require PVBC to submit additional information regarding these items</w:t>
      </w:r>
      <w:r w:rsidR="008E1578">
        <w:rPr>
          <w:sz w:val="22"/>
          <w:szCs w:val="22"/>
        </w:rPr>
        <w:t xml:space="preserve">.  Because we </w:t>
      </w:r>
      <w:r w:rsidRPr="00EE591E">
        <w:rPr>
          <w:sz w:val="22"/>
          <w:szCs w:val="22"/>
        </w:rPr>
        <w:t xml:space="preserve">provide Entravision the opportunity to </w:t>
      </w:r>
      <w:r w:rsidR="00902AB6">
        <w:rPr>
          <w:sz w:val="22"/>
          <w:szCs w:val="22"/>
        </w:rPr>
        <w:t xml:space="preserve">reply </w:t>
      </w:r>
      <w:r w:rsidR="0007553C">
        <w:rPr>
          <w:sz w:val="22"/>
          <w:szCs w:val="22"/>
        </w:rPr>
        <w:t xml:space="preserve">to all of this additional </w:t>
      </w:r>
      <w:r w:rsidR="00C265DC">
        <w:rPr>
          <w:sz w:val="22"/>
          <w:szCs w:val="22"/>
        </w:rPr>
        <w:t>information</w:t>
      </w:r>
      <w:r w:rsidRPr="00EE591E">
        <w:rPr>
          <w:sz w:val="22"/>
          <w:szCs w:val="22"/>
        </w:rPr>
        <w:t xml:space="preserve">, we do not—at this time—address whether these </w:t>
      </w:r>
      <w:r w:rsidR="00BC5C0F">
        <w:rPr>
          <w:sz w:val="22"/>
          <w:szCs w:val="22"/>
        </w:rPr>
        <w:t xml:space="preserve">promotional </w:t>
      </w:r>
      <w:r w:rsidR="00183440">
        <w:rPr>
          <w:sz w:val="22"/>
          <w:szCs w:val="22"/>
        </w:rPr>
        <w:t>items</w:t>
      </w:r>
      <w:r w:rsidRPr="00EE591E">
        <w:rPr>
          <w:sz w:val="22"/>
          <w:szCs w:val="22"/>
        </w:rPr>
        <w:t xml:space="preserve"> are reimbursable, or whether </w:t>
      </w:r>
      <w:r w:rsidR="00183440">
        <w:rPr>
          <w:sz w:val="22"/>
          <w:szCs w:val="22"/>
        </w:rPr>
        <w:t xml:space="preserve">the estimated costs of the items </w:t>
      </w:r>
      <w:r w:rsidRPr="00EE591E">
        <w:rPr>
          <w:sz w:val="22"/>
          <w:szCs w:val="22"/>
        </w:rPr>
        <w:t>are reasonable.</w:t>
      </w:r>
      <w:r w:rsidR="00751B43">
        <w:rPr>
          <w:sz w:val="22"/>
          <w:szCs w:val="22"/>
        </w:rPr>
        <w:t xml:space="preserve">  </w:t>
      </w:r>
      <w:r w:rsidR="007F2E70">
        <w:rPr>
          <w:sz w:val="22"/>
          <w:szCs w:val="22"/>
        </w:rPr>
        <w:t xml:space="preserve">However, </w:t>
      </w:r>
      <w:r w:rsidR="006975D8">
        <w:rPr>
          <w:sz w:val="22"/>
          <w:szCs w:val="22"/>
        </w:rPr>
        <w:t xml:space="preserve">we </w:t>
      </w:r>
      <w:r w:rsidR="00D71CE3">
        <w:rPr>
          <w:sz w:val="22"/>
          <w:szCs w:val="22"/>
        </w:rPr>
        <w:t>do</w:t>
      </w:r>
      <w:r w:rsidR="006975D8">
        <w:rPr>
          <w:sz w:val="22"/>
          <w:szCs w:val="22"/>
        </w:rPr>
        <w:t xml:space="preserve"> offer</w:t>
      </w:r>
      <w:r w:rsidR="009A3D0B">
        <w:rPr>
          <w:sz w:val="22"/>
          <w:szCs w:val="22"/>
        </w:rPr>
        <w:t xml:space="preserve"> </w:t>
      </w:r>
      <w:r w:rsidRPr="00EE591E" w:rsidR="00646077">
        <w:rPr>
          <w:sz w:val="22"/>
          <w:szCs w:val="22"/>
        </w:rPr>
        <w:t>some general guidance</w:t>
      </w:r>
      <w:r w:rsidR="00D71CE3">
        <w:rPr>
          <w:sz w:val="22"/>
          <w:szCs w:val="22"/>
        </w:rPr>
        <w:t xml:space="preserve"> below</w:t>
      </w:r>
      <w:r w:rsidRPr="00EE591E" w:rsidR="00646077">
        <w:rPr>
          <w:sz w:val="22"/>
          <w:szCs w:val="22"/>
        </w:rPr>
        <w:t xml:space="preserve">.  </w:t>
      </w:r>
    </w:p>
    <w:p w:rsidR="00BE0140" w:rsidP="00976EEC" w14:paraId="6BB1B54B" w14:textId="77777777">
      <w:pPr>
        <w:ind w:firstLine="720"/>
        <w:rPr>
          <w:sz w:val="22"/>
          <w:szCs w:val="22"/>
        </w:rPr>
      </w:pPr>
    </w:p>
    <w:p w:rsidR="00E20D7E" w:rsidRPr="00EE591E" w:rsidP="00976EEC" w14:paraId="7F5467B4" w14:textId="7B725D38">
      <w:pPr>
        <w:ind w:firstLine="720"/>
        <w:rPr>
          <w:sz w:val="22"/>
          <w:szCs w:val="22"/>
        </w:rPr>
      </w:pPr>
      <w:r w:rsidRPr="00EE591E">
        <w:rPr>
          <w:sz w:val="22"/>
          <w:szCs w:val="22"/>
        </w:rPr>
        <w:t>I</w:t>
      </w:r>
      <w:r w:rsidRPr="00EE591E" w:rsidR="00CD65AF">
        <w:rPr>
          <w:sz w:val="22"/>
          <w:szCs w:val="22"/>
        </w:rPr>
        <w:t xml:space="preserve">tems such as lip balms, pens, keychains, car shades, pint glasses, and various articles of clothing </w:t>
      </w:r>
      <w:r w:rsidRPr="00EE591E" w:rsidR="00B63470">
        <w:rPr>
          <w:sz w:val="22"/>
          <w:szCs w:val="22"/>
        </w:rPr>
        <w:t>may be</w:t>
      </w:r>
      <w:r w:rsidRPr="00EE591E" w:rsidR="00CD65AF">
        <w:rPr>
          <w:sz w:val="22"/>
          <w:szCs w:val="22"/>
        </w:rPr>
        <w:t xml:space="preserve"> </w:t>
      </w:r>
      <w:r w:rsidRPr="00EE591E">
        <w:rPr>
          <w:sz w:val="22"/>
          <w:szCs w:val="22"/>
        </w:rPr>
        <w:t xml:space="preserve">reimbursable.  We reject Entravision’s argument that they are not because </w:t>
      </w:r>
      <w:r w:rsidRPr="00EE591E" w:rsidR="00CD65AF">
        <w:rPr>
          <w:sz w:val="22"/>
          <w:szCs w:val="22"/>
        </w:rPr>
        <w:t xml:space="preserve">they “bear no relationship to the </w:t>
      </w:r>
      <w:r w:rsidRPr="00EE591E" w:rsidR="00CD65AF">
        <w:rPr>
          <w:i/>
          <w:iCs/>
          <w:sz w:val="22"/>
          <w:szCs w:val="22"/>
        </w:rPr>
        <w:t>Circleville</w:t>
      </w:r>
      <w:r w:rsidRPr="00EE591E" w:rsidR="00CD65AF">
        <w:rPr>
          <w:sz w:val="22"/>
          <w:szCs w:val="22"/>
        </w:rPr>
        <w:t xml:space="preserve"> reimbursement criteria.”</w:t>
      </w:r>
      <w:r w:rsidRPr="00EE591E" w:rsidR="00CD65AF">
        <w:rPr>
          <w:rStyle w:val="FootnoteReference"/>
          <w:sz w:val="22"/>
          <w:szCs w:val="22"/>
        </w:rPr>
        <w:t xml:space="preserve"> </w:t>
      </w:r>
      <w:r>
        <w:rPr>
          <w:rStyle w:val="FootnoteReference"/>
          <w:sz w:val="22"/>
          <w:szCs w:val="22"/>
        </w:rPr>
        <w:footnoteReference w:id="90"/>
      </w:r>
      <w:r w:rsidRPr="00EE591E" w:rsidR="00CD65AF">
        <w:rPr>
          <w:sz w:val="22"/>
          <w:szCs w:val="22"/>
        </w:rPr>
        <w:t xml:space="preserve">  In </w:t>
      </w:r>
      <w:r w:rsidRPr="00EE591E" w:rsidR="00CD65AF">
        <w:rPr>
          <w:i/>
          <w:iCs/>
          <w:sz w:val="22"/>
          <w:szCs w:val="22"/>
        </w:rPr>
        <w:t>Circleville</w:t>
      </w:r>
      <w:r w:rsidRPr="00EE591E" w:rsidR="00CD65AF">
        <w:rPr>
          <w:sz w:val="22"/>
          <w:szCs w:val="22"/>
        </w:rPr>
        <w:t xml:space="preserve">, the Commission </w:t>
      </w:r>
      <w:r w:rsidR="00BC4AD4">
        <w:rPr>
          <w:sz w:val="22"/>
          <w:szCs w:val="22"/>
        </w:rPr>
        <w:t>addressed</w:t>
      </w:r>
      <w:r w:rsidRPr="00EE591E" w:rsidR="00076859">
        <w:rPr>
          <w:sz w:val="22"/>
          <w:szCs w:val="22"/>
        </w:rPr>
        <w:t xml:space="preserve"> only </w:t>
      </w:r>
      <w:r w:rsidRPr="00EE591E" w:rsidR="00F05424">
        <w:rPr>
          <w:sz w:val="22"/>
          <w:szCs w:val="22"/>
        </w:rPr>
        <w:t xml:space="preserve">whether </w:t>
      </w:r>
      <w:r w:rsidRPr="00EE591E" w:rsidR="00076859">
        <w:rPr>
          <w:sz w:val="22"/>
          <w:szCs w:val="22"/>
        </w:rPr>
        <w:t xml:space="preserve">the </w:t>
      </w:r>
      <w:r w:rsidRPr="00EE591E" w:rsidR="00CD65AF">
        <w:rPr>
          <w:sz w:val="22"/>
          <w:szCs w:val="22"/>
        </w:rPr>
        <w:t>specific items identified by the accommodating party “may be the subject of reimbursement.”</w:t>
      </w:r>
      <w:r>
        <w:rPr>
          <w:rStyle w:val="FootnoteReference"/>
          <w:sz w:val="22"/>
          <w:szCs w:val="22"/>
        </w:rPr>
        <w:footnoteReference w:id="91"/>
      </w:r>
      <w:r w:rsidRPr="00EE591E" w:rsidR="00CD65AF">
        <w:rPr>
          <w:sz w:val="22"/>
          <w:szCs w:val="22"/>
        </w:rPr>
        <w:t xml:space="preserve">  </w:t>
      </w:r>
      <w:r w:rsidR="00733911">
        <w:rPr>
          <w:sz w:val="22"/>
          <w:szCs w:val="22"/>
        </w:rPr>
        <w:t>We note that</w:t>
      </w:r>
      <w:r w:rsidRPr="00EE591E">
        <w:rPr>
          <w:sz w:val="22"/>
          <w:szCs w:val="22"/>
        </w:rPr>
        <w:t>, i</w:t>
      </w:r>
      <w:r w:rsidRPr="00EE591E" w:rsidR="004822AA">
        <w:rPr>
          <w:sz w:val="22"/>
          <w:szCs w:val="22"/>
        </w:rPr>
        <w:t xml:space="preserve">n </w:t>
      </w:r>
      <w:r w:rsidRPr="00EE591E" w:rsidR="00E27F97">
        <w:rPr>
          <w:sz w:val="22"/>
          <w:szCs w:val="22"/>
        </w:rPr>
        <w:t>more recent decisions</w:t>
      </w:r>
      <w:r w:rsidRPr="00EE591E" w:rsidR="004822AA">
        <w:rPr>
          <w:sz w:val="22"/>
          <w:szCs w:val="22"/>
        </w:rPr>
        <w:t xml:space="preserve">, </w:t>
      </w:r>
      <w:r w:rsidRPr="00EE591E" w:rsidR="00760AFE">
        <w:rPr>
          <w:sz w:val="22"/>
          <w:szCs w:val="22"/>
        </w:rPr>
        <w:t>accommodating parties have requested—and obtained—</w:t>
      </w:r>
      <w:r w:rsidRPr="00EE591E" w:rsidR="00CD65AF">
        <w:rPr>
          <w:sz w:val="22"/>
          <w:szCs w:val="22"/>
        </w:rPr>
        <w:t xml:space="preserve">reimbursement for </w:t>
      </w:r>
      <w:r w:rsidRPr="00EE591E">
        <w:rPr>
          <w:sz w:val="22"/>
          <w:szCs w:val="22"/>
        </w:rPr>
        <w:t>similar items</w:t>
      </w:r>
      <w:r w:rsidRPr="00EE591E" w:rsidR="00CD65AF">
        <w:rPr>
          <w:sz w:val="22"/>
          <w:szCs w:val="22"/>
        </w:rPr>
        <w:t xml:space="preserve"> such as “signs, bumper stickers, T-shirts, jackets, [and] </w:t>
      </w:r>
      <w:r w:rsidRPr="00EE591E" w:rsidR="00CD65AF">
        <w:rPr>
          <w:sz w:val="22"/>
          <w:szCs w:val="22"/>
        </w:rPr>
        <w:t>stadium cups,”</w:t>
      </w:r>
      <w:r>
        <w:rPr>
          <w:rStyle w:val="FootnoteReference"/>
          <w:sz w:val="22"/>
          <w:szCs w:val="22"/>
        </w:rPr>
        <w:footnoteReference w:id="92"/>
      </w:r>
      <w:r w:rsidRPr="00EE591E" w:rsidR="00CD65AF">
        <w:rPr>
          <w:sz w:val="22"/>
          <w:szCs w:val="22"/>
        </w:rPr>
        <w:t xml:space="preserve"> and </w:t>
      </w:r>
      <w:r w:rsidRPr="00EE591E" w:rsidR="004A671C">
        <w:rPr>
          <w:sz w:val="22"/>
          <w:szCs w:val="22"/>
        </w:rPr>
        <w:t>also for changing</w:t>
      </w:r>
      <w:r w:rsidRPr="00EE591E" w:rsidR="00CD65AF">
        <w:rPr>
          <w:sz w:val="22"/>
          <w:szCs w:val="22"/>
        </w:rPr>
        <w:t xml:space="preserve"> the “logo and call letters on gazebo cover.”</w:t>
      </w:r>
      <w:r>
        <w:rPr>
          <w:rStyle w:val="FootnoteReference"/>
          <w:sz w:val="22"/>
          <w:szCs w:val="22"/>
        </w:rPr>
        <w:footnoteReference w:id="93"/>
      </w:r>
      <w:r w:rsidRPr="00EE591E" w:rsidR="00797582">
        <w:rPr>
          <w:sz w:val="22"/>
          <w:szCs w:val="22"/>
        </w:rPr>
        <w:t xml:space="preserve">  </w:t>
      </w:r>
      <w:r w:rsidRPr="00EE591E">
        <w:rPr>
          <w:sz w:val="22"/>
          <w:szCs w:val="22"/>
        </w:rPr>
        <w:t xml:space="preserve">As with all expense items, there must be a clear nexus between the </w:t>
      </w:r>
      <w:r w:rsidRPr="00EE591E" w:rsidR="00B63158">
        <w:rPr>
          <w:sz w:val="22"/>
          <w:szCs w:val="22"/>
        </w:rPr>
        <w:t>promotional expense</w:t>
      </w:r>
      <w:r w:rsidRPr="00EE591E">
        <w:rPr>
          <w:sz w:val="22"/>
          <w:szCs w:val="22"/>
        </w:rPr>
        <w:t xml:space="preserve"> </w:t>
      </w:r>
      <w:r w:rsidRPr="00EE591E" w:rsidR="00B92CB6">
        <w:rPr>
          <w:sz w:val="22"/>
          <w:szCs w:val="22"/>
        </w:rPr>
        <w:t>and the involuntary channel change.</w:t>
      </w:r>
      <w:r w:rsidRPr="00EE591E">
        <w:rPr>
          <w:sz w:val="22"/>
          <w:szCs w:val="22"/>
        </w:rPr>
        <w:t xml:space="preserve">  </w:t>
      </w:r>
      <w:r w:rsidR="00B41AE5">
        <w:rPr>
          <w:sz w:val="22"/>
          <w:szCs w:val="22"/>
        </w:rPr>
        <w:t>An accommodating party may establish this nexus</w:t>
      </w:r>
      <w:r w:rsidRPr="00EE591E">
        <w:rPr>
          <w:sz w:val="22"/>
          <w:szCs w:val="22"/>
        </w:rPr>
        <w:t xml:space="preserve"> </w:t>
      </w:r>
      <w:r w:rsidR="00E70486">
        <w:rPr>
          <w:sz w:val="22"/>
          <w:szCs w:val="22"/>
        </w:rPr>
        <w:t>with evidence that</w:t>
      </w:r>
      <w:r w:rsidRPr="00EE591E">
        <w:rPr>
          <w:sz w:val="22"/>
          <w:szCs w:val="22"/>
        </w:rPr>
        <w:t xml:space="preserve"> </w:t>
      </w:r>
      <w:r w:rsidR="00E70486">
        <w:rPr>
          <w:sz w:val="22"/>
          <w:szCs w:val="22"/>
        </w:rPr>
        <w:t>the promotional item at issue</w:t>
      </w:r>
      <w:r w:rsidRPr="00EE591E">
        <w:rPr>
          <w:sz w:val="22"/>
          <w:szCs w:val="22"/>
        </w:rPr>
        <w:t xml:space="preserve"> include</w:t>
      </w:r>
      <w:r w:rsidRPr="00EE591E" w:rsidR="00B63158">
        <w:rPr>
          <w:sz w:val="22"/>
          <w:szCs w:val="22"/>
        </w:rPr>
        <w:t>s</w:t>
      </w:r>
      <w:r w:rsidRPr="00EE591E">
        <w:rPr>
          <w:sz w:val="22"/>
          <w:szCs w:val="22"/>
        </w:rPr>
        <w:t xml:space="preserve"> </w:t>
      </w:r>
      <w:r w:rsidRPr="00EE591E" w:rsidR="00B63158">
        <w:rPr>
          <w:sz w:val="22"/>
          <w:szCs w:val="22"/>
        </w:rPr>
        <w:t>the</w:t>
      </w:r>
      <w:r w:rsidRPr="00EE591E" w:rsidR="00B92CB6">
        <w:rPr>
          <w:sz w:val="22"/>
          <w:szCs w:val="22"/>
        </w:rPr>
        <w:t xml:space="preserve"> station’s</w:t>
      </w:r>
      <w:r w:rsidRPr="00EE591E">
        <w:rPr>
          <w:sz w:val="22"/>
          <w:szCs w:val="22"/>
        </w:rPr>
        <w:t xml:space="preserve"> old frequency.  </w:t>
      </w:r>
    </w:p>
    <w:p w:rsidR="00E20D7E" w:rsidRPr="00EE591E" w:rsidP="009E1B64" w14:paraId="0C7F00F5" w14:textId="77777777">
      <w:pPr>
        <w:ind w:firstLine="720"/>
        <w:rPr>
          <w:sz w:val="22"/>
          <w:szCs w:val="22"/>
        </w:rPr>
      </w:pPr>
    </w:p>
    <w:p w:rsidR="008F3BC5" w:rsidRPr="00EE591E" w:rsidP="009E1B64" w14:paraId="3438A95F" w14:textId="49ABACF1">
      <w:pPr>
        <w:ind w:firstLine="720"/>
        <w:rPr>
          <w:sz w:val="22"/>
          <w:szCs w:val="22"/>
        </w:rPr>
      </w:pPr>
      <w:r w:rsidRPr="00EE591E">
        <w:rPr>
          <w:sz w:val="22"/>
          <w:szCs w:val="22"/>
        </w:rPr>
        <w:t xml:space="preserve">In terms of the </w:t>
      </w:r>
      <w:r w:rsidR="005E7052">
        <w:rPr>
          <w:sz w:val="22"/>
          <w:szCs w:val="22"/>
        </w:rPr>
        <w:t>quantity of a</w:t>
      </w:r>
      <w:r w:rsidRPr="00EE591E" w:rsidR="0094362F">
        <w:rPr>
          <w:sz w:val="22"/>
          <w:szCs w:val="22"/>
        </w:rPr>
        <w:t xml:space="preserve"> particular </w:t>
      </w:r>
      <w:r w:rsidRPr="00EE591E">
        <w:rPr>
          <w:sz w:val="22"/>
          <w:szCs w:val="22"/>
        </w:rPr>
        <w:t>promotional item</w:t>
      </w:r>
      <w:r w:rsidR="005E7052">
        <w:rPr>
          <w:sz w:val="22"/>
          <w:szCs w:val="22"/>
        </w:rPr>
        <w:t xml:space="preserve"> for which reimbursement is appropriate</w:t>
      </w:r>
      <w:r w:rsidRPr="00EE591E">
        <w:rPr>
          <w:sz w:val="22"/>
          <w:szCs w:val="22"/>
        </w:rPr>
        <w:t>,</w:t>
      </w:r>
      <w:r w:rsidRPr="00EE591E" w:rsidR="009B49B5">
        <w:rPr>
          <w:sz w:val="22"/>
          <w:szCs w:val="22"/>
        </w:rPr>
        <w:t xml:space="preserve"> </w:t>
      </w:r>
      <w:r w:rsidRPr="00EE591E" w:rsidR="00DE0387">
        <w:rPr>
          <w:sz w:val="22"/>
          <w:szCs w:val="22"/>
        </w:rPr>
        <w:t xml:space="preserve">a benefitting party must reimburse an accommodating party </w:t>
      </w:r>
      <w:r w:rsidRPr="00EE591E" w:rsidR="00BD1181">
        <w:rPr>
          <w:sz w:val="22"/>
          <w:szCs w:val="22"/>
        </w:rPr>
        <w:t xml:space="preserve">only </w:t>
      </w:r>
      <w:r w:rsidRPr="00EE591E" w:rsidR="00DE0387">
        <w:rPr>
          <w:sz w:val="22"/>
          <w:szCs w:val="22"/>
        </w:rPr>
        <w:t xml:space="preserve">for the </w:t>
      </w:r>
      <w:r w:rsidRPr="00EE591E" w:rsidR="00646077">
        <w:rPr>
          <w:sz w:val="22"/>
          <w:szCs w:val="22"/>
        </w:rPr>
        <w:t xml:space="preserve">cost of replacing </w:t>
      </w:r>
      <w:r w:rsidRPr="00EE591E" w:rsidR="009B49B5">
        <w:rPr>
          <w:sz w:val="22"/>
          <w:szCs w:val="22"/>
        </w:rPr>
        <w:t xml:space="preserve">the </w:t>
      </w:r>
      <w:r w:rsidR="000E0358">
        <w:rPr>
          <w:sz w:val="22"/>
          <w:szCs w:val="22"/>
        </w:rPr>
        <w:t>number</w:t>
      </w:r>
      <w:r w:rsidR="00306982">
        <w:rPr>
          <w:sz w:val="22"/>
          <w:szCs w:val="22"/>
        </w:rPr>
        <w:t xml:space="preserve"> of the promotional</w:t>
      </w:r>
      <w:r w:rsidRPr="00EE591E" w:rsidR="00646077">
        <w:rPr>
          <w:sz w:val="22"/>
          <w:szCs w:val="22"/>
        </w:rPr>
        <w:t xml:space="preserve"> item in </w:t>
      </w:r>
      <w:r w:rsidRPr="00EE591E" w:rsidR="00BE69D0">
        <w:rPr>
          <w:sz w:val="22"/>
          <w:szCs w:val="22"/>
        </w:rPr>
        <w:t>the accommodating party’s</w:t>
      </w:r>
      <w:r w:rsidRPr="00EE591E" w:rsidR="00646077">
        <w:rPr>
          <w:sz w:val="22"/>
          <w:szCs w:val="22"/>
        </w:rPr>
        <w:t xml:space="preserve"> </w:t>
      </w:r>
      <w:r w:rsidRPr="00EE591E" w:rsidR="00FA0CF5">
        <w:rPr>
          <w:sz w:val="22"/>
          <w:szCs w:val="22"/>
        </w:rPr>
        <w:t>inventory</w:t>
      </w:r>
      <w:r w:rsidRPr="00EE591E" w:rsidR="001A1147">
        <w:rPr>
          <w:sz w:val="22"/>
          <w:szCs w:val="22"/>
        </w:rPr>
        <w:t>.</w:t>
      </w:r>
      <w:r>
        <w:rPr>
          <w:rStyle w:val="FootnoteReference"/>
          <w:sz w:val="22"/>
          <w:szCs w:val="22"/>
        </w:rPr>
        <w:footnoteReference w:id="94"/>
      </w:r>
      <w:r w:rsidRPr="00EE591E" w:rsidR="001A1147">
        <w:rPr>
          <w:sz w:val="22"/>
          <w:szCs w:val="22"/>
        </w:rPr>
        <w:t xml:space="preserve">  </w:t>
      </w:r>
      <w:r w:rsidR="007A58B3">
        <w:rPr>
          <w:sz w:val="22"/>
          <w:szCs w:val="22"/>
        </w:rPr>
        <w:t xml:space="preserve">This ensures that the accommodating party is not disadvantaged by the involuntary channel change but also </w:t>
      </w:r>
      <w:r w:rsidRPr="00EE591E">
        <w:rPr>
          <w:sz w:val="22"/>
          <w:szCs w:val="22"/>
        </w:rPr>
        <w:t>is consistent</w:t>
      </w:r>
      <w:r w:rsidRPr="00EE591E" w:rsidR="0094362F">
        <w:rPr>
          <w:sz w:val="22"/>
          <w:szCs w:val="22"/>
        </w:rPr>
        <w:t xml:space="preserve"> </w:t>
      </w:r>
      <w:r w:rsidRPr="00EE591E">
        <w:rPr>
          <w:sz w:val="22"/>
          <w:szCs w:val="22"/>
        </w:rPr>
        <w:t>with</w:t>
      </w:r>
      <w:r w:rsidRPr="00EE591E" w:rsidR="0094362F">
        <w:rPr>
          <w:sz w:val="22"/>
          <w:szCs w:val="22"/>
        </w:rPr>
        <w:t xml:space="preserve"> the principle </w:t>
      </w:r>
      <w:r w:rsidRPr="00EE591E">
        <w:rPr>
          <w:sz w:val="22"/>
          <w:szCs w:val="22"/>
        </w:rPr>
        <w:t>enunciated</w:t>
      </w:r>
      <w:r w:rsidRPr="00EE591E" w:rsidR="0094362F">
        <w:rPr>
          <w:sz w:val="22"/>
          <w:szCs w:val="22"/>
        </w:rPr>
        <w:t xml:space="preserve"> in </w:t>
      </w:r>
      <w:r w:rsidRPr="00EE591E" w:rsidR="0094362F">
        <w:rPr>
          <w:i/>
          <w:iCs/>
          <w:sz w:val="22"/>
          <w:szCs w:val="22"/>
        </w:rPr>
        <w:t>Circleville</w:t>
      </w:r>
      <w:r w:rsidRPr="00EE591E" w:rsidR="0094362F">
        <w:rPr>
          <w:sz w:val="22"/>
          <w:szCs w:val="22"/>
        </w:rPr>
        <w:t xml:space="preserve"> that a benefiting party should not be required to pay for improving the situation of the existing station</w:t>
      </w:r>
      <w:r w:rsidRPr="00EE591E">
        <w:rPr>
          <w:sz w:val="22"/>
          <w:szCs w:val="22"/>
        </w:rPr>
        <w:t>.</w:t>
      </w:r>
      <w:r>
        <w:rPr>
          <w:rStyle w:val="FootnoteReference"/>
          <w:sz w:val="22"/>
          <w:szCs w:val="22"/>
        </w:rPr>
        <w:footnoteReference w:id="95"/>
      </w:r>
      <w:r w:rsidRPr="00EE591E" w:rsidR="0094362F">
        <w:rPr>
          <w:sz w:val="22"/>
          <w:szCs w:val="22"/>
        </w:rPr>
        <w:t xml:space="preserve">  </w:t>
      </w:r>
    </w:p>
    <w:p w:rsidR="00323813" w:rsidRPr="00EE591E" w:rsidP="00AA7780" w14:paraId="2FB984F5" w14:textId="77777777">
      <w:pPr>
        <w:rPr>
          <w:sz w:val="22"/>
          <w:szCs w:val="22"/>
        </w:rPr>
      </w:pPr>
    </w:p>
    <w:p w:rsidR="00CD4C03" w:rsidRPr="00EE591E" w:rsidP="00CD4C03" w14:paraId="2C540D4C" w14:textId="167CA4DC">
      <w:pPr>
        <w:ind w:firstLine="720"/>
        <w:rPr>
          <w:sz w:val="22"/>
          <w:szCs w:val="22"/>
        </w:rPr>
      </w:pPr>
      <w:r>
        <w:rPr>
          <w:sz w:val="22"/>
          <w:szCs w:val="22"/>
        </w:rPr>
        <w:t xml:space="preserve">Having addressed promotional </w:t>
      </w:r>
      <w:r w:rsidR="00696F2F">
        <w:rPr>
          <w:sz w:val="22"/>
          <w:szCs w:val="22"/>
        </w:rPr>
        <w:t>expenses in general, we turn to the promotional expenses listed by PVBC</w:t>
      </w:r>
      <w:r w:rsidR="002D1DE8">
        <w:rPr>
          <w:sz w:val="22"/>
          <w:szCs w:val="22"/>
        </w:rPr>
        <w:t xml:space="preserve">, and require </w:t>
      </w:r>
      <w:r w:rsidRPr="00EE591E">
        <w:rPr>
          <w:sz w:val="22"/>
          <w:szCs w:val="22"/>
        </w:rPr>
        <w:t xml:space="preserve">PVBC </w:t>
      </w:r>
      <w:r w:rsidR="002D1DE8">
        <w:rPr>
          <w:sz w:val="22"/>
          <w:szCs w:val="22"/>
        </w:rPr>
        <w:t>to</w:t>
      </w:r>
      <w:r w:rsidRPr="00EE591E">
        <w:rPr>
          <w:sz w:val="22"/>
          <w:szCs w:val="22"/>
        </w:rPr>
        <w:t xml:space="preserve"> supplement the information it has submitted regarding </w:t>
      </w:r>
      <w:r w:rsidR="002D1DE8">
        <w:rPr>
          <w:sz w:val="22"/>
          <w:szCs w:val="22"/>
        </w:rPr>
        <w:t>these</w:t>
      </w:r>
      <w:r w:rsidRPr="00EE591E">
        <w:rPr>
          <w:sz w:val="22"/>
          <w:szCs w:val="22"/>
        </w:rPr>
        <w:t xml:space="preserve"> expense</w:t>
      </w:r>
      <w:r w:rsidR="002D1DE8">
        <w:rPr>
          <w:sz w:val="22"/>
          <w:szCs w:val="22"/>
        </w:rPr>
        <w:t>s</w:t>
      </w:r>
      <w:r w:rsidRPr="00EE591E">
        <w:rPr>
          <w:sz w:val="22"/>
          <w:szCs w:val="22"/>
        </w:rPr>
        <w:t>.</w:t>
      </w:r>
      <w:r>
        <w:rPr>
          <w:rStyle w:val="FootnoteReference"/>
          <w:sz w:val="22"/>
          <w:szCs w:val="22"/>
        </w:rPr>
        <w:footnoteReference w:id="96"/>
      </w:r>
      <w:r w:rsidRPr="00EE591E">
        <w:rPr>
          <w:sz w:val="22"/>
          <w:szCs w:val="22"/>
        </w:rPr>
        <w:t xml:space="preserve">  Specifically, to the extent that PVBC has not demonstrated that each </w:t>
      </w:r>
      <w:r w:rsidRPr="00EE591E" w:rsidR="0062530A">
        <w:rPr>
          <w:sz w:val="22"/>
          <w:szCs w:val="22"/>
        </w:rPr>
        <w:t>promotional</w:t>
      </w:r>
      <w:r w:rsidRPr="00EE591E">
        <w:rPr>
          <w:sz w:val="22"/>
          <w:szCs w:val="22"/>
        </w:rPr>
        <w:t xml:space="preserve"> item has KPPV(FM)’s old frequency on it,</w:t>
      </w:r>
      <w:r>
        <w:rPr>
          <w:rStyle w:val="FootnoteReference"/>
          <w:sz w:val="22"/>
          <w:szCs w:val="22"/>
        </w:rPr>
        <w:footnoteReference w:id="97"/>
      </w:r>
      <w:r w:rsidRPr="00EE591E">
        <w:rPr>
          <w:sz w:val="22"/>
          <w:szCs w:val="22"/>
        </w:rPr>
        <w:t xml:space="preserve"> PVBC must submit photographs or other evidence demonstrating that this is the case.  PVBC also must specify how many of each </w:t>
      </w:r>
      <w:r w:rsidRPr="00EE591E" w:rsidR="0062530A">
        <w:rPr>
          <w:sz w:val="22"/>
          <w:szCs w:val="22"/>
        </w:rPr>
        <w:t>promotional</w:t>
      </w:r>
      <w:r w:rsidRPr="00EE591E">
        <w:rPr>
          <w:sz w:val="22"/>
          <w:szCs w:val="22"/>
        </w:rPr>
        <w:t xml:space="preserve"> item it had in its possession as of the date of this letter.  </w:t>
      </w:r>
      <w:r w:rsidR="00A10723">
        <w:rPr>
          <w:sz w:val="22"/>
          <w:szCs w:val="22"/>
        </w:rPr>
        <w:t xml:space="preserve">We caution </w:t>
      </w:r>
      <w:r w:rsidRPr="00EE591E">
        <w:rPr>
          <w:sz w:val="22"/>
          <w:szCs w:val="22"/>
        </w:rPr>
        <w:t xml:space="preserve">PVBC </w:t>
      </w:r>
      <w:r w:rsidR="00A10723">
        <w:rPr>
          <w:sz w:val="22"/>
          <w:szCs w:val="22"/>
        </w:rPr>
        <w:t xml:space="preserve">that it </w:t>
      </w:r>
      <w:r w:rsidR="005B47B7">
        <w:rPr>
          <w:sz w:val="22"/>
          <w:szCs w:val="22"/>
        </w:rPr>
        <w:t>cannot expect to be reimbursed for</w:t>
      </w:r>
      <w:r w:rsidRPr="00EE591E">
        <w:rPr>
          <w:sz w:val="22"/>
          <w:szCs w:val="22"/>
        </w:rPr>
        <w:t xml:space="preserve"> </w:t>
      </w:r>
      <w:r w:rsidRPr="00EE591E" w:rsidR="0062530A">
        <w:rPr>
          <w:sz w:val="22"/>
          <w:szCs w:val="22"/>
        </w:rPr>
        <w:t>promotional</w:t>
      </w:r>
      <w:r w:rsidRPr="00EE591E">
        <w:rPr>
          <w:sz w:val="22"/>
          <w:szCs w:val="22"/>
        </w:rPr>
        <w:t xml:space="preserve"> items</w:t>
      </w:r>
      <w:r w:rsidRPr="00EE591E" w:rsidR="0062530A">
        <w:rPr>
          <w:sz w:val="22"/>
          <w:szCs w:val="22"/>
        </w:rPr>
        <w:t xml:space="preserve"> with KPPV(FM)’s old frequency on them</w:t>
      </w:r>
      <w:r w:rsidR="00C422D4">
        <w:rPr>
          <w:sz w:val="22"/>
          <w:szCs w:val="22"/>
        </w:rPr>
        <w:t xml:space="preserve"> </w:t>
      </w:r>
      <w:r w:rsidR="005B47B7">
        <w:rPr>
          <w:sz w:val="22"/>
          <w:szCs w:val="22"/>
        </w:rPr>
        <w:t xml:space="preserve">that were purchased </w:t>
      </w:r>
      <w:r w:rsidR="00C422D4">
        <w:rPr>
          <w:sz w:val="22"/>
          <w:szCs w:val="22"/>
        </w:rPr>
        <w:t xml:space="preserve">after </w:t>
      </w:r>
      <w:r w:rsidR="008F6C0E">
        <w:rPr>
          <w:sz w:val="22"/>
          <w:szCs w:val="22"/>
        </w:rPr>
        <w:t>the KPPV(FM) licensed was modified on July 20, 2020</w:t>
      </w:r>
      <w:r w:rsidRPr="00EE591E">
        <w:rPr>
          <w:sz w:val="22"/>
          <w:szCs w:val="22"/>
        </w:rPr>
        <w:t xml:space="preserve">.  </w:t>
      </w:r>
      <w:r w:rsidRPr="00EE591E" w:rsidR="006E470C">
        <w:rPr>
          <w:sz w:val="22"/>
          <w:szCs w:val="22"/>
        </w:rPr>
        <w:t xml:space="preserve">PVBC must </w:t>
      </w:r>
      <w:r w:rsidR="006E470C">
        <w:rPr>
          <w:sz w:val="22"/>
          <w:szCs w:val="22"/>
        </w:rPr>
        <w:t>state</w:t>
      </w:r>
      <w:r w:rsidRPr="00EE591E" w:rsidR="006E470C">
        <w:rPr>
          <w:sz w:val="22"/>
          <w:szCs w:val="22"/>
        </w:rPr>
        <w:t xml:space="preserve"> when it last placed an order for each </w:t>
      </w:r>
      <w:r w:rsidR="006E470C">
        <w:rPr>
          <w:sz w:val="22"/>
          <w:szCs w:val="22"/>
        </w:rPr>
        <w:t>promotional</w:t>
      </w:r>
      <w:r w:rsidRPr="00EE591E" w:rsidR="006E470C">
        <w:rPr>
          <w:sz w:val="22"/>
          <w:szCs w:val="22"/>
        </w:rPr>
        <w:t xml:space="preserve"> item</w:t>
      </w:r>
      <w:r w:rsidR="006E470C">
        <w:rPr>
          <w:sz w:val="22"/>
          <w:szCs w:val="22"/>
        </w:rPr>
        <w:t>, and provide the invoice or other documentation related to that order</w:t>
      </w:r>
      <w:r w:rsidRPr="00EE591E" w:rsidR="006E470C">
        <w:rPr>
          <w:sz w:val="22"/>
          <w:szCs w:val="22"/>
        </w:rPr>
        <w:t>.</w:t>
      </w:r>
    </w:p>
    <w:p w:rsidR="00EA02E5" w:rsidRPr="00EE591E" w:rsidP="009E1B64" w14:paraId="06F1DB62" w14:textId="4337B2C4">
      <w:pPr>
        <w:rPr>
          <w:b/>
          <w:bCs/>
          <w:sz w:val="22"/>
          <w:szCs w:val="22"/>
        </w:rPr>
      </w:pPr>
    </w:p>
    <w:p w:rsidR="004152FB" w14:paraId="67EB92C8" w14:textId="77777777">
      <w:pPr>
        <w:rPr>
          <w:b/>
          <w:bCs/>
          <w:sz w:val="22"/>
          <w:szCs w:val="22"/>
        </w:rPr>
      </w:pPr>
      <w:r>
        <w:rPr>
          <w:b/>
          <w:bCs/>
          <w:sz w:val="22"/>
          <w:szCs w:val="22"/>
        </w:rPr>
        <w:br w:type="page"/>
      </w:r>
    </w:p>
    <w:p w:rsidR="00311846" w:rsidRPr="00EE591E" w:rsidP="009E1B64" w14:paraId="50380918" w14:textId="0AF4AF09">
      <w:pPr>
        <w:ind w:firstLine="720"/>
        <w:rPr>
          <w:b/>
          <w:bCs/>
          <w:sz w:val="22"/>
          <w:szCs w:val="22"/>
        </w:rPr>
      </w:pPr>
      <w:r w:rsidRPr="00EE591E">
        <w:rPr>
          <w:b/>
          <w:bCs/>
          <w:sz w:val="22"/>
          <w:szCs w:val="22"/>
        </w:rPr>
        <w:t xml:space="preserve">7. </w:t>
      </w:r>
      <w:r w:rsidRPr="00EE591E">
        <w:rPr>
          <w:b/>
          <w:bCs/>
          <w:sz w:val="22"/>
          <w:szCs w:val="22"/>
        </w:rPr>
        <w:tab/>
      </w:r>
      <w:r w:rsidRPr="00BA37EF">
        <w:rPr>
          <w:b/>
          <w:bCs/>
          <w:sz w:val="22"/>
          <w:szCs w:val="22"/>
        </w:rPr>
        <w:t>Miscellaneous Expenses.</w:t>
      </w:r>
    </w:p>
    <w:p w:rsidR="00311846" w:rsidRPr="00EE591E" w:rsidP="009E1B64" w14:paraId="731EB572" w14:textId="77777777">
      <w:pPr>
        <w:ind w:firstLine="720"/>
        <w:rPr>
          <w:i/>
          <w:iCs/>
          <w:sz w:val="22"/>
          <w:szCs w:val="22"/>
        </w:rPr>
      </w:pPr>
    </w:p>
    <w:p w:rsidR="001D2FDA" w:rsidP="009E1B64" w14:paraId="63319BB4" w14:textId="3D7C0845">
      <w:pPr>
        <w:ind w:firstLine="720"/>
        <w:rPr>
          <w:sz w:val="22"/>
          <w:szCs w:val="22"/>
        </w:rPr>
      </w:pPr>
      <w:r w:rsidRPr="00EE591E">
        <w:rPr>
          <w:sz w:val="22"/>
          <w:szCs w:val="22"/>
        </w:rPr>
        <w:t xml:space="preserve">As noted above, </w:t>
      </w:r>
      <w:r w:rsidRPr="00EE591E">
        <w:rPr>
          <w:sz w:val="22"/>
          <w:szCs w:val="22"/>
        </w:rPr>
        <w:t xml:space="preserve">where an expense item is not clearly addressed by </w:t>
      </w:r>
      <w:r w:rsidRPr="00EE591E">
        <w:rPr>
          <w:i/>
          <w:iCs/>
          <w:sz w:val="22"/>
          <w:szCs w:val="22"/>
        </w:rPr>
        <w:t xml:space="preserve">Circleville </w:t>
      </w:r>
      <w:r w:rsidRPr="00EE591E">
        <w:rPr>
          <w:sz w:val="22"/>
          <w:szCs w:val="22"/>
        </w:rPr>
        <w:t>or its progeny, we consider whether there is “some clear nexus between the frequency switch and the expense.”</w:t>
      </w:r>
      <w:r>
        <w:rPr>
          <w:rStyle w:val="FootnoteReference"/>
          <w:sz w:val="22"/>
          <w:szCs w:val="22"/>
        </w:rPr>
        <w:footnoteReference w:id="98"/>
      </w:r>
      <w:r w:rsidRPr="00EE591E">
        <w:rPr>
          <w:sz w:val="22"/>
          <w:szCs w:val="22"/>
        </w:rPr>
        <w:t xml:space="preserve">  If there is a clear nexus, </w:t>
      </w:r>
      <w:r w:rsidR="00456020">
        <w:rPr>
          <w:sz w:val="22"/>
          <w:szCs w:val="22"/>
        </w:rPr>
        <w:t>the expense is reimbursable</w:t>
      </w:r>
      <w:r w:rsidR="007C14E9">
        <w:rPr>
          <w:sz w:val="22"/>
          <w:szCs w:val="22"/>
        </w:rPr>
        <w:t xml:space="preserve"> so long as it is</w:t>
      </w:r>
      <w:r w:rsidRPr="00EE591E">
        <w:rPr>
          <w:sz w:val="22"/>
          <w:szCs w:val="22"/>
        </w:rPr>
        <w:t xml:space="preserve"> “reasonable.”</w:t>
      </w:r>
      <w:r>
        <w:rPr>
          <w:rStyle w:val="FootnoteReference"/>
          <w:sz w:val="22"/>
          <w:szCs w:val="22"/>
        </w:rPr>
        <w:footnoteReference w:id="99"/>
      </w:r>
      <w:r w:rsidRPr="00EE591E">
        <w:rPr>
          <w:sz w:val="22"/>
          <w:szCs w:val="22"/>
        </w:rPr>
        <w:t xml:space="preserve">  </w:t>
      </w:r>
      <w:r w:rsidRPr="00EE591E" w:rsidR="000A5833">
        <w:rPr>
          <w:sz w:val="22"/>
          <w:szCs w:val="22"/>
        </w:rPr>
        <w:t xml:space="preserve">In order </w:t>
      </w:r>
      <w:r w:rsidRPr="00EE591E" w:rsidR="004668E1">
        <w:rPr>
          <w:sz w:val="22"/>
          <w:szCs w:val="22"/>
        </w:rPr>
        <w:t>to</w:t>
      </w:r>
      <w:r w:rsidRPr="00EE591E" w:rsidR="000A5833">
        <w:rPr>
          <w:sz w:val="22"/>
          <w:szCs w:val="22"/>
        </w:rPr>
        <w:t xml:space="preserve"> evaluate </w:t>
      </w:r>
      <w:r w:rsidRPr="00EE591E" w:rsidR="00486E79">
        <w:rPr>
          <w:sz w:val="22"/>
          <w:szCs w:val="22"/>
        </w:rPr>
        <w:t>whether</w:t>
      </w:r>
      <w:r w:rsidRPr="00EE591E" w:rsidR="004668E1">
        <w:rPr>
          <w:sz w:val="22"/>
          <w:szCs w:val="22"/>
        </w:rPr>
        <w:t xml:space="preserve"> there is a clear nexus between the KPPV(FM) channel change and the miscellaneous expenses </w:t>
      </w:r>
      <w:r w:rsidR="009B49F0">
        <w:rPr>
          <w:sz w:val="22"/>
          <w:szCs w:val="22"/>
        </w:rPr>
        <w:t>identified by</w:t>
      </w:r>
      <w:r w:rsidRPr="00EE591E" w:rsidR="004668E1">
        <w:rPr>
          <w:sz w:val="22"/>
          <w:szCs w:val="22"/>
        </w:rPr>
        <w:t xml:space="preserve"> </w:t>
      </w:r>
      <w:r w:rsidR="009B49F0">
        <w:rPr>
          <w:sz w:val="22"/>
          <w:szCs w:val="22"/>
        </w:rPr>
        <w:t>PVBC</w:t>
      </w:r>
      <w:r w:rsidRPr="00EE591E" w:rsidR="000A5833">
        <w:rPr>
          <w:sz w:val="22"/>
          <w:szCs w:val="22"/>
        </w:rPr>
        <w:t>, we</w:t>
      </w:r>
      <w:r w:rsidRPr="00EE591E" w:rsidR="00190C5D">
        <w:rPr>
          <w:sz w:val="22"/>
          <w:szCs w:val="22"/>
        </w:rPr>
        <w:t xml:space="preserve"> </w:t>
      </w:r>
      <w:r w:rsidR="009B49F0">
        <w:rPr>
          <w:sz w:val="22"/>
          <w:szCs w:val="22"/>
        </w:rPr>
        <w:t>direct</w:t>
      </w:r>
      <w:r w:rsidRPr="00EE591E" w:rsidR="000A5833">
        <w:rPr>
          <w:sz w:val="22"/>
          <w:szCs w:val="22"/>
        </w:rPr>
        <w:t xml:space="preserve"> </w:t>
      </w:r>
      <w:r w:rsidRPr="00EE591E" w:rsidR="004668E1">
        <w:rPr>
          <w:sz w:val="22"/>
          <w:szCs w:val="22"/>
        </w:rPr>
        <w:t xml:space="preserve">PVBC </w:t>
      </w:r>
      <w:r w:rsidR="0051518F">
        <w:rPr>
          <w:sz w:val="22"/>
          <w:szCs w:val="22"/>
        </w:rPr>
        <w:t>to submit</w:t>
      </w:r>
      <w:r w:rsidRPr="00EE591E" w:rsidR="004668E1">
        <w:rPr>
          <w:sz w:val="22"/>
          <w:szCs w:val="22"/>
        </w:rPr>
        <w:t xml:space="preserve"> the information </w:t>
      </w:r>
      <w:r w:rsidR="00416039">
        <w:rPr>
          <w:sz w:val="22"/>
          <w:szCs w:val="22"/>
        </w:rPr>
        <w:t>outlined</w:t>
      </w:r>
      <w:r w:rsidRPr="00EE591E" w:rsidR="004668E1">
        <w:rPr>
          <w:sz w:val="22"/>
          <w:szCs w:val="22"/>
        </w:rPr>
        <w:t xml:space="preserve"> below</w:t>
      </w:r>
      <w:r w:rsidRPr="00EE591E" w:rsidR="000A5833">
        <w:rPr>
          <w:sz w:val="22"/>
          <w:szCs w:val="22"/>
        </w:rPr>
        <w:t xml:space="preserve">.  </w:t>
      </w:r>
    </w:p>
    <w:p w:rsidR="00AA3A77" w:rsidRPr="00EE591E" w:rsidP="00F77593" w14:paraId="044763B8" w14:textId="77777777">
      <w:pPr>
        <w:rPr>
          <w:i/>
          <w:iCs/>
          <w:sz w:val="22"/>
          <w:szCs w:val="22"/>
        </w:rPr>
      </w:pPr>
    </w:p>
    <w:p w:rsidR="00926A42" w:rsidRPr="00F77593" w:rsidP="00F77593" w14:paraId="1FAC4D96" w14:textId="126A1CC2">
      <w:pPr>
        <w:pStyle w:val="ListParagraph"/>
        <w:numPr>
          <w:ilvl w:val="0"/>
          <w:numId w:val="9"/>
        </w:numPr>
        <w:spacing w:after="0" w:line="240" w:lineRule="auto"/>
        <w:rPr>
          <w:rFonts w:ascii="Times New Roman" w:hAnsi="Times New Roman"/>
        </w:rPr>
      </w:pPr>
      <w:r w:rsidRPr="00F77593">
        <w:rPr>
          <w:rFonts w:ascii="Times New Roman" w:hAnsi="Times New Roman"/>
          <w:i/>
          <w:iCs/>
        </w:rPr>
        <w:t>Indoor Directional Signage with New Logo</w:t>
      </w:r>
      <w:r w:rsidRPr="00F77593">
        <w:rPr>
          <w:rFonts w:ascii="Times New Roman" w:hAnsi="Times New Roman"/>
        </w:rPr>
        <w:t>.</w:t>
      </w:r>
      <w:r>
        <w:rPr>
          <w:rStyle w:val="FootnoteReference"/>
          <w:rFonts w:ascii="Times New Roman" w:hAnsi="Times New Roman"/>
        </w:rPr>
        <w:footnoteReference w:id="100"/>
      </w:r>
      <w:r w:rsidRPr="00F77593">
        <w:rPr>
          <w:rFonts w:ascii="Times New Roman" w:hAnsi="Times New Roman"/>
        </w:rPr>
        <w:t xml:space="preserve">  PVBC</w:t>
      </w:r>
      <w:r w:rsidRPr="00F77593" w:rsidR="00A141A0">
        <w:rPr>
          <w:rFonts w:ascii="Times New Roman" w:hAnsi="Times New Roman"/>
        </w:rPr>
        <w:t xml:space="preserve"> must</w:t>
      </w:r>
      <w:r w:rsidRPr="00F77593" w:rsidR="005B2D82">
        <w:rPr>
          <w:rFonts w:ascii="Times New Roman" w:hAnsi="Times New Roman"/>
        </w:rPr>
        <w:t xml:space="preserve"> indicate </w:t>
      </w:r>
      <w:r w:rsidRPr="00F77593" w:rsidR="00DC76B1">
        <w:rPr>
          <w:rFonts w:ascii="Times New Roman" w:hAnsi="Times New Roman"/>
        </w:rPr>
        <w:t xml:space="preserve">the number of signs it proposes to order, </w:t>
      </w:r>
      <w:r w:rsidRPr="00F77593" w:rsidR="0082511F">
        <w:rPr>
          <w:rFonts w:ascii="Times New Roman" w:hAnsi="Times New Roman"/>
        </w:rPr>
        <w:t xml:space="preserve">explain why </w:t>
      </w:r>
      <w:r w:rsidRPr="00F77593" w:rsidR="003E5133">
        <w:rPr>
          <w:rFonts w:ascii="Times New Roman" w:hAnsi="Times New Roman"/>
        </w:rPr>
        <w:t>each</w:t>
      </w:r>
      <w:r w:rsidRPr="00F77593" w:rsidR="0082511F">
        <w:rPr>
          <w:rFonts w:ascii="Times New Roman" w:hAnsi="Times New Roman"/>
        </w:rPr>
        <w:t xml:space="preserve"> sign is necessary, and submit photographs to support its explanation</w:t>
      </w:r>
      <w:r w:rsidRPr="00F77593">
        <w:rPr>
          <w:rFonts w:ascii="Times New Roman" w:hAnsi="Times New Roman"/>
        </w:rPr>
        <w:t xml:space="preserve">.  </w:t>
      </w:r>
    </w:p>
    <w:p w:rsidR="00C17E06" w:rsidRPr="00F77593" w:rsidP="00F77593" w14:paraId="16AD340A" w14:textId="77777777">
      <w:pPr>
        <w:rPr>
          <w:i/>
          <w:iCs/>
          <w:sz w:val="22"/>
          <w:szCs w:val="22"/>
        </w:rPr>
      </w:pPr>
    </w:p>
    <w:p w:rsidR="00554687" w:rsidRPr="00F77593" w:rsidP="00F77593" w14:paraId="37D3E361" w14:textId="57502B06">
      <w:pPr>
        <w:pStyle w:val="ListParagraph"/>
        <w:numPr>
          <w:ilvl w:val="0"/>
          <w:numId w:val="9"/>
        </w:numPr>
        <w:spacing w:after="0" w:line="240" w:lineRule="auto"/>
        <w:rPr>
          <w:rFonts w:ascii="Times New Roman" w:hAnsi="Times New Roman"/>
        </w:rPr>
      </w:pPr>
      <w:r w:rsidRPr="00F77593">
        <w:rPr>
          <w:rFonts w:ascii="Times New Roman" w:hAnsi="Times New Roman"/>
          <w:i/>
          <w:iCs/>
        </w:rPr>
        <w:t>Repaint Wall and Connected Surfaces with New Logos</w:t>
      </w:r>
      <w:r w:rsidRPr="00F77593" w:rsidR="004C5091">
        <w:rPr>
          <w:rFonts w:ascii="Times New Roman" w:hAnsi="Times New Roman"/>
        </w:rPr>
        <w:t>.</w:t>
      </w:r>
      <w:r>
        <w:rPr>
          <w:rStyle w:val="FootnoteReference"/>
          <w:rFonts w:ascii="Times New Roman" w:hAnsi="Times New Roman"/>
        </w:rPr>
        <w:footnoteReference w:id="101"/>
      </w:r>
      <w:r w:rsidRPr="00F77593" w:rsidR="00B9266F">
        <w:rPr>
          <w:rFonts w:ascii="Times New Roman" w:hAnsi="Times New Roman"/>
        </w:rPr>
        <w:t xml:space="preserve"> </w:t>
      </w:r>
      <w:r w:rsidRPr="00F77593" w:rsidR="00F056FB">
        <w:rPr>
          <w:rFonts w:ascii="Times New Roman" w:hAnsi="Times New Roman"/>
        </w:rPr>
        <w:t xml:space="preserve"> </w:t>
      </w:r>
      <w:r w:rsidRPr="00F77593" w:rsidR="00A212C9">
        <w:rPr>
          <w:rFonts w:ascii="Times New Roman" w:hAnsi="Times New Roman"/>
        </w:rPr>
        <w:t xml:space="preserve">PVBC </w:t>
      </w:r>
      <w:r w:rsidRPr="00F77593" w:rsidR="00144783">
        <w:rPr>
          <w:rFonts w:ascii="Times New Roman" w:hAnsi="Times New Roman"/>
        </w:rPr>
        <w:t>must</w:t>
      </w:r>
      <w:r w:rsidRPr="00F77593" w:rsidR="001168EE">
        <w:rPr>
          <w:rFonts w:ascii="Times New Roman" w:hAnsi="Times New Roman"/>
        </w:rPr>
        <w:t xml:space="preserve"> </w:t>
      </w:r>
      <w:r w:rsidRPr="00F77593" w:rsidR="004256DB">
        <w:rPr>
          <w:rFonts w:ascii="Times New Roman" w:hAnsi="Times New Roman"/>
        </w:rPr>
        <w:t>submit a narrative statement</w:t>
      </w:r>
      <w:r w:rsidRPr="00F77593" w:rsidR="001168EE">
        <w:rPr>
          <w:rFonts w:ascii="Times New Roman" w:hAnsi="Times New Roman"/>
        </w:rPr>
        <w:t xml:space="preserve"> </w:t>
      </w:r>
      <w:r w:rsidRPr="00F77593" w:rsidR="004256DB">
        <w:rPr>
          <w:rFonts w:ascii="Times New Roman" w:hAnsi="Times New Roman"/>
        </w:rPr>
        <w:t>explaining</w:t>
      </w:r>
      <w:r w:rsidRPr="00F77593" w:rsidR="001168EE">
        <w:rPr>
          <w:rFonts w:ascii="Times New Roman" w:hAnsi="Times New Roman"/>
        </w:rPr>
        <w:t xml:space="preserve"> why this painting</w:t>
      </w:r>
      <w:r w:rsidRPr="00F77593" w:rsidR="007C7FF5">
        <w:rPr>
          <w:rFonts w:ascii="Times New Roman" w:hAnsi="Times New Roman"/>
        </w:rPr>
        <w:t xml:space="preserve"> work</w:t>
      </w:r>
      <w:r w:rsidRPr="00F77593" w:rsidR="001168EE">
        <w:rPr>
          <w:rFonts w:ascii="Times New Roman" w:hAnsi="Times New Roman"/>
        </w:rPr>
        <w:t xml:space="preserve"> is necess</w:t>
      </w:r>
      <w:r w:rsidRPr="00F77593" w:rsidR="007C7FF5">
        <w:rPr>
          <w:rFonts w:ascii="Times New Roman" w:hAnsi="Times New Roman"/>
        </w:rPr>
        <w:t xml:space="preserve">itated by the </w:t>
      </w:r>
      <w:r w:rsidRPr="00F77593" w:rsidR="004256DB">
        <w:rPr>
          <w:rFonts w:ascii="Times New Roman" w:hAnsi="Times New Roman"/>
        </w:rPr>
        <w:t>KPPV(FM) channel change.</w:t>
      </w:r>
      <w:r>
        <w:rPr>
          <w:rStyle w:val="FootnoteReference"/>
          <w:rFonts w:ascii="Times New Roman" w:hAnsi="Times New Roman"/>
        </w:rPr>
        <w:footnoteReference w:id="102"/>
      </w:r>
      <w:r w:rsidRPr="00F77593" w:rsidR="001168EE">
        <w:rPr>
          <w:rFonts w:ascii="Times New Roman" w:hAnsi="Times New Roman"/>
        </w:rPr>
        <w:t xml:space="preserve"> </w:t>
      </w:r>
      <w:r w:rsidRPr="00F77593" w:rsidR="004256DB">
        <w:rPr>
          <w:rFonts w:ascii="Times New Roman" w:hAnsi="Times New Roman"/>
        </w:rPr>
        <w:t xml:space="preserve"> </w:t>
      </w:r>
      <w:r w:rsidRPr="00F77593" w:rsidR="00144783">
        <w:rPr>
          <w:rFonts w:ascii="Times New Roman" w:hAnsi="Times New Roman"/>
        </w:rPr>
        <w:t>PVBC also must</w:t>
      </w:r>
      <w:r w:rsidRPr="00F77593" w:rsidR="001168EE">
        <w:rPr>
          <w:rFonts w:ascii="Times New Roman" w:hAnsi="Times New Roman"/>
        </w:rPr>
        <w:t xml:space="preserve"> </w:t>
      </w:r>
      <w:r w:rsidRPr="00F77593" w:rsidR="00082D91">
        <w:rPr>
          <w:rFonts w:ascii="Times New Roman" w:hAnsi="Times New Roman"/>
        </w:rPr>
        <w:t xml:space="preserve">provide </w:t>
      </w:r>
      <w:r w:rsidRPr="00F77593" w:rsidR="001168EE">
        <w:rPr>
          <w:rFonts w:ascii="Times New Roman" w:hAnsi="Times New Roman"/>
        </w:rPr>
        <w:t xml:space="preserve">photographs of the surfaces </w:t>
      </w:r>
      <w:r w:rsidRPr="00F77593" w:rsidR="00C832D9">
        <w:rPr>
          <w:rFonts w:ascii="Times New Roman" w:hAnsi="Times New Roman"/>
        </w:rPr>
        <w:t>that will be repainted.</w:t>
      </w:r>
      <w:r w:rsidRPr="00F77593" w:rsidR="00082D91">
        <w:rPr>
          <w:rFonts w:ascii="Times New Roman" w:hAnsi="Times New Roman"/>
        </w:rPr>
        <w:t xml:space="preserve"> </w:t>
      </w:r>
      <w:r w:rsidRPr="00F77593" w:rsidR="00E633A7">
        <w:rPr>
          <w:rFonts w:ascii="Times New Roman" w:hAnsi="Times New Roman"/>
        </w:rPr>
        <w:t xml:space="preserve"> </w:t>
      </w:r>
    </w:p>
    <w:p w:rsidR="004C5091" w:rsidRPr="00F77593" w:rsidP="00F77593" w14:paraId="0AA6B265" w14:textId="381671DB">
      <w:pPr>
        <w:ind w:firstLine="720"/>
        <w:rPr>
          <w:sz w:val="22"/>
          <w:szCs w:val="22"/>
        </w:rPr>
      </w:pPr>
    </w:p>
    <w:p w:rsidR="004C5091" w:rsidRPr="00F77593" w:rsidP="00F77593" w14:paraId="501ABBFE" w14:textId="40930E18">
      <w:pPr>
        <w:pStyle w:val="ListParagraph"/>
        <w:numPr>
          <w:ilvl w:val="0"/>
          <w:numId w:val="9"/>
        </w:numPr>
        <w:spacing w:after="0" w:line="240" w:lineRule="auto"/>
        <w:rPr>
          <w:rFonts w:ascii="Times New Roman" w:hAnsi="Times New Roman"/>
        </w:rPr>
      </w:pPr>
      <w:r w:rsidRPr="00F77593">
        <w:rPr>
          <w:rFonts w:ascii="Times New Roman" w:hAnsi="Times New Roman"/>
          <w:i/>
          <w:iCs/>
        </w:rPr>
        <w:t>Additional Signage for Remotes</w:t>
      </w:r>
      <w:r w:rsidRPr="00F77593" w:rsidR="00E0716A">
        <w:rPr>
          <w:rFonts w:ascii="Times New Roman" w:hAnsi="Times New Roman"/>
        </w:rPr>
        <w:t>.</w:t>
      </w:r>
      <w:r>
        <w:rPr>
          <w:rStyle w:val="FootnoteReference"/>
          <w:rFonts w:ascii="Times New Roman" w:hAnsi="Times New Roman"/>
        </w:rPr>
        <w:footnoteReference w:id="103"/>
      </w:r>
      <w:r w:rsidRPr="00F77593" w:rsidR="00E0716A">
        <w:rPr>
          <w:rFonts w:ascii="Times New Roman" w:hAnsi="Times New Roman"/>
        </w:rPr>
        <w:t xml:space="preserve">  </w:t>
      </w:r>
      <w:r w:rsidRPr="00F77593" w:rsidR="00C832D9">
        <w:rPr>
          <w:rFonts w:ascii="Times New Roman" w:hAnsi="Times New Roman"/>
        </w:rPr>
        <w:t xml:space="preserve">PVBC </w:t>
      </w:r>
      <w:r w:rsidRPr="00F77593" w:rsidR="00144783">
        <w:rPr>
          <w:rFonts w:ascii="Times New Roman" w:hAnsi="Times New Roman"/>
        </w:rPr>
        <w:t xml:space="preserve">must </w:t>
      </w:r>
      <w:r w:rsidRPr="00F77593" w:rsidR="00E92997">
        <w:rPr>
          <w:rFonts w:ascii="Times New Roman" w:hAnsi="Times New Roman"/>
        </w:rPr>
        <w:t>submit a narrative statement that explains</w:t>
      </w:r>
      <w:r w:rsidRPr="00F77593" w:rsidR="00E15A82">
        <w:rPr>
          <w:rFonts w:ascii="Times New Roman" w:hAnsi="Times New Roman"/>
        </w:rPr>
        <w:t xml:space="preserve"> why the additional signage for remotes is needed</w:t>
      </w:r>
      <w:r w:rsidRPr="00F77593" w:rsidR="00E92997">
        <w:rPr>
          <w:rFonts w:ascii="Times New Roman" w:hAnsi="Times New Roman"/>
        </w:rPr>
        <w:t xml:space="preserve">, </w:t>
      </w:r>
      <w:r w:rsidRPr="00F77593" w:rsidR="0025419D">
        <w:rPr>
          <w:rFonts w:ascii="Times New Roman" w:hAnsi="Times New Roman"/>
        </w:rPr>
        <w:t xml:space="preserve">and </w:t>
      </w:r>
      <w:r w:rsidRPr="00F77593" w:rsidR="007D2CD3">
        <w:rPr>
          <w:rFonts w:ascii="Times New Roman" w:hAnsi="Times New Roman"/>
        </w:rPr>
        <w:t>describes the</w:t>
      </w:r>
      <w:r w:rsidRPr="00F77593" w:rsidR="00ED594C">
        <w:rPr>
          <w:rFonts w:ascii="Times New Roman" w:hAnsi="Times New Roman"/>
        </w:rPr>
        <w:t xml:space="preserve"> nexus between the</w:t>
      </w:r>
      <w:r w:rsidRPr="00F77593" w:rsidR="0025419D">
        <w:rPr>
          <w:rFonts w:ascii="Times New Roman" w:hAnsi="Times New Roman"/>
        </w:rPr>
        <w:t xml:space="preserve"> need for</w:t>
      </w:r>
      <w:r w:rsidRPr="00F77593" w:rsidR="00ED594C">
        <w:rPr>
          <w:rFonts w:ascii="Times New Roman" w:hAnsi="Times New Roman"/>
        </w:rPr>
        <w:t xml:space="preserve"> additional</w:t>
      </w:r>
      <w:r w:rsidRPr="00F77593" w:rsidR="0025419D">
        <w:rPr>
          <w:rFonts w:ascii="Times New Roman" w:hAnsi="Times New Roman"/>
        </w:rPr>
        <w:t xml:space="preserve"> remote</w:t>
      </w:r>
      <w:r w:rsidRPr="00F77593" w:rsidR="00ED594C">
        <w:rPr>
          <w:rFonts w:ascii="Times New Roman" w:hAnsi="Times New Roman"/>
        </w:rPr>
        <w:t xml:space="preserve"> signage and the involuntary channel change.  PVBC</w:t>
      </w:r>
      <w:r w:rsidRPr="00F77593" w:rsidR="00E15A82">
        <w:rPr>
          <w:rFonts w:ascii="Times New Roman" w:hAnsi="Times New Roman"/>
        </w:rPr>
        <w:t xml:space="preserve"> </w:t>
      </w:r>
      <w:r w:rsidRPr="00F77593" w:rsidR="00144783">
        <w:rPr>
          <w:rFonts w:ascii="Times New Roman" w:hAnsi="Times New Roman"/>
        </w:rPr>
        <w:t xml:space="preserve">also must </w:t>
      </w:r>
      <w:r w:rsidRPr="00F77593" w:rsidR="00E15A82">
        <w:rPr>
          <w:rFonts w:ascii="Times New Roman" w:hAnsi="Times New Roman"/>
        </w:rPr>
        <w:t xml:space="preserve">provide photographs or other evidence </w:t>
      </w:r>
      <w:r w:rsidRPr="00F77593" w:rsidR="00A37C3B">
        <w:rPr>
          <w:rFonts w:ascii="Times New Roman" w:hAnsi="Times New Roman"/>
        </w:rPr>
        <w:t xml:space="preserve">to support </w:t>
      </w:r>
      <w:r w:rsidRPr="00F77593" w:rsidR="00144783">
        <w:rPr>
          <w:rFonts w:ascii="Times New Roman" w:hAnsi="Times New Roman"/>
        </w:rPr>
        <w:t>its</w:t>
      </w:r>
      <w:r w:rsidRPr="00F77593" w:rsidR="00A37C3B">
        <w:rPr>
          <w:rFonts w:ascii="Times New Roman" w:hAnsi="Times New Roman"/>
        </w:rPr>
        <w:t xml:space="preserve"> explanation.</w:t>
      </w:r>
    </w:p>
    <w:p w:rsidR="005923CB" w:rsidRPr="00F77593" w:rsidP="00F77593" w14:paraId="59AF6AE5" w14:textId="77777777">
      <w:pPr>
        <w:ind w:firstLine="720"/>
        <w:rPr>
          <w:sz w:val="22"/>
          <w:szCs w:val="22"/>
        </w:rPr>
      </w:pPr>
    </w:p>
    <w:p w:rsidR="00212F22" w:rsidRPr="00F77593" w:rsidP="00F77593" w14:paraId="1F9C733D" w14:textId="1DA8465C">
      <w:pPr>
        <w:pStyle w:val="ListParagraph"/>
        <w:numPr>
          <w:ilvl w:val="0"/>
          <w:numId w:val="9"/>
        </w:numPr>
        <w:spacing w:after="0" w:line="240" w:lineRule="auto"/>
        <w:rPr>
          <w:rFonts w:ascii="Times New Roman" w:hAnsi="Times New Roman"/>
        </w:rPr>
      </w:pPr>
      <w:r w:rsidRPr="00F77593">
        <w:rPr>
          <w:rFonts w:ascii="Times New Roman" w:hAnsi="Times New Roman"/>
          <w:i/>
          <w:iCs/>
        </w:rPr>
        <w:t>Payroll and Overtime Expenses</w:t>
      </w:r>
      <w:r w:rsidRPr="00F77593">
        <w:rPr>
          <w:rFonts w:ascii="Times New Roman" w:hAnsi="Times New Roman"/>
        </w:rPr>
        <w:t>.</w:t>
      </w:r>
      <w:r>
        <w:rPr>
          <w:rStyle w:val="FootnoteReference"/>
          <w:rFonts w:ascii="Times New Roman" w:hAnsi="Times New Roman"/>
        </w:rPr>
        <w:footnoteReference w:id="104"/>
      </w:r>
      <w:r w:rsidRPr="00F77593" w:rsidR="000911C1">
        <w:rPr>
          <w:rFonts w:ascii="Times New Roman" w:hAnsi="Times New Roman"/>
        </w:rPr>
        <w:t xml:space="preserve">  </w:t>
      </w:r>
      <w:r w:rsidRPr="00F77593" w:rsidR="0039274A">
        <w:rPr>
          <w:rFonts w:ascii="Times New Roman" w:hAnsi="Times New Roman"/>
        </w:rPr>
        <w:t>PVBC</w:t>
      </w:r>
      <w:r w:rsidRPr="00F77593" w:rsidR="009F4FE8">
        <w:rPr>
          <w:rFonts w:ascii="Times New Roman" w:hAnsi="Times New Roman"/>
        </w:rPr>
        <w:t xml:space="preserve"> </w:t>
      </w:r>
      <w:r w:rsidRPr="00F77593" w:rsidR="00144783">
        <w:rPr>
          <w:rFonts w:ascii="Times New Roman" w:hAnsi="Times New Roman"/>
        </w:rPr>
        <w:t xml:space="preserve">must </w:t>
      </w:r>
      <w:r w:rsidRPr="00F77593" w:rsidR="00D25E6A">
        <w:rPr>
          <w:rFonts w:ascii="Times New Roman" w:hAnsi="Times New Roman"/>
        </w:rPr>
        <w:t>submit a narrative statement explaining</w:t>
      </w:r>
      <w:r w:rsidRPr="00F77593" w:rsidR="009F4FE8">
        <w:rPr>
          <w:rFonts w:ascii="Times New Roman" w:hAnsi="Times New Roman"/>
        </w:rPr>
        <w:t xml:space="preserve"> why </w:t>
      </w:r>
      <w:r w:rsidRPr="00F77593" w:rsidR="0039274A">
        <w:rPr>
          <w:rFonts w:ascii="Times New Roman" w:hAnsi="Times New Roman"/>
        </w:rPr>
        <w:t>it believes it will incur these expenses</w:t>
      </w:r>
      <w:r w:rsidRPr="00F77593" w:rsidR="000C190E">
        <w:rPr>
          <w:rFonts w:ascii="Times New Roman" w:hAnsi="Times New Roman"/>
        </w:rPr>
        <w:t xml:space="preserve">, </w:t>
      </w:r>
      <w:r w:rsidRPr="00F77593" w:rsidR="00F64101">
        <w:rPr>
          <w:rFonts w:ascii="Times New Roman" w:hAnsi="Times New Roman"/>
        </w:rPr>
        <w:t xml:space="preserve">the specific employees that will </w:t>
      </w:r>
      <w:r w:rsidRPr="00F77593" w:rsidR="00144783">
        <w:rPr>
          <w:rFonts w:ascii="Times New Roman" w:hAnsi="Times New Roman"/>
        </w:rPr>
        <w:t xml:space="preserve">perform </w:t>
      </w:r>
      <w:r w:rsidRPr="00F77593" w:rsidR="00F64101">
        <w:rPr>
          <w:rFonts w:ascii="Times New Roman" w:hAnsi="Times New Roman"/>
        </w:rPr>
        <w:t>the work</w:t>
      </w:r>
      <w:r w:rsidRPr="00F77593" w:rsidR="00B307B9">
        <w:rPr>
          <w:rFonts w:ascii="Times New Roman" w:hAnsi="Times New Roman"/>
        </w:rPr>
        <w:t>, the task</w:t>
      </w:r>
      <w:r w:rsidRPr="00F77593" w:rsidR="00144783">
        <w:rPr>
          <w:rFonts w:ascii="Times New Roman" w:hAnsi="Times New Roman"/>
        </w:rPr>
        <w:t>s</w:t>
      </w:r>
      <w:r w:rsidRPr="00F77593" w:rsidR="00B307B9">
        <w:rPr>
          <w:rFonts w:ascii="Times New Roman" w:hAnsi="Times New Roman"/>
        </w:rPr>
        <w:t xml:space="preserve"> </w:t>
      </w:r>
      <w:r w:rsidRPr="00F77593" w:rsidR="00144783">
        <w:rPr>
          <w:rFonts w:ascii="Times New Roman" w:hAnsi="Times New Roman"/>
        </w:rPr>
        <w:t>each employee</w:t>
      </w:r>
      <w:r w:rsidRPr="00F77593" w:rsidR="00B307B9">
        <w:rPr>
          <w:rFonts w:ascii="Times New Roman" w:hAnsi="Times New Roman"/>
        </w:rPr>
        <w:t xml:space="preserve"> will perform, and how much time PVBC believes each task will require.  PVBC also must explain the nexus between the tasks it identifies and</w:t>
      </w:r>
      <w:r w:rsidRPr="00F77593" w:rsidR="000C1179">
        <w:rPr>
          <w:rFonts w:ascii="Times New Roman" w:hAnsi="Times New Roman"/>
        </w:rPr>
        <w:t xml:space="preserve"> the KPPV(FM) channel change</w:t>
      </w:r>
      <w:r w:rsidRPr="00F77593" w:rsidR="009F4FE8">
        <w:rPr>
          <w:rFonts w:ascii="Times New Roman" w:hAnsi="Times New Roman"/>
        </w:rPr>
        <w:t xml:space="preserve">.  </w:t>
      </w:r>
      <w:r w:rsidRPr="00F77593" w:rsidR="00803205">
        <w:rPr>
          <w:rFonts w:ascii="Times New Roman" w:hAnsi="Times New Roman"/>
        </w:rPr>
        <w:t xml:space="preserve">Finally, </w:t>
      </w:r>
      <w:r w:rsidRPr="00F77593" w:rsidR="00B307B9">
        <w:rPr>
          <w:rFonts w:ascii="Times New Roman" w:hAnsi="Times New Roman"/>
        </w:rPr>
        <w:t>P</w:t>
      </w:r>
      <w:r w:rsidRPr="00F77593" w:rsidR="008071C3">
        <w:rPr>
          <w:rFonts w:ascii="Times New Roman" w:hAnsi="Times New Roman"/>
        </w:rPr>
        <w:t xml:space="preserve">VBC </w:t>
      </w:r>
      <w:r w:rsidRPr="00F77593" w:rsidR="00803205">
        <w:rPr>
          <w:rFonts w:ascii="Times New Roman" w:hAnsi="Times New Roman"/>
        </w:rPr>
        <w:t xml:space="preserve">must </w:t>
      </w:r>
      <w:r w:rsidRPr="00F77593" w:rsidR="008071C3">
        <w:rPr>
          <w:rFonts w:ascii="Times New Roman" w:hAnsi="Times New Roman"/>
        </w:rPr>
        <w:t xml:space="preserve">provide </w:t>
      </w:r>
      <w:r w:rsidRPr="00F77593" w:rsidR="00803205">
        <w:rPr>
          <w:rFonts w:ascii="Times New Roman" w:hAnsi="Times New Roman"/>
        </w:rPr>
        <w:t>supporting documentation</w:t>
      </w:r>
      <w:r w:rsidRPr="00F77593" w:rsidR="008071C3">
        <w:rPr>
          <w:rFonts w:ascii="Times New Roman" w:hAnsi="Times New Roman"/>
        </w:rPr>
        <w:t>.</w:t>
      </w:r>
    </w:p>
    <w:p w:rsidR="00685757" w:rsidRPr="00F77593" w:rsidP="00F77593" w14:paraId="19C335F9" w14:textId="77777777">
      <w:pPr>
        <w:rPr>
          <w:sz w:val="22"/>
          <w:szCs w:val="22"/>
        </w:rPr>
      </w:pPr>
    </w:p>
    <w:p w:rsidR="00685757" w:rsidRPr="00F77593" w:rsidP="00F77593" w14:paraId="4CDFCEBC" w14:textId="6DF0AEA4">
      <w:pPr>
        <w:pStyle w:val="ListParagraph"/>
        <w:numPr>
          <w:ilvl w:val="0"/>
          <w:numId w:val="9"/>
        </w:numPr>
        <w:spacing w:after="0" w:line="240" w:lineRule="auto"/>
        <w:rPr>
          <w:rFonts w:ascii="Times New Roman" w:hAnsi="Times New Roman"/>
        </w:rPr>
      </w:pPr>
      <w:r w:rsidRPr="00F77593">
        <w:rPr>
          <w:rFonts w:ascii="Times New Roman" w:hAnsi="Times New Roman"/>
          <w:i/>
          <w:iCs/>
        </w:rPr>
        <w:t>Live Remote Broadcasts</w:t>
      </w:r>
      <w:r w:rsidRPr="00F77593" w:rsidR="0072190D">
        <w:rPr>
          <w:rFonts w:ascii="Times New Roman" w:hAnsi="Times New Roman"/>
        </w:rPr>
        <w:t>.</w:t>
      </w:r>
      <w:r>
        <w:rPr>
          <w:rStyle w:val="FootnoteReference"/>
          <w:rFonts w:ascii="Times New Roman" w:hAnsi="Times New Roman"/>
        </w:rPr>
        <w:footnoteReference w:id="105"/>
      </w:r>
      <w:r w:rsidRPr="00F77593" w:rsidR="009D0763">
        <w:rPr>
          <w:rFonts w:ascii="Times New Roman" w:hAnsi="Times New Roman"/>
        </w:rPr>
        <w:t xml:space="preserve"> </w:t>
      </w:r>
      <w:r w:rsidRPr="00F77593" w:rsidR="0072190D">
        <w:rPr>
          <w:rFonts w:ascii="Times New Roman" w:hAnsi="Times New Roman"/>
        </w:rPr>
        <w:t xml:space="preserve"> </w:t>
      </w:r>
      <w:r w:rsidRPr="00F77593" w:rsidR="003C29EA">
        <w:rPr>
          <w:rFonts w:ascii="Times New Roman" w:hAnsi="Times New Roman"/>
        </w:rPr>
        <w:t xml:space="preserve">PVBC must submit documents to support its cost estimate, and a narrative statement explaining the nexus between the KPPV(FM) channel change and the live remote broadcasts.  </w:t>
      </w:r>
    </w:p>
    <w:p w:rsidR="009A5332" w:rsidRPr="00F77593" w:rsidP="00F77593" w14:paraId="2EB947A3" w14:textId="77777777">
      <w:pPr>
        <w:rPr>
          <w:sz w:val="22"/>
          <w:szCs w:val="22"/>
        </w:rPr>
      </w:pPr>
    </w:p>
    <w:p w:rsidR="00DB3E36" w:rsidRPr="00F77593" w:rsidP="00F77593" w14:paraId="60101EE1" w14:textId="3A6D59C8">
      <w:pPr>
        <w:pStyle w:val="ListParagraph"/>
        <w:numPr>
          <w:ilvl w:val="0"/>
          <w:numId w:val="9"/>
        </w:numPr>
        <w:spacing w:after="0" w:line="240" w:lineRule="auto"/>
      </w:pPr>
      <w:r w:rsidRPr="00F77593">
        <w:rPr>
          <w:rFonts w:ascii="Times New Roman" w:hAnsi="Times New Roman"/>
          <w:i/>
          <w:iCs/>
        </w:rPr>
        <w:t>Search Engine Optimization.</w:t>
      </w:r>
      <w:r>
        <w:rPr>
          <w:rStyle w:val="FootnoteReference"/>
          <w:rFonts w:ascii="Times New Roman" w:hAnsi="Times New Roman"/>
        </w:rPr>
        <w:footnoteReference w:id="106"/>
      </w:r>
      <w:r w:rsidRPr="00F77593">
        <w:rPr>
          <w:rFonts w:ascii="Times New Roman" w:hAnsi="Times New Roman"/>
          <w:i/>
          <w:iCs/>
        </w:rPr>
        <w:t xml:space="preserve">  </w:t>
      </w:r>
      <w:r w:rsidRPr="00F77593" w:rsidR="00391CF5">
        <w:rPr>
          <w:rFonts w:ascii="Times New Roman" w:hAnsi="Times New Roman"/>
        </w:rPr>
        <w:t xml:space="preserve">PVBC </w:t>
      </w:r>
      <w:r w:rsidRPr="00F77593" w:rsidR="00F77593">
        <w:rPr>
          <w:rFonts w:ascii="Times New Roman" w:hAnsi="Times New Roman"/>
        </w:rPr>
        <w:t xml:space="preserve">must </w:t>
      </w:r>
      <w:r w:rsidRPr="00F77593" w:rsidR="00391CF5">
        <w:rPr>
          <w:rFonts w:ascii="Times New Roman" w:hAnsi="Times New Roman"/>
        </w:rPr>
        <w:t xml:space="preserve">provide a narrative statement indicating whether it has </w:t>
      </w:r>
      <w:r w:rsidRPr="00F77593" w:rsidR="00584188">
        <w:rPr>
          <w:rFonts w:ascii="Times New Roman" w:hAnsi="Times New Roman"/>
        </w:rPr>
        <w:t xml:space="preserve">utilized search engine optimization services in the past, and explaining the nexus between this expense item and the KPPV(FM) channel change.  </w:t>
      </w:r>
      <w:r w:rsidRPr="00F77593" w:rsidR="00F77593">
        <w:rPr>
          <w:rFonts w:ascii="Times New Roman" w:hAnsi="Times New Roman"/>
        </w:rPr>
        <w:t>PVBC also must explain</w:t>
      </w:r>
      <w:r w:rsidRPr="00F77593" w:rsidR="004F3D81">
        <w:rPr>
          <w:rFonts w:ascii="Times New Roman" w:hAnsi="Times New Roman"/>
        </w:rPr>
        <w:t xml:space="preserve"> why it believes that a year of search engine optimization is required.</w:t>
      </w:r>
      <w:r w:rsidRPr="00F77593" w:rsidR="00391CF5">
        <w:t xml:space="preserve"> </w:t>
      </w:r>
    </w:p>
    <w:p w:rsidR="00F77593" w:rsidRPr="00F71401" w:rsidP="00F77593" w14:paraId="3E01101D" w14:textId="77777777">
      <w:pPr>
        <w:ind w:firstLine="720"/>
        <w:rPr>
          <w:sz w:val="22"/>
          <w:szCs w:val="22"/>
        </w:rPr>
      </w:pPr>
    </w:p>
    <w:p w:rsidR="00F77593" w:rsidRPr="00F77593" w:rsidP="00B67C9D" w14:paraId="12181327" w14:textId="7917D0F3">
      <w:pPr>
        <w:ind w:firstLine="720"/>
        <w:rPr>
          <w:sz w:val="22"/>
          <w:szCs w:val="22"/>
          <w:highlight w:val="yellow"/>
        </w:rPr>
      </w:pPr>
      <w:r>
        <w:rPr>
          <w:sz w:val="22"/>
          <w:szCs w:val="22"/>
        </w:rPr>
        <w:t>W</w:t>
      </w:r>
      <w:r w:rsidRPr="00F71401" w:rsidR="007178D2">
        <w:rPr>
          <w:sz w:val="22"/>
          <w:szCs w:val="22"/>
        </w:rPr>
        <w:t xml:space="preserve">e </w:t>
      </w:r>
      <w:r>
        <w:rPr>
          <w:sz w:val="22"/>
          <w:szCs w:val="22"/>
        </w:rPr>
        <w:t xml:space="preserve">also </w:t>
      </w:r>
      <w:r w:rsidRPr="00F71401" w:rsidR="007178D2">
        <w:rPr>
          <w:sz w:val="22"/>
          <w:szCs w:val="22"/>
        </w:rPr>
        <w:t>note</w:t>
      </w:r>
      <w:r w:rsidRPr="00F71401" w:rsidR="000161AF">
        <w:rPr>
          <w:sz w:val="22"/>
          <w:szCs w:val="22"/>
        </w:rPr>
        <w:t xml:space="preserve"> that, we are unable at this time, to determine whether</w:t>
      </w:r>
      <w:r w:rsidRPr="00F71401" w:rsidR="007178D2">
        <w:rPr>
          <w:sz w:val="22"/>
          <w:szCs w:val="22"/>
        </w:rPr>
        <w:t xml:space="preserve"> </w:t>
      </w:r>
      <w:r w:rsidR="00770870">
        <w:rPr>
          <w:sz w:val="22"/>
          <w:szCs w:val="22"/>
        </w:rPr>
        <w:t>an additional</w:t>
      </w:r>
      <w:r>
        <w:rPr>
          <w:sz w:val="22"/>
          <w:szCs w:val="22"/>
        </w:rPr>
        <w:t xml:space="preserve"> three</w:t>
      </w:r>
      <w:r w:rsidRPr="00F71401" w:rsidR="007178D2">
        <w:rPr>
          <w:sz w:val="22"/>
          <w:szCs w:val="22"/>
        </w:rPr>
        <w:t xml:space="preserve"> miscellaneous expense items identified by PVBC</w:t>
      </w:r>
      <w:r w:rsidRPr="00F71401" w:rsidR="00C610F9">
        <w:rPr>
          <w:sz w:val="22"/>
          <w:szCs w:val="22"/>
        </w:rPr>
        <w:t>—Production for KPPV Station I</w:t>
      </w:r>
      <w:r w:rsidR="00352863">
        <w:rPr>
          <w:sz w:val="22"/>
          <w:szCs w:val="22"/>
        </w:rPr>
        <w:t>D</w:t>
      </w:r>
      <w:r w:rsidRPr="00F71401" w:rsidR="00C610F9">
        <w:rPr>
          <w:sz w:val="22"/>
          <w:szCs w:val="22"/>
        </w:rPr>
        <w:t xml:space="preserve"> W</w:t>
      </w:r>
      <w:r w:rsidRPr="00F71401">
        <w:rPr>
          <w:sz w:val="22"/>
          <w:szCs w:val="22"/>
        </w:rPr>
        <w:t xml:space="preserve">ith New Frequency, Redesigning and Repairing Websites, and Sign for Outside of </w:t>
      </w:r>
      <w:r w:rsidRPr="00A73B85">
        <w:rPr>
          <w:sz w:val="22"/>
          <w:szCs w:val="22"/>
        </w:rPr>
        <w:t>Office Building—</w:t>
      </w:r>
      <w:r w:rsidRPr="00A73B85" w:rsidR="000161AF">
        <w:rPr>
          <w:sz w:val="22"/>
          <w:szCs w:val="22"/>
        </w:rPr>
        <w:t>are reimbursable</w:t>
      </w:r>
      <w:r w:rsidRPr="00A73B85" w:rsidR="00C610F9">
        <w:rPr>
          <w:sz w:val="22"/>
          <w:szCs w:val="22"/>
        </w:rPr>
        <w:t xml:space="preserve">, and whether PVBC’s cost estimates for these items are reasonable.  </w:t>
      </w:r>
      <w:r w:rsidRPr="00A73B85">
        <w:rPr>
          <w:sz w:val="22"/>
          <w:szCs w:val="22"/>
        </w:rPr>
        <w:t xml:space="preserve">PVBC submitted additional information regarding </w:t>
      </w:r>
      <w:r w:rsidRPr="00A73B85" w:rsidR="00C126B7">
        <w:rPr>
          <w:sz w:val="22"/>
          <w:szCs w:val="22"/>
        </w:rPr>
        <w:t>these</w:t>
      </w:r>
      <w:r w:rsidRPr="00A73B85">
        <w:rPr>
          <w:sz w:val="22"/>
          <w:szCs w:val="22"/>
        </w:rPr>
        <w:t xml:space="preserve"> expense item</w:t>
      </w:r>
      <w:r w:rsidRPr="00A73B85" w:rsidR="00C126B7">
        <w:rPr>
          <w:sz w:val="22"/>
          <w:szCs w:val="22"/>
        </w:rPr>
        <w:t>s</w:t>
      </w:r>
      <w:r w:rsidRPr="00A73B85">
        <w:rPr>
          <w:sz w:val="22"/>
          <w:szCs w:val="22"/>
        </w:rPr>
        <w:t xml:space="preserve"> in the</w:t>
      </w:r>
      <w:r w:rsidRPr="00A73B85" w:rsidR="00C126B7">
        <w:rPr>
          <w:sz w:val="22"/>
          <w:szCs w:val="22"/>
        </w:rPr>
        <w:t xml:space="preserve"> Update and/or</w:t>
      </w:r>
      <w:r w:rsidRPr="00A73B85">
        <w:rPr>
          <w:sz w:val="22"/>
          <w:szCs w:val="22"/>
        </w:rPr>
        <w:t xml:space="preserve"> Reply.</w:t>
      </w:r>
      <w:r>
        <w:rPr>
          <w:rStyle w:val="FootnoteReference"/>
          <w:sz w:val="22"/>
          <w:szCs w:val="22"/>
        </w:rPr>
        <w:footnoteReference w:id="107"/>
      </w:r>
      <w:r w:rsidRPr="00A73B85">
        <w:rPr>
          <w:sz w:val="22"/>
          <w:szCs w:val="22"/>
        </w:rPr>
        <w:t xml:space="preserve">  Because we accept this information and offer Entravision the opportunity to </w:t>
      </w:r>
      <w:r w:rsidR="00902AB6">
        <w:rPr>
          <w:sz w:val="22"/>
          <w:szCs w:val="22"/>
        </w:rPr>
        <w:t>reply</w:t>
      </w:r>
      <w:r w:rsidRPr="00A73B85" w:rsidR="00902AB6">
        <w:rPr>
          <w:sz w:val="22"/>
          <w:szCs w:val="22"/>
        </w:rPr>
        <w:t xml:space="preserve"> </w:t>
      </w:r>
      <w:r w:rsidRPr="00A73B85">
        <w:rPr>
          <w:sz w:val="22"/>
          <w:szCs w:val="22"/>
        </w:rPr>
        <w:t xml:space="preserve">to it, we will not make any </w:t>
      </w:r>
      <w:r w:rsidR="00770870">
        <w:rPr>
          <w:sz w:val="22"/>
          <w:szCs w:val="22"/>
        </w:rPr>
        <w:t xml:space="preserve">specific </w:t>
      </w:r>
      <w:r w:rsidRPr="00A73B85">
        <w:rPr>
          <w:sz w:val="22"/>
          <w:szCs w:val="22"/>
        </w:rPr>
        <w:t xml:space="preserve">findings regarding this </w:t>
      </w:r>
      <w:r w:rsidR="001C0684">
        <w:rPr>
          <w:sz w:val="22"/>
          <w:szCs w:val="22"/>
        </w:rPr>
        <w:t>information</w:t>
      </w:r>
      <w:r w:rsidRPr="00A73B85" w:rsidR="00A1459A">
        <w:rPr>
          <w:sz w:val="22"/>
          <w:szCs w:val="22"/>
        </w:rPr>
        <w:t xml:space="preserve"> until the deadline for Entravision’s </w:t>
      </w:r>
      <w:r w:rsidR="00902AB6">
        <w:rPr>
          <w:sz w:val="22"/>
          <w:szCs w:val="22"/>
        </w:rPr>
        <w:t>reply</w:t>
      </w:r>
      <w:r w:rsidRPr="00A73B85" w:rsidR="00902AB6">
        <w:rPr>
          <w:sz w:val="22"/>
          <w:szCs w:val="22"/>
        </w:rPr>
        <w:t xml:space="preserve"> </w:t>
      </w:r>
      <w:r w:rsidRPr="00A73B85" w:rsidR="00A1459A">
        <w:rPr>
          <w:sz w:val="22"/>
          <w:szCs w:val="22"/>
        </w:rPr>
        <w:t>has passed</w:t>
      </w:r>
      <w:r w:rsidRPr="00A73B85">
        <w:rPr>
          <w:sz w:val="22"/>
          <w:szCs w:val="22"/>
        </w:rPr>
        <w:t xml:space="preserve">.  </w:t>
      </w:r>
      <w:r w:rsidRPr="00A73B85" w:rsidR="00AA508F">
        <w:rPr>
          <w:sz w:val="22"/>
          <w:szCs w:val="22"/>
        </w:rPr>
        <w:t xml:space="preserve">That being said, we </w:t>
      </w:r>
      <w:r w:rsidR="00770870">
        <w:rPr>
          <w:sz w:val="22"/>
          <w:szCs w:val="22"/>
        </w:rPr>
        <w:t>remind both parties</w:t>
      </w:r>
      <w:r w:rsidRPr="00A73B85">
        <w:rPr>
          <w:sz w:val="22"/>
          <w:szCs w:val="22"/>
        </w:rPr>
        <w:t xml:space="preserve"> that</w:t>
      </w:r>
      <w:r w:rsidR="00770870">
        <w:rPr>
          <w:sz w:val="22"/>
          <w:szCs w:val="22"/>
        </w:rPr>
        <w:t>, in another involuntary channel change case,</w:t>
      </w:r>
      <w:r w:rsidRPr="00A73B85">
        <w:rPr>
          <w:sz w:val="22"/>
          <w:szCs w:val="22"/>
        </w:rPr>
        <w:t xml:space="preserve"> </w:t>
      </w:r>
      <w:r w:rsidRPr="00A73B85" w:rsidR="00352863">
        <w:rPr>
          <w:sz w:val="22"/>
          <w:szCs w:val="22"/>
        </w:rPr>
        <w:t xml:space="preserve">we </w:t>
      </w:r>
      <w:r w:rsidR="00770870">
        <w:rPr>
          <w:sz w:val="22"/>
          <w:szCs w:val="22"/>
        </w:rPr>
        <w:t>did require</w:t>
      </w:r>
      <w:r w:rsidRPr="00A73B85">
        <w:rPr>
          <w:sz w:val="22"/>
          <w:szCs w:val="22"/>
        </w:rPr>
        <w:t xml:space="preserve"> reimbursement for </w:t>
      </w:r>
      <w:r w:rsidRPr="00A73B85" w:rsidR="00BE064E">
        <w:rPr>
          <w:sz w:val="22"/>
          <w:szCs w:val="22"/>
        </w:rPr>
        <w:t>voice-over</w:t>
      </w:r>
      <w:r w:rsidR="00770870">
        <w:rPr>
          <w:sz w:val="22"/>
          <w:szCs w:val="22"/>
        </w:rPr>
        <w:t xml:space="preserve"> expenses, and </w:t>
      </w:r>
      <w:r w:rsidR="00E37632">
        <w:rPr>
          <w:sz w:val="22"/>
          <w:szCs w:val="22"/>
        </w:rPr>
        <w:t xml:space="preserve">note that such expenses could be considered </w:t>
      </w:r>
      <w:r w:rsidRPr="00A73B85" w:rsidR="00BE064E">
        <w:rPr>
          <w:sz w:val="22"/>
          <w:szCs w:val="22"/>
        </w:rPr>
        <w:t xml:space="preserve">akin to </w:t>
      </w:r>
      <w:r w:rsidR="00E37632">
        <w:rPr>
          <w:sz w:val="22"/>
          <w:szCs w:val="22"/>
        </w:rPr>
        <w:t xml:space="preserve">the expenses associated with </w:t>
      </w:r>
      <w:r w:rsidRPr="00A73B85" w:rsidR="00352863">
        <w:rPr>
          <w:sz w:val="22"/>
          <w:szCs w:val="22"/>
        </w:rPr>
        <w:t>production of a new station identification</w:t>
      </w:r>
      <w:r w:rsidRPr="00A73B85">
        <w:rPr>
          <w:sz w:val="22"/>
          <w:szCs w:val="22"/>
        </w:rPr>
        <w:t>.</w:t>
      </w:r>
      <w:r>
        <w:rPr>
          <w:rStyle w:val="FootnoteReference"/>
          <w:sz w:val="22"/>
          <w:szCs w:val="22"/>
        </w:rPr>
        <w:footnoteReference w:id="108"/>
      </w:r>
      <w:r w:rsidRPr="00A73B85" w:rsidR="00352863">
        <w:rPr>
          <w:sz w:val="22"/>
          <w:szCs w:val="22"/>
        </w:rPr>
        <w:t xml:space="preserve">  </w:t>
      </w:r>
      <w:r w:rsidRPr="00A73B85" w:rsidR="00B67C9D">
        <w:rPr>
          <w:sz w:val="22"/>
          <w:szCs w:val="22"/>
        </w:rPr>
        <w:t xml:space="preserve">In addition, we note that </w:t>
      </w:r>
      <w:r w:rsidRPr="00A73B85">
        <w:rPr>
          <w:sz w:val="22"/>
          <w:szCs w:val="22"/>
        </w:rPr>
        <w:t>Entravision appears to acknowledge an obligation to reimburse PVBC for at least some costs related to</w:t>
      </w:r>
      <w:r w:rsidRPr="00A73B85" w:rsidR="00B67C9D">
        <w:rPr>
          <w:sz w:val="22"/>
          <w:szCs w:val="22"/>
        </w:rPr>
        <w:t xml:space="preserve"> </w:t>
      </w:r>
      <w:r w:rsidRPr="00A73B85" w:rsidR="00152441">
        <w:rPr>
          <w:sz w:val="22"/>
          <w:szCs w:val="22"/>
        </w:rPr>
        <w:t>website changes.</w:t>
      </w:r>
      <w:r>
        <w:rPr>
          <w:rStyle w:val="FootnoteReference"/>
          <w:sz w:val="22"/>
          <w:szCs w:val="22"/>
        </w:rPr>
        <w:footnoteReference w:id="109"/>
      </w:r>
      <w:r w:rsidRPr="00A73B85">
        <w:rPr>
          <w:sz w:val="22"/>
          <w:szCs w:val="22"/>
        </w:rPr>
        <w:t xml:space="preserve">  </w:t>
      </w:r>
    </w:p>
    <w:p w:rsidR="00F77593" w:rsidRPr="00F77593" w:rsidP="00F77593" w14:paraId="7C9D8D64" w14:textId="77777777">
      <w:pPr>
        <w:ind w:firstLine="720"/>
        <w:rPr>
          <w:sz w:val="22"/>
          <w:szCs w:val="22"/>
        </w:rPr>
      </w:pPr>
    </w:p>
    <w:p w:rsidR="00D75571" w:rsidRPr="00EE591E" w:rsidP="009E1B64" w14:paraId="15A5E3EC" w14:textId="21B7F623">
      <w:pPr>
        <w:autoSpaceDE w:val="0"/>
        <w:autoSpaceDN w:val="0"/>
        <w:adjustRightInd w:val="0"/>
        <w:ind w:firstLine="720"/>
        <w:rPr>
          <w:b/>
          <w:bCs/>
          <w:sz w:val="22"/>
          <w:szCs w:val="22"/>
        </w:rPr>
      </w:pPr>
      <w:r w:rsidRPr="00EE591E">
        <w:rPr>
          <w:b/>
          <w:bCs/>
          <w:sz w:val="22"/>
          <w:szCs w:val="22"/>
        </w:rPr>
        <w:t>C</w:t>
      </w:r>
      <w:r w:rsidRPr="00EE591E" w:rsidR="00DB3E36">
        <w:rPr>
          <w:b/>
          <w:bCs/>
          <w:sz w:val="22"/>
          <w:szCs w:val="22"/>
        </w:rPr>
        <w:t>.</w:t>
      </w:r>
      <w:r w:rsidRPr="00EE591E" w:rsidR="00DB3E36">
        <w:rPr>
          <w:b/>
          <w:bCs/>
          <w:sz w:val="22"/>
          <w:szCs w:val="22"/>
        </w:rPr>
        <w:tab/>
      </w:r>
      <w:r w:rsidRPr="00EE591E">
        <w:rPr>
          <w:b/>
          <w:bCs/>
          <w:sz w:val="22"/>
          <w:szCs w:val="22"/>
        </w:rPr>
        <w:t xml:space="preserve">Opportunity for Entravision to </w:t>
      </w:r>
      <w:r w:rsidR="00B94DE6">
        <w:rPr>
          <w:b/>
          <w:bCs/>
          <w:sz w:val="22"/>
          <w:szCs w:val="22"/>
        </w:rPr>
        <w:t>Reply</w:t>
      </w:r>
      <w:r w:rsidRPr="00EE591E" w:rsidR="00B94DE6">
        <w:rPr>
          <w:b/>
          <w:bCs/>
          <w:sz w:val="22"/>
          <w:szCs w:val="22"/>
        </w:rPr>
        <w:t xml:space="preserve"> </w:t>
      </w:r>
    </w:p>
    <w:p w:rsidR="00D75571" w:rsidRPr="00EE591E" w:rsidP="009E1B64" w14:paraId="7434C249" w14:textId="77777777">
      <w:pPr>
        <w:autoSpaceDE w:val="0"/>
        <w:autoSpaceDN w:val="0"/>
        <w:adjustRightInd w:val="0"/>
        <w:ind w:firstLine="720"/>
        <w:rPr>
          <w:sz w:val="22"/>
          <w:szCs w:val="22"/>
        </w:rPr>
      </w:pPr>
    </w:p>
    <w:p w:rsidR="00D75571" w:rsidRPr="00EE591E" w:rsidP="009E1B64" w14:paraId="72131486" w14:textId="55141876">
      <w:pPr>
        <w:autoSpaceDE w:val="0"/>
        <w:autoSpaceDN w:val="0"/>
        <w:adjustRightInd w:val="0"/>
        <w:ind w:firstLine="720"/>
        <w:rPr>
          <w:sz w:val="22"/>
          <w:szCs w:val="22"/>
        </w:rPr>
      </w:pPr>
      <w:r w:rsidRPr="00EE591E">
        <w:rPr>
          <w:sz w:val="22"/>
          <w:szCs w:val="22"/>
        </w:rPr>
        <w:t xml:space="preserve">Because we </w:t>
      </w:r>
      <w:r w:rsidR="00E37632">
        <w:rPr>
          <w:sz w:val="22"/>
          <w:szCs w:val="22"/>
        </w:rPr>
        <w:t xml:space="preserve">are </w:t>
      </w:r>
      <w:r w:rsidRPr="00EE591E" w:rsidR="00DC4D53">
        <w:rPr>
          <w:sz w:val="22"/>
          <w:szCs w:val="22"/>
        </w:rPr>
        <w:t>accept</w:t>
      </w:r>
      <w:r w:rsidR="00E37632">
        <w:rPr>
          <w:sz w:val="22"/>
          <w:szCs w:val="22"/>
        </w:rPr>
        <w:t>ing</w:t>
      </w:r>
      <w:r w:rsidRPr="00EE591E" w:rsidR="00DC4D53">
        <w:rPr>
          <w:sz w:val="22"/>
          <w:szCs w:val="22"/>
        </w:rPr>
        <w:t xml:space="preserve"> </w:t>
      </w:r>
      <w:r w:rsidRPr="00EE591E">
        <w:rPr>
          <w:sz w:val="22"/>
          <w:szCs w:val="22"/>
        </w:rPr>
        <w:t xml:space="preserve">the Update and certain information and documentation </w:t>
      </w:r>
      <w:r w:rsidRPr="00EE591E" w:rsidR="00BC4D7F">
        <w:rPr>
          <w:sz w:val="22"/>
          <w:szCs w:val="22"/>
        </w:rPr>
        <w:t>in</w:t>
      </w:r>
      <w:r w:rsidRPr="00EE591E">
        <w:rPr>
          <w:sz w:val="22"/>
          <w:szCs w:val="22"/>
        </w:rPr>
        <w:t xml:space="preserve"> the Reply, </w:t>
      </w:r>
      <w:r w:rsidRPr="00EE591E" w:rsidR="00E67BD9">
        <w:rPr>
          <w:sz w:val="22"/>
          <w:szCs w:val="22"/>
        </w:rPr>
        <w:t xml:space="preserve">and because we </w:t>
      </w:r>
      <w:r w:rsidR="006839AB">
        <w:rPr>
          <w:sz w:val="22"/>
          <w:szCs w:val="22"/>
        </w:rPr>
        <w:t>are requiring</w:t>
      </w:r>
      <w:r w:rsidRPr="00EE591E" w:rsidR="00E67BD9">
        <w:rPr>
          <w:sz w:val="22"/>
          <w:szCs w:val="22"/>
        </w:rPr>
        <w:t xml:space="preserve"> PVBC to </w:t>
      </w:r>
      <w:r w:rsidR="00876918">
        <w:rPr>
          <w:sz w:val="22"/>
          <w:szCs w:val="22"/>
        </w:rPr>
        <w:t>respond with</w:t>
      </w:r>
      <w:r w:rsidRPr="00EE591E" w:rsidR="00876918">
        <w:rPr>
          <w:sz w:val="22"/>
          <w:szCs w:val="22"/>
        </w:rPr>
        <w:t xml:space="preserve"> </w:t>
      </w:r>
      <w:r w:rsidRPr="00EE591E" w:rsidR="00E67BD9">
        <w:rPr>
          <w:sz w:val="22"/>
          <w:szCs w:val="22"/>
        </w:rPr>
        <w:t xml:space="preserve">additional information </w:t>
      </w:r>
      <w:r w:rsidRPr="00EE591E" w:rsidR="003A31CA">
        <w:rPr>
          <w:sz w:val="22"/>
          <w:szCs w:val="22"/>
        </w:rPr>
        <w:t xml:space="preserve">regarding a number of expense items, </w:t>
      </w:r>
      <w:r w:rsidRPr="00EE591E">
        <w:rPr>
          <w:sz w:val="22"/>
          <w:szCs w:val="22"/>
        </w:rPr>
        <w:t xml:space="preserve">we believe it is appropriate to offer Entravision the opportunity to </w:t>
      </w:r>
      <w:r w:rsidR="00876918">
        <w:rPr>
          <w:sz w:val="22"/>
          <w:szCs w:val="22"/>
        </w:rPr>
        <w:t>reply</w:t>
      </w:r>
      <w:r w:rsidRPr="00EE591E" w:rsidR="00876918">
        <w:rPr>
          <w:sz w:val="22"/>
          <w:szCs w:val="22"/>
        </w:rPr>
        <w:t xml:space="preserve"> </w:t>
      </w:r>
      <w:r w:rsidRPr="00EE591E">
        <w:rPr>
          <w:sz w:val="22"/>
          <w:szCs w:val="22"/>
        </w:rPr>
        <w:t xml:space="preserve">to </w:t>
      </w:r>
      <w:r w:rsidR="00876918">
        <w:rPr>
          <w:sz w:val="22"/>
          <w:szCs w:val="22"/>
        </w:rPr>
        <w:t>PVBC’s response</w:t>
      </w:r>
      <w:r w:rsidRPr="00EE591E">
        <w:rPr>
          <w:sz w:val="22"/>
          <w:szCs w:val="22"/>
        </w:rPr>
        <w:t xml:space="preserve">.  Entravision may submit </w:t>
      </w:r>
      <w:r w:rsidR="00E63EE7">
        <w:rPr>
          <w:sz w:val="22"/>
          <w:szCs w:val="22"/>
        </w:rPr>
        <w:t>its</w:t>
      </w:r>
      <w:r w:rsidRPr="00EE591E">
        <w:rPr>
          <w:sz w:val="22"/>
          <w:szCs w:val="22"/>
        </w:rPr>
        <w:t xml:space="preserve"> </w:t>
      </w:r>
      <w:r w:rsidR="00876918">
        <w:rPr>
          <w:sz w:val="22"/>
          <w:szCs w:val="22"/>
        </w:rPr>
        <w:t>reply</w:t>
      </w:r>
      <w:r w:rsidRPr="00EE591E" w:rsidR="00876918">
        <w:rPr>
          <w:sz w:val="22"/>
          <w:szCs w:val="22"/>
        </w:rPr>
        <w:t xml:space="preserve"> </w:t>
      </w:r>
      <w:r w:rsidRPr="00EE591E">
        <w:rPr>
          <w:sz w:val="22"/>
          <w:szCs w:val="22"/>
        </w:rPr>
        <w:t xml:space="preserve">within </w:t>
      </w:r>
      <w:r w:rsidR="00E63EE7">
        <w:rPr>
          <w:sz w:val="22"/>
          <w:szCs w:val="22"/>
        </w:rPr>
        <w:t>fourteen (14)</w:t>
      </w:r>
      <w:r w:rsidRPr="00EE591E">
        <w:rPr>
          <w:sz w:val="22"/>
          <w:szCs w:val="22"/>
        </w:rPr>
        <w:t xml:space="preserve"> days of </w:t>
      </w:r>
      <w:r w:rsidRPr="00EE591E" w:rsidR="00250C84">
        <w:rPr>
          <w:sz w:val="22"/>
          <w:szCs w:val="22"/>
        </w:rPr>
        <w:t xml:space="preserve">PVBC’s </w:t>
      </w:r>
      <w:r w:rsidRPr="00EE591E" w:rsidR="00245866">
        <w:rPr>
          <w:sz w:val="22"/>
          <w:szCs w:val="22"/>
        </w:rPr>
        <w:t xml:space="preserve">submission of the </w:t>
      </w:r>
      <w:r w:rsidR="00876918">
        <w:rPr>
          <w:sz w:val="22"/>
          <w:szCs w:val="22"/>
        </w:rPr>
        <w:t>response</w:t>
      </w:r>
      <w:r w:rsidRPr="00EE591E" w:rsidR="00876918">
        <w:rPr>
          <w:sz w:val="22"/>
          <w:szCs w:val="22"/>
        </w:rPr>
        <w:t xml:space="preserve"> </w:t>
      </w:r>
      <w:r w:rsidRPr="00EE591E" w:rsidR="00245866">
        <w:rPr>
          <w:sz w:val="22"/>
          <w:szCs w:val="22"/>
        </w:rPr>
        <w:t>requested in this letter</w:t>
      </w:r>
      <w:r w:rsidRPr="00EE591E">
        <w:rPr>
          <w:sz w:val="22"/>
          <w:szCs w:val="22"/>
        </w:rPr>
        <w:t>.</w:t>
      </w:r>
      <w:r w:rsidRPr="00EE591E" w:rsidR="00245866">
        <w:rPr>
          <w:sz w:val="22"/>
          <w:szCs w:val="22"/>
        </w:rPr>
        <w:t xml:space="preserve">  </w:t>
      </w:r>
    </w:p>
    <w:p w:rsidR="00D75571" w:rsidRPr="00EE591E" w:rsidP="00A82745" w14:paraId="72769883" w14:textId="62A2F5CB">
      <w:pPr>
        <w:tabs>
          <w:tab w:val="left" w:pos="2430"/>
        </w:tabs>
        <w:autoSpaceDE w:val="0"/>
        <w:autoSpaceDN w:val="0"/>
        <w:adjustRightInd w:val="0"/>
        <w:ind w:firstLine="720"/>
        <w:rPr>
          <w:b/>
          <w:bCs/>
          <w:sz w:val="22"/>
          <w:szCs w:val="22"/>
        </w:rPr>
      </w:pPr>
    </w:p>
    <w:p w:rsidR="00DB3E36" w:rsidRPr="00EE591E" w:rsidP="009E1B64" w14:paraId="32A4EB41" w14:textId="20BC56B2">
      <w:pPr>
        <w:autoSpaceDE w:val="0"/>
        <w:autoSpaceDN w:val="0"/>
        <w:adjustRightInd w:val="0"/>
        <w:ind w:firstLine="720"/>
        <w:rPr>
          <w:b/>
          <w:bCs/>
          <w:sz w:val="22"/>
          <w:szCs w:val="22"/>
        </w:rPr>
      </w:pPr>
      <w:r w:rsidRPr="00EE591E">
        <w:rPr>
          <w:b/>
          <w:bCs/>
          <w:sz w:val="22"/>
          <w:szCs w:val="22"/>
        </w:rPr>
        <w:t>D.</w:t>
      </w:r>
      <w:r w:rsidRPr="00EE591E">
        <w:rPr>
          <w:b/>
          <w:bCs/>
          <w:sz w:val="22"/>
          <w:szCs w:val="22"/>
        </w:rPr>
        <w:tab/>
      </w:r>
      <w:r w:rsidRPr="00EE591E">
        <w:rPr>
          <w:b/>
          <w:bCs/>
          <w:sz w:val="22"/>
          <w:szCs w:val="22"/>
        </w:rPr>
        <w:t>Future Submissions</w:t>
      </w:r>
    </w:p>
    <w:p w:rsidR="00F043F2" w:rsidRPr="00EE591E" w:rsidP="009E1B64" w14:paraId="51F4D464" w14:textId="77777777">
      <w:pPr>
        <w:autoSpaceDE w:val="0"/>
        <w:autoSpaceDN w:val="0"/>
        <w:adjustRightInd w:val="0"/>
        <w:rPr>
          <w:i/>
          <w:iCs/>
          <w:sz w:val="22"/>
          <w:szCs w:val="22"/>
        </w:rPr>
      </w:pPr>
    </w:p>
    <w:p w:rsidR="00DB3E36" w:rsidRPr="00EE591E" w:rsidP="00D47AEA" w14:paraId="3DB803A9" w14:textId="54DB7839">
      <w:pPr>
        <w:autoSpaceDE w:val="0"/>
        <w:autoSpaceDN w:val="0"/>
        <w:adjustRightInd w:val="0"/>
        <w:ind w:firstLine="720"/>
        <w:rPr>
          <w:sz w:val="22"/>
          <w:szCs w:val="22"/>
        </w:rPr>
      </w:pPr>
      <w:r w:rsidRPr="00EE591E">
        <w:rPr>
          <w:sz w:val="22"/>
          <w:szCs w:val="22"/>
        </w:rPr>
        <w:t xml:space="preserve">As noted above, PVBC has had an extended amount of time in which to </w:t>
      </w:r>
      <w:r w:rsidRPr="00EE591E" w:rsidR="00A82745">
        <w:rPr>
          <w:sz w:val="22"/>
          <w:szCs w:val="22"/>
        </w:rPr>
        <w:t>identify</w:t>
      </w:r>
      <w:r w:rsidRPr="00EE591E">
        <w:rPr>
          <w:sz w:val="22"/>
          <w:szCs w:val="22"/>
        </w:rPr>
        <w:t xml:space="preserve"> </w:t>
      </w:r>
      <w:r w:rsidRPr="00EE591E" w:rsidR="00A82745">
        <w:rPr>
          <w:sz w:val="22"/>
          <w:szCs w:val="22"/>
        </w:rPr>
        <w:t>the</w:t>
      </w:r>
      <w:r w:rsidRPr="00EE591E">
        <w:rPr>
          <w:sz w:val="22"/>
          <w:szCs w:val="22"/>
        </w:rPr>
        <w:t xml:space="preserve"> expenses it will incur </w:t>
      </w:r>
      <w:r w:rsidRPr="00EE591E" w:rsidR="00893C7E">
        <w:rPr>
          <w:sz w:val="22"/>
          <w:szCs w:val="22"/>
        </w:rPr>
        <w:t>to implement</w:t>
      </w:r>
      <w:r w:rsidRPr="00EE591E">
        <w:rPr>
          <w:sz w:val="22"/>
          <w:szCs w:val="22"/>
        </w:rPr>
        <w:t xml:space="preserve"> the KPPV(FM) channel change, and obtain estimates and other documentation regarding those expenses.  Given this, we will not accept any further submissions from PVBC unless (1) we </w:t>
      </w:r>
      <w:r w:rsidR="006F0111">
        <w:rPr>
          <w:sz w:val="22"/>
          <w:szCs w:val="22"/>
        </w:rPr>
        <w:t>have requested</w:t>
      </w:r>
      <w:r w:rsidRPr="00EE591E">
        <w:rPr>
          <w:sz w:val="22"/>
          <w:szCs w:val="22"/>
        </w:rPr>
        <w:t xml:space="preserve"> </w:t>
      </w:r>
      <w:r w:rsidR="006F0111">
        <w:rPr>
          <w:sz w:val="22"/>
          <w:szCs w:val="22"/>
        </w:rPr>
        <w:t>the submission</w:t>
      </w:r>
      <w:r w:rsidRPr="00EE591E">
        <w:rPr>
          <w:sz w:val="22"/>
          <w:szCs w:val="22"/>
        </w:rPr>
        <w:t xml:space="preserve">, (2) PVBC previously provided a cost estimate for an expense item and </w:t>
      </w:r>
      <w:r w:rsidR="006F0111">
        <w:rPr>
          <w:sz w:val="22"/>
          <w:szCs w:val="22"/>
        </w:rPr>
        <w:t>the submission relates</w:t>
      </w:r>
      <w:r w:rsidRPr="00EE591E">
        <w:rPr>
          <w:sz w:val="22"/>
          <w:szCs w:val="22"/>
        </w:rPr>
        <w:t xml:space="preserve"> to the actual cost of that item, or (3) PVBC </w:t>
      </w:r>
      <w:r w:rsidR="006F0111">
        <w:rPr>
          <w:sz w:val="22"/>
          <w:szCs w:val="22"/>
        </w:rPr>
        <w:t>has incurred</w:t>
      </w:r>
      <w:r w:rsidRPr="00EE591E">
        <w:rPr>
          <w:sz w:val="22"/>
          <w:szCs w:val="22"/>
        </w:rPr>
        <w:t xml:space="preserve"> an expense that could not have been reasonably anticipated.  Unless one of these circumstances is present, we will treat any future PVBC submissions as unauthorized and will dismiss them.  Likewise, unless we accept a future PVBC submission and specifically authorize or request an Entravision </w:t>
      </w:r>
      <w:r w:rsidR="00FA51B9">
        <w:rPr>
          <w:sz w:val="22"/>
          <w:szCs w:val="22"/>
        </w:rPr>
        <w:t>reply</w:t>
      </w:r>
      <w:r w:rsidRPr="00EE591E">
        <w:rPr>
          <w:sz w:val="22"/>
          <w:szCs w:val="22"/>
        </w:rPr>
        <w:t>, we will not accept any further submissions from Entravision, and will treat such submissions as unauthorized and dismiss them.</w:t>
      </w:r>
    </w:p>
    <w:p w:rsidR="00DB3E36" w:rsidRPr="00EE591E" w:rsidP="009E1B64" w14:paraId="1CA538FB" w14:textId="01B32A67">
      <w:pPr>
        <w:autoSpaceDE w:val="0"/>
        <w:autoSpaceDN w:val="0"/>
        <w:adjustRightInd w:val="0"/>
        <w:rPr>
          <w:b/>
          <w:bCs/>
          <w:sz w:val="22"/>
          <w:szCs w:val="22"/>
        </w:rPr>
      </w:pPr>
      <w:r w:rsidRPr="00EE591E">
        <w:rPr>
          <w:b/>
          <w:bCs/>
          <w:sz w:val="22"/>
          <w:szCs w:val="22"/>
        </w:rPr>
        <w:t>III.</w:t>
      </w:r>
      <w:r w:rsidRPr="00EE591E">
        <w:rPr>
          <w:b/>
          <w:bCs/>
          <w:sz w:val="22"/>
          <w:szCs w:val="22"/>
        </w:rPr>
        <w:tab/>
        <w:t>ORDERING CLAUSES</w:t>
      </w:r>
    </w:p>
    <w:p w:rsidR="00DB3E36" w:rsidRPr="00EE591E" w:rsidP="009E1B64" w14:paraId="386BDE61" w14:textId="77777777">
      <w:pPr>
        <w:autoSpaceDE w:val="0"/>
        <w:autoSpaceDN w:val="0"/>
        <w:adjustRightInd w:val="0"/>
        <w:ind w:firstLine="720"/>
        <w:rPr>
          <w:b/>
          <w:bCs/>
          <w:sz w:val="22"/>
          <w:szCs w:val="22"/>
        </w:rPr>
      </w:pPr>
    </w:p>
    <w:p w:rsidR="00DB3E36" w:rsidRPr="00EE591E" w:rsidP="009E1B64" w14:paraId="177FA81A" w14:textId="77777777">
      <w:pPr>
        <w:autoSpaceDE w:val="0"/>
        <w:autoSpaceDN w:val="0"/>
        <w:adjustRightInd w:val="0"/>
        <w:ind w:firstLine="720"/>
        <w:rPr>
          <w:sz w:val="22"/>
          <w:szCs w:val="22"/>
        </w:rPr>
      </w:pPr>
      <w:r w:rsidRPr="00EE591E">
        <w:rPr>
          <w:sz w:val="22"/>
          <w:szCs w:val="22"/>
        </w:rPr>
        <w:t>Accordingly,</w:t>
      </w:r>
      <w:r w:rsidRPr="00EE591E">
        <w:rPr>
          <w:b/>
          <w:bCs/>
          <w:sz w:val="22"/>
          <w:szCs w:val="22"/>
        </w:rPr>
        <w:t xml:space="preserve"> IT IS ORDERED </w:t>
      </w:r>
      <w:r w:rsidRPr="00EE591E">
        <w:rPr>
          <w:sz w:val="22"/>
          <w:szCs w:val="22"/>
        </w:rPr>
        <w:t xml:space="preserve">that the Motion to Strike filed by Entravision Holdings, LLC on </w:t>
      </w:r>
      <w:r w:rsidRPr="00EE591E" w:rsidR="004B0317">
        <w:rPr>
          <w:sz w:val="22"/>
          <w:szCs w:val="22"/>
        </w:rPr>
        <w:t>March 7, 2022</w:t>
      </w:r>
      <w:r w:rsidRPr="00EE591E">
        <w:rPr>
          <w:sz w:val="22"/>
          <w:szCs w:val="22"/>
        </w:rPr>
        <w:t xml:space="preserve">, </w:t>
      </w:r>
      <w:r w:rsidRPr="009E6B7A">
        <w:rPr>
          <w:b/>
          <w:bCs/>
          <w:sz w:val="22"/>
          <w:szCs w:val="22"/>
        </w:rPr>
        <w:t>IS DENIED</w:t>
      </w:r>
      <w:r w:rsidRPr="00EE591E">
        <w:rPr>
          <w:sz w:val="22"/>
          <w:szCs w:val="22"/>
        </w:rPr>
        <w:t xml:space="preserve">.  </w:t>
      </w:r>
    </w:p>
    <w:p w:rsidR="00DB3E36" w:rsidRPr="00EE591E" w:rsidP="009E1B64" w14:paraId="73E18EAF" w14:textId="77777777">
      <w:pPr>
        <w:autoSpaceDE w:val="0"/>
        <w:autoSpaceDN w:val="0"/>
        <w:adjustRightInd w:val="0"/>
        <w:ind w:firstLine="720"/>
        <w:rPr>
          <w:sz w:val="22"/>
          <w:szCs w:val="22"/>
        </w:rPr>
      </w:pPr>
    </w:p>
    <w:p w:rsidR="001D08CD" w:rsidP="009E1B64" w14:paraId="465F1AE8" w14:textId="1760B3E1">
      <w:pPr>
        <w:autoSpaceDE w:val="0"/>
        <w:autoSpaceDN w:val="0"/>
        <w:adjustRightInd w:val="0"/>
        <w:ind w:firstLine="720"/>
        <w:rPr>
          <w:b/>
          <w:bCs/>
          <w:sz w:val="22"/>
          <w:szCs w:val="22"/>
        </w:rPr>
      </w:pPr>
      <w:r w:rsidRPr="00EE591E">
        <w:rPr>
          <w:b/>
          <w:bCs/>
          <w:sz w:val="22"/>
          <w:szCs w:val="22"/>
        </w:rPr>
        <w:t xml:space="preserve">IT IS FURTHER ORDERED </w:t>
      </w:r>
      <w:r w:rsidRPr="00EE591E">
        <w:rPr>
          <w:sz w:val="22"/>
          <w:szCs w:val="22"/>
        </w:rPr>
        <w:t xml:space="preserve">that the Second Motion to Strike filed by Entravision Holdings, LLC, on </w:t>
      </w:r>
      <w:r w:rsidRPr="00EE591E" w:rsidR="004B0317">
        <w:rPr>
          <w:sz w:val="22"/>
          <w:szCs w:val="22"/>
        </w:rPr>
        <w:t xml:space="preserve">April 4, 2022, </w:t>
      </w:r>
      <w:r w:rsidRPr="00EE591E">
        <w:rPr>
          <w:b/>
          <w:bCs/>
          <w:sz w:val="22"/>
          <w:szCs w:val="22"/>
        </w:rPr>
        <w:t>IS GRANTED IN PART AND DENIED IN PART.</w:t>
      </w:r>
    </w:p>
    <w:p w:rsidR="006F0111" w:rsidRPr="00EE591E" w:rsidP="009E1B64" w14:paraId="47432690" w14:textId="77777777">
      <w:pPr>
        <w:autoSpaceDE w:val="0"/>
        <w:autoSpaceDN w:val="0"/>
        <w:adjustRightInd w:val="0"/>
        <w:ind w:firstLine="720"/>
        <w:rPr>
          <w:b/>
          <w:bCs/>
          <w:sz w:val="22"/>
          <w:szCs w:val="22"/>
        </w:rPr>
      </w:pPr>
    </w:p>
    <w:p w:rsidR="00972429" w:rsidRPr="00EE591E" w:rsidP="00972429" w14:paraId="659EC0D9" w14:textId="16186F17">
      <w:pPr>
        <w:spacing w:after="240"/>
        <w:ind w:firstLine="720"/>
        <w:rPr>
          <w:rStyle w:val="Hyperlink"/>
          <w:sz w:val="22"/>
          <w:szCs w:val="22"/>
        </w:rPr>
      </w:pPr>
      <w:r w:rsidRPr="00EE591E">
        <w:rPr>
          <w:b/>
          <w:bCs/>
          <w:sz w:val="22"/>
          <w:szCs w:val="22"/>
        </w:rPr>
        <w:t xml:space="preserve">IT IS </w:t>
      </w:r>
      <w:r w:rsidRPr="00EE591E" w:rsidR="0048674A">
        <w:rPr>
          <w:b/>
          <w:bCs/>
          <w:sz w:val="22"/>
          <w:szCs w:val="22"/>
        </w:rPr>
        <w:t xml:space="preserve">FURTHER </w:t>
      </w:r>
      <w:r w:rsidRPr="00EE591E">
        <w:rPr>
          <w:b/>
          <w:bCs/>
          <w:sz w:val="22"/>
          <w:szCs w:val="22"/>
        </w:rPr>
        <w:t>ORDERED</w:t>
      </w:r>
      <w:r w:rsidRPr="00EE591E" w:rsidR="00F5684E">
        <w:rPr>
          <w:b/>
          <w:bCs/>
          <w:sz w:val="22"/>
          <w:szCs w:val="22"/>
        </w:rPr>
        <w:t xml:space="preserve"> </w:t>
      </w:r>
      <w:r w:rsidRPr="00EE591E" w:rsidR="00F5684E">
        <w:rPr>
          <w:sz w:val="22"/>
          <w:szCs w:val="22"/>
        </w:rPr>
        <w:t>that</w:t>
      </w:r>
      <w:r w:rsidRPr="00EE591E" w:rsidR="00267199">
        <w:rPr>
          <w:sz w:val="22"/>
          <w:szCs w:val="22"/>
        </w:rPr>
        <w:t>, within fourteen (14) calendar days of the date of this letter,</w:t>
      </w:r>
      <w:r w:rsidRPr="00EE591E" w:rsidR="00F5684E">
        <w:rPr>
          <w:sz w:val="22"/>
          <w:szCs w:val="22"/>
        </w:rPr>
        <w:t xml:space="preserve"> Prescott Valley Broadcasting Co., Inc.</w:t>
      </w:r>
      <w:r w:rsidR="00862B54">
        <w:rPr>
          <w:sz w:val="22"/>
          <w:szCs w:val="22"/>
        </w:rPr>
        <w:t>,</w:t>
      </w:r>
      <w:r w:rsidRPr="00EE591E" w:rsidR="00F5684E">
        <w:rPr>
          <w:sz w:val="22"/>
          <w:szCs w:val="22"/>
        </w:rPr>
        <w:t xml:space="preserve"> </w:t>
      </w:r>
      <w:r w:rsidRPr="00EE591E" w:rsidR="00F5684E">
        <w:rPr>
          <w:b/>
          <w:bCs/>
          <w:sz w:val="22"/>
          <w:szCs w:val="22"/>
        </w:rPr>
        <w:t xml:space="preserve">SHALL </w:t>
      </w:r>
      <w:r w:rsidRPr="00EE591E" w:rsidR="00812DD3">
        <w:rPr>
          <w:b/>
          <w:bCs/>
          <w:sz w:val="22"/>
          <w:szCs w:val="22"/>
        </w:rPr>
        <w:t>FILE</w:t>
      </w:r>
      <w:r w:rsidRPr="00EE591E" w:rsidR="00F5684E">
        <w:rPr>
          <w:sz w:val="22"/>
          <w:szCs w:val="22"/>
        </w:rPr>
        <w:t xml:space="preserve"> </w:t>
      </w:r>
      <w:r w:rsidRPr="00EE591E" w:rsidR="00B437AA">
        <w:rPr>
          <w:sz w:val="22"/>
          <w:szCs w:val="22"/>
        </w:rPr>
        <w:t>its response to the</w:t>
      </w:r>
      <w:r w:rsidRPr="00EE591E" w:rsidR="00F5684E">
        <w:rPr>
          <w:sz w:val="22"/>
          <w:szCs w:val="22"/>
        </w:rPr>
        <w:t xml:space="preserve"> information </w:t>
      </w:r>
      <w:r w:rsidRPr="00EE591E" w:rsidR="00B437AA">
        <w:rPr>
          <w:sz w:val="22"/>
          <w:szCs w:val="22"/>
        </w:rPr>
        <w:t>requests</w:t>
      </w:r>
      <w:r w:rsidRPr="00EE591E" w:rsidR="00F5684E">
        <w:rPr>
          <w:sz w:val="22"/>
          <w:szCs w:val="22"/>
        </w:rPr>
        <w:t xml:space="preserve"> </w:t>
      </w:r>
      <w:r w:rsidR="00862B54">
        <w:rPr>
          <w:sz w:val="22"/>
          <w:szCs w:val="22"/>
        </w:rPr>
        <w:t>contained</w:t>
      </w:r>
      <w:r w:rsidRPr="00EE591E" w:rsidR="00812DD3">
        <w:rPr>
          <w:sz w:val="22"/>
          <w:szCs w:val="22"/>
        </w:rPr>
        <w:t xml:space="preserve"> herein</w:t>
      </w:r>
      <w:r w:rsidRPr="00EE591E">
        <w:rPr>
          <w:sz w:val="22"/>
          <w:szCs w:val="22"/>
        </w:rPr>
        <w:t xml:space="preserve"> </w:t>
      </w:r>
      <w:r w:rsidRPr="00EE591E" w:rsidR="00812DD3">
        <w:rPr>
          <w:sz w:val="22"/>
          <w:szCs w:val="22"/>
        </w:rPr>
        <w:t>with</w:t>
      </w:r>
      <w:r w:rsidRPr="00EE591E">
        <w:rPr>
          <w:sz w:val="22"/>
          <w:szCs w:val="22"/>
        </w:rPr>
        <w:t xml:space="preserve"> the Office of the Secretary, Federal Communications Commission, 445 12</w:t>
      </w:r>
      <w:r w:rsidRPr="00EE591E">
        <w:rPr>
          <w:sz w:val="22"/>
          <w:szCs w:val="22"/>
          <w:vertAlign w:val="superscript"/>
        </w:rPr>
        <w:t>th</w:t>
      </w:r>
      <w:r w:rsidRPr="00EE591E">
        <w:rPr>
          <w:sz w:val="22"/>
          <w:szCs w:val="22"/>
        </w:rPr>
        <w:t xml:space="preserve"> Street, S.W., Washington, DC 20554</w:t>
      </w:r>
      <w:r w:rsidRPr="00EE591E" w:rsidR="00267199">
        <w:rPr>
          <w:sz w:val="22"/>
          <w:szCs w:val="22"/>
        </w:rPr>
        <w:t xml:space="preserve">, and </w:t>
      </w:r>
      <w:r w:rsidRPr="00EE591E">
        <w:rPr>
          <w:b/>
          <w:bCs/>
          <w:sz w:val="22"/>
          <w:szCs w:val="22"/>
        </w:rPr>
        <w:t xml:space="preserve">SHALL </w:t>
      </w:r>
      <w:r w:rsidRPr="00EE591E" w:rsidR="001F7A73">
        <w:rPr>
          <w:b/>
          <w:bCs/>
          <w:sz w:val="22"/>
          <w:szCs w:val="22"/>
        </w:rPr>
        <w:t>SERVE</w:t>
      </w:r>
      <w:r w:rsidRPr="00EE591E">
        <w:rPr>
          <w:sz w:val="22"/>
          <w:szCs w:val="22"/>
        </w:rPr>
        <w:t xml:space="preserve"> </w:t>
      </w:r>
      <w:r w:rsidRPr="00EE591E" w:rsidR="001F7A73">
        <w:rPr>
          <w:sz w:val="22"/>
          <w:szCs w:val="22"/>
        </w:rPr>
        <w:t xml:space="preserve">a copy of </w:t>
      </w:r>
      <w:r w:rsidRPr="00EE591E" w:rsidR="00812DD3">
        <w:rPr>
          <w:sz w:val="22"/>
          <w:szCs w:val="22"/>
        </w:rPr>
        <w:t>the response</w:t>
      </w:r>
      <w:r w:rsidRPr="00EE591E">
        <w:rPr>
          <w:sz w:val="22"/>
          <w:szCs w:val="22"/>
        </w:rPr>
        <w:t xml:space="preserve"> by email </w:t>
      </w:r>
      <w:r w:rsidRPr="00EE591E" w:rsidR="00812DD3">
        <w:rPr>
          <w:sz w:val="22"/>
          <w:szCs w:val="22"/>
        </w:rPr>
        <w:t>on</w:t>
      </w:r>
      <w:r w:rsidRPr="00EE591E">
        <w:rPr>
          <w:sz w:val="22"/>
          <w:szCs w:val="22"/>
        </w:rPr>
        <w:t xml:space="preserve"> Tom Hutton,  </w:t>
      </w:r>
      <w:hyperlink r:id="rId7" w:history="1">
        <w:r w:rsidRPr="00EE591E">
          <w:rPr>
            <w:rStyle w:val="Hyperlink"/>
            <w:sz w:val="22"/>
            <w:szCs w:val="22"/>
          </w:rPr>
          <w:t>tom.hutton@fcc.gov</w:t>
        </w:r>
      </w:hyperlink>
      <w:r w:rsidRPr="00EE591E">
        <w:rPr>
          <w:sz w:val="22"/>
          <w:szCs w:val="22"/>
        </w:rPr>
        <w:t xml:space="preserve">, Heather Dixon, </w:t>
      </w:r>
      <w:hyperlink r:id="rId8" w:history="1">
        <w:r w:rsidRPr="00EE591E">
          <w:rPr>
            <w:rStyle w:val="Hyperlink"/>
            <w:sz w:val="22"/>
            <w:szCs w:val="22"/>
          </w:rPr>
          <w:t>heather.dixon@fcc.gov</w:t>
        </w:r>
      </w:hyperlink>
      <w:r w:rsidRPr="00EE591E">
        <w:rPr>
          <w:sz w:val="22"/>
          <w:szCs w:val="22"/>
        </w:rPr>
        <w:t>, and</w:t>
      </w:r>
      <w:r w:rsidRPr="00EE591E">
        <w:rPr>
          <w:rStyle w:val="Hyperlink"/>
          <w:sz w:val="22"/>
          <w:szCs w:val="22"/>
        </w:rPr>
        <w:t xml:space="preserve"> </w:t>
      </w:r>
      <w:r w:rsidRPr="006F0111" w:rsidR="00982BF1">
        <w:rPr>
          <w:rStyle w:val="Hyperlink"/>
          <w:color w:val="auto"/>
          <w:sz w:val="22"/>
          <w:szCs w:val="22"/>
          <w:u w:val="none"/>
        </w:rPr>
        <w:t>Barry A. Friedman, counsel for Entravision Holdings, LLC</w:t>
      </w:r>
      <w:r w:rsidRPr="006F0111">
        <w:rPr>
          <w:rStyle w:val="Hyperlink"/>
          <w:color w:val="auto"/>
          <w:sz w:val="22"/>
          <w:szCs w:val="22"/>
          <w:u w:val="none"/>
        </w:rPr>
        <w:t>,</w:t>
      </w:r>
      <w:r w:rsidRPr="00A46A6D" w:rsidR="00EB4E34">
        <w:rPr>
          <w:rStyle w:val="Hyperlink"/>
          <w:color w:val="auto"/>
          <w:sz w:val="22"/>
          <w:szCs w:val="22"/>
          <w:u w:val="none"/>
        </w:rPr>
        <w:t xml:space="preserve"> </w:t>
      </w:r>
      <w:hyperlink r:id="rId6" w:history="1">
        <w:r w:rsidRPr="00EE591E" w:rsidR="0048674A">
          <w:rPr>
            <w:rStyle w:val="Hyperlink"/>
            <w:sz w:val="22"/>
            <w:szCs w:val="22"/>
          </w:rPr>
          <w:t>Barry.Friedman@thompsonhine.com</w:t>
        </w:r>
      </w:hyperlink>
      <w:r w:rsidRPr="00EE591E">
        <w:rPr>
          <w:rStyle w:val="Hyperlink"/>
          <w:sz w:val="22"/>
          <w:szCs w:val="22"/>
        </w:rPr>
        <w:t>.</w:t>
      </w:r>
    </w:p>
    <w:p w:rsidR="008F3BE5" w:rsidP="006F0111" w14:paraId="58E9F8D9" w14:textId="4D3D360E">
      <w:pPr>
        <w:spacing w:after="240"/>
        <w:ind w:firstLine="720"/>
        <w:rPr>
          <w:sz w:val="22"/>
          <w:szCs w:val="22"/>
        </w:rPr>
      </w:pPr>
      <w:r w:rsidRPr="006F0111">
        <w:rPr>
          <w:rStyle w:val="Hyperlink"/>
          <w:b/>
          <w:bCs/>
          <w:color w:val="auto"/>
          <w:sz w:val="22"/>
          <w:szCs w:val="22"/>
          <w:u w:val="none"/>
        </w:rPr>
        <w:t>IT IS FURTHER ORDERED</w:t>
      </w:r>
      <w:r w:rsidRPr="006F0111">
        <w:rPr>
          <w:rStyle w:val="Hyperlink"/>
          <w:color w:val="auto"/>
          <w:sz w:val="22"/>
          <w:szCs w:val="22"/>
          <w:u w:val="none"/>
        </w:rPr>
        <w:t xml:space="preserve"> that Entravision</w:t>
      </w:r>
      <w:r w:rsidR="00372FC1">
        <w:rPr>
          <w:rStyle w:val="Hyperlink"/>
          <w:color w:val="auto"/>
          <w:sz w:val="22"/>
          <w:szCs w:val="22"/>
          <w:u w:val="none"/>
        </w:rPr>
        <w:t xml:space="preserve"> Holdings, LLC,</w:t>
      </w:r>
      <w:r w:rsidRPr="006F0111" w:rsidR="00972429">
        <w:rPr>
          <w:sz w:val="22"/>
          <w:szCs w:val="22"/>
        </w:rPr>
        <w:t xml:space="preserve"> </w:t>
      </w:r>
      <w:r w:rsidRPr="006F0111">
        <w:rPr>
          <w:b/>
          <w:bCs/>
          <w:sz w:val="22"/>
          <w:szCs w:val="22"/>
        </w:rPr>
        <w:t>MAY REPLY</w:t>
      </w:r>
      <w:r w:rsidRPr="006F0111" w:rsidR="00972429">
        <w:rPr>
          <w:sz w:val="22"/>
          <w:szCs w:val="22"/>
        </w:rPr>
        <w:t xml:space="preserve"> to </w:t>
      </w:r>
      <w:r w:rsidRPr="006F0111" w:rsidR="0048674A">
        <w:rPr>
          <w:sz w:val="22"/>
          <w:szCs w:val="22"/>
        </w:rPr>
        <w:t>Prescott Valley Broadcasting Co., Inc.’s</w:t>
      </w:r>
      <w:r w:rsidRPr="006F0111" w:rsidR="00972429">
        <w:rPr>
          <w:sz w:val="22"/>
          <w:szCs w:val="22"/>
        </w:rPr>
        <w:t xml:space="preserve"> response </w:t>
      </w:r>
      <w:r w:rsidR="00A46A6D">
        <w:rPr>
          <w:sz w:val="22"/>
          <w:szCs w:val="22"/>
        </w:rPr>
        <w:t>no later than</w:t>
      </w:r>
      <w:r w:rsidRPr="006F0111" w:rsidR="00972429">
        <w:rPr>
          <w:sz w:val="22"/>
          <w:szCs w:val="22"/>
        </w:rPr>
        <w:t xml:space="preserve"> </w:t>
      </w:r>
      <w:r w:rsidR="007C7D0D">
        <w:rPr>
          <w:sz w:val="22"/>
          <w:szCs w:val="22"/>
        </w:rPr>
        <w:t>thirty</w:t>
      </w:r>
      <w:r w:rsidRPr="006F0111" w:rsidR="007C7D0D">
        <w:rPr>
          <w:sz w:val="22"/>
          <w:szCs w:val="22"/>
        </w:rPr>
        <w:t xml:space="preserve"> </w:t>
      </w:r>
      <w:r w:rsidRPr="006F0111" w:rsidR="00972429">
        <w:rPr>
          <w:sz w:val="22"/>
          <w:szCs w:val="22"/>
        </w:rPr>
        <w:t>(</w:t>
      </w:r>
      <w:r w:rsidR="007C7D0D">
        <w:rPr>
          <w:sz w:val="22"/>
          <w:szCs w:val="22"/>
        </w:rPr>
        <w:t>30</w:t>
      </w:r>
      <w:r w:rsidRPr="006F0111" w:rsidR="00972429">
        <w:rPr>
          <w:sz w:val="22"/>
          <w:szCs w:val="22"/>
        </w:rPr>
        <w:t xml:space="preserve">) calendar days from the date it receives a copy </w:t>
      </w:r>
      <w:r w:rsidRPr="00EE591E" w:rsidR="00972429">
        <w:rPr>
          <w:sz w:val="22"/>
          <w:szCs w:val="22"/>
        </w:rPr>
        <w:t xml:space="preserve">of the response by email.  </w:t>
      </w:r>
    </w:p>
    <w:p w:rsidR="00CB3855" w:rsidP="006F0111" w14:paraId="2197E690" w14:textId="243AA1B7">
      <w:pPr>
        <w:spacing w:after="240"/>
        <w:ind w:firstLine="720"/>
        <w:rPr>
          <w:sz w:val="22"/>
          <w:szCs w:val="22"/>
        </w:rPr>
      </w:pPr>
      <w:r w:rsidRPr="006A7031">
        <w:rPr>
          <w:b/>
          <w:bCs/>
          <w:sz w:val="22"/>
          <w:szCs w:val="22"/>
        </w:rPr>
        <w:t>IT IS FURTHER ORDERED</w:t>
      </w:r>
      <w:r>
        <w:rPr>
          <w:sz w:val="22"/>
          <w:szCs w:val="22"/>
        </w:rPr>
        <w:t xml:space="preserve"> that</w:t>
      </w:r>
      <w:r w:rsidR="00771BC3">
        <w:rPr>
          <w:sz w:val="22"/>
          <w:szCs w:val="22"/>
        </w:rPr>
        <w:t xml:space="preserve">, within </w:t>
      </w:r>
      <w:r w:rsidR="006A7031">
        <w:rPr>
          <w:sz w:val="22"/>
          <w:szCs w:val="22"/>
        </w:rPr>
        <w:t>twenty (20) calendar days from the date of this letter,</w:t>
      </w:r>
      <w:r>
        <w:rPr>
          <w:sz w:val="22"/>
          <w:szCs w:val="22"/>
        </w:rPr>
        <w:t xml:space="preserve"> Entravision Holdings, LLC, </w:t>
      </w:r>
      <w:r w:rsidRPr="00B25A62" w:rsidR="004A27F8">
        <w:rPr>
          <w:b/>
          <w:bCs/>
          <w:sz w:val="22"/>
          <w:szCs w:val="22"/>
        </w:rPr>
        <w:t>SHALL REIMBURSE</w:t>
      </w:r>
      <w:r>
        <w:rPr>
          <w:sz w:val="22"/>
          <w:szCs w:val="22"/>
        </w:rPr>
        <w:t xml:space="preserve"> Prescott Valley Broadcasting Co., Inc.</w:t>
      </w:r>
      <w:r w:rsidR="00771BC3">
        <w:rPr>
          <w:sz w:val="22"/>
          <w:szCs w:val="22"/>
        </w:rPr>
        <w:t xml:space="preserve"> </w:t>
      </w:r>
      <w:r w:rsidR="004F4373">
        <w:rPr>
          <w:sz w:val="22"/>
          <w:szCs w:val="22"/>
        </w:rPr>
        <w:t xml:space="preserve">for the amounts listed herein, which total </w:t>
      </w:r>
      <w:r w:rsidR="00346A70">
        <w:rPr>
          <w:sz w:val="22"/>
          <w:szCs w:val="22"/>
        </w:rPr>
        <w:t>$17,931</w:t>
      </w:r>
      <w:r w:rsidR="00771BC3">
        <w:rPr>
          <w:sz w:val="22"/>
          <w:szCs w:val="22"/>
        </w:rPr>
        <w:t>.</w:t>
      </w:r>
    </w:p>
    <w:p w:rsidR="00D47AEA" w:rsidP="009E1B64" w14:paraId="5015681B" w14:textId="77777777">
      <w:pPr>
        <w:tabs>
          <w:tab w:val="left" w:pos="270"/>
          <w:tab w:val="left" w:pos="5040"/>
        </w:tabs>
        <w:rPr>
          <w:sz w:val="22"/>
          <w:szCs w:val="22"/>
        </w:rPr>
      </w:pPr>
      <w:r>
        <w:rPr>
          <w:sz w:val="22"/>
          <w:szCs w:val="22"/>
        </w:rPr>
        <w:t xml:space="preserve">Finally, </w:t>
      </w:r>
      <w:r w:rsidRPr="00B25A62">
        <w:rPr>
          <w:b/>
          <w:bCs/>
          <w:sz w:val="22"/>
          <w:szCs w:val="22"/>
        </w:rPr>
        <w:t>IT IS ORDERED</w:t>
      </w:r>
      <w:r>
        <w:rPr>
          <w:sz w:val="22"/>
          <w:szCs w:val="22"/>
        </w:rPr>
        <w:t xml:space="preserve"> that, within </w:t>
      </w:r>
      <w:r w:rsidR="004A27F8">
        <w:rPr>
          <w:sz w:val="22"/>
          <w:szCs w:val="22"/>
        </w:rPr>
        <w:t xml:space="preserve">thirty (30) calendar days of the date of this letter, Prescott Valley Broadcasting Co, Inc., </w:t>
      </w:r>
      <w:r w:rsidRPr="00B25A62" w:rsidR="004A27F8">
        <w:rPr>
          <w:b/>
          <w:bCs/>
          <w:sz w:val="22"/>
          <w:szCs w:val="22"/>
        </w:rPr>
        <w:t>SHALL</w:t>
      </w:r>
      <w:r w:rsidRPr="00B25A62" w:rsidR="00B25A62">
        <w:rPr>
          <w:b/>
          <w:bCs/>
          <w:sz w:val="22"/>
          <w:szCs w:val="22"/>
        </w:rPr>
        <w:t xml:space="preserve"> FILE</w:t>
      </w:r>
      <w:r w:rsidR="00B25A62">
        <w:rPr>
          <w:sz w:val="22"/>
          <w:szCs w:val="22"/>
        </w:rPr>
        <w:t xml:space="preserve"> a report regarding its receipt of the reimbursements referenced in the preceding paragraph</w:t>
      </w:r>
      <w:r w:rsidRPr="00B25A62" w:rsidR="00B25A62">
        <w:rPr>
          <w:sz w:val="22"/>
          <w:szCs w:val="22"/>
        </w:rPr>
        <w:t xml:space="preserve"> </w:t>
      </w:r>
      <w:r w:rsidRPr="00EE591E" w:rsidR="00B25A62">
        <w:rPr>
          <w:sz w:val="22"/>
          <w:szCs w:val="22"/>
        </w:rPr>
        <w:t>with the Office of the Secretary, Federal Communications Commission, 445 12</w:t>
      </w:r>
      <w:r w:rsidRPr="00EE591E" w:rsidR="00B25A62">
        <w:rPr>
          <w:sz w:val="22"/>
          <w:szCs w:val="22"/>
          <w:vertAlign w:val="superscript"/>
        </w:rPr>
        <w:t>th</w:t>
      </w:r>
      <w:r w:rsidRPr="00EE591E" w:rsidR="00B25A62">
        <w:rPr>
          <w:sz w:val="22"/>
          <w:szCs w:val="22"/>
        </w:rPr>
        <w:t xml:space="preserve"> Street, S.W., Washington, DC 20554, and </w:t>
      </w:r>
      <w:r w:rsidRPr="00EE591E" w:rsidR="00B25A62">
        <w:rPr>
          <w:b/>
          <w:bCs/>
          <w:sz w:val="22"/>
          <w:szCs w:val="22"/>
        </w:rPr>
        <w:t>SHALL SERVE</w:t>
      </w:r>
      <w:r w:rsidRPr="00EE591E" w:rsidR="00B25A62">
        <w:rPr>
          <w:sz w:val="22"/>
          <w:szCs w:val="22"/>
        </w:rPr>
        <w:t xml:space="preserve"> a copy of the response by email on Tom Hutton,  </w:t>
      </w:r>
      <w:hyperlink r:id="rId7" w:history="1">
        <w:r w:rsidRPr="00EE591E" w:rsidR="00B25A62">
          <w:rPr>
            <w:rStyle w:val="Hyperlink"/>
            <w:sz w:val="22"/>
            <w:szCs w:val="22"/>
          </w:rPr>
          <w:t>tom.hutton@fcc.gov</w:t>
        </w:r>
      </w:hyperlink>
      <w:r w:rsidRPr="00EE591E" w:rsidR="00B25A62">
        <w:rPr>
          <w:sz w:val="22"/>
          <w:szCs w:val="22"/>
        </w:rPr>
        <w:t xml:space="preserve">, Heather Dixon, </w:t>
      </w:r>
      <w:hyperlink r:id="rId8" w:history="1">
        <w:r w:rsidRPr="00EE591E" w:rsidR="00B25A62">
          <w:rPr>
            <w:rStyle w:val="Hyperlink"/>
            <w:sz w:val="22"/>
            <w:szCs w:val="22"/>
          </w:rPr>
          <w:t>heather.dixon@fcc.gov</w:t>
        </w:r>
      </w:hyperlink>
      <w:r w:rsidRPr="00EE591E" w:rsidR="00B25A62">
        <w:rPr>
          <w:sz w:val="22"/>
          <w:szCs w:val="22"/>
        </w:rPr>
        <w:t>, and</w:t>
      </w:r>
      <w:r w:rsidRPr="00EE591E" w:rsidR="00B25A62">
        <w:rPr>
          <w:rStyle w:val="Hyperlink"/>
          <w:sz w:val="22"/>
          <w:szCs w:val="22"/>
        </w:rPr>
        <w:t xml:space="preserve"> </w:t>
      </w:r>
      <w:r w:rsidRPr="006F0111" w:rsidR="00B25A62">
        <w:rPr>
          <w:rStyle w:val="Hyperlink"/>
          <w:color w:val="auto"/>
          <w:sz w:val="22"/>
          <w:szCs w:val="22"/>
          <w:u w:val="none"/>
        </w:rPr>
        <w:t>Barry A. Friedman, counsel for Entravision Holdings, LLC,</w:t>
      </w:r>
      <w:r w:rsidRPr="00A46A6D" w:rsidR="00B25A62">
        <w:rPr>
          <w:rStyle w:val="Hyperlink"/>
          <w:color w:val="auto"/>
          <w:sz w:val="22"/>
          <w:szCs w:val="22"/>
          <w:u w:val="none"/>
        </w:rPr>
        <w:t xml:space="preserve"> </w:t>
      </w:r>
      <w:hyperlink r:id="rId6" w:history="1">
        <w:r w:rsidRPr="00EE591E" w:rsidR="00B25A62">
          <w:rPr>
            <w:rStyle w:val="Hyperlink"/>
            <w:sz w:val="22"/>
            <w:szCs w:val="22"/>
          </w:rPr>
          <w:t>Barry.Friedman@thompsonhine.com</w:t>
        </w:r>
      </w:hyperlink>
      <w:r w:rsidR="00B25A62">
        <w:rPr>
          <w:rStyle w:val="Hyperlink"/>
          <w:sz w:val="22"/>
          <w:szCs w:val="22"/>
        </w:rPr>
        <w:t>.</w:t>
      </w:r>
      <w:r w:rsidRPr="00EE591E" w:rsidR="00E02A34">
        <w:rPr>
          <w:sz w:val="22"/>
          <w:szCs w:val="22"/>
        </w:rPr>
        <w:tab/>
      </w:r>
      <w:r w:rsidRPr="00EE591E" w:rsidR="00E02A34">
        <w:rPr>
          <w:sz w:val="22"/>
          <w:szCs w:val="22"/>
        </w:rPr>
        <w:tab/>
      </w:r>
    </w:p>
    <w:p w:rsidR="00D47AEA" w:rsidP="009E1B64" w14:paraId="3ADA6B17" w14:textId="77777777">
      <w:pPr>
        <w:tabs>
          <w:tab w:val="left" w:pos="270"/>
          <w:tab w:val="left" w:pos="5040"/>
        </w:tabs>
        <w:rPr>
          <w:sz w:val="22"/>
          <w:szCs w:val="22"/>
        </w:rPr>
      </w:pPr>
    </w:p>
    <w:p w:rsidR="00E02A34" w:rsidRPr="00EE591E" w:rsidP="009E1B64" w14:paraId="5ACBDA6B" w14:textId="52349EF9">
      <w:pPr>
        <w:tabs>
          <w:tab w:val="left" w:pos="270"/>
          <w:tab w:val="left" w:pos="5040"/>
        </w:tabs>
        <w:rPr>
          <w:sz w:val="22"/>
          <w:szCs w:val="22"/>
        </w:rPr>
      </w:pPr>
      <w:r>
        <w:rPr>
          <w:sz w:val="22"/>
          <w:szCs w:val="22"/>
        </w:rPr>
        <w:tab/>
      </w:r>
      <w:r>
        <w:rPr>
          <w:sz w:val="22"/>
          <w:szCs w:val="22"/>
        </w:rPr>
        <w:tab/>
      </w:r>
      <w:r w:rsidRPr="00EE591E">
        <w:rPr>
          <w:sz w:val="22"/>
          <w:szCs w:val="22"/>
        </w:rPr>
        <w:t>Sincerely,</w:t>
      </w:r>
    </w:p>
    <w:p w:rsidR="00E02A34" w:rsidRPr="00EE591E" w:rsidP="009E1B64" w14:paraId="598721BF" w14:textId="77777777">
      <w:pPr>
        <w:tabs>
          <w:tab w:val="left" w:pos="0"/>
          <w:tab w:val="left" w:pos="270"/>
        </w:tabs>
        <w:suppressAutoHyphens/>
        <w:rPr>
          <w:sz w:val="22"/>
          <w:szCs w:val="22"/>
        </w:rPr>
      </w:pPr>
    </w:p>
    <w:p w:rsidR="00E02A34" w:rsidRPr="00EE591E" w:rsidP="009E1B64" w14:paraId="3026854A" w14:textId="77777777">
      <w:pPr>
        <w:tabs>
          <w:tab w:val="left" w:pos="0"/>
          <w:tab w:val="left" w:pos="270"/>
        </w:tabs>
        <w:suppressAutoHyphens/>
        <w:rPr>
          <w:sz w:val="22"/>
          <w:szCs w:val="22"/>
        </w:rPr>
      </w:pPr>
    </w:p>
    <w:p w:rsidR="00E02A34" w:rsidRPr="00EE591E" w:rsidP="009E1B64" w14:paraId="50D426BF" w14:textId="77777777">
      <w:pPr>
        <w:tabs>
          <w:tab w:val="left" w:pos="0"/>
          <w:tab w:val="left" w:pos="270"/>
        </w:tabs>
        <w:suppressAutoHyphens/>
        <w:rPr>
          <w:sz w:val="22"/>
          <w:szCs w:val="22"/>
        </w:rPr>
      </w:pPr>
    </w:p>
    <w:p w:rsidR="00E02A34" w:rsidRPr="00EE591E" w:rsidP="009E1B64" w14:paraId="75DF566F" w14:textId="77777777">
      <w:pPr>
        <w:tabs>
          <w:tab w:val="left" w:pos="0"/>
          <w:tab w:val="left" w:pos="270"/>
        </w:tabs>
        <w:suppressAutoHyphens/>
        <w:rPr>
          <w:sz w:val="22"/>
          <w:szCs w:val="22"/>
        </w:rPr>
      </w:pPr>
    </w:p>
    <w:p w:rsidR="00E02A34" w:rsidRPr="00EE591E" w:rsidP="009E1B64" w14:paraId="1403D37E" w14:textId="28B92CE5">
      <w:pPr>
        <w:tabs>
          <w:tab w:val="left" w:pos="0"/>
          <w:tab w:val="left" w:pos="5040"/>
        </w:tabs>
        <w:suppressAutoHyphens/>
        <w:outlineLvl w:val="0"/>
        <w:rPr>
          <w:sz w:val="22"/>
          <w:szCs w:val="22"/>
        </w:rPr>
      </w:pPr>
      <w:r w:rsidRPr="00EE591E">
        <w:rPr>
          <w:sz w:val="22"/>
          <w:szCs w:val="22"/>
        </w:rPr>
        <w:tab/>
        <w:t>Albert Shuldiner</w:t>
      </w:r>
    </w:p>
    <w:p w:rsidR="00E02A34" w:rsidRPr="00EE591E" w:rsidP="009E1B64" w14:paraId="71D5434A" w14:textId="77777777">
      <w:pPr>
        <w:tabs>
          <w:tab w:val="left" w:pos="0"/>
        </w:tabs>
        <w:suppressAutoHyphens/>
        <w:rPr>
          <w:sz w:val="22"/>
          <w:szCs w:val="22"/>
        </w:rPr>
      </w:pPr>
      <w:r w:rsidRPr="00EE591E">
        <w:rPr>
          <w:sz w:val="22"/>
          <w:szCs w:val="22"/>
        </w:rPr>
        <w:tab/>
      </w:r>
      <w:r w:rsidRPr="00EE591E">
        <w:rPr>
          <w:sz w:val="22"/>
          <w:szCs w:val="22"/>
        </w:rPr>
        <w:tab/>
      </w:r>
      <w:r w:rsidRPr="00EE591E">
        <w:rPr>
          <w:sz w:val="22"/>
          <w:szCs w:val="22"/>
        </w:rPr>
        <w:tab/>
      </w:r>
      <w:r w:rsidRPr="00EE591E">
        <w:rPr>
          <w:sz w:val="22"/>
          <w:szCs w:val="22"/>
        </w:rPr>
        <w:tab/>
      </w:r>
      <w:r w:rsidRPr="00EE591E">
        <w:rPr>
          <w:sz w:val="22"/>
          <w:szCs w:val="22"/>
        </w:rPr>
        <w:tab/>
      </w:r>
      <w:r w:rsidRPr="00EE591E">
        <w:rPr>
          <w:sz w:val="22"/>
          <w:szCs w:val="22"/>
        </w:rPr>
        <w:tab/>
      </w:r>
      <w:r w:rsidRPr="00EE591E">
        <w:rPr>
          <w:sz w:val="22"/>
          <w:szCs w:val="22"/>
        </w:rPr>
        <w:tab/>
        <w:t>Chief, Audio Division</w:t>
      </w:r>
    </w:p>
    <w:p w:rsidR="00E02A34" w:rsidRPr="00EE591E" w:rsidP="009E1B64" w14:paraId="1D8368C5" w14:textId="77777777">
      <w:pPr>
        <w:tabs>
          <w:tab w:val="left" w:pos="0"/>
        </w:tabs>
        <w:suppressAutoHyphens/>
        <w:rPr>
          <w:sz w:val="22"/>
          <w:szCs w:val="22"/>
        </w:rPr>
      </w:pPr>
      <w:r w:rsidRPr="00EE591E">
        <w:rPr>
          <w:sz w:val="22"/>
          <w:szCs w:val="22"/>
        </w:rPr>
        <w:tab/>
      </w:r>
      <w:r w:rsidRPr="00EE591E">
        <w:rPr>
          <w:sz w:val="22"/>
          <w:szCs w:val="22"/>
        </w:rPr>
        <w:tab/>
      </w:r>
      <w:r w:rsidRPr="00EE591E">
        <w:rPr>
          <w:sz w:val="22"/>
          <w:szCs w:val="22"/>
        </w:rPr>
        <w:tab/>
      </w:r>
      <w:r w:rsidRPr="00EE591E">
        <w:rPr>
          <w:sz w:val="22"/>
          <w:szCs w:val="22"/>
        </w:rPr>
        <w:tab/>
      </w:r>
      <w:r w:rsidRPr="00EE591E">
        <w:rPr>
          <w:sz w:val="22"/>
          <w:szCs w:val="22"/>
        </w:rPr>
        <w:tab/>
      </w:r>
      <w:r w:rsidRPr="00EE591E">
        <w:rPr>
          <w:sz w:val="22"/>
          <w:szCs w:val="22"/>
        </w:rPr>
        <w:tab/>
      </w:r>
      <w:r w:rsidRPr="00EE591E">
        <w:rPr>
          <w:sz w:val="22"/>
          <w:szCs w:val="22"/>
        </w:rPr>
        <w:tab/>
        <w:t>Media Bureau</w:t>
      </w:r>
    </w:p>
    <w:p w:rsidR="008F3BE5" w:rsidRPr="00EE591E" w:rsidP="009E1B64" w14:paraId="4ABD7204" w14:textId="42BCA9D3">
      <w:pPr>
        <w:autoSpaceDE w:val="0"/>
        <w:autoSpaceDN w:val="0"/>
        <w:adjustRightInd w:val="0"/>
        <w:ind w:firstLine="720"/>
        <w:rPr>
          <w:sz w:val="22"/>
          <w:szCs w:val="22"/>
        </w:rPr>
      </w:pPr>
    </w:p>
    <w:sectPr w:rsidSect="00862958">
      <w:footerReference w:type="default" r:id="rId9"/>
      <w:headerReference w:type="first" r:id="rId10"/>
      <w:pgSz w:w="12240" w:h="15840" w:code="1"/>
      <w:pgMar w:top="1987"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8C5" w14:paraId="466786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402F" w14:paraId="006DE9D3" w14:textId="77777777">
      <w:r>
        <w:separator/>
      </w:r>
    </w:p>
  </w:footnote>
  <w:footnote w:type="continuationSeparator" w:id="1">
    <w:p w:rsidR="0086402F" w14:paraId="5E89371A" w14:textId="77777777">
      <w:r>
        <w:continuationSeparator/>
      </w:r>
    </w:p>
  </w:footnote>
  <w:footnote w:type="continuationNotice" w:id="2">
    <w:p w:rsidR="0086402F" w14:paraId="0043DD09" w14:textId="77777777"/>
  </w:footnote>
  <w:footnote w:id="3">
    <w:p w:rsidR="00C75E4F" w:rsidRPr="00527E7D" w:rsidP="00933567" w14:paraId="1A8A6FD2" w14:textId="1052DE87">
      <w:pPr>
        <w:pStyle w:val="FootnoteText"/>
        <w:spacing w:after="120"/>
      </w:pPr>
      <w:r w:rsidRPr="00527E7D">
        <w:rPr>
          <w:rStyle w:val="FootnoteReference"/>
        </w:rPr>
        <w:footnoteRef/>
      </w:r>
      <w:r w:rsidRPr="00527E7D">
        <w:t xml:space="preserve"> Entravision Holdings, LLC, and Prescott Valley Broad. Co., Inc., Statement for the Record, Pleading File No. 0000185263 (filed Feb. 24, 2022)</w:t>
      </w:r>
      <w:r w:rsidR="00950D87">
        <w:t xml:space="preserve"> (Statement)</w:t>
      </w:r>
      <w:r w:rsidRPr="00527E7D">
        <w:t>.</w:t>
      </w:r>
    </w:p>
  </w:footnote>
  <w:footnote w:id="4">
    <w:p w:rsidR="00734805" w:rsidRPr="00527E7D" w:rsidP="00933567" w14:paraId="057F01E7" w14:textId="3207CBE7">
      <w:pPr>
        <w:pStyle w:val="FootnoteText"/>
        <w:spacing w:after="120"/>
      </w:pPr>
      <w:r w:rsidRPr="00527E7D">
        <w:rPr>
          <w:rStyle w:val="FootnoteReference"/>
        </w:rPr>
        <w:footnoteRef/>
      </w:r>
      <w:r w:rsidRPr="00527E7D">
        <w:t xml:space="preserve"> </w:t>
      </w:r>
      <w:r w:rsidRPr="00527E7D">
        <w:t>Prescott Valley Broad. Co., Inc., Report Regarding Progress Negotiations and Preliminary Assessment of Legitimate and Prudent Expense (filed Feb. 24, 2022)</w:t>
      </w:r>
      <w:r w:rsidR="00B604B4">
        <w:t xml:space="preserve"> (Report)</w:t>
      </w:r>
      <w:r w:rsidRPr="00527E7D">
        <w:t>.</w:t>
      </w:r>
    </w:p>
  </w:footnote>
  <w:footnote w:id="5">
    <w:p w:rsidR="00734805" w:rsidRPr="00527E7D" w:rsidP="00933567" w14:paraId="7478B356" w14:textId="7336E7CA">
      <w:pPr>
        <w:pStyle w:val="FootnoteText"/>
        <w:spacing w:after="120"/>
      </w:pPr>
      <w:r w:rsidRPr="00527E7D">
        <w:rPr>
          <w:rStyle w:val="FootnoteReference"/>
        </w:rPr>
        <w:footnoteRef/>
      </w:r>
      <w:r w:rsidRPr="00527E7D">
        <w:t xml:space="preserve"> </w:t>
      </w:r>
      <w:r w:rsidRPr="00527E7D">
        <w:t>Entravision Holdings, LLC, Response (filed Mar. 4, 2022)</w:t>
      </w:r>
      <w:r w:rsidR="00B604B4">
        <w:t xml:space="preserve"> (Response)</w:t>
      </w:r>
      <w:r w:rsidRPr="00527E7D">
        <w:t>.</w:t>
      </w:r>
    </w:p>
  </w:footnote>
  <w:footnote w:id="6">
    <w:p w:rsidR="00734805" w:rsidRPr="00527E7D" w:rsidP="00933567" w14:paraId="5584E1D4" w14:textId="4355E80D">
      <w:pPr>
        <w:pStyle w:val="FootnoteText"/>
        <w:spacing w:after="120"/>
      </w:pPr>
      <w:r w:rsidRPr="00527E7D">
        <w:rPr>
          <w:rStyle w:val="FootnoteReference"/>
        </w:rPr>
        <w:footnoteRef/>
      </w:r>
      <w:r w:rsidRPr="00527E7D">
        <w:t xml:space="preserve"> </w:t>
      </w:r>
      <w:r w:rsidRPr="00527E7D">
        <w:t>Prescott Valley Broad. Co., Inc., Update to Report Regarding Preliminary Assessment of Legitimate and Producent Expenses (filed Mar. 4, 2022)</w:t>
      </w:r>
      <w:r w:rsidR="00B604B4">
        <w:t xml:space="preserve"> (Update)</w:t>
      </w:r>
      <w:r w:rsidRPr="00527E7D">
        <w:t>.</w:t>
      </w:r>
    </w:p>
  </w:footnote>
  <w:footnote w:id="7">
    <w:p w:rsidR="00734805" w:rsidRPr="00527E7D" w:rsidP="00933567" w14:paraId="65D857F5" w14:textId="5D0C2209">
      <w:pPr>
        <w:pStyle w:val="FootnoteText"/>
        <w:spacing w:after="120"/>
      </w:pPr>
      <w:r w:rsidRPr="00527E7D">
        <w:rPr>
          <w:rStyle w:val="FootnoteReference"/>
        </w:rPr>
        <w:footnoteRef/>
      </w:r>
      <w:r w:rsidRPr="00527E7D">
        <w:t xml:space="preserve"> </w:t>
      </w:r>
      <w:r w:rsidRPr="00527E7D">
        <w:t>Entravision Holdings, LLC, Motion to Strike (filed Mar. 4, 2022)</w:t>
      </w:r>
      <w:r w:rsidR="005A4CE7">
        <w:t xml:space="preserve"> (Motion)</w:t>
      </w:r>
      <w:r w:rsidR="009A264C">
        <w:t>.</w:t>
      </w:r>
    </w:p>
  </w:footnote>
  <w:footnote w:id="8">
    <w:p w:rsidR="00734805" w:rsidRPr="00527E7D" w:rsidP="00933567" w14:paraId="37B338F5" w14:textId="2E010AD6">
      <w:pPr>
        <w:pStyle w:val="FootnoteText"/>
        <w:spacing w:after="120"/>
      </w:pPr>
      <w:r w:rsidRPr="00527E7D">
        <w:rPr>
          <w:rStyle w:val="FootnoteReference"/>
        </w:rPr>
        <w:footnoteRef/>
      </w:r>
      <w:r w:rsidRPr="00527E7D">
        <w:t xml:space="preserve"> </w:t>
      </w:r>
      <w:r w:rsidRPr="00527E7D">
        <w:t>Prescott Valley Broad. Co., Inc., Opposition to Motion to Strike (filed Mar. 18, 2022)</w:t>
      </w:r>
      <w:r w:rsidR="009A264C">
        <w:t xml:space="preserve"> (Motion Opposition)</w:t>
      </w:r>
      <w:r w:rsidRPr="00527E7D">
        <w:t>.</w:t>
      </w:r>
    </w:p>
  </w:footnote>
  <w:footnote w:id="9">
    <w:p w:rsidR="00C75E4F" w:rsidRPr="00527E7D" w:rsidP="00933567" w14:paraId="76C74FAC" w14:textId="28EE8786">
      <w:pPr>
        <w:pStyle w:val="FootnoteText"/>
        <w:spacing w:after="120"/>
      </w:pPr>
      <w:r w:rsidRPr="00527E7D">
        <w:rPr>
          <w:rStyle w:val="FootnoteReference"/>
        </w:rPr>
        <w:footnoteRef/>
      </w:r>
      <w:r w:rsidRPr="00527E7D">
        <w:t xml:space="preserve"> </w:t>
      </w:r>
      <w:r w:rsidRPr="00527E7D">
        <w:t>Entravision Holdings, LLC, Reply (filed Mar. 21, 2022)</w:t>
      </w:r>
      <w:r w:rsidR="009A264C">
        <w:t xml:space="preserve"> (Motion Reply)</w:t>
      </w:r>
      <w:r w:rsidRPr="00527E7D">
        <w:t>.</w:t>
      </w:r>
    </w:p>
  </w:footnote>
  <w:footnote w:id="10">
    <w:p w:rsidR="00E37827" w:rsidRPr="00527E7D" w:rsidP="00933567" w14:paraId="41EAE8A6" w14:textId="71923247">
      <w:pPr>
        <w:pStyle w:val="FootnoteText"/>
        <w:spacing w:after="120"/>
      </w:pPr>
      <w:r w:rsidRPr="00527E7D">
        <w:rPr>
          <w:rStyle w:val="FootnoteReference"/>
        </w:rPr>
        <w:footnoteRef/>
      </w:r>
      <w:r w:rsidRPr="00527E7D">
        <w:t xml:space="preserve"> </w:t>
      </w:r>
      <w:r w:rsidRPr="00527E7D">
        <w:t>Prescott Valley Broad. Co., Inc., Reply to Response (filed April 1, 2022)</w:t>
      </w:r>
      <w:r w:rsidR="009A264C">
        <w:t xml:space="preserve"> (Reply)</w:t>
      </w:r>
      <w:r w:rsidRPr="00527E7D">
        <w:t>.</w:t>
      </w:r>
    </w:p>
  </w:footnote>
  <w:footnote w:id="11">
    <w:p w:rsidR="003C5387" w:rsidRPr="00527E7D" w:rsidP="00933567" w14:paraId="07F47EE7" w14:textId="172D71EE">
      <w:pPr>
        <w:pStyle w:val="FootnoteText"/>
        <w:spacing w:after="120"/>
      </w:pPr>
      <w:r w:rsidRPr="00527E7D">
        <w:rPr>
          <w:rStyle w:val="FootnoteReference"/>
        </w:rPr>
        <w:footnoteRef/>
      </w:r>
      <w:r w:rsidRPr="00527E7D">
        <w:t xml:space="preserve"> </w:t>
      </w:r>
      <w:r w:rsidRPr="00527E7D">
        <w:t>Entravision Holdings, LLC, Second Motion to Strike (filed April 4, 2022)</w:t>
      </w:r>
      <w:r w:rsidR="009A264C">
        <w:t xml:space="preserve"> (Second Motion)</w:t>
      </w:r>
      <w:r w:rsidRPr="00527E7D">
        <w:t>.</w:t>
      </w:r>
    </w:p>
  </w:footnote>
  <w:footnote w:id="12">
    <w:p w:rsidR="003C5387" w:rsidRPr="00527E7D" w:rsidP="00933567" w14:paraId="698A1714" w14:textId="76565B21">
      <w:pPr>
        <w:pStyle w:val="FootnoteText"/>
        <w:spacing w:after="120"/>
      </w:pPr>
      <w:r w:rsidRPr="00527E7D">
        <w:rPr>
          <w:rStyle w:val="FootnoteReference"/>
        </w:rPr>
        <w:footnoteRef/>
      </w:r>
      <w:r w:rsidRPr="00527E7D">
        <w:t xml:space="preserve"> </w:t>
      </w:r>
      <w:r w:rsidRPr="00527E7D">
        <w:t>Prescott Valley Broad. Co., Inc., Opposition to “Second Motion to Strike” (filed April 18, 2022)</w:t>
      </w:r>
      <w:r w:rsidR="00790066">
        <w:t xml:space="preserve"> (Second Motion Opposition)</w:t>
      </w:r>
      <w:r w:rsidRPr="00527E7D">
        <w:t>.</w:t>
      </w:r>
    </w:p>
  </w:footnote>
  <w:footnote w:id="13">
    <w:p w:rsidR="003C5387" w:rsidRPr="00527E7D" w:rsidP="00933567" w14:paraId="2B6B6FDA" w14:textId="65BD733D">
      <w:pPr>
        <w:pStyle w:val="FootnoteText"/>
        <w:spacing w:after="120"/>
      </w:pPr>
      <w:r w:rsidRPr="00527E7D">
        <w:rPr>
          <w:rStyle w:val="FootnoteReference"/>
        </w:rPr>
        <w:footnoteRef/>
      </w:r>
      <w:r w:rsidRPr="00527E7D">
        <w:t xml:space="preserve"> </w:t>
      </w:r>
      <w:r w:rsidRPr="00527E7D">
        <w:t>Entravision Holdings, LLC, Reply to Opposition to “Second Motion to Strike” (filed April 19, 2022)</w:t>
      </w:r>
      <w:r w:rsidR="00790066">
        <w:t xml:space="preserve"> (Second Motion Reply)</w:t>
      </w:r>
      <w:r w:rsidRPr="00527E7D">
        <w:t>.</w:t>
      </w:r>
    </w:p>
  </w:footnote>
  <w:footnote w:id="14">
    <w:p w:rsidR="006E1E84" w:rsidRPr="002C1F4F" w14:paraId="45EF46C8" w14:textId="5922F192">
      <w:pPr>
        <w:pStyle w:val="FootnoteText"/>
      </w:pPr>
      <w:r>
        <w:rPr>
          <w:rStyle w:val="FootnoteReference"/>
        </w:rPr>
        <w:footnoteRef/>
      </w:r>
      <w:r>
        <w:t xml:space="preserve"> </w:t>
      </w:r>
      <w:r w:rsidRPr="002C1F4F">
        <w:t>Moreover,</w:t>
      </w:r>
      <w:r w:rsidR="009006E3">
        <w:t xml:space="preserve"> we caution</w:t>
      </w:r>
      <w:r w:rsidRPr="002C1F4F">
        <w:t xml:space="preserve"> the parties’ </w:t>
      </w:r>
      <w:r w:rsidR="009006E3">
        <w:t xml:space="preserve">that </w:t>
      </w:r>
      <w:r w:rsidRPr="002C1F4F">
        <w:t>continued submission of unauthorized pleadings may be considered an abuse of the Commission’s process.</w:t>
      </w:r>
    </w:p>
    <w:p w:rsidR="006E1E84" w14:paraId="0ADC8C56" w14:textId="77777777">
      <w:pPr>
        <w:pStyle w:val="FootnoteText"/>
      </w:pPr>
    </w:p>
  </w:footnote>
  <w:footnote w:id="15">
    <w:p w:rsidR="00CE3314" w:rsidRPr="00527E7D" w:rsidP="00933567" w14:paraId="197F400C" w14:textId="41EF4BA2">
      <w:pPr>
        <w:pStyle w:val="FootnoteText"/>
        <w:spacing w:after="120"/>
      </w:pPr>
      <w:r w:rsidRPr="00527E7D">
        <w:rPr>
          <w:rStyle w:val="FootnoteReference"/>
        </w:rPr>
        <w:footnoteRef/>
      </w:r>
      <w:r w:rsidRPr="00527E7D">
        <w:t xml:space="preserve"> </w:t>
      </w:r>
      <w:r w:rsidRPr="00527E7D" w:rsidR="007D5441">
        <w:rPr>
          <w:i/>
          <w:iCs/>
        </w:rPr>
        <w:t>See</w:t>
      </w:r>
      <w:r w:rsidRPr="00527E7D" w:rsidR="007D5441">
        <w:t xml:space="preserve"> </w:t>
      </w:r>
      <w:r w:rsidRPr="00527E7D" w:rsidR="007D5441">
        <w:rPr>
          <w:i/>
          <w:iCs/>
        </w:rPr>
        <w:t>Entravision Holdings, LLC, and Prescott Valley Broad. Co. Inc.</w:t>
      </w:r>
      <w:r w:rsidRPr="00527E7D" w:rsidR="007D5441">
        <w:t>, File Nos. BPH-20190723AAN, BPH-20190723AAO, BLH-19930204KB, Letter Order (MB July 21, 2020)</w:t>
      </w:r>
      <w:r w:rsidR="00DB5DC6">
        <w:t xml:space="preserve"> (</w:t>
      </w:r>
      <w:r w:rsidRPr="00DB5DC6" w:rsidR="00DB5DC6">
        <w:rPr>
          <w:i/>
          <w:iCs/>
        </w:rPr>
        <w:t>Letter Decision</w:t>
      </w:r>
      <w:r w:rsidR="00DB5DC6">
        <w:t>)</w:t>
      </w:r>
      <w:r w:rsidRPr="00527E7D" w:rsidR="007D5441">
        <w:t>.</w:t>
      </w:r>
    </w:p>
  </w:footnote>
  <w:footnote w:id="16">
    <w:p w:rsidR="00551924" w:rsidRPr="00527E7D" w:rsidP="00933567" w14:paraId="4E3E236E" w14:textId="2EEEDC9F">
      <w:pPr>
        <w:pStyle w:val="FootnoteText"/>
        <w:spacing w:after="120"/>
      </w:pPr>
      <w:r w:rsidRPr="00527E7D">
        <w:rPr>
          <w:rStyle w:val="FootnoteReference"/>
        </w:rPr>
        <w:footnoteRef/>
      </w:r>
      <w:r w:rsidRPr="00527E7D">
        <w:t xml:space="preserve"> </w:t>
      </w:r>
      <w:r w:rsidRPr="00527E7D" w:rsidR="007D5441">
        <w:rPr>
          <w:i/>
          <w:iCs/>
        </w:rPr>
        <w:t xml:space="preserve">Id. </w:t>
      </w:r>
      <w:r w:rsidRPr="00527E7D" w:rsidR="007D5441">
        <w:t>at</w:t>
      </w:r>
      <w:r w:rsidRPr="00527E7D" w:rsidR="00FF3A05">
        <w:t xml:space="preserve"> 5</w:t>
      </w:r>
      <w:r w:rsidRPr="00527E7D" w:rsidR="007D5441">
        <w:t>.</w:t>
      </w:r>
    </w:p>
  </w:footnote>
  <w:footnote w:id="17">
    <w:p w:rsidR="00DF7E18" w:rsidRPr="00527E7D" w:rsidP="00933567" w14:paraId="65F84CE8" w14:textId="2523438E">
      <w:pPr>
        <w:pStyle w:val="FootnoteText"/>
        <w:spacing w:after="120"/>
      </w:pPr>
      <w:r w:rsidRPr="00527E7D">
        <w:rPr>
          <w:rStyle w:val="FootnoteReference"/>
        </w:rPr>
        <w:footnoteRef/>
      </w:r>
      <w:r w:rsidRPr="00527E7D">
        <w:t xml:space="preserve"> </w:t>
      </w:r>
      <w:r w:rsidRPr="00527E7D" w:rsidR="008B4381">
        <w:rPr>
          <w:i/>
          <w:iCs/>
        </w:rPr>
        <w:t>Entravision Holdings, LLC</w:t>
      </w:r>
      <w:r w:rsidRPr="00527E7D" w:rsidR="008B4381">
        <w:t xml:space="preserve">, Memorandum Opinion and Order, </w:t>
      </w:r>
      <w:r w:rsidRPr="00527E7D" w:rsidR="007342D6">
        <w:t xml:space="preserve">FCC 22-4, </w:t>
      </w:r>
      <w:r w:rsidRPr="00527E7D" w:rsidR="008B4381">
        <w:t xml:space="preserve">at </w:t>
      </w:r>
      <w:r w:rsidRPr="00527E7D" w:rsidR="007342D6">
        <w:t>para. 29</w:t>
      </w:r>
      <w:r w:rsidRPr="00527E7D" w:rsidR="008B4381">
        <w:t xml:space="preserve"> (Jan. 25, 2022)</w:t>
      </w:r>
      <w:r w:rsidRPr="00527E7D" w:rsidR="001C1FEF">
        <w:t xml:space="preserve"> (</w:t>
      </w:r>
      <w:r w:rsidRPr="00527E7D" w:rsidR="001C1FEF">
        <w:rPr>
          <w:i/>
          <w:iCs/>
        </w:rPr>
        <w:t>Commission Order</w:t>
      </w:r>
      <w:r w:rsidRPr="00527E7D" w:rsidR="001C1FEF">
        <w:t>)</w:t>
      </w:r>
      <w:r w:rsidRPr="00527E7D" w:rsidR="008B4381">
        <w:t>.</w:t>
      </w:r>
    </w:p>
  </w:footnote>
  <w:footnote w:id="18">
    <w:p w:rsidR="001C1FEF" w:rsidRPr="00527E7D" w:rsidP="00933567" w14:paraId="7F54C7EA" w14:textId="1B4D072D">
      <w:pPr>
        <w:pStyle w:val="FootnoteText"/>
        <w:spacing w:after="120"/>
      </w:pPr>
      <w:r w:rsidRPr="00527E7D">
        <w:rPr>
          <w:rStyle w:val="FootnoteReference"/>
        </w:rPr>
        <w:footnoteRef/>
      </w:r>
      <w:r w:rsidRPr="00527E7D">
        <w:t xml:space="preserve"> </w:t>
      </w:r>
      <w:r w:rsidRPr="00527E7D">
        <w:rPr>
          <w:i/>
          <w:iCs/>
        </w:rPr>
        <w:t>Id</w:t>
      </w:r>
      <w:r w:rsidRPr="00527E7D">
        <w:t>. at paras. 29, 33.</w:t>
      </w:r>
    </w:p>
  </w:footnote>
  <w:footnote w:id="19">
    <w:p w:rsidR="007B416D" w:rsidRPr="00527E7D" w:rsidP="00933567" w14:paraId="27619C04" w14:textId="3CAE68CA">
      <w:pPr>
        <w:pStyle w:val="FootnoteText"/>
        <w:spacing w:after="120"/>
      </w:pPr>
      <w:r w:rsidRPr="00527E7D">
        <w:rPr>
          <w:rStyle w:val="FootnoteReference"/>
        </w:rPr>
        <w:footnoteRef/>
      </w:r>
      <w:r w:rsidRPr="00527E7D">
        <w:t xml:space="preserve"> </w:t>
      </w:r>
      <w:r w:rsidRPr="00527E7D">
        <w:rPr>
          <w:i/>
          <w:iCs/>
        </w:rPr>
        <w:t>Id</w:t>
      </w:r>
      <w:r w:rsidRPr="00527E7D">
        <w:t xml:space="preserve">. at para. </w:t>
      </w:r>
      <w:r w:rsidRPr="00527E7D" w:rsidR="001C1FEF">
        <w:t>33</w:t>
      </w:r>
      <w:r w:rsidRPr="00527E7D">
        <w:t xml:space="preserve">.  </w:t>
      </w:r>
    </w:p>
  </w:footnote>
  <w:footnote w:id="20">
    <w:p w:rsidR="001C1FEF" w:rsidRPr="00527E7D" w:rsidP="00933567" w14:paraId="47B3F0C2" w14:textId="42638CF9">
      <w:pPr>
        <w:pStyle w:val="FootnoteText"/>
        <w:spacing w:after="120"/>
      </w:pPr>
      <w:r w:rsidRPr="00527E7D">
        <w:rPr>
          <w:rStyle w:val="FootnoteReference"/>
        </w:rPr>
        <w:footnoteRef/>
      </w:r>
      <w:r w:rsidRPr="00527E7D">
        <w:t xml:space="preserve"> </w:t>
      </w:r>
      <w:r w:rsidRPr="00527E7D">
        <w:rPr>
          <w:i/>
          <w:iCs/>
        </w:rPr>
        <w:t>Id</w:t>
      </w:r>
      <w:r w:rsidRPr="00527E7D">
        <w:t>. at paras, 29, 33.</w:t>
      </w:r>
    </w:p>
  </w:footnote>
  <w:footnote w:id="21">
    <w:p w:rsidR="001C1FEF" w:rsidRPr="00527E7D" w:rsidP="00933567" w14:paraId="6008A7C4" w14:textId="7C81432F">
      <w:pPr>
        <w:pStyle w:val="FootnoteText"/>
        <w:spacing w:after="120"/>
      </w:pPr>
      <w:r w:rsidRPr="00527E7D">
        <w:rPr>
          <w:rStyle w:val="FootnoteReference"/>
        </w:rPr>
        <w:footnoteRef/>
      </w:r>
      <w:r w:rsidRPr="00527E7D">
        <w:t xml:space="preserve"> </w:t>
      </w:r>
      <w:r w:rsidR="005A4CE7">
        <w:t xml:space="preserve">Statement at </w:t>
      </w:r>
      <w:r w:rsidR="006D03F5">
        <w:t>2.</w:t>
      </w:r>
    </w:p>
  </w:footnote>
  <w:footnote w:id="22">
    <w:p w:rsidR="00F14B24" w:rsidRPr="00527E7D" w:rsidP="00933567" w14:paraId="30C5D51F" w14:textId="00953222">
      <w:pPr>
        <w:pStyle w:val="FootnoteText"/>
        <w:spacing w:after="120"/>
      </w:pPr>
      <w:r w:rsidRPr="00527E7D">
        <w:rPr>
          <w:rStyle w:val="FootnoteReference"/>
        </w:rPr>
        <w:footnoteRef/>
      </w:r>
      <w:r w:rsidRPr="00527E7D">
        <w:t xml:space="preserve"> </w:t>
      </w:r>
      <w:r w:rsidRPr="009E6099">
        <w:rPr>
          <w:i/>
          <w:iCs/>
        </w:rPr>
        <w:t>See</w:t>
      </w:r>
      <w:r w:rsidRPr="00527E7D">
        <w:t xml:space="preserve"> Reply at 2-4 (arguing that Entravision is substituting “its value judgement for that of PVBC,” in terms of how PVBC has marketed KPPV”), 5 (reiterating the argument that KPPV is “not a run-of-the-mill station”), </w:t>
      </w:r>
      <w:r w:rsidRPr="00527E7D" w:rsidR="0025434D">
        <w:t>5-6 (arguing that “</w:t>
      </w:r>
      <w:r w:rsidRPr="00527E7D" w:rsidR="0025434D">
        <w:rPr>
          <w:i/>
          <w:iCs/>
        </w:rPr>
        <w:t>Circleville</w:t>
      </w:r>
      <w:r w:rsidRPr="00527E7D" w:rsidR="0025434D">
        <w:t xml:space="preserve"> requires that PVBC be reimbursed to replace all marketing items that include the ‘KPPV 106.7’ or ‘Mix 106.7’ logos”), 6-7 (arguing that it should be allowed to “utilize the ‘digital environment’ to engage in a marketing campaign associated with KPPV’s proposed forced channel change”), 7-8 (arguing against comparing its claimed expenses to those</w:t>
      </w:r>
      <w:r w:rsidRPr="00527E7D" w:rsidR="00580793">
        <w:t xml:space="preserve"> claimed in another involuntary channel change case), 8 (arguing against a “per person” limit on reimbursement), 11 (arguing that certain legal fees are reimbursable)</w:t>
      </w:r>
      <w:r w:rsidRPr="00527E7D" w:rsidR="000F5541">
        <w:t xml:space="preserve">, 14 (arguing that “[t]here is no requirement that PVBC … have previously engaged in the use of advertising on billboard signs in order to obtain reimbursement for this expense”), 15-16 (arguing that </w:t>
      </w:r>
      <w:r w:rsidR="00286D63">
        <w:t>“</w:t>
      </w:r>
      <w:r w:rsidRPr="00527E7D" w:rsidR="000F5541">
        <w:t>bumper stickers” are promotional tools), 16-1</w:t>
      </w:r>
      <w:r w:rsidRPr="00527E7D" w:rsidR="006C1743">
        <w:t>8</w:t>
      </w:r>
      <w:r w:rsidRPr="00527E7D" w:rsidR="000F5541">
        <w:t xml:space="preserve"> (arguing that newspaper</w:t>
      </w:r>
      <w:r w:rsidRPr="00527E7D" w:rsidR="006C1743">
        <w:t>,</w:t>
      </w:r>
      <w:r w:rsidRPr="00527E7D" w:rsidR="000F5541">
        <w:t xml:space="preserve"> television</w:t>
      </w:r>
      <w:r w:rsidRPr="00527E7D" w:rsidR="006C1743">
        <w:t xml:space="preserve"> and direct mail</w:t>
      </w:r>
      <w:r w:rsidRPr="00527E7D" w:rsidR="000F5541">
        <w:t xml:space="preserve"> advertising</w:t>
      </w:r>
      <w:r w:rsidRPr="00527E7D" w:rsidR="006C1743">
        <w:t>, and website repairs</w:t>
      </w:r>
      <w:r w:rsidRPr="00527E7D" w:rsidR="000F5541">
        <w:t xml:space="preserve"> are reimbursable expenses</w:t>
      </w:r>
      <w:r w:rsidRPr="00527E7D" w:rsidR="006C1743">
        <w:t>).</w:t>
      </w:r>
    </w:p>
  </w:footnote>
  <w:footnote w:id="23">
    <w:p w:rsidR="007B3909" w:rsidRPr="00527E7D" w:rsidP="00933567" w14:paraId="3FE78196" w14:textId="7B3A6C19">
      <w:pPr>
        <w:autoSpaceDE w:val="0"/>
        <w:autoSpaceDN w:val="0"/>
        <w:adjustRightInd w:val="0"/>
        <w:spacing w:after="120"/>
      </w:pPr>
      <w:r w:rsidRPr="00527E7D">
        <w:rPr>
          <w:rStyle w:val="FootnoteReference"/>
        </w:rPr>
        <w:footnoteRef/>
      </w:r>
      <w:r w:rsidRPr="00527E7D">
        <w:t xml:space="preserve"> </w:t>
      </w:r>
      <w:r w:rsidRPr="00527E7D">
        <w:t xml:space="preserve">PVBC </w:t>
      </w:r>
      <w:r w:rsidR="00C706F4">
        <w:t>has stated</w:t>
      </w:r>
      <w:r w:rsidRPr="00527E7D">
        <w:t xml:space="preserve"> that “the sole purposes of the [Update] were to:  (1) provide estimates and invoices that PVBC received between February 24 and March 4, 2022; and (b) update certain expected costs.”   </w:t>
      </w:r>
      <w:r w:rsidR="006D2F30">
        <w:t xml:space="preserve">Motion </w:t>
      </w:r>
      <w:r w:rsidRPr="00527E7D" w:rsidR="00E816D4">
        <w:t xml:space="preserve">Opposition </w:t>
      </w:r>
      <w:r w:rsidRPr="00527E7D">
        <w:t xml:space="preserve">at </w:t>
      </w:r>
      <w:r w:rsidRPr="00527E7D" w:rsidR="00E816D4">
        <w:t>1-2.</w:t>
      </w:r>
      <w:r w:rsidRPr="00527E7D">
        <w:t xml:space="preserve">  </w:t>
      </w:r>
      <w:r w:rsidR="00C706F4">
        <w:t xml:space="preserve">However, </w:t>
      </w:r>
      <w:r w:rsidRPr="00527E7D">
        <w:t xml:space="preserve">PVBC </w:t>
      </w:r>
      <w:r w:rsidR="00C706F4">
        <w:t xml:space="preserve">actually </w:t>
      </w:r>
      <w:r w:rsidRPr="00527E7D">
        <w:t>seeks to add one expense item (“Sign for Outside of Office Building”)</w:t>
      </w:r>
      <w:r w:rsidR="00C706F4">
        <w:t xml:space="preserve"> to the list submitted with the Report</w:t>
      </w:r>
      <w:r w:rsidRPr="00527E7D">
        <w:t xml:space="preserve">.  </w:t>
      </w:r>
      <w:r w:rsidRPr="00527E7D" w:rsidR="00E816D4">
        <w:rPr>
          <w:i/>
          <w:iCs/>
        </w:rPr>
        <w:t>See</w:t>
      </w:r>
      <w:r w:rsidRPr="00527E7D" w:rsidR="00E816D4">
        <w:t xml:space="preserve"> </w:t>
      </w:r>
      <w:r w:rsidRPr="00527E7D">
        <w:t>Update</w:t>
      </w:r>
      <w:r w:rsidRPr="00527E7D" w:rsidR="00E816D4">
        <w:t xml:space="preserve">, </w:t>
      </w:r>
      <w:r w:rsidRPr="000A439A" w:rsidR="00E816D4">
        <w:t>Preliminary Assessment,</w:t>
      </w:r>
      <w:r w:rsidRPr="00527E7D" w:rsidR="00E816D4">
        <w:t xml:space="preserve"> at 4.</w:t>
      </w:r>
    </w:p>
  </w:footnote>
  <w:footnote w:id="24">
    <w:p w:rsidR="00554C32" w:rsidRPr="00527E7D" w:rsidP="00933567" w14:paraId="026ABB52" w14:textId="78632556">
      <w:pPr>
        <w:pStyle w:val="FootnoteText"/>
        <w:spacing w:after="120"/>
      </w:pPr>
      <w:r w:rsidRPr="00527E7D">
        <w:rPr>
          <w:rStyle w:val="FootnoteReference"/>
        </w:rPr>
        <w:footnoteRef/>
      </w:r>
      <w:r w:rsidRPr="00527E7D">
        <w:t xml:space="preserve"> </w:t>
      </w:r>
      <w:r w:rsidRPr="00527E7D" w:rsidR="00E816D4">
        <w:t xml:space="preserve">Motion at 2, </w:t>
      </w:r>
      <w:r w:rsidRPr="00527E7D" w:rsidR="00E816D4">
        <w:rPr>
          <w:i/>
          <w:iCs/>
        </w:rPr>
        <w:t>citing Commission Order</w:t>
      </w:r>
      <w:r w:rsidR="00116B0C">
        <w:t xml:space="preserve">, </w:t>
      </w:r>
      <w:r w:rsidR="006524C8">
        <w:t>FCC 22-4,</w:t>
      </w:r>
      <w:r w:rsidRPr="00527E7D" w:rsidR="00E816D4">
        <w:t xml:space="preserve"> at para. 29.</w:t>
      </w:r>
    </w:p>
  </w:footnote>
  <w:footnote w:id="25">
    <w:p w:rsidR="007F1213" w:rsidRPr="00527E7D" w:rsidP="00933567" w14:paraId="04934C3C" w14:textId="6F2A59F3">
      <w:pPr>
        <w:autoSpaceDE w:val="0"/>
        <w:autoSpaceDN w:val="0"/>
        <w:adjustRightInd w:val="0"/>
        <w:spacing w:after="120"/>
        <w:rPr>
          <w:i/>
          <w:iCs/>
        </w:rPr>
      </w:pPr>
      <w:r w:rsidRPr="00527E7D">
        <w:rPr>
          <w:rStyle w:val="FootnoteReference"/>
        </w:rPr>
        <w:footnoteRef/>
      </w:r>
      <w:r w:rsidRPr="00527E7D">
        <w:t xml:space="preserve"> </w:t>
      </w:r>
      <w:r w:rsidRPr="00527E7D" w:rsidR="00E816D4">
        <w:rPr>
          <w:i/>
          <w:iCs/>
        </w:rPr>
        <w:t>Commission Order</w:t>
      </w:r>
      <w:r w:rsidR="0045791A">
        <w:rPr>
          <w:i/>
          <w:iCs/>
        </w:rPr>
        <w:t xml:space="preserve">, </w:t>
      </w:r>
      <w:r w:rsidR="0045791A">
        <w:t>FCC 22-</w:t>
      </w:r>
      <w:r w:rsidR="005118D8">
        <w:t>4,</w:t>
      </w:r>
      <w:r w:rsidRPr="00527E7D" w:rsidR="00E816D4">
        <w:t xml:space="preserve"> at para. 33</w:t>
      </w:r>
      <w:r w:rsidRPr="00527E7D">
        <w:t xml:space="preserve"> (emphasis added).</w:t>
      </w:r>
      <w:r w:rsidRPr="00527E7D" w:rsidR="00A16A4E">
        <w:t xml:space="preserve">  </w:t>
      </w:r>
    </w:p>
  </w:footnote>
  <w:footnote w:id="26">
    <w:p w:rsidR="000925F0" w:rsidRPr="00527E7D" w:rsidP="00933567" w14:paraId="7B0CA4F4" w14:textId="28B2BCCF">
      <w:pPr>
        <w:pStyle w:val="FootnoteText"/>
        <w:spacing w:after="120"/>
      </w:pPr>
      <w:r w:rsidRPr="00527E7D">
        <w:rPr>
          <w:rStyle w:val="FootnoteReference"/>
        </w:rPr>
        <w:footnoteRef/>
      </w:r>
      <w:r w:rsidRPr="00527E7D">
        <w:t xml:space="preserve"> </w:t>
      </w:r>
      <w:r w:rsidRPr="00527E7D" w:rsidR="004C6CC4">
        <w:t xml:space="preserve">Outside of the </w:t>
      </w:r>
      <w:r w:rsidRPr="00527E7D" w:rsidR="004C6CC4">
        <w:rPr>
          <w:i/>
          <w:iCs/>
        </w:rPr>
        <w:t>Circleville</w:t>
      </w:r>
      <w:r w:rsidRPr="00527E7D" w:rsidR="004C6CC4">
        <w:t xml:space="preserve"> decision</w:t>
      </w:r>
      <w:r w:rsidRPr="00527E7D">
        <w:t>,</w:t>
      </w:r>
      <w:r w:rsidRPr="00527E7D">
        <w:t xml:space="preserve"> </w:t>
      </w:r>
      <w:r w:rsidRPr="00527E7D">
        <w:rPr>
          <w:i/>
          <w:iCs/>
        </w:rPr>
        <w:t>Circleville, Ohio,</w:t>
      </w:r>
      <w:r w:rsidRPr="00527E7D">
        <w:t xml:space="preserve"> Second Report and Order, 8 FCC 2d 159, 163, para. 11 (1967)</w:t>
      </w:r>
      <w:r w:rsidR="00F44F4B">
        <w:t xml:space="preserve"> (</w:t>
      </w:r>
      <w:r w:rsidRPr="00F44F4B" w:rsidR="00F44F4B">
        <w:rPr>
          <w:i/>
          <w:iCs/>
        </w:rPr>
        <w:t>Circleville</w:t>
      </w:r>
      <w:r w:rsidR="00F44F4B">
        <w:t>)</w:t>
      </w:r>
      <w:r w:rsidRPr="00527E7D">
        <w:t>,</w:t>
      </w:r>
      <w:r w:rsidRPr="00527E7D">
        <w:t xml:space="preserve"> </w:t>
      </w:r>
      <w:r w:rsidRPr="00527E7D">
        <w:t xml:space="preserve">the Commission or the Bureau </w:t>
      </w:r>
      <w:r w:rsidRPr="00527E7D" w:rsidR="00B50529">
        <w:t xml:space="preserve">generally </w:t>
      </w:r>
      <w:r w:rsidRPr="00527E7D">
        <w:t>has</w:t>
      </w:r>
      <w:r w:rsidRPr="00527E7D" w:rsidR="00B83443">
        <w:t xml:space="preserve"> </w:t>
      </w:r>
      <w:r w:rsidRPr="00527E7D">
        <w:t xml:space="preserve">intervened in </w:t>
      </w:r>
      <w:r w:rsidRPr="00527E7D" w:rsidR="00B50529">
        <w:t>reimbursement disputes</w:t>
      </w:r>
      <w:r w:rsidRPr="00527E7D">
        <w:t xml:space="preserve"> </w:t>
      </w:r>
      <w:r w:rsidRPr="00527E7D" w:rsidR="00B50529">
        <w:t xml:space="preserve">only where </w:t>
      </w:r>
      <w:r w:rsidRPr="00527E7D">
        <w:t xml:space="preserve">the </w:t>
      </w:r>
      <w:r w:rsidRPr="00527E7D" w:rsidR="00B50529">
        <w:t>involuntary channel change is complete</w:t>
      </w:r>
      <w:r w:rsidRPr="00527E7D">
        <w:t xml:space="preserve"> </w:t>
      </w:r>
      <w:r w:rsidRPr="00527E7D" w:rsidR="00B50529">
        <w:t xml:space="preserve">and </w:t>
      </w:r>
      <w:r w:rsidRPr="00527E7D">
        <w:t>all expense items</w:t>
      </w:r>
      <w:r w:rsidRPr="00527E7D" w:rsidR="00B50529">
        <w:t xml:space="preserve"> and amounts have been identified</w:t>
      </w:r>
      <w:r w:rsidRPr="00527E7D">
        <w:t xml:space="preserve">.  </w:t>
      </w:r>
      <w:r w:rsidRPr="00527E7D" w:rsidR="005D7CA3">
        <w:rPr>
          <w:i/>
          <w:iCs/>
        </w:rPr>
        <w:t xml:space="preserve">See, e.g., </w:t>
      </w:r>
      <w:r w:rsidRPr="00527E7D" w:rsidR="00B83443">
        <w:rPr>
          <w:i/>
          <w:iCs/>
        </w:rPr>
        <w:t xml:space="preserve">DHTZ(FM), Ganado, Texas, </w:t>
      </w:r>
      <w:r w:rsidRPr="00527E7D" w:rsidR="00B83443">
        <w:t>Letter Order, DA 22-144</w:t>
      </w:r>
      <w:r w:rsidRPr="00527E7D" w:rsidR="00B83443">
        <w:rPr>
          <w:i/>
          <w:iCs/>
        </w:rPr>
        <w:t xml:space="preserve"> </w:t>
      </w:r>
      <w:r w:rsidRPr="000F7A7B" w:rsidR="00B83443">
        <w:t xml:space="preserve">(MB Feb. 11, 2022); </w:t>
      </w:r>
      <w:r w:rsidRPr="00527E7D" w:rsidR="00520572">
        <w:rPr>
          <w:i/>
          <w:iCs/>
        </w:rPr>
        <w:t xml:space="preserve">KBEX(FM), Dalhart, Texas, </w:t>
      </w:r>
      <w:r w:rsidRPr="00527E7D" w:rsidR="00520572">
        <w:t>Letter Order,</w:t>
      </w:r>
      <w:r w:rsidRPr="00527E7D" w:rsidR="00B83443">
        <w:t xml:space="preserve"> 28 FCC </w:t>
      </w:r>
      <w:r w:rsidRPr="00527E7D" w:rsidR="00B83443">
        <w:t>Rcd</w:t>
      </w:r>
      <w:r w:rsidRPr="00527E7D" w:rsidR="00B83443">
        <w:t xml:space="preserve"> 3234 (MB 2013)</w:t>
      </w:r>
      <w:r w:rsidR="000F7A7B">
        <w:t xml:space="preserve"> (</w:t>
      </w:r>
      <w:r w:rsidRPr="000F7A7B" w:rsidR="000F7A7B">
        <w:rPr>
          <w:i/>
          <w:iCs/>
        </w:rPr>
        <w:t>KBEX(FM)</w:t>
      </w:r>
      <w:r w:rsidR="000F7A7B">
        <w:t>)</w:t>
      </w:r>
      <w:r w:rsidRPr="00527E7D" w:rsidR="00B83443">
        <w:rPr>
          <w:i/>
          <w:iCs/>
        </w:rPr>
        <w:t>;</w:t>
      </w:r>
      <w:r w:rsidRPr="00527E7D" w:rsidR="00520572">
        <w:rPr>
          <w:i/>
          <w:iCs/>
        </w:rPr>
        <w:t xml:space="preserve"> </w:t>
      </w:r>
      <w:r w:rsidRPr="00527E7D" w:rsidR="005D7CA3">
        <w:rPr>
          <w:i/>
          <w:iCs/>
        </w:rPr>
        <w:t xml:space="preserve">Peter Wayne </w:t>
      </w:r>
      <w:r w:rsidRPr="00527E7D" w:rsidR="005D7CA3">
        <w:rPr>
          <w:i/>
          <w:iCs/>
        </w:rPr>
        <w:t>Lechman</w:t>
      </w:r>
      <w:r w:rsidRPr="00527E7D" w:rsidR="005D7CA3">
        <w:rPr>
          <w:i/>
          <w:iCs/>
        </w:rPr>
        <w:t xml:space="preserve">, </w:t>
      </w:r>
      <w:r w:rsidRPr="00527E7D" w:rsidR="005D7CA3">
        <w:t xml:space="preserve">Memorandum Opinion and Order, 8 FCC </w:t>
      </w:r>
      <w:r w:rsidRPr="00527E7D" w:rsidR="005D7CA3">
        <w:t>Rcd</w:t>
      </w:r>
      <w:r w:rsidRPr="00527E7D" w:rsidR="005D7CA3">
        <w:t xml:space="preserve"> 3058 (MMB 1993)</w:t>
      </w:r>
      <w:r w:rsidR="000F7A7B">
        <w:t xml:space="preserve"> (</w:t>
      </w:r>
      <w:r w:rsidRPr="000F7A7B" w:rsidR="000F7A7B">
        <w:rPr>
          <w:i/>
          <w:iCs/>
        </w:rPr>
        <w:t>Lechman</w:t>
      </w:r>
      <w:r w:rsidR="000F7A7B">
        <w:t>)</w:t>
      </w:r>
      <w:r w:rsidRPr="00527E7D">
        <w:t xml:space="preserve">; </w:t>
      </w:r>
      <w:r w:rsidRPr="00527E7D">
        <w:rPr>
          <w:i/>
          <w:iCs/>
        </w:rPr>
        <w:t>Harold A. Jahnke</w:t>
      </w:r>
      <w:r w:rsidRPr="00527E7D">
        <w:t>, Memorandum Opinion and Order, 74 FCC 2d 265 (1979)</w:t>
      </w:r>
      <w:r w:rsidR="000F7A7B">
        <w:t xml:space="preserve"> (</w:t>
      </w:r>
      <w:r w:rsidRPr="000F7A7B" w:rsidR="000F7A7B">
        <w:rPr>
          <w:i/>
          <w:iCs/>
        </w:rPr>
        <w:t>Jahnke</w:t>
      </w:r>
      <w:r w:rsidR="000F7A7B">
        <w:t>)</w:t>
      </w:r>
      <w:r w:rsidRPr="00527E7D" w:rsidR="005D7CA3">
        <w:t>.</w:t>
      </w:r>
      <w:r w:rsidRPr="00527E7D">
        <w:t xml:space="preserve">  </w:t>
      </w:r>
      <w:r w:rsidRPr="00527E7D" w:rsidR="00732873">
        <w:t xml:space="preserve">Here, </w:t>
      </w:r>
      <w:r w:rsidRPr="00527E7D">
        <w:t>the Commission directed the Bureau to intervene at an earlier stage in order to provide guidance about all currently identified expense items and thereby allow the parties’ stalled reimbursement negotiations to move forward.</w:t>
      </w:r>
    </w:p>
  </w:footnote>
  <w:footnote w:id="27">
    <w:p w:rsidR="008C76E4" w:rsidRPr="00527E7D" w:rsidP="00933567" w14:paraId="7C7DEF0B" w14:textId="5CE1D85B">
      <w:pPr>
        <w:pStyle w:val="FootnoteText"/>
        <w:spacing w:after="120"/>
      </w:pPr>
      <w:r w:rsidRPr="00527E7D">
        <w:rPr>
          <w:rStyle w:val="FootnoteReference"/>
        </w:rPr>
        <w:footnoteRef/>
      </w:r>
      <w:r w:rsidRPr="00527E7D">
        <w:t xml:space="preserve"> </w:t>
      </w:r>
      <w:r w:rsidRPr="00527E7D">
        <w:t xml:space="preserve">Having concluded that the </w:t>
      </w:r>
      <w:r w:rsidRPr="00527E7D" w:rsidR="00A17F25">
        <w:t>deadline set in the</w:t>
      </w:r>
      <w:r w:rsidRPr="00527E7D" w:rsidR="00A17F25">
        <w:rPr>
          <w:i/>
          <w:iCs/>
        </w:rPr>
        <w:t xml:space="preserve"> Commission Order</w:t>
      </w:r>
      <w:r w:rsidRPr="00527E7D">
        <w:t xml:space="preserve"> </w:t>
      </w:r>
      <w:r w:rsidRPr="00527E7D" w:rsidR="004F79E7">
        <w:t>does</w:t>
      </w:r>
      <w:r w:rsidRPr="00527E7D">
        <w:t xml:space="preserve"> not bar PVBC from </w:t>
      </w:r>
      <w:r w:rsidRPr="00527E7D" w:rsidR="00A17F25">
        <w:t>updating its list of expense items</w:t>
      </w:r>
      <w:r w:rsidRPr="00527E7D">
        <w:t xml:space="preserve">, we </w:t>
      </w:r>
      <w:r w:rsidRPr="00527E7D" w:rsidR="00576F7E">
        <w:t>need not reach</w:t>
      </w:r>
      <w:r w:rsidRPr="00527E7D">
        <w:t xml:space="preserve"> Entravision’s argument that the </w:t>
      </w:r>
      <w:r w:rsidRPr="00527E7D" w:rsidR="00B50529">
        <w:t xml:space="preserve">Bureau could not waive the February 24, 2022, deadline set in the </w:t>
      </w:r>
      <w:r w:rsidRPr="00527E7D" w:rsidR="00B50529">
        <w:rPr>
          <w:i/>
          <w:iCs/>
        </w:rPr>
        <w:t>Commission Order</w:t>
      </w:r>
      <w:r w:rsidRPr="00527E7D">
        <w:t xml:space="preserve">.  </w:t>
      </w:r>
      <w:r w:rsidRPr="00527E7D" w:rsidR="00A17F25">
        <w:t>Reply to Opposition at 2.</w:t>
      </w:r>
    </w:p>
  </w:footnote>
  <w:footnote w:id="28">
    <w:p w:rsidR="000925F0" w:rsidRPr="00527E7D" w:rsidP="00933567" w14:paraId="01A84514" w14:textId="72E35F4C">
      <w:pPr>
        <w:pStyle w:val="FootnoteText"/>
        <w:spacing w:after="120"/>
      </w:pPr>
      <w:r w:rsidRPr="00527E7D">
        <w:rPr>
          <w:rStyle w:val="FootnoteReference"/>
        </w:rPr>
        <w:footnoteRef/>
      </w:r>
      <w:r w:rsidRPr="00527E7D" w:rsidR="00732873">
        <w:t xml:space="preserve"> </w:t>
      </w:r>
      <w:r w:rsidRPr="00527E7D" w:rsidR="00732873">
        <w:t xml:space="preserve">We note that to act otherwise would be inconsistent with existing Commission precedent that an accommodating party will be reimbursed for </w:t>
      </w:r>
      <w:r w:rsidRPr="00527E7D" w:rsidR="00BC6DEE">
        <w:t>the</w:t>
      </w:r>
      <w:r w:rsidRPr="00527E7D" w:rsidR="00732873">
        <w:t xml:space="preserve"> legitimate and prudent costs that it incurs in relation to an involuntary channel change</w:t>
      </w:r>
      <w:r w:rsidRPr="00527E7D" w:rsidR="007F0832">
        <w:t xml:space="preserve">.  </w:t>
      </w:r>
      <w:r w:rsidRPr="00527E7D" w:rsidR="007F0832">
        <w:rPr>
          <w:i/>
          <w:iCs/>
        </w:rPr>
        <w:t>See</w:t>
      </w:r>
      <w:r w:rsidRPr="00527E7D" w:rsidR="0066024A">
        <w:rPr>
          <w:i/>
          <w:iCs/>
        </w:rPr>
        <w:t>,</w:t>
      </w:r>
      <w:r w:rsidRPr="00527E7D" w:rsidR="007F0832">
        <w:rPr>
          <w:i/>
          <w:iCs/>
        </w:rPr>
        <w:t xml:space="preserve"> e.g.,</w:t>
      </w:r>
      <w:r w:rsidRPr="00527E7D" w:rsidR="007F0832">
        <w:t xml:space="preserve"> </w:t>
      </w:r>
      <w:r w:rsidRPr="00527E7D" w:rsidR="009605BB">
        <w:rPr>
          <w:i/>
          <w:iCs/>
        </w:rPr>
        <w:t>Midway, Falmouth and Owingsville, Kentucky</w:t>
      </w:r>
      <w:r w:rsidRPr="00527E7D" w:rsidR="009605BB">
        <w:t xml:space="preserve">, Request for Supplemental Information, 22 FCC </w:t>
      </w:r>
      <w:r w:rsidRPr="00527E7D" w:rsidR="009605BB">
        <w:t>Rcd</w:t>
      </w:r>
      <w:r w:rsidRPr="00527E7D" w:rsidR="009605BB">
        <w:t xml:space="preserve"> 6331, 6332, para. 7 (MB 2007) (noting that party benefitting from involuntary channel change “will be required to pledge specifically that it will reimburse [the party</w:t>
      </w:r>
      <w:r w:rsidRPr="00527E7D" w:rsidR="007F0832">
        <w:t xml:space="preserve"> implementing the involuntary channel change</w:t>
      </w:r>
      <w:r w:rsidRPr="00527E7D" w:rsidR="009605BB">
        <w:t>] for all costs associated with [that party’s] channel change”)</w:t>
      </w:r>
      <w:r w:rsidRPr="00527E7D" w:rsidR="00451D76">
        <w:t xml:space="preserve">; </w:t>
      </w:r>
      <w:r w:rsidRPr="00527E7D" w:rsidR="00451D76">
        <w:rPr>
          <w:i/>
          <w:iCs/>
        </w:rPr>
        <w:t>Hazard, Hyden, Jackson and London, Kentucky</w:t>
      </w:r>
      <w:r w:rsidRPr="00527E7D" w:rsidR="00451D76">
        <w:t xml:space="preserve">, Report and Order, 8 FCC </w:t>
      </w:r>
      <w:r w:rsidRPr="00527E7D" w:rsidR="00451D76">
        <w:t>Rcd</w:t>
      </w:r>
      <w:r w:rsidRPr="00527E7D" w:rsidR="00451D76">
        <w:t xml:space="preserve"> 845, 846, para. 6</w:t>
      </w:r>
      <w:r w:rsidRPr="00527E7D" w:rsidR="007F0832">
        <w:t xml:space="preserve"> </w:t>
      </w:r>
      <w:r w:rsidRPr="00527E7D" w:rsidR="00451D76">
        <w:t>(MMB 1993) (noting that party benefitting from involuntary channel changes had “stated that she will reimburse the licensees of [the stations making the involuntary channel changes] for all reasonable costs in changing their channels” and that such reimbursement was “required by Commission policy”).</w:t>
      </w:r>
    </w:p>
  </w:footnote>
  <w:footnote w:id="29">
    <w:p w:rsidR="00D31043" w:rsidRPr="00527E7D" w:rsidP="00933567" w14:paraId="071A0AC0" w14:textId="537D2A22">
      <w:pPr>
        <w:pStyle w:val="FootnoteText"/>
        <w:spacing w:after="120"/>
      </w:pPr>
      <w:r w:rsidRPr="00527E7D">
        <w:rPr>
          <w:rStyle w:val="FootnoteReference"/>
        </w:rPr>
        <w:footnoteRef/>
      </w:r>
      <w:r w:rsidRPr="00527E7D">
        <w:t xml:space="preserve"> </w:t>
      </w:r>
      <w:r w:rsidR="009549E4">
        <w:t xml:space="preserve">Second </w:t>
      </w:r>
      <w:r w:rsidRPr="00D32B63" w:rsidR="00D32B63">
        <w:t>Motion</w:t>
      </w:r>
      <w:r w:rsidRPr="00527E7D" w:rsidR="00101DE1">
        <w:t xml:space="preserve"> at 2.  </w:t>
      </w:r>
      <w:r w:rsidRPr="00527E7D">
        <w:t>Having concluded that the deadline set in the</w:t>
      </w:r>
      <w:r w:rsidRPr="00527E7D">
        <w:rPr>
          <w:i/>
          <w:iCs/>
        </w:rPr>
        <w:t xml:space="preserve"> Commission Order</w:t>
      </w:r>
      <w:r w:rsidRPr="00527E7D">
        <w:t xml:space="preserve"> does not bar PVBC from submitting additional documentation,</w:t>
      </w:r>
      <w:r w:rsidRPr="00527E7D" w:rsidR="00101DE1">
        <w:t xml:space="preserve"> we need not reach Entravision’s argument that the Bureau could not waive the February 24, 2022, deadline set in the </w:t>
      </w:r>
      <w:r w:rsidRPr="00527E7D" w:rsidR="00101DE1">
        <w:rPr>
          <w:i/>
          <w:iCs/>
        </w:rPr>
        <w:t>Commission Order</w:t>
      </w:r>
      <w:r w:rsidRPr="00527E7D" w:rsidR="00101DE1">
        <w:t xml:space="preserve">.  </w:t>
      </w:r>
      <w:r w:rsidRPr="00527E7D" w:rsidR="00101DE1">
        <w:rPr>
          <w:i/>
          <w:iCs/>
        </w:rPr>
        <w:t>Id</w:t>
      </w:r>
      <w:r w:rsidRPr="00527E7D">
        <w:t>.</w:t>
      </w:r>
    </w:p>
  </w:footnote>
  <w:footnote w:id="30">
    <w:p w:rsidR="004936E3" w:rsidRPr="00527E7D" w:rsidP="00933567" w14:paraId="49713C08" w14:textId="09424267">
      <w:pPr>
        <w:pStyle w:val="xmsonormal"/>
        <w:autoSpaceDE w:val="0"/>
        <w:autoSpaceDN w:val="0"/>
        <w:spacing w:after="120"/>
        <w:rPr>
          <w:rFonts w:ascii="Times New Roman" w:hAnsi="Times New Roman" w:cs="Times New Roman"/>
          <w:sz w:val="20"/>
          <w:szCs w:val="20"/>
        </w:rPr>
      </w:pPr>
      <w:r w:rsidRPr="00527E7D">
        <w:rPr>
          <w:rStyle w:val="FootnoteReference"/>
          <w:rFonts w:ascii="Times New Roman" w:hAnsi="Times New Roman" w:cs="Times New Roman"/>
          <w:sz w:val="20"/>
          <w:szCs w:val="20"/>
        </w:rPr>
        <w:footnoteRef/>
      </w:r>
      <w:r w:rsidRPr="00527E7D">
        <w:rPr>
          <w:rFonts w:ascii="Times New Roman" w:hAnsi="Times New Roman" w:cs="Times New Roman"/>
          <w:sz w:val="20"/>
          <w:szCs w:val="20"/>
        </w:rPr>
        <w:t xml:space="preserve"> </w:t>
      </w:r>
      <w:r w:rsidRPr="00527E7D" w:rsidR="00D31043">
        <w:rPr>
          <w:rFonts w:ascii="Times New Roman" w:hAnsi="Times New Roman" w:cs="Times New Roman"/>
          <w:sz w:val="20"/>
          <w:szCs w:val="20"/>
        </w:rPr>
        <w:t>The</w:t>
      </w:r>
      <w:r w:rsidRPr="00527E7D" w:rsidR="00D31043">
        <w:rPr>
          <w:rFonts w:ascii="Times New Roman" w:hAnsi="Times New Roman" w:cs="Times New Roman"/>
          <w:i/>
          <w:iCs/>
          <w:sz w:val="20"/>
          <w:szCs w:val="20"/>
        </w:rPr>
        <w:t xml:space="preserve"> Commission Order </w:t>
      </w:r>
      <w:r w:rsidRPr="00527E7D" w:rsidR="00D31043">
        <w:rPr>
          <w:rFonts w:ascii="Times New Roman" w:hAnsi="Times New Roman" w:cs="Times New Roman"/>
          <w:sz w:val="20"/>
          <w:szCs w:val="20"/>
        </w:rPr>
        <w:t>states:  “[</w:t>
      </w:r>
      <w:r w:rsidRPr="00527E7D">
        <w:rPr>
          <w:rFonts w:ascii="Times New Roman" w:hAnsi="Times New Roman" w:cs="Times New Roman"/>
          <w:sz w:val="20"/>
          <w:szCs w:val="20"/>
        </w:rPr>
        <w:t xml:space="preserve">W]e direct the Bureau, based on the foregoing information provided by PVBC and Entravision, as well as </w:t>
      </w:r>
      <w:r w:rsidRPr="00527E7D">
        <w:rPr>
          <w:rFonts w:ascii="Times New Roman" w:hAnsi="Times New Roman" w:cs="Times New Roman"/>
          <w:i/>
          <w:iCs/>
          <w:sz w:val="20"/>
          <w:szCs w:val="20"/>
        </w:rPr>
        <w:t>any other information that the Bureau may request from the parties</w:t>
      </w:r>
      <w:r w:rsidRPr="00527E7D">
        <w:rPr>
          <w:rFonts w:ascii="Times New Roman" w:hAnsi="Times New Roman" w:cs="Times New Roman"/>
          <w:sz w:val="20"/>
          <w:szCs w:val="20"/>
        </w:rPr>
        <w:t>, to issue a decision resolving any disputes regarding whether (1) an expense item is legitimate and prudent and therefore reimbursable, and/or (2) whether the cost of that item is reasonable.).</w:t>
      </w:r>
      <w:r w:rsidRPr="00527E7D" w:rsidR="00576F7E">
        <w:rPr>
          <w:rFonts w:ascii="Times New Roman" w:hAnsi="Times New Roman" w:cs="Times New Roman"/>
          <w:sz w:val="20"/>
          <w:szCs w:val="20"/>
        </w:rPr>
        <w:t xml:space="preserve">  </w:t>
      </w:r>
      <w:r w:rsidRPr="00527E7D" w:rsidR="00D31043">
        <w:rPr>
          <w:rFonts w:ascii="Times New Roman" w:hAnsi="Times New Roman" w:cs="Times New Roman"/>
          <w:i/>
          <w:iCs/>
          <w:sz w:val="20"/>
          <w:szCs w:val="20"/>
        </w:rPr>
        <w:t>Commission Order</w:t>
      </w:r>
      <w:r w:rsidR="00116B0C">
        <w:rPr>
          <w:rFonts w:ascii="Times New Roman" w:hAnsi="Times New Roman" w:cs="Times New Roman"/>
          <w:sz w:val="20"/>
          <w:szCs w:val="20"/>
        </w:rPr>
        <w:t>, FCC 22-4,</w:t>
      </w:r>
      <w:r w:rsidRPr="00527E7D" w:rsidR="00D31043">
        <w:rPr>
          <w:rFonts w:ascii="Times New Roman" w:hAnsi="Times New Roman" w:cs="Times New Roman"/>
          <w:sz w:val="20"/>
          <w:szCs w:val="20"/>
        </w:rPr>
        <w:t xml:space="preserve"> at para. 29 (emphasis added).  </w:t>
      </w:r>
    </w:p>
  </w:footnote>
  <w:footnote w:id="31">
    <w:p w:rsidR="00577C2E" w:rsidRPr="00527E7D" w:rsidP="00933567" w14:paraId="3BEB2094" w14:textId="437D0A9B">
      <w:pPr>
        <w:pStyle w:val="FootnoteText"/>
        <w:spacing w:after="120"/>
      </w:pPr>
      <w:r w:rsidRPr="00527E7D">
        <w:rPr>
          <w:rStyle w:val="FootnoteReference"/>
        </w:rPr>
        <w:footnoteRef/>
      </w:r>
      <w:r w:rsidRPr="00527E7D">
        <w:t xml:space="preserve"> </w:t>
      </w:r>
      <w:r w:rsidRPr="00527E7D" w:rsidR="006434F8">
        <w:t xml:space="preserve">Update at </w:t>
      </w:r>
      <w:r w:rsidRPr="00527E7D" w:rsidR="0066024A">
        <w:t>Attachs</w:t>
      </w:r>
      <w:r w:rsidRPr="00527E7D" w:rsidR="0066024A">
        <w:t>. 32-3</w:t>
      </w:r>
      <w:r w:rsidRPr="00527E7D" w:rsidR="009C4A76">
        <w:t>5.</w:t>
      </w:r>
      <w:r w:rsidRPr="00527E7D" w:rsidR="006434F8">
        <w:t xml:space="preserve">  </w:t>
      </w:r>
      <w:r w:rsidRPr="00527E7D">
        <w:t>PVBC did not include any documentation to support its cost estimates for these items in the Report.  In order to evaluate its cost estimates, we would have requested that PVBC provide the types of materials it submitted with the Update.</w:t>
      </w:r>
    </w:p>
  </w:footnote>
  <w:footnote w:id="32">
    <w:p w:rsidR="009C4A76" w:rsidRPr="00527E7D" w:rsidP="00933567" w14:paraId="24CCB2EA" w14:textId="68FDB268">
      <w:pPr>
        <w:pStyle w:val="FootnoteText"/>
        <w:spacing w:after="120"/>
      </w:pPr>
      <w:r w:rsidRPr="00527E7D">
        <w:rPr>
          <w:rStyle w:val="FootnoteReference"/>
        </w:rPr>
        <w:footnoteRef/>
      </w:r>
      <w:r w:rsidRPr="00527E7D">
        <w:t xml:space="preserve"> </w:t>
      </w:r>
      <w:r w:rsidRPr="00527E7D">
        <w:rPr>
          <w:i/>
          <w:iCs/>
        </w:rPr>
        <w:t>Id</w:t>
      </w:r>
      <w:r w:rsidRPr="00527E7D">
        <w:t xml:space="preserve">. at Attach. 36.  We herein permit PVBC to update its list to include this </w:t>
      </w:r>
      <w:r w:rsidR="00FC2B3B">
        <w:t xml:space="preserve">expense </w:t>
      </w:r>
      <w:r w:rsidRPr="00527E7D">
        <w:t xml:space="preserve">item.  Had PVBC not included this documentation with the Update, we would have requested it.  </w:t>
      </w:r>
    </w:p>
  </w:footnote>
  <w:footnote w:id="33">
    <w:p w:rsidR="006434F8" w:rsidRPr="00527E7D" w:rsidP="00933567" w14:paraId="421E3022" w14:textId="0084D1F1">
      <w:pPr>
        <w:pStyle w:val="FootnoteText"/>
        <w:spacing w:after="120"/>
      </w:pPr>
      <w:r w:rsidRPr="00527E7D">
        <w:rPr>
          <w:rStyle w:val="FootnoteReference"/>
        </w:rPr>
        <w:footnoteRef/>
      </w:r>
      <w:r w:rsidRPr="00527E7D">
        <w:t xml:space="preserve"> </w:t>
      </w:r>
      <w:r w:rsidRPr="00F0462C" w:rsidR="00F0462C">
        <w:rPr>
          <w:i/>
          <w:iCs/>
        </w:rPr>
        <w:t>Id</w:t>
      </w:r>
      <w:r w:rsidR="00F0462C">
        <w:t>.</w:t>
      </w:r>
      <w:r w:rsidRPr="00527E7D">
        <w:t xml:space="preserve"> a</w:t>
      </w:r>
      <w:r w:rsidRPr="009549E4">
        <w:t>t</w:t>
      </w:r>
      <w:r w:rsidRPr="009549E4" w:rsidR="00101DE1">
        <w:t xml:space="preserve"> </w:t>
      </w:r>
      <w:r w:rsidRPr="009549E4" w:rsidR="009C4A76">
        <w:t xml:space="preserve">Representative Examples </w:t>
      </w:r>
      <w:r w:rsidRPr="009549E4" w:rsidR="00101DE1">
        <w:t>Attach</w:t>
      </w:r>
      <w:r w:rsidRPr="009549E4" w:rsidR="009C4A76">
        <w:t>.</w:t>
      </w:r>
      <w:r w:rsidRPr="00527E7D">
        <w:t xml:space="preserve">  The photographs are the type of documentation that we would have requested because they will help us evaluate PVBC’s claims that it should be reimbursed for various items.  </w:t>
      </w:r>
    </w:p>
  </w:footnote>
  <w:footnote w:id="34">
    <w:p w:rsidR="006434F8" w:rsidRPr="00527E7D" w:rsidP="00933567" w14:paraId="70C34C09" w14:textId="5FB0A654">
      <w:pPr>
        <w:pStyle w:val="FootnoteText"/>
        <w:spacing w:after="120"/>
      </w:pPr>
      <w:r w:rsidRPr="00527E7D">
        <w:rPr>
          <w:rStyle w:val="FootnoteReference"/>
        </w:rPr>
        <w:footnoteRef/>
      </w:r>
      <w:r w:rsidRPr="00527E7D">
        <w:t xml:space="preserve"> </w:t>
      </w:r>
      <w:r w:rsidRPr="00F0462C" w:rsidR="00F0462C">
        <w:rPr>
          <w:i/>
          <w:iCs/>
        </w:rPr>
        <w:t>Id</w:t>
      </w:r>
      <w:r w:rsidR="00F0462C">
        <w:t>.</w:t>
      </w:r>
      <w:r w:rsidRPr="00527E7D">
        <w:t xml:space="preserve"> at </w:t>
      </w:r>
      <w:r w:rsidRPr="00527E7D" w:rsidR="009C4A76">
        <w:t>Attach. 3.</w:t>
      </w:r>
      <w:r w:rsidRPr="00527E7D">
        <w:t xml:space="preserve">  The parties have not reached a reimbursement agreement, and the grant of a license to cover KPPV(FM)’s operation on its new channel has not occurred </w:t>
      </w:r>
      <w:r w:rsidR="00286D63">
        <w:t>and</w:t>
      </w:r>
      <w:r w:rsidRPr="00527E7D">
        <w:t xml:space="preserve"> is not final.  Until these events occur, we recognize that PVBC may incur additional </w:t>
      </w:r>
      <w:r w:rsidR="00F0462C">
        <w:t xml:space="preserve">reimbursable </w:t>
      </w:r>
      <w:r w:rsidRPr="00527E7D">
        <w:t>legal fees</w:t>
      </w:r>
      <w:r w:rsidRPr="00527E7D" w:rsidR="00BA1FFC">
        <w:t>.  As a result, we</w:t>
      </w:r>
      <w:r w:rsidRPr="00527E7D">
        <w:t xml:space="preserve"> would have requested updated information from PVBC regarding additional legal expenses associated with the KPPV(FM) channel change.</w:t>
      </w:r>
      <w:r w:rsidRPr="00527E7D">
        <w:rPr>
          <w:i/>
          <w:iCs/>
        </w:rPr>
        <w:t xml:space="preserve">  </w:t>
      </w:r>
    </w:p>
  </w:footnote>
  <w:footnote w:id="35">
    <w:p w:rsidR="0049761F" w:rsidRPr="00527E7D" w:rsidP="00933567" w14:paraId="25320C7B" w14:textId="77777777">
      <w:pPr>
        <w:pStyle w:val="FootnoteText"/>
        <w:spacing w:after="120"/>
      </w:pPr>
      <w:r w:rsidRPr="00527E7D">
        <w:rPr>
          <w:rStyle w:val="FootnoteReference"/>
        </w:rPr>
        <w:footnoteRef/>
      </w:r>
      <w:r w:rsidRPr="00527E7D">
        <w:t xml:space="preserve"> </w:t>
      </w:r>
      <w:r w:rsidRPr="00527E7D">
        <w:t>Reply at 10.</w:t>
      </w:r>
    </w:p>
  </w:footnote>
  <w:footnote w:id="36">
    <w:p w:rsidR="0049761F" w:rsidRPr="00527E7D" w:rsidP="00933567" w14:paraId="0C159D55" w14:textId="2EF2CB5C">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12 (discussing business cards used by KPPV(FM) staff), 13 (discussing letterhead, cardstock, window envelopes, non-window envelopes, and PCR forms and rate cards).</w:t>
      </w:r>
    </w:p>
  </w:footnote>
  <w:footnote w:id="37">
    <w:p w:rsidR="0049761F" w:rsidRPr="00527E7D" w:rsidP="00933567" w14:paraId="344186C5" w14:textId="06DDC3B9">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13-14 (discussing box truck wrap, interior signage, t-shirts and caps, lip balm, pens, keychains, car shades, and clothing).</w:t>
      </w:r>
    </w:p>
  </w:footnote>
  <w:footnote w:id="38">
    <w:p w:rsidR="0049761F" w:rsidRPr="00527E7D" w:rsidP="00933567" w14:paraId="50DBF295" w14:textId="5211F3E5">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14.</w:t>
      </w:r>
    </w:p>
  </w:footnote>
  <w:footnote w:id="39">
    <w:p w:rsidR="0049761F" w:rsidRPr="00527E7D" w:rsidP="00933567" w14:paraId="20F60EC1" w14:textId="137FB3BD">
      <w:pPr>
        <w:pStyle w:val="FootnoteText"/>
        <w:spacing w:after="120"/>
      </w:pPr>
      <w:r w:rsidRPr="00527E7D">
        <w:rPr>
          <w:rStyle w:val="FootnoteReference"/>
        </w:rPr>
        <w:footnoteRef/>
      </w:r>
      <w:r w:rsidRPr="00527E7D">
        <w:t xml:space="preserve"> </w:t>
      </w:r>
      <w:r w:rsidRPr="00384CAB" w:rsidR="00384CAB">
        <w:rPr>
          <w:i/>
          <w:iCs/>
        </w:rPr>
        <w:t>Id</w:t>
      </w:r>
      <w:r w:rsidR="00384CAB">
        <w:t>.</w:t>
      </w:r>
    </w:p>
  </w:footnote>
  <w:footnote w:id="40">
    <w:p w:rsidR="0049761F" w:rsidRPr="00527E7D" w:rsidP="00933567" w14:paraId="1AA0C6AD" w14:textId="1ADA1793">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15,</w:t>
      </w:r>
      <w:r w:rsidR="00384CAB">
        <w:t xml:space="preserve"> and</w:t>
      </w:r>
      <w:r w:rsidRPr="00527E7D">
        <w:t xml:space="preserve"> </w:t>
      </w:r>
      <w:r w:rsidRPr="00527E7D">
        <w:t>Exh</w:t>
      </w:r>
      <w:r w:rsidRPr="00527E7D">
        <w:t>. 15.</w:t>
      </w:r>
    </w:p>
  </w:footnote>
  <w:footnote w:id="41">
    <w:p w:rsidR="0049761F" w:rsidRPr="00527E7D" w:rsidP="00933567" w14:paraId="24F2960B" w14:textId="44985249">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16.</w:t>
      </w:r>
    </w:p>
  </w:footnote>
  <w:footnote w:id="42">
    <w:p w:rsidR="0049761F" w:rsidRPr="00527E7D" w:rsidP="00933567" w14:paraId="0972EA82" w14:textId="143CE92E">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16, </w:t>
      </w:r>
      <w:r w:rsidRPr="00527E7D">
        <w:t>Exh</w:t>
      </w:r>
      <w:r w:rsidRPr="00527E7D">
        <w:t>. 17.</w:t>
      </w:r>
    </w:p>
  </w:footnote>
  <w:footnote w:id="43">
    <w:p w:rsidR="0049761F" w:rsidRPr="00527E7D" w:rsidP="00933567" w14:paraId="189B2DC8" w14:textId="2A491F46">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17, </w:t>
      </w:r>
      <w:r w:rsidRPr="00527E7D">
        <w:t>Exh</w:t>
      </w:r>
      <w:r w:rsidRPr="00527E7D">
        <w:t>. 19.</w:t>
      </w:r>
    </w:p>
  </w:footnote>
  <w:footnote w:id="44">
    <w:p w:rsidR="0049761F" w:rsidRPr="00527E7D" w:rsidP="00933567" w14:paraId="1438201C" w14:textId="654021B0">
      <w:pPr>
        <w:pStyle w:val="FootnoteText"/>
        <w:spacing w:after="120"/>
      </w:pPr>
      <w:r w:rsidRPr="00527E7D">
        <w:rPr>
          <w:rStyle w:val="FootnoteReference"/>
        </w:rPr>
        <w:footnoteRef/>
      </w:r>
      <w:r w:rsidRPr="00527E7D">
        <w:t xml:space="preserve"> </w:t>
      </w:r>
      <w:r w:rsidRPr="00384CAB" w:rsidR="00384CAB">
        <w:rPr>
          <w:i/>
          <w:iCs/>
        </w:rPr>
        <w:t>Id</w:t>
      </w:r>
      <w:r w:rsidR="00384CAB">
        <w:t>.</w:t>
      </w:r>
      <w:r w:rsidRPr="00527E7D">
        <w:t xml:space="preserve"> at 17-18.</w:t>
      </w:r>
    </w:p>
  </w:footnote>
  <w:footnote w:id="45">
    <w:p w:rsidR="00137FCA" w:rsidRPr="00527E7D" w:rsidP="00933567" w14:paraId="77FF21F4" w14:textId="252D5475">
      <w:pPr>
        <w:pStyle w:val="FootnoteText"/>
        <w:spacing w:after="120"/>
      </w:pPr>
      <w:r w:rsidRPr="00527E7D">
        <w:rPr>
          <w:rStyle w:val="FootnoteReference"/>
        </w:rPr>
        <w:footnoteRef/>
      </w:r>
      <w:r w:rsidRPr="00527E7D">
        <w:t xml:space="preserve"> </w:t>
      </w:r>
      <w:r w:rsidRPr="00527E7D">
        <w:t xml:space="preserve">Update at 1; </w:t>
      </w:r>
      <w:r w:rsidR="00384CAB">
        <w:t xml:space="preserve">Motion </w:t>
      </w:r>
      <w:r w:rsidRPr="00527E7D">
        <w:t>Opposition at 1, 2.</w:t>
      </w:r>
    </w:p>
  </w:footnote>
  <w:footnote w:id="46">
    <w:p w:rsidR="003667E3" w:rsidRPr="00527E7D" w:rsidP="00933567" w14:paraId="3FB39AD1" w14:textId="7AF069E1">
      <w:pPr>
        <w:pStyle w:val="FootnoteText"/>
        <w:spacing w:after="120"/>
      </w:pPr>
      <w:r w:rsidRPr="00527E7D">
        <w:rPr>
          <w:rStyle w:val="FootnoteReference"/>
        </w:rPr>
        <w:footnoteRef/>
      </w:r>
      <w:r w:rsidRPr="00527E7D">
        <w:t xml:space="preserve"> </w:t>
      </w:r>
      <w:r w:rsidRPr="00527E7D">
        <w:t xml:space="preserve">At that time, PVBC sent a letter to Entravision stating that its expenses would total $2,750,000.  </w:t>
      </w:r>
      <w:r w:rsidRPr="00B32668" w:rsidR="00F54B99">
        <w:rPr>
          <w:i/>
          <w:iCs/>
        </w:rPr>
        <w:t>See</w:t>
      </w:r>
      <w:r w:rsidRPr="00527E7D" w:rsidR="00F54B99">
        <w:t xml:space="preserve"> Entravision Holdings, LLC, Opposition, at </w:t>
      </w:r>
      <w:r w:rsidRPr="00527E7D" w:rsidR="00F54B99">
        <w:t>Exh</w:t>
      </w:r>
      <w:r w:rsidRPr="00527E7D" w:rsidR="00F54B99">
        <w:t>. A. (filed Nov. 1, 2019).</w:t>
      </w:r>
    </w:p>
  </w:footnote>
  <w:footnote w:id="47">
    <w:p w:rsidR="003667E3" w:rsidRPr="00527E7D" w:rsidP="00933567" w14:paraId="684713F2" w14:textId="35DCE619">
      <w:pPr>
        <w:pStyle w:val="FootnoteText"/>
        <w:spacing w:after="120"/>
      </w:pPr>
      <w:r w:rsidRPr="00527E7D">
        <w:rPr>
          <w:rStyle w:val="FootnoteReference"/>
        </w:rPr>
        <w:footnoteRef/>
      </w:r>
      <w:r w:rsidRPr="00527E7D">
        <w:t xml:space="preserve"> </w:t>
      </w:r>
      <w:r w:rsidRPr="00527E7D">
        <w:rPr>
          <w:i/>
          <w:iCs/>
        </w:rPr>
        <w:t>See</w:t>
      </w:r>
      <w:r w:rsidRPr="00527E7D">
        <w:t xml:space="preserve"> </w:t>
      </w:r>
      <w:r w:rsidRPr="00527E7D">
        <w:rPr>
          <w:i/>
          <w:iCs/>
        </w:rPr>
        <w:t>Prescott Valley Broad. Co. Inc</w:t>
      </w:r>
      <w:r w:rsidRPr="00527E7D">
        <w:t xml:space="preserve">., File No. BLH-19930204KB, Letter Order, at </w:t>
      </w:r>
      <w:r w:rsidRPr="00527E7D" w:rsidR="00F54B99">
        <w:t>6</w:t>
      </w:r>
      <w:r w:rsidRPr="00527E7D">
        <w:t xml:space="preserve"> (MB Oct. 21, 2020)</w:t>
      </w:r>
      <w:r w:rsidR="000836EA">
        <w:t>.</w:t>
      </w:r>
    </w:p>
  </w:footnote>
  <w:footnote w:id="48">
    <w:p w:rsidR="003667E3" w:rsidRPr="00527E7D" w:rsidP="00933567" w14:paraId="3F5A89C2" w14:textId="77F81304">
      <w:pPr>
        <w:pStyle w:val="FootnoteText"/>
        <w:spacing w:after="120"/>
      </w:pPr>
      <w:r w:rsidRPr="00527E7D">
        <w:rPr>
          <w:rStyle w:val="FootnoteReference"/>
        </w:rPr>
        <w:footnoteRef/>
      </w:r>
      <w:r w:rsidRPr="00527E7D">
        <w:t xml:space="preserve"> </w:t>
      </w:r>
      <w:r w:rsidRPr="00527E7D" w:rsidR="002067B9">
        <w:t xml:space="preserve">The precedent cited by PVBC does not suggest otherwise.  </w:t>
      </w:r>
      <w:r w:rsidRPr="00527E7D">
        <w:t xml:space="preserve">Update at </w:t>
      </w:r>
      <w:r w:rsidRPr="00527E7D" w:rsidR="002067B9">
        <w:t>n.1</w:t>
      </w:r>
      <w:r w:rsidRPr="00527E7D">
        <w:t xml:space="preserve">, </w:t>
      </w:r>
      <w:r w:rsidRPr="00527E7D">
        <w:rPr>
          <w:i/>
          <w:iCs/>
        </w:rPr>
        <w:t>citing</w:t>
      </w:r>
      <w:r w:rsidRPr="00527E7D">
        <w:t xml:space="preserve"> </w:t>
      </w:r>
      <w:r w:rsidRPr="00527E7D" w:rsidR="002067B9">
        <w:rPr>
          <w:i/>
          <w:iCs/>
        </w:rPr>
        <w:t>Incentive Auction Task Force and Media Bureau Report on Status of the Post-Incentive Auction Reimbursement Program, Announce Final Allocation and Post-Implementation Site Visit Validation Program, and Remind Stations of Invoice Filing Deadlines</w:t>
      </w:r>
      <w:r w:rsidRPr="00527E7D" w:rsidR="002067B9">
        <w:t>, Public Notice, MB Docket No. 16-306, GN Docket No. 12-268, DA 22-191, at para. 18 (MB Feb. 24, 2022)</w:t>
      </w:r>
      <w:r w:rsidRPr="00527E7D">
        <w:t xml:space="preserve">.  While the Bureau did express a willingness to extend the deadline for TV stations assigned new channels as part of the Broadcast Television Incentive Auction to submit all remaining invoices for reimbursement from the TV Broadcaster Relocation Fund where a station “faces circumstances beyond its control,” it explained that to obtain such an extension, a station would need “to provide evidence that circumstances requiring the extension were outside of its control, such as local zoning or a force majeure event occurring proximate to the final submission deadline.”  </w:t>
      </w:r>
      <w:r w:rsidRPr="00527E7D" w:rsidR="002067B9">
        <w:rPr>
          <w:i/>
          <w:iCs/>
        </w:rPr>
        <w:t>Id</w:t>
      </w:r>
      <w:r w:rsidRPr="00527E7D" w:rsidR="002067B9">
        <w:t>.</w:t>
      </w:r>
    </w:p>
  </w:footnote>
  <w:footnote w:id="49">
    <w:p w:rsidR="00844A5A" w:rsidRPr="00527E7D" w:rsidP="00933567" w14:paraId="6F8FE3E7" w14:textId="5D5C3AE5">
      <w:pPr>
        <w:pStyle w:val="FootnoteText"/>
        <w:spacing w:after="120"/>
      </w:pPr>
      <w:r w:rsidRPr="00527E7D">
        <w:rPr>
          <w:rStyle w:val="FootnoteReference"/>
        </w:rPr>
        <w:footnoteRef/>
      </w:r>
      <w:r w:rsidRPr="00527E7D">
        <w:t xml:space="preserve"> </w:t>
      </w:r>
      <w:r w:rsidRPr="00527E7D" w:rsidR="00DF6A14">
        <w:rPr>
          <w:i/>
          <w:iCs/>
        </w:rPr>
        <w:t>Circleville, Ohio</w:t>
      </w:r>
      <w:r w:rsidRPr="00527E7D" w:rsidR="00DF6A14">
        <w:t xml:space="preserve">, 8 FCC 2d. </w:t>
      </w:r>
      <w:r w:rsidR="0006065B">
        <w:t>at</w:t>
      </w:r>
      <w:r w:rsidRPr="00527E7D" w:rsidR="001106DF">
        <w:t xml:space="preserve"> 163, para. 11</w:t>
      </w:r>
      <w:r w:rsidRPr="00527E7D" w:rsidR="00DF6A14">
        <w:t xml:space="preserve"> (</w:t>
      </w:r>
      <w:r w:rsidRPr="00527E7D" w:rsidR="00DF6A14">
        <w:rPr>
          <w:i/>
          <w:iCs/>
        </w:rPr>
        <w:t>Circleville</w:t>
      </w:r>
      <w:r w:rsidRPr="00527E7D" w:rsidR="00DF6A14">
        <w:t>)</w:t>
      </w:r>
      <w:r w:rsidRPr="00527E7D" w:rsidR="001106DF">
        <w:t xml:space="preserve"> (establishing guidelines for determining reimbursement and requiring that, whenever an existing station is ordered to change frequency to accommodate another station, the benefitting station must reimburse the affected station for its reasonable and prudent expenses)</w:t>
      </w:r>
      <w:r w:rsidRPr="00527E7D" w:rsidR="00DF6A14">
        <w:t xml:space="preserve">. </w:t>
      </w:r>
      <w:r w:rsidRPr="00527E7D" w:rsidR="00400C6B">
        <w:t xml:space="preserve"> </w:t>
      </w:r>
    </w:p>
  </w:footnote>
  <w:footnote w:id="50">
    <w:p w:rsidR="00A27F76" w:rsidRPr="00B5435B" w:rsidP="00933567" w14:paraId="2FE78E57" w14:textId="22323451">
      <w:pPr>
        <w:spacing w:after="120"/>
      </w:pPr>
      <w:r w:rsidRPr="00527E7D">
        <w:rPr>
          <w:rStyle w:val="FootnoteReference"/>
        </w:rPr>
        <w:footnoteRef/>
      </w:r>
      <w:r w:rsidRPr="00527E7D">
        <w:t xml:space="preserve"> </w:t>
      </w:r>
      <w:r w:rsidRPr="00527E7D">
        <w:rPr>
          <w:i/>
          <w:iCs/>
        </w:rPr>
        <w:t>Lechman</w:t>
      </w:r>
      <w:r w:rsidRPr="00527E7D">
        <w:t xml:space="preserve">, 8 FCC </w:t>
      </w:r>
      <w:r w:rsidRPr="00527E7D">
        <w:t>Rcd</w:t>
      </w:r>
      <w:r w:rsidRPr="00527E7D">
        <w:t xml:space="preserve"> at 3060, n.3.</w:t>
      </w:r>
      <w:r w:rsidRPr="00527E7D" w:rsidR="00597CEA">
        <w:t xml:space="preserve">  </w:t>
      </w:r>
      <w:r w:rsidRPr="00527E7D" w:rsidR="00D1701D">
        <w:t xml:space="preserve">We reject PVBC’s </w:t>
      </w:r>
      <w:r w:rsidRPr="00527E7D" w:rsidR="00FB4BE4">
        <w:t>claim that KPPV(FM) “</w:t>
      </w:r>
      <w:r w:rsidRPr="00527E7D" w:rsidR="00FB4BE4">
        <w:t>deserv</w:t>
      </w:r>
      <w:r w:rsidRPr="00527E7D" w:rsidR="00FB4BE4">
        <w:t xml:space="preserve">[es] special treatment” because </w:t>
      </w:r>
      <w:r w:rsidRPr="00527E7D" w:rsidR="00854D4F">
        <w:t>“the community service provided by KPPV 106.7 far exceeds the level of community service provided by th</w:t>
      </w:r>
      <w:r w:rsidRPr="00527E7D" w:rsidR="00D44CF6">
        <w:t>e</w:t>
      </w:r>
      <w:r w:rsidRPr="00527E7D" w:rsidR="00854D4F">
        <w:t xml:space="preserve"> vast majority of the stations (if not each and every one of them) that have been subject to forced channel changes since 1967.”  </w:t>
      </w:r>
      <w:r w:rsidRPr="00527E7D" w:rsidR="00D44CF6">
        <w:t xml:space="preserve">Report at 1-2.  </w:t>
      </w:r>
      <w:r w:rsidRPr="00527E7D" w:rsidR="00E82386">
        <w:t xml:space="preserve">Our inquiry is limited to whether </w:t>
      </w:r>
      <w:r w:rsidRPr="00527E7D" w:rsidR="005C3A2A">
        <w:t>an</w:t>
      </w:r>
      <w:r w:rsidRPr="00527E7D" w:rsidR="00BD77C6">
        <w:t xml:space="preserve"> expense </w:t>
      </w:r>
      <w:r w:rsidRPr="00527E7D" w:rsidR="009E27F3">
        <w:t>item is legitimate and prudent (</w:t>
      </w:r>
      <w:r w:rsidRPr="00527E7D" w:rsidR="009E27F3">
        <w:rPr>
          <w:i/>
          <w:iCs/>
        </w:rPr>
        <w:t>i.e.,</w:t>
      </w:r>
      <w:r w:rsidRPr="00527E7D" w:rsidR="009E27F3">
        <w:t xml:space="preserve"> necessitated by</w:t>
      </w:r>
      <w:r w:rsidRPr="00527E7D" w:rsidR="00BD77C6">
        <w:t xml:space="preserve"> the KPPV(FM) channel change</w:t>
      </w:r>
      <w:r w:rsidRPr="00527E7D" w:rsidR="009E27F3">
        <w:t>)</w:t>
      </w:r>
      <w:r w:rsidRPr="00527E7D" w:rsidR="00BD77C6">
        <w:t xml:space="preserve">.  </w:t>
      </w:r>
      <w:r w:rsidRPr="00527E7D" w:rsidR="009138B9">
        <w:t xml:space="preserve">If that is the case, </w:t>
      </w:r>
      <w:r w:rsidRPr="00527E7D" w:rsidR="009E27F3">
        <w:t>PVBC is entitled to reimbursement</w:t>
      </w:r>
      <w:r w:rsidRPr="00527E7D" w:rsidR="009138B9">
        <w:t xml:space="preserve">.  We then examine whether the </w:t>
      </w:r>
      <w:r w:rsidRPr="00527E7D" w:rsidR="00E34E18">
        <w:t>cost of that item is reasonable</w:t>
      </w:r>
      <w:r w:rsidRPr="00527E7D" w:rsidR="00477EF8">
        <w:t xml:space="preserve">.  </w:t>
      </w:r>
      <w:r w:rsidRPr="00527E7D" w:rsidR="00E34E18">
        <w:t xml:space="preserve">We reject Entravision’s assertion that </w:t>
      </w:r>
      <w:r w:rsidRPr="00527E7D" w:rsidR="00477EF8">
        <w:t xml:space="preserve">we should also consider </w:t>
      </w:r>
      <w:r w:rsidRPr="00527E7D" w:rsidR="00E34E18">
        <w:t xml:space="preserve">the total cost “per person in the service area” </w:t>
      </w:r>
      <w:r w:rsidRPr="00527E7D" w:rsidR="00477EF8">
        <w:t>in determining whether the total reimbursement</w:t>
      </w:r>
      <w:r w:rsidRPr="00527E7D" w:rsidR="00E34E18">
        <w:t xml:space="preserve"> </w:t>
      </w:r>
      <w:r w:rsidRPr="00527E7D" w:rsidR="00477EF8">
        <w:t xml:space="preserve">to PVBC is </w:t>
      </w:r>
      <w:r w:rsidRPr="00B5435B" w:rsidR="00477EF8">
        <w:t>reasonable</w:t>
      </w:r>
      <w:r w:rsidRPr="00B5435B" w:rsidR="00E34E18">
        <w:t xml:space="preserve">.  Response at 7.  </w:t>
      </w:r>
      <w:r w:rsidRPr="00B5435B" w:rsidR="00AF59D4">
        <w:t xml:space="preserve">If we have determined that the cost of each item is reasonable, then the total </w:t>
      </w:r>
      <w:r w:rsidRPr="00B5435B" w:rsidR="00C20164">
        <w:t>reimbursement amount necessarily will be reasonable.</w:t>
      </w:r>
    </w:p>
  </w:footnote>
  <w:footnote w:id="51">
    <w:p w:rsidR="00EF7D11" w:rsidP="00933567" w14:paraId="746E1632" w14:textId="6AFD25D1">
      <w:pPr>
        <w:pStyle w:val="FootnoteText"/>
        <w:spacing w:after="120"/>
      </w:pPr>
      <w:r w:rsidRPr="00B5435B">
        <w:rPr>
          <w:rStyle w:val="FootnoteReference"/>
        </w:rPr>
        <w:footnoteRef/>
      </w:r>
      <w:r w:rsidRPr="00B5435B">
        <w:t xml:space="preserve"> </w:t>
      </w:r>
      <w:r w:rsidRPr="00B5435B">
        <w:t xml:space="preserve">A benefitting party may, of course, rebut this presumption </w:t>
      </w:r>
      <w:r w:rsidRPr="00B5435B" w:rsidR="001F5AD9">
        <w:t>with evidence that the amount</w:t>
      </w:r>
      <w:r w:rsidRPr="00B5435B" w:rsidR="00A265B1">
        <w:t xml:space="preserve"> requested for a particular item far exceeds the amount generally </w:t>
      </w:r>
      <w:r w:rsidR="00B5435B">
        <w:t xml:space="preserve">charged </w:t>
      </w:r>
      <w:r w:rsidRPr="00B5435B" w:rsidR="00A265B1">
        <w:t xml:space="preserve">for </w:t>
      </w:r>
      <w:r w:rsidRPr="00B5435B" w:rsidR="00AF2457">
        <w:t>it.</w:t>
      </w:r>
      <w:r w:rsidR="00AF2457">
        <w:t xml:space="preserve">  </w:t>
      </w:r>
    </w:p>
  </w:footnote>
  <w:footnote w:id="52">
    <w:p w:rsidR="009774BA" w:rsidRPr="00527E7D" w:rsidP="00933567" w14:paraId="51E3237C" w14:textId="2739564C">
      <w:pPr>
        <w:pStyle w:val="FootnoteText"/>
        <w:spacing w:after="120"/>
      </w:pPr>
      <w:r w:rsidRPr="00527E7D">
        <w:rPr>
          <w:rStyle w:val="FootnoteReference"/>
        </w:rPr>
        <w:footnoteRef/>
      </w:r>
      <w:r w:rsidRPr="00527E7D">
        <w:t xml:space="preserve"> </w:t>
      </w:r>
      <w:r w:rsidRPr="00527E7D" w:rsidR="00DF6A14">
        <w:t xml:space="preserve">Application File No. 0000124846.  </w:t>
      </w:r>
      <w:r w:rsidRPr="00527E7D" w:rsidR="007362B6">
        <w:rPr>
          <w:i/>
          <w:iCs/>
        </w:rPr>
        <w:t xml:space="preserve">See, e.g., </w:t>
      </w:r>
      <w:r w:rsidRPr="00527E7D" w:rsidR="002C1C3B">
        <w:rPr>
          <w:i/>
          <w:iCs/>
        </w:rPr>
        <w:t xml:space="preserve">Roy E. </w:t>
      </w:r>
      <w:r w:rsidRPr="00527E7D" w:rsidR="007362B6">
        <w:rPr>
          <w:i/>
          <w:iCs/>
        </w:rPr>
        <w:t>Henderson</w:t>
      </w:r>
      <w:r w:rsidRPr="00527E7D" w:rsidR="00471F1E">
        <w:rPr>
          <w:i/>
          <w:iCs/>
        </w:rPr>
        <w:t xml:space="preserve">, </w:t>
      </w:r>
      <w:r w:rsidRPr="00527E7D" w:rsidR="002C1C3B">
        <w:t>Letter Order,</w:t>
      </w:r>
      <w:r w:rsidRPr="00527E7D" w:rsidR="002C1C3B">
        <w:rPr>
          <w:i/>
          <w:iCs/>
        </w:rPr>
        <w:t xml:space="preserve"> </w:t>
      </w:r>
      <w:r w:rsidRPr="00527E7D" w:rsidR="00471F1E">
        <w:t>DA 22-144</w:t>
      </w:r>
      <w:r w:rsidRPr="00527E7D" w:rsidR="00471F1E">
        <w:rPr>
          <w:i/>
          <w:iCs/>
        </w:rPr>
        <w:t>,</w:t>
      </w:r>
      <w:r w:rsidRPr="00527E7D" w:rsidR="007362B6">
        <w:rPr>
          <w:i/>
          <w:iCs/>
        </w:rPr>
        <w:t xml:space="preserve"> </w:t>
      </w:r>
      <w:r w:rsidRPr="00527E7D" w:rsidR="007362B6">
        <w:t xml:space="preserve">at </w:t>
      </w:r>
      <w:r w:rsidRPr="00527E7D" w:rsidR="00471F1E">
        <w:t>9</w:t>
      </w:r>
      <w:r w:rsidRPr="00527E7D" w:rsidR="007362B6">
        <w:t xml:space="preserve"> </w:t>
      </w:r>
      <w:r w:rsidRPr="00527E7D" w:rsidR="002C1C3B">
        <w:t>(MB Feb.</w:t>
      </w:r>
      <w:r w:rsidR="00767405">
        <w:t xml:space="preserve"> </w:t>
      </w:r>
      <w:r w:rsidRPr="00527E7D" w:rsidR="002C1C3B">
        <w:t>11, 2022) (</w:t>
      </w:r>
      <w:r w:rsidRPr="00F12F67" w:rsidR="002C1C3B">
        <w:rPr>
          <w:i/>
          <w:iCs/>
        </w:rPr>
        <w:t>Henderson</w:t>
      </w:r>
      <w:r w:rsidRPr="00527E7D" w:rsidR="002C1C3B">
        <w:t xml:space="preserve">) </w:t>
      </w:r>
      <w:r w:rsidRPr="00527E7D" w:rsidR="007362B6">
        <w:t xml:space="preserve">(ordering reimbursement for engineering </w:t>
      </w:r>
      <w:r w:rsidRPr="00527E7D" w:rsidR="00471F1E">
        <w:t>fees</w:t>
      </w:r>
      <w:r w:rsidRPr="00527E7D" w:rsidR="007362B6">
        <w:t xml:space="preserve"> related to application</w:t>
      </w:r>
      <w:r w:rsidRPr="00527E7D" w:rsidR="00471F1E">
        <w:t xml:space="preserve"> for construction permit</w:t>
      </w:r>
      <w:r w:rsidRPr="00527E7D" w:rsidR="007362B6">
        <w:t xml:space="preserve"> to implement involuntary channel change) </w:t>
      </w:r>
      <w:r w:rsidRPr="00527E7D" w:rsidR="007362B6">
        <w:rPr>
          <w:i/>
          <w:iCs/>
        </w:rPr>
        <w:t>;</w:t>
      </w:r>
      <w:r w:rsidRPr="00527E7D" w:rsidR="007362B6">
        <w:t xml:space="preserve"> </w:t>
      </w:r>
      <w:r w:rsidRPr="00527E7D" w:rsidR="007362B6">
        <w:rPr>
          <w:i/>
          <w:iCs/>
        </w:rPr>
        <w:t>KBEX(FM</w:t>
      </w:r>
      <w:r w:rsidRPr="00FD59C3" w:rsidR="00FD59C3">
        <w:rPr>
          <w:i/>
          <w:iCs/>
        </w:rPr>
        <w:t>)</w:t>
      </w:r>
      <w:r w:rsidRPr="00527E7D" w:rsidR="002C1C3B">
        <w:t xml:space="preserve">, 28 FCC </w:t>
      </w:r>
      <w:r w:rsidRPr="00527E7D" w:rsidR="002C1C3B">
        <w:t>Rcd</w:t>
      </w:r>
      <w:r w:rsidRPr="00527E7D" w:rsidR="002C1C3B">
        <w:t xml:space="preserve"> </w:t>
      </w:r>
      <w:r w:rsidR="00FD59C3">
        <w:t>at</w:t>
      </w:r>
      <w:r w:rsidRPr="00527E7D" w:rsidR="002C1C3B">
        <w:t xml:space="preserve"> 3235, 3238 </w:t>
      </w:r>
      <w:r w:rsidRPr="00527E7D" w:rsidR="007362B6">
        <w:t>(</w:t>
      </w:r>
      <w:r w:rsidRPr="00527E7D" w:rsidR="00471F1E">
        <w:t>ordering reimbursement</w:t>
      </w:r>
      <w:r w:rsidRPr="00527E7D" w:rsidR="007362B6">
        <w:t xml:space="preserve"> for </w:t>
      </w:r>
      <w:r w:rsidRPr="00527E7D" w:rsidR="002C1C3B">
        <w:t xml:space="preserve">all </w:t>
      </w:r>
      <w:r w:rsidRPr="00527E7D" w:rsidR="007362B6">
        <w:t>engineering fees</w:t>
      </w:r>
      <w:r w:rsidRPr="00527E7D" w:rsidR="002C1C3B">
        <w:t xml:space="preserve"> incurred by accommodating party include those</w:t>
      </w:r>
      <w:r w:rsidRPr="00527E7D" w:rsidR="007362B6">
        <w:t xml:space="preserve"> </w:t>
      </w:r>
      <w:r w:rsidRPr="00527E7D" w:rsidR="00471F1E">
        <w:t>for</w:t>
      </w:r>
      <w:r w:rsidRPr="00527E7D" w:rsidR="007362B6">
        <w:t xml:space="preserve"> “application preparation and technical comments”).</w:t>
      </w:r>
    </w:p>
  </w:footnote>
  <w:footnote w:id="53">
    <w:p w:rsidR="009774BA" w:rsidRPr="00527E7D" w:rsidP="00933567" w14:paraId="72D6D725" w14:textId="3BA2B5D8">
      <w:pPr>
        <w:pStyle w:val="FootnoteText"/>
        <w:spacing w:after="120"/>
      </w:pPr>
      <w:r w:rsidRPr="00527E7D">
        <w:rPr>
          <w:rStyle w:val="FootnoteReference"/>
        </w:rPr>
        <w:footnoteRef/>
      </w:r>
      <w:r w:rsidRPr="00527E7D">
        <w:t xml:space="preserve"> </w:t>
      </w:r>
      <w:r w:rsidRPr="00527E7D">
        <w:t xml:space="preserve">Report at </w:t>
      </w:r>
      <w:r w:rsidRPr="00527E7D" w:rsidR="002C1C3B">
        <w:t>Attach. 2.</w:t>
      </w:r>
    </w:p>
  </w:footnote>
  <w:footnote w:id="54">
    <w:p w:rsidR="00345608" w:rsidRPr="00527E7D" w:rsidP="00933567" w14:paraId="00F51230" w14:textId="72E19878">
      <w:pPr>
        <w:pStyle w:val="FootnoteText"/>
        <w:spacing w:after="120"/>
      </w:pPr>
      <w:r w:rsidRPr="00527E7D">
        <w:rPr>
          <w:rStyle w:val="FootnoteReference"/>
        </w:rPr>
        <w:footnoteRef/>
      </w:r>
      <w:r w:rsidRPr="00527E7D">
        <w:t xml:space="preserve"> </w:t>
      </w:r>
      <w:r w:rsidRPr="00527E7D">
        <w:t xml:space="preserve">Reply at 10 (further describing the expenses listed in Attachment 1 to the Report).  </w:t>
      </w:r>
    </w:p>
  </w:footnote>
  <w:footnote w:id="55">
    <w:p w:rsidR="003C47D1" w:rsidRPr="00527E7D" w:rsidP="00933567" w14:paraId="57003D97" w14:textId="761316AF">
      <w:pPr>
        <w:pStyle w:val="FootnoteText"/>
        <w:spacing w:after="120"/>
      </w:pPr>
      <w:r w:rsidRPr="00527E7D">
        <w:rPr>
          <w:rStyle w:val="FootnoteReference"/>
        </w:rPr>
        <w:footnoteRef/>
      </w:r>
      <w:r w:rsidRPr="00527E7D">
        <w:t xml:space="preserve"> </w:t>
      </w:r>
      <w:r w:rsidRPr="00527E7D" w:rsidR="00847C24">
        <w:t>Report</w:t>
      </w:r>
      <w:r w:rsidRPr="00527E7D">
        <w:t xml:space="preserve"> at Attach. 3.</w:t>
      </w:r>
    </w:p>
  </w:footnote>
  <w:footnote w:id="56">
    <w:p w:rsidR="007024BA" w:rsidRPr="00527E7D" w:rsidP="00933567" w14:paraId="1CC3397F" w14:textId="119C136C">
      <w:pPr>
        <w:pStyle w:val="FootnoteText"/>
        <w:spacing w:after="120"/>
        <w:rPr>
          <w:b/>
          <w:bCs/>
        </w:rPr>
      </w:pPr>
      <w:r w:rsidRPr="00527E7D">
        <w:rPr>
          <w:rStyle w:val="FootnoteReference"/>
        </w:rPr>
        <w:footnoteRef/>
      </w:r>
      <w:r w:rsidRPr="00527E7D">
        <w:t xml:space="preserve"> </w:t>
      </w:r>
      <w:r w:rsidRPr="00527E7D" w:rsidR="002C1C3B">
        <w:rPr>
          <w:i/>
          <w:iCs/>
        </w:rPr>
        <w:t>Id</w:t>
      </w:r>
      <w:r w:rsidRPr="00527E7D">
        <w:t xml:space="preserve">.  </w:t>
      </w:r>
      <w:r w:rsidR="009219CB">
        <w:t>This</w:t>
      </w:r>
      <w:r w:rsidRPr="00527E7D" w:rsidR="005D4D5E">
        <w:t xml:space="preserve"> legal work</w:t>
      </w:r>
      <w:r w:rsidR="009219CB">
        <w:t xml:space="preserve"> was</w:t>
      </w:r>
      <w:r w:rsidR="008E69DE">
        <w:t xml:space="preserve"> performed</w:t>
      </w:r>
      <w:r w:rsidRPr="00527E7D">
        <w:t xml:space="preserve"> on September 14, 2020</w:t>
      </w:r>
      <w:r w:rsidRPr="00527E7D" w:rsidR="00A11121">
        <w:t xml:space="preserve">, </w:t>
      </w:r>
      <w:r w:rsidR="008E69DE">
        <w:t xml:space="preserve">and </w:t>
      </w:r>
      <w:r w:rsidRPr="00527E7D" w:rsidR="00A11121">
        <w:t>October 15,</w:t>
      </w:r>
      <w:r w:rsidR="008E69DE">
        <w:t xml:space="preserve"> 19, and 20,</w:t>
      </w:r>
      <w:r w:rsidRPr="00527E7D" w:rsidR="00A11121">
        <w:t xml:space="preserve"> 2020</w:t>
      </w:r>
      <w:r w:rsidRPr="00527E7D" w:rsidR="007340A2">
        <w:t>.</w:t>
      </w:r>
    </w:p>
  </w:footnote>
  <w:footnote w:id="57">
    <w:p w:rsidR="007024BA" w:rsidRPr="00527E7D" w:rsidP="00933567" w14:paraId="3531D476" w14:textId="2663A334">
      <w:pPr>
        <w:pStyle w:val="FootnoteText"/>
        <w:spacing w:after="120"/>
      </w:pPr>
      <w:r w:rsidRPr="00527E7D">
        <w:rPr>
          <w:rStyle w:val="FootnoteReference"/>
        </w:rPr>
        <w:footnoteRef/>
      </w:r>
      <w:r w:rsidRPr="00527E7D">
        <w:t xml:space="preserve"> </w:t>
      </w:r>
      <w:r w:rsidRPr="00527E7D" w:rsidR="009F5C3D">
        <w:rPr>
          <w:i/>
          <w:iCs/>
        </w:rPr>
        <w:t>Id</w:t>
      </w:r>
      <w:r w:rsidRPr="00527E7D" w:rsidR="009F5C3D">
        <w:t>.</w:t>
      </w:r>
      <w:r w:rsidRPr="00527E7D">
        <w:t xml:space="preserve"> </w:t>
      </w:r>
      <w:r w:rsidRPr="00527E7D" w:rsidR="009F5C3D">
        <w:t xml:space="preserve"> </w:t>
      </w:r>
      <w:r w:rsidRPr="00527E7D" w:rsidR="00A11121">
        <w:t xml:space="preserve">This </w:t>
      </w:r>
      <w:r w:rsidR="009219CB">
        <w:t>legal work was</w:t>
      </w:r>
      <w:r w:rsidRPr="00527E7D" w:rsidR="005D4D5E">
        <w:t xml:space="preserve"> </w:t>
      </w:r>
      <w:r w:rsidR="008E69DE">
        <w:t xml:space="preserve">performed on </w:t>
      </w:r>
      <w:r w:rsidR="005010D5">
        <w:t xml:space="preserve">October </w:t>
      </w:r>
      <w:r w:rsidR="000A0FD4">
        <w:t xml:space="preserve">21, 2020, </w:t>
      </w:r>
      <w:r w:rsidR="008E69DE">
        <w:t>N</w:t>
      </w:r>
      <w:r w:rsidRPr="00527E7D" w:rsidR="00230111">
        <w:t>ovember 12</w:t>
      </w:r>
      <w:r w:rsidR="008E69DE">
        <w:t xml:space="preserve"> and 25</w:t>
      </w:r>
      <w:r w:rsidR="00767405">
        <w:t>,</w:t>
      </w:r>
      <w:r w:rsidRPr="00527E7D" w:rsidR="00230111">
        <w:t xml:space="preserve"> 2020, December 8, 2020, </w:t>
      </w:r>
      <w:r w:rsidR="008E69DE">
        <w:t xml:space="preserve">and </w:t>
      </w:r>
      <w:r w:rsidRPr="00527E7D" w:rsidR="006D525C">
        <w:t xml:space="preserve">January </w:t>
      </w:r>
      <w:r w:rsidR="000A0FD4">
        <w:t xml:space="preserve">25, 26, 28 and </w:t>
      </w:r>
      <w:r w:rsidRPr="00527E7D" w:rsidR="006D525C">
        <w:t xml:space="preserve">31, 2022.  </w:t>
      </w:r>
      <w:r w:rsidRPr="00527E7D" w:rsidR="005E51B2">
        <w:t xml:space="preserve">All of this work was performed after we issued </w:t>
      </w:r>
      <w:r w:rsidR="008E69DE">
        <w:t xml:space="preserve">the </w:t>
      </w:r>
      <w:r w:rsidRPr="008E69DE" w:rsidR="008E69DE">
        <w:rPr>
          <w:i/>
          <w:iCs/>
        </w:rPr>
        <w:t>Letter Decision</w:t>
      </w:r>
      <w:r w:rsidRPr="00527E7D" w:rsidR="00781A2E">
        <w:t xml:space="preserve">.  </w:t>
      </w:r>
    </w:p>
  </w:footnote>
  <w:footnote w:id="58">
    <w:p w:rsidR="006D525C" w:rsidRPr="00527E7D" w:rsidP="00933567" w14:paraId="365452DA" w14:textId="455B5337">
      <w:pPr>
        <w:pStyle w:val="FootnoteText"/>
        <w:spacing w:after="120"/>
      </w:pPr>
      <w:r w:rsidRPr="00527E7D">
        <w:rPr>
          <w:rStyle w:val="FootnoteReference"/>
        </w:rPr>
        <w:footnoteRef/>
      </w:r>
      <w:r w:rsidRPr="00527E7D">
        <w:t xml:space="preserve"> </w:t>
      </w:r>
      <w:r w:rsidRPr="00527E7D" w:rsidR="00312E71">
        <w:rPr>
          <w:i/>
          <w:iCs/>
        </w:rPr>
        <w:t>See, e.g., Henderson</w:t>
      </w:r>
      <w:r w:rsidRPr="00527E7D" w:rsidR="00312E71">
        <w:t xml:space="preserve">, DA 22-144, at 11 (noting Commission has allowed reimbursement for legal expenses “incurred in the negotiation process”); </w:t>
      </w:r>
      <w:r w:rsidRPr="00527E7D" w:rsidR="00312E71">
        <w:rPr>
          <w:i/>
          <w:iCs/>
        </w:rPr>
        <w:t>Jahnke</w:t>
      </w:r>
      <w:r w:rsidRPr="00527E7D" w:rsidR="00312E71">
        <w:t xml:space="preserve">, 74 FCC 2d. </w:t>
      </w:r>
      <w:r w:rsidR="00F12F67">
        <w:t xml:space="preserve">at </w:t>
      </w:r>
      <w:r w:rsidRPr="00527E7D" w:rsidR="00312E71">
        <w:t>270, para. 8, 274, paras. 16, 17 (requiring reimbursement for legal expenses “incurred in the negotiation process” and legal work related to filing of FCC application to implement channel change).</w:t>
      </w:r>
      <w:r w:rsidRPr="00527E7D" w:rsidR="007F6161">
        <w:t xml:space="preserve"> </w:t>
      </w:r>
    </w:p>
  </w:footnote>
  <w:footnote w:id="59">
    <w:p w:rsidR="00334D01" w:rsidRPr="00527E7D" w:rsidP="00933567" w14:paraId="36D8E26D" w14:textId="7F6EC8CD">
      <w:pPr>
        <w:pStyle w:val="FootnoteText"/>
        <w:spacing w:after="120"/>
      </w:pPr>
      <w:r w:rsidRPr="00527E7D">
        <w:rPr>
          <w:rStyle w:val="FootnoteReference"/>
        </w:rPr>
        <w:footnoteRef/>
      </w:r>
      <w:r w:rsidRPr="00527E7D">
        <w:t xml:space="preserve"> </w:t>
      </w:r>
      <w:r w:rsidRPr="00527E7D">
        <w:t>Response at 9-10.</w:t>
      </w:r>
    </w:p>
  </w:footnote>
  <w:footnote w:id="60">
    <w:p w:rsidR="0093397E" w:rsidRPr="00527E7D" w:rsidP="00933567" w14:paraId="1BB1C219" w14:textId="452C5B47">
      <w:pPr>
        <w:pStyle w:val="FootnoteText"/>
        <w:spacing w:after="120"/>
      </w:pPr>
      <w:r w:rsidRPr="00527E7D">
        <w:rPr>
          <w:rStyle w:val="FootnoteReference"/>
        </w:rPr>
        <w:footnoteRef/>
      </w:r>
      <w:r w:rsidRPr="00527E7D">
        <w:t xml:space="preserve"> </w:t>
      </w:r>
      <w:r w:rsidRPr="00527E7D">
        <w:rPr>
          <w:i/>
          <w:iCs/>
        </w:rPr>
        <w:t xml:space="preserve">See </w:t>
      </w:r>
      <w:r w:rsidRPr="00527E7D" w:rsidR="0006270A">
        <w:t xml:space="preserve">Entravision Holdings, LLC, Request for Removal of Special Operating Condition and Issuance of Revised Construction Permit, File No. BPH-20190723AAN (dated Jan. 6, 2021) </w:t>
      </w:r>
      <w:r w:rsidRPr="005F7D63" w:rsidR="0006270A">
        <w:t>(Request)</w:t>
      </w:r>
      <w:r w:rsidRPr="005F7D63" w:rsidR="00A510A9">
        <w:t xml:space="preserve">; </w:t>
      </w:r>
      <w:r w:rsidRPr="005F7D63" w:rsidR="002D79FB">
        <w:t>Lett</w:t>
      </w:r>
      <w:r w:rsidRPr="00527E7D" w:rsidR="002D79FB">
        <w:t>er from Barry A. Friedman, Counsel, Entravision Holdings, LLC, to Marlene H. Dortch, Secretary, FCC, File No. BPH-20190723AAN, at 2-3 (dated Jan. 15, 2021); Letter from Barry A. Friedman, Counsel, Entravision Holdings, LLC, to Marlene H. Dortch, Secretary, FCC, File No. BPH-20190723AAN, at 1, n.1 (dated Jan. 25, 2021)</w:t>
      </w:r>
      <w:r w:rsidRPr="00527E7D" w:rsidR="00593ED7">
        <w:t xml:space="preserve">; </w:t>
      </w:r>
      <w:r w:rsidRPr="00527E7D" w:rsidR="004C661D">
        <w:t>Letter from Barry A. Friedman, Counsel, Entravision Holdings, LLC, to Marlene H. Dortch, Secretary, FCC, File No. BPH-20190723AAN, at 3 (dated Feb. 4, 2021); Letter from Barry A. Friedman, Counsel, Entravision Holdings, LLC, to Marlene H. Dortch, Secretary, FCC, File No. BPH-20190723AAN, at 2-3 (dated July 23, 2021)</w:t>
      </w:r>
      <w:r w:rsidRPr="00527E7D" w:rsidR="009F3B4C">
        <w:t xml:space="preserve">.  </w:t>
      </w:r>
      <w:r w:rsidRPr="00527E7D" w:rsidR="004E3A17">
        <w:t>This legal work</w:t>
      </w:r>
      <w:r w:rsidR="004E3A17">
        <w:t xml:space="preserve"> was performed on </w:t>
      </w:r>
      <w:r w:rsidRPr="00527E7D" w:rsidR="004E3A17">
        <w:t xml:space="preserve">January 6, </w:t>
      </w:r>
      <w:r w:rsidR="004E3A17">
        <w:t>7,</w:t>
      </w:r>
      <w:r w:rsidR="00767405">
        <w:t xml:space="preserve"> </w:t>
      </w:r>
      <w:r w:rsidR="004E3A17">
        <w:t xml:space="preserve">8, 11, 12, 13, 14, 19, 20, 21, 22, 25, 26, 28, and 29, </w:t>
      </w:r>
      <w:r w:rsidRPr="00527E7D" w:rsidR="004E3A17">
        <w:t>2021, February 1,</w:t>
      </w:r>
      <w:r w:rsidR="004E3A17">
        <w:t xml:space="preserve"> 3, and 4,</w:t>
      </w:r>
      <w:r w:rsidRPr="00527E7D" w:rsidR="004E3A17">
        <w:t xml:space="preserve"> 2021, July 26, 2021, </w:t>
      </w:r>
      <w:r w:rsidR="004E3A17">
        <w:t xml:space="preserve">and </w:t>
      </w:r>
      <w:r w:rsidRPr="00527E7D" w:rsidR="004E3A17">
        <w:t xml:space="preserve">August 2, </w:t>
      </w:r>
      <w:r w:rsidR="004E3A17">
        <w:t xml:space="preserve">and 3, </w:t>
      </w:r>
      <w:r w:rsidRPr="00527E7D" w:rsidR="004E3A17">
        <w:t xml:space="preserve">2021.  </w:t>
      </w:r>
      <w:r w:rsidRPr="00527E7D" w:rsidR="004E3A17">
        <w:rPr>
          <w:i/>
          <w:iCs/>
        </w:rPr>
        <w:t>See</w:t>
      </w:r>
      <w:r w:rsidRPr="00527E7D" w:rsidR="004E3A17">
        <w:t xml:space="preserve"> Report at Attach 3.</w:t>
      </w:r>
    </w:p>
  </w:footnote>
  <w:footnote w:id="61">
    <w:p w:rsidR="0006270A" w:rsidRPr="00527E7D" w:rsidP="00933567" w14:paraId="77989120" w14:textId="0891C2D2">
      <w:pPr>
        <w:pStyle w:val="FootnoteText"/>
        <w:spacing w:after="120"/>
      </w:pPr>
      <w:r w:rsidRPr="00527E7D">
        <w:rPr>
          <w:rStyle w:val="FootnoteReference"/>
        </w:rPr>
        <w:footnoteRef/>
      </w:r>
      <w:r w:rsidRPr="00527E7D">
        <w:t xml:space="preserve"> </w:t>
      </w:r>
      <w:r w:rsidRPr="00527E7D">
        <w:rPr>
          <w:i/>
          <w:iCs/>
        </w:rPr>
        <w:t>Henderson</w:t>
      </w:r>
      <w:r w:rsidRPr="00527E7D">
        <w:t>, DA 22-144, at 11</w:t>
      </w:r>
      <w:r w:rsidRPr="00527E7D" w:rsidR="00305F7E">
        <w:t>, and 12, n.65</w:t>
      </w:r>
      <w:r w:rsidRPr="00527E7D">
        <w:t xml:space="preserve"> (noting</w:t>
      </w:r>
      <w:r w:rsidRPr="00527E7D" w:rsidR="00305F7E">
        <w:t xml:space="preserve"> that legal expenses related to the involuntary channel change are reimbursable</w:t>
      </w:r>
      <w:r w:rsidRPr="00527E7D">
        <w:t>).</w:t>
      </w:r>
    </w:p>
  </w:footnote>
  <w:footnote w:id="62">
    <w:p w:rsidR="0093397E" w:rsidRPr="00527E7D" w:rsidP="00933567" w14:paraId="0D6FF5ED" w14:textId="5AEB9EF2">
      <w:pPr>
        <w:pStyle w:val="FootnoteText"/>
        <w:spacing w:after="120"/>
      </w:pPr>
      <w:r w:rsidRPr="00527E7D">
        <w:rPr>
          <w:rStyle w:val="FootnoteReference"/>
        </w:rPr>
        <w:footnoteRef/>
      </w:r>
      <w:r w:rsidRPr="00527E7D">
        <w:t xml:space="preserve"> </w:t>
      </w:r>
      <w:r w:rsidRPr="00527E7D">
        <w:t xml:space="preserve">As we stated in </w:t>
      </w:r>
      <w:r w:rsidRPr="00527E7D">
        <w:rPr>
          <w:i/>
          <w:iCs/>
        </w:rPr>
        <w:t>Jahnke</w:t>
      </w:r>
      <w:r w:rsidRPr="00527E7D">
        <w:t xml:space="preserve">, the right to receive reimbursement extends to “those expenses which [an accommodating party] unavoidably incurred because of our order to change channels”).  </w:t>
      </w:r>
      <w:r w:rsidRPr="00527E7D" w:rsidR="006A53EC">
        <w:rPr>
          <w:i/>
          <w:iCs/>
        </w:rPr>
        <w:t>Jahnke</w:t>
      </w:r>
      <w:r w:rsidRPr="00527E7D" w:rsidR="006A53EC">
        <w:t xml:space="preserve">, 74 FCC 2d </w:t>
      </w:r>
      <w:r w:rsidRPr="00527E7D" w:rsidR="00730ED5">
        <w:t>at</w:t>
      </w:r>
      <w:r w:rsidRPr="00527E7D" w:rsidR="006A53EC">
        <w:t xml:space="preserve"> 273, para. 15.</w:t>
      </w:r>
    </w:p>
  </w:footnote>
  <w:footnote w:id="63">
    <w:p w:rsidR="00F011F3" w:rsidRPr="00527E7D" w:rsidP="00933567" w14:paraId="6FC55E53" w14:textId="5F476F2C">
      <w:pPr>
        <w:pStyle w:val="FootnoteText"/>
        <w:spacing w:after="120"/>
      </w:pPr>
      <w:r w:rsidRPr="00527E7D">
        <w:rPr>
          <w:rStyle w:val="FootnoteReference"/>
        </w:rPr>
        <w:footnoteRef/>
      </w:r>
      <w:r w:rsidRPr="00527E7D">
        <w:t xml:space="preserve"> </w:t>
      </w:r>
      <w:r w:rsidRPr="00527E7D">
        <w:t xml:space="preserve">Response at </w:t>
      </w:r>
      <w:r w:rsidRPr="00527E7D" w:rsidR="003E2D8C">
        <w:t>9</w:t>
      </w:r>
      <w:r w:rsidRPr="00527E7D">
        <w:t xml:space="preserve"> (</w:t>
      </w:r>
      <w:r w:rsidRPr="00527E7D" w:rsidR="003E2D8C">
        <w:t xml:space="preserve">arguing that we should “remove[ ] from consideration … all bills rendered prior to July 21, 2020, when the Media Bureau issue[d] its Order granting the involuntary channel change for KPPV” and citing </w:t>
      </w:r>
      <w:r w:rsidRPr="00527E7D" w:rsidR="003E2D8C">
        <w:rPr>
          <w:i/>
          <w:iCs/>
        </w:rPr>
        <w:t>Henderson</w:t>
      </w:r>
      <w:r w:rsidRPr="00527E7D">
        <w:t>).</w:t>
      </w:r>
      <w:r w:rsidRPr="00527E7D" w:rsidR="007F6161">
        <w:t xml:space="preserve">  </w:t>
      </w:r>
      <w:r w:rsidRPr="00527E7D" w:rsidR="007F6161">
        <w:rPr>
          <w:i/>
          <w:iCs/>
        </w:rPr>
        <w:t>See also</w:t>
      </w:r>
      <w:r w:rsidRPr="00527E7D" w:rsidR="007F6161">
        <w:t xml:space="preserve"> </w:t>
      </w:r>
      <w:r w:rsidRPr="00527E7D" w:rsidR="007F6161">
        <w:rPr>
          <w:i/>
          <w:iCs/>
        </w:rPr>
        <w:t>Henderson</w:t>
      </w:r>
      <w:r w:rsidRPr="00527E7D" w:rsidR="007F6161">
        <w:t>, DA 22-144, at 12, n.65 (“[A]</w:t>
      </w:r>
      <w:r w:rsidRPr="00527E7D" w:rsidR="007F6161">
        <w:t>ny</w:t>
      </w:r>
      <w:r w:rsidRPr="00527E7D" w:rsidR="007F6161">
        <w:t xml:space="preserve"> legal expenses incurred prior to the release of the </w:t>
      </w:r>
      <w:r w:rsidRPr="00527E7D" w:rsidR="007F6161">
        <w:rPr>
          <w:i/>
          <w:iCs/>
        </w:rPr>
        <w:t>Ganado Order</w:t>
      </w:r>
      <w:r w:rsidRPr="00527E7D" w:rsidR="007F6161">
        <w:t xml:space="preserve"> (</w:t>
      </w:r>
      <w:r w:rsidRPr="00375385" w:rsidR="007F6161">
        <w:rPr>
          <w:i/>
          <w:iCs/>
        </w:rPr>
        <w:t>i.e</w:t>
      </w:r>
      <w:r w:rsidRPr="00527E7D" w:rsidR="007F6161">
        <w:t>., the order directing the involuntary channel change) are not required to be reimbursed.”).</w:t>
      </w:r>
    </w:p>
  </w:footnote>
  <w:footnote w:id="64">
    <w:p w:rsidR="00676301" w:rsidRPr="00527E7D" w:rsidP="00933567" w14:paraId="319D377D" w14:textId="713CFF89">
      <w:pPr>
        <w:pStyle w:val="FootnoteText"/>
        <w:spacing w:after="120"/>
      </w:pPr>
      <w:r w:rsidRPr="00527E7D">
        <w:rPr>
          <w:rStyle w:val="FootnoteReference"/>
        </w:rPr>
        <w:footnoteRef/>
      </w:r>
      <w:r w:rsidRPr="00527E7D">
        <w:t xml:space="preserve"> </w:t>
      </w:r>
      <w:r w:rsidRPr="00527E7D">
        <w:t xml:space="preserve">Report at Attach. 3.  PVBC submitted invoices for work performed between July </w:t>
      </w:r>
      <w:r w:rsidRPr="00527E7D" w:rsidR="00F011F3">
        <w:t xml:space="preserve">30, </w:t>
      </w:r>
      <w:r w:rsidRPr="00527E7D">
        <w:t xml:space="preserve">2019 and </w:t>
      </w:r>
      <w:r w:rsidRPr="00527E7D" w:rsidR="00F011F3">
        <w:t xml:space="preserve">January 3, 2020.  All of this legal work was performed prior to release of the </w:t>
      </w:r>
      <w:r w:rsidRPr="00527E7D" w:rsidR="00F011F3">
        <w:rPr>
          <w:i/>
          <w:iCs/>
        </w:rPr>
        <w:t>Letter Decision</w:t>
      </w:r>
      <w:r w:rsidRPr="00527E7D" w:rsidR="00F011F3">
        <w:t xml:space="preserve"> on July 21, 2020</w:t>
      </w:r>
      <w:r w:rsidRPr="00527E7D" w:rsidR="009B504B">
        <w:t>, and is not reimbursable</w:t>
      </w:r>
      <w:r w:rsidRPr="00527E7D" w:rsidR="00F011F3">
        <w:t>.</w:t>
      </w:r>
    </w:p>
  </w:footnote>
  <w:footnote w:id="65">
    <w:p w:rsidR="00C308BB" w:rsidRPr="00527E7D" w:rsidP="00933567" w14:paraId="0E3C4B16" w14:textId="3C4A8EC8">
      <w:pPr>
        <w:pStyle w:val="FootnoteText"/>
        <w:spacing w:after="120"/>
      </w:pPr>
      <w:r w:rsidRPr="00527E7D">
        <w:rPr>
          <w:rStyle w:val="FootnoteReference"/>
        </w:rPr>
        <w:footnoteRef/>
      </w:r>
      <w:r w:rsidRPr="00527E7D">
        <w:t xml:space="preserve"> </w:t>
      </w:r>
      <w:r w:rsidRPr="00527E7D">
        <w:t xml:space="preserve">This </w:t>
      </w:r>
      <w:r w:rsidR="00C54142">
        <w:t>legal work was performed</w:t>
      </w:r>
      <w:r w:rsidRPr="00527E7D">
        <w:t xml:space="preserve"> on July 23, </w:t>
      </w:r>
      <w:r w:rsidR="00C54142">
        <w:t xml:space="preserve">and 25, </w:t>
      </w:r>
      <w:r w:rsidRPr="00527E7D">
        <w:t>2020, August 3,</w:t>
      </w:r>
      <w:r w:rsidR="00C54142">
        <w:t xml:space="preserve"> 5, 18, 24, and 25,</w:t>
      </w:r>
      <w:r w:rsidRPr="00527E7D">
        <w:t xml:space="preserve"> 2020, September 9, </w:t>
      </w:r>
      <w:r w:rsidR="007B358C">
        <w:t xml:space="preserve">11, 21, 23, 24, 25, and 29, </w:t>
      </w:r>
      <w:r w:rsidRPr="00527E7D">
        <w:t xml:space="preserve">2020, October 2, </w:t>
      </w:r>
      <w:r w:rsidR="007B358C">
        <w:t xml:space="preserve">8, 13, and 14, </w:t>
      </w:r>
      <w:r w:rsidRPr="00527E7D">
        <w:t>2020, November 9,</w:t>
      </w:r>
      <w:r w:rsidR="007B358C">
        <w:t xml:space="preserve"> 10, 11, 16, 19, and 20,</w:t>
      </w:r>
      <w:r w:rsidRPr="00527E7D">
        <w:t xml:space="preserve"> 2020, December 15, </w:t>
      </w:r>
      <w:r w:rsidR="007B358C">
        <w:t xml:space="preserve">16, 18, 21 22, and 23, </w:t>
      </w:r>
      <w:r w:rsidRPr="00527E7D">
        <w:t>2020</w:t>
      </w:r>
      <w:r w:rsidR="007B358C">
        <w:t>.</w:t>
      </w:r>
      <w:r w:rsidRPr="00527E7D" w:rsidR="00354676">
        <w:t xml:space="preserve">  </w:t>
      </w:r>
      <w:r w:rsidRPr="00527E7D" w:rsidR="00914317">
        <w:t xml:space="preserve">Report at Attach. 3.  </w:t>
      </w:r>
      <w:r w:rsidRPr="00527E7D" w:rsidR="00354676">
        <w:t xml:space="preserve">These fees relate to the Petition for Reconsideration </w:t>
      </w:r>
      <w:r w:rsidRPr="00357962" w:rsidR="00354676">
        <w:t>(Petition) that</w:t>
      </w:r>
      <w:r w:rsidRPr="00527E7D" w:rsidR="00354676">
        <w:t xml:space="preserve"> PVBC filed</w:t>
      </w:r>
      <w:r w:rsidRPr="00527E7D" w:rsidR="002C6378">
        <w:t xml:space="preserve"> on August 19, 2020</w:t>
      </w:r>
      <w:r w:rsidRPr="00527E7D" w:rsidR="00354676">
        <w:t>, (2) the Request for Stay that PVBC filed at the same time as the Petition, and (3) the Application for Review that PVBC filed after we denied the Petition and dismissed the Request for Stay.  Prescott Valley Broad. Co. Inc., Petition for Reconsideration, File No. BPH-20190723AAN (filed Aug. 19, 2020); Prescott Valley Broad. Co., Inc., Request for Stay, File No. BPH-20190723AAN (filed Aug. 19, 2020); Prescott Valley Broad. Co. Inc., Application for Review, File No. BPH-20190723AAN (dated Nov. 20, 2020).</w:t>
      </w:r>
    </w:p>
  </w:footnote>
  <w:footnote w:id="66">
    <w:p w:rsidR="00AA642E" w:rsidRPr="00527E7D" w:rsidP="00933567" w14:paraId="61E9D019" w14:textId="5F220FE3">
      <w:pPr>
        <w:pStyle w:val="FootnoteText"/>
        <w:spacing w:after="120"/>
      </w:pPr>
      <w:r w:rsidRPr="00527E7D">
        <w:rPr>
          <w:rStyle w:val="FootnoteReference"/>
        </w:rPr>
        <w:footnoteRef/>
      </w:r>
      <w:r w:rsidRPr="00527E7D">
        <w:t xml:space="preserve"> </w:t>
      </w:r>
      <w:r w:rsidRPr="00527E7D">
        <w:t>Response at 9-10.</w:t>
      </w:r>
    </w:p>
  </w:footnote>
  <w:footnote w:id="67">
    <w:p w:rsidR="006B5DEF" w:rsidRPr="00527E7D" w:rsidP="00933567" w14:paraId="0EDCAF45" w14:textId="4DFDD535">
      <w:pPr>
        <w:pStyle w:val="FootnoteText"/>
        <w:spacing w:after="120"/>
      </w:pPr>
      <w:r w:rsidRPr="00527E7D">
        <w:rPr>
          <w:rStyle w:val="FootnoteReference"/>
        </w:rPr>
        <w:footnoteRef/>
      </w:r>
      <w:r w:rsidRPr="00527E7D">
        <w:t xml:space="preserve"> </w:t>
      </w:r>
      <w:r w:rsidRPr="00527E7D" w:rsidR="00CB5247">
        <w:t>We acknowledge that</w:t>
      </w:r>
      <w:r w:rsidRPr="00527E7D">
        <w:t xml:space="preserve"> </w:t>
      </w:r>
      <w:r w:rsidRPr="00527E7D">
        <w:rPr>
          <w:i/>
          <w:iCs/>
        </w:rPr>
        <w:t>KBEX(FM)</w:t>
      </w:r>
      <w:r w:rsidRPr="00527E7D">
        <w:t xml:space="preserve"> indicates that legal fees related to questioning a benefitting party’s financial qualifications could be a reimbursable expense if the benefitting party’s financial qualifications were at issue.  </w:t>
      </w:r>
      <w:r w:rsidRPr="00527E7D" w:rsidR="00CB5247">
        <w:rPr>
          <w:i/>
          <w:iCs/>
        </w:rPr>
        <w:t>KBEX(FM</w:t>
      </w:r>
      <w:r w:rsidRPr="00527E7D" w:rsidR="00CB5247">
        <w:t xml:space="preserve">), </w:t>
      </w:r>
      <w:r w:rsidRPr="00527E7D" w:rsidR="004252C4">
        <w:t>28</w:t>
      </w:r>
      <w:r w:rsidRPr="00527E7D" w:rsidR="00CB5247">
        <w:t xml:space="preserve"> FCC </w:t>
      </w:r>
      <w:r w:rsidRPr="00527E7D" w:rsidR="00CB5247">
        <w:t>Rcd</w:t>
      </w:r>
      <w:r w:rsidRPr="00527E7D" w:rsidR="004252C4">
        <w:t xml:space="preserve"> at</w:t>
      </w:r>
      <w:r w:rsidRPr="00527E7D" w:rsidR="00CB5247">
        <w:t xml:space="preserve"> </w:t>
      </w:r>
      <w:r w:rsidRPr="00527E7D" w:rsidR="004252C4">
        <w:t xml:space="preserve">3238, </w:t>
      </w:r>
      <w:r w:rsidRPr="00527E7D" w:rsidR="00A8446F">
        <w:t xml:space="preserve">n.23.  </w:t>
      </w:r>
      <w:r w:rsidRPr="00527E7D" w:rsidR="00A8446F">
        <w:rPr>
          <w:i/>
          <w:iCs/>
        </w:rPr>
        <w:t>KBEX(FM)</w:t>
      </w:r>
      <w:r w:rsidRPr="00527E7D" w:rsidR="00A8446F">
        <w:t xml:space="preserve"> is inapposite, however, because</w:t>
      </w:r>
      <w:r w:rsidRPr="00527E7D">
        <w:t xml:space="preserve"> Entravision’s financial qualifications were never at issue here.  </w:t>
      </w:r>
    </w:p>
  </w:footnote>
  <w:footnote w:id="68">
    <w:p w:rsidR="009B7FBB" w:rsidRPr="00527E7D" w:rsidP="00933567" w14:paraId="626F9C0D" w14:textId="6467763D">
      <w:pPr>
        <w:pStyle w:val="FootnoteText"/>
        <w:spacing w:after="120"/>
      </w:pPr>
      <w:r w:rsidRPr="00527E7D">
        <w:rPr>
          <w:rStyle w:val="FootnoteReference"/>
        </w:rPr>
        <w:footnoteRef/>
      </w:r>
      <w:r w:rsidRPr="00527E7D">
        <w:t xml:space="preserve"> </w:t>
      </w:r>
      <w:r w:rsidRPr="00527E7D">
        <w:rPr>
          <w:i/>
          <w:iCs/>
        </w:rPr>
        <w:t>Jahnke</w:t>
      </w:r>
      <w:r w:rsidRPr="00527E7D">
        <w:t xml:space="preserve">, 74 FCC 2d. at </w:t>
      </w:r>
      <w:r w:rsidRPr="00527E7D" w:rsidR="00930DA6">
        <w:t>273</w:t>
      </w:r>
      <w:r w:rsidR="00E745B1">
        <w:t xml:space="preserve">, para. </w:t>
      </w:r>
      <w:r w:rsidR="00797FBD">
        <w:t>15.</w:t>
      </w:r>
    </w:p>
  </w:footnote>
  <w:footnote w:id="69">
    <w:p w:rsidR="00333844" w:rsidRPr="00527E7D" w:rsidP="00933567" w14:paraId="494DF1F3" w14:textId="304489A3">
      <w:pPr>
        <w:pStyle w:val="FootnoteText"/>
        <w:spacing w:after="120"/>
      </w:pPr>
      <w:r w:rsidRPr="00527E7D">
        <w:rPr>
          <w:rStyle w:val="FootnoteReference"/>
        </w:rPr>
        <w:footnoteRef/>
      </w:r>
      <w:r w:rsidRPr="00527E7D">
        <w:t xml:space="preserve"> </w:t>
      </w:r>
      <w:r w:rsidRPr="00527E7D">
        <w:t>Report at Attach. 3.  The work performed on August 12, 2020</w:t>
      </w:r>
      <w:r w:rsidRPr="00527E7D" w:rsidR="009A6068">
        <w:t xml:space="preserve">, is described as a conference regarding “FCC public file requirements.”  </w:t>
      </w:r>
      <w:r w:rsidRPr="00527E7D" w:rsidR="009A6068">
        <w:rPr>
          <w:i/>
          <w:iCs/>
        </w:rPr>
        <w:t>Id</w:t>
      </w:r>
      <w:r w:rsidRPr="00527E7D" w:rsidR="009A6068">
        <w:t xml:space="preserve">.  The work performed on August 28, 2020, is described as research and a conference regarding “C-Band earth stations.”  </w:t>
      </w:r>
      <w:r w:rsidRPr="00527E7D" w:rsidR="009A6068">
        <w:rPr>
          <w:i/>
          <w:iCs/>
        </w:rPr>
        <w:t>Id</w:t>
      </w:r>
      <w:r w:rsidRPr="00527E7D" w:rsidR="009A6068">
        <w:t>.</w:t>
      </w:r>
    </w:p>
  </w:footnote>
  <w:footnote w:id="70">
    <w:p w:rsidR="00FC7011" w:rsidRPr="001A26A6" w:rsidP="00933567" w14:paraId="7508AD79" w14:textId="4AB3BB8B">
      <w:pPr>
        <w:spacing w:after="120"/>
        <w:rPr>
          <w:sz w:val="22"/>
          <w:szCs w:val="22"/>
        </w:rPr>
      </w:pPr>
      <w:r w:rsidRPr="00527E7D">
        <w:rPr>
          <w:rStyle w:val="FootnoteReference"/>
        </w:rPr>
        <w:footnoteRef/>
      </w:r>
      <w:r w:rsidRPr="00527E7D">
        <w:t xml:space="preserve"> </w:t>
      </w:r>
      <w:r w:rsidRPr="00527E7D" w:rsidR="0074684D">
        <w:t xml:space="preserve">Report at Attach. </w:t>
      </w:r>
      <w:r w:rsidRPr="00527E7D" w:rsidR="007D3599">
        <w:t xml:space="preserve">1.  </w:t>
      </w:r>
      <w:r w:rsidRPr="00527E7D" w:rsidR="0074684D">
        <w:t xml:space="preserve">In the Reply, PVBC submitted additional information regarding </w:t>
      </w:r>
      <w:r w:rsidRPr="00527E7D" w:rsidR="00513A2E">
        <w:t>this equipment</w:t>
      </w:r>
      <w:r w:rsidRPr="00527E7D" w:rsidR="0074684D">
        <w:t>.</w:t>
      </w:r>
      <w:r w:rsidRPr="00527E7D" w:rsidR="00763B58">
        <w:t xml:space="preserve">  </w:t>
      </w:r>
      <w:r w:rsidRPr="00527E7D" w:rsidR="002F3A77">
        <w:t xml:space="preserve">Reply at 10.  </w:t>
      </w:r>
      <w:r w:rsidRPr="00527E7D" w:rsidR="00763B58">
        <w:t xml:space="preserve">Because we </w:t>
      </w:r>
      <w:r w:rsidRPr="00527E7D" w:rsidR="007D3599">
        <w:t>herein decide to accept</w:t>
      </w:r>
      <w:r w:rsidRPr="00527E7D" w:rsidR="00763B58">
        <w:t xml:space="preserve"> this information, and</w:t>
      </w:r>
      <w:r w:rsidRPr="00527E7D" w:rsidR="007D3599">
        <w:t xml:space="preserve"> </w:t>
      </w:r>
      <w:r w:rsidR="001B16B6">
        <w:t>provide</w:t>
      </w:r>
      <w:r w:rsidRPr="00527E7D" w:rsidR="007D3599">
        <w:t xml:space="preserve"> Entravision the opportunity to </w:t>
      </w:r>
      <w:r w:rsidR="002D4536">
        <w:t>reply</w:t>
      </w:r>
      <w:r w:rsidRPr="00527E7D" w:rsidR="002D4536">
        <w:t xml:space="preserve"> </w:t>
      </w:r>
      <w:r w:rsidRPr="00527E7D" w:rsidR="007D3599">
        <w:t xml:space="preserve">to </w:t>
      </w:r>
      <w:r w:rsidRPr="00527E7D" w:rsidR="00763B58">
        <w:t>it</w:t>
      </w:r>
      <w:r w:rsidRPr="00527E7D" w:rsidR="007D3599">
        <w:t xml:space="preserve">, we </w:t>
      </w:r>
      <w:r w:rsidR="001B16B6">
        <w:t xml:space="preserve">do not—at this time—make </w:t>
      </w:r>
      <w:r w:rsidRPr="00527E7D" w:rsidR="007D3599">
        <w:t xml:space="preserve">specific findings regarding </w:t>
      </w:r>
      <w:r w:rsidRPr="00527E7D" w:rsidR="00763B58">
        <w:t>the equipment listed in the Report</w:t>
      </w:r>
      <w:r w:rsidRPr="00EE591E" w:rsidR="00693FCE">
        <w:rPr>
          <w:sz w:val="22"/>
          <w:szCs w:val="22"/>
        </w:rPr>
        <w:t>.</w:t>
      </w:r>
    </w:p>
  </w:footnote>
  <w:footnote w:id="71">
    <w:p w:rsidR="003D015D" w:rsidRPr="00527E7D" w:rsidP="00933567" w14:paraId="646926DB" w14:textId="0DEE4D5B">
      <w:pPr>
        <w:pStyle w:val="FootnoteText"/>
        <w:spacing w:after="120"/>
      </w:pPr>
      <w:r w:rsidRPr="00527E7D">
        <w:rPr>
          <w:rStyle w:val="FootnoteReference"/>
        </w:rPr>
        <w:footnoteRef/>
      </w:r>
      <w:r w:rsidRPr="00527E7D">
        <w:t xml:space="preserve"> </w:t>
      </w:r>
      <w:r w:rsidRPr="00527E7D">
        <w:rPr>
          <w:i/>
          <w:iCs/>
        </w:rPr>
        <w:t>Circleville</w:t>
      </w:r>
      <w:r w:rsidRPr="00527E7D">
        <w:t xml:space="preserve">, 8 FCC 2d. at </w:t>
      </w:r>
      <w:r w:rsidRPr="00527E7D" w:rsidR="0057325C">
        <w:t>164, para. 12.</w:t>
      </w:r>
      <w:r w:rsidRPr="00527E7D" w:rsidR="00CA5E7D">
        <w:t xml:space="preserve">  Entravision is not required to pay for improving or modernizing KPPV(FM)’s facilities.  </w:t>
      </w:r>
      <w:r w:rsidRPr="00527E7D" w:rsidR="00CA5E7D">
        <w:rPr>
          <w:i/>
          <w:iCs/>
        </w:rPr>
        <w:t>Id</w:t>
      </w:r>
      <w:r w:rsidRPr="00527E7D" w:rsidR="00CA5E7D">
        <w:t>.</w:t>
      </w:r>
    </w:p>
  </w:footnote>
  <w:footnote w:id="72">
    <w:p w:rsidR="00D21FD1" w:rsidRPr="00527E7D" w:rsidP="00933567" w14:paraId="203B4F03" w14:textId="5A9F8625">
      <w:pPr>
        <w:pStyle w:val="FootnoteText"/>
        <w:spacing w:after="120"/>
      </w:pPr>
      <w:r w:rsidRPr="00527E7D">
        <w:rPr>
          <w:rStyle w:val="FootnoteReference"/>
        </w:rPr>
        <w:footnoteRef/>
      </w:r>
      <w:r w:rsidRPr="00527E7D">
        <w:t xml:space="preserve"> </w:t>
      </w:r>
      <w:r w:rsidRPr="00527E7D" w:rsidR="00E70EAC">
        <w:rPr>
          <w:i/>
          <w:iCs/>
        </w:rPr>
        <w:t>KBEX(FM)</w:t>
      </w:r>
      <w:r w:rsidRPr="00527E7D" w:rsidR="00E70EAC">
        <w:t xml:space="preserve">, </w:t>
      </w:r>
      <w:r w:rsidRPr="00527E7D" w:rsidR="002F36F9">
        <w:t xml:space="preserve">28 FCC </w:t>
      </w:r>
      <w:r w:rsidRPr="00527E7D" w:rsidR="002F36F9">
        <w:t>Rcd</w:t>
      </w:r>
      <w:r w:rsidRPr="00527E7D" w:rsidR="002F36F9">
        <w:t xml:space="preserve"> </w:t>
      </w:r>
      <w:r w:rsidRPr="00527E7D" w:rsidR="004573D5">
        <w:t xml:space="preserve">at 3235, </w:t>
      </w:r>
      <w:r w:rsidRPr="00527E7D" w:rsidR="00105448">
        <w:t>3237-38.</w:t>
      </w:r>
    </w:p>
  </w:footnote>
  <w:footnote w:id="73">
    <w:p w:rsidR="00581EF3" w:rsidRPr="00527E7D" w:rsidP="00933567" w14:paraId="26C01801" w14:textId="63F65F80">
      <w:pPr>
        <w:spacing w:after="120"/>
        <w:ind w:right="720"/>
      </w:pPr>
      <w:r w:rsidRPr="00527E7D">
        <w:rPr>
          <w:rStyle w:val="FootnoteReference"/>
        </w:rPr>
        <w:footnoteRef/>
      </w:r>
      <w:r w:rsidRPr="00527E7D">
        <w:t xml:space="preserve"> </w:t>
      </w:r>
      <w:r w:rsidRPr="00527E7D">
        <w:t>We acknowledge that</w:t>
      </w:r>
      <w:r w:rsidRPr="00527E7D" w:rsidR="00895B30">
        <w:t>, as Entravision notes,</w:t>
      </w:r>
      <w:r w:rsidRPr="00527E7D">
        <w:t xml:space="preserve"> the </w:t>
      </w:r>
      <w:r w:rsidRPr="00527E7D">
        <w:rPr>
          <w:i/>
          <w:iCs/>
        </w:rPr>
        <w:t>Letter Decision</w:t>
      </w:r>
      <w:r w:rsidRPr="00527E7D">
        <w:t xml:space="preserve"> rejected the argument that Entravision’s reimbursement obligation should extend to costs incurred by an FM translator that was licensed to another entity but rebroadcasting the signal of KPPV(FM).  </w:t>
      </w:r>
      <w:r w:rsidRPr="00527E7D">
        <w:rPr>
          <w:i/>
          <w:iCs/>
        </w:rPr>
        <w:t>Letter Decision</w:t>
      </w:r>
      <w:r w:rsidRPr="00527E7D">
        <w:t xml:space="preserve"> at </w:t>
      </w:r>
      <w:r w:rsidRPr="00527E7D" w:rsidR="00895B30">
        <w:t>6.</w:t>
      </w:r>
      <w:r w:rsidRPr="00527E7D">
        <w:t xml:space="preserve">  However, </w:t>
      </w:r>
      <w:r w:rsidRPr="00527E7D" w:rsidR="00722AF9">
        <w:t xml:space="preserve">we disagree with Entravision that this finding extends to FM booster stations.  </w:t>
      </w:r>
      <w:r w:rsidRPr="00527E7D" w:rsidR="00722AF9">
        <w:rPr>
          <w:i/>
          <w:iCs/>
        </w:rPr>
        <w:t>See</w:t>
      </w:r>
      <w:r w:rsidRPr="00527E7D" w:rsidR="00722AF9">
        <w:t xml:space="preserve"> Response at 8.  W</w:t>
      </w:r>
      <w:r w:rsidRPr="00527E7D">
        <w:t>e believe there is a key difference between FM booster and FM translator stations</w:t>
      </w:r>
      <w:r w:rsidRPr="00527E7D">
        <w:rPr>
          <w:shd w:val="clear" w:color="auto" w:fill="FFFFFF"/>
        </w:rPr>
        <w:t xml:space="preserve">.  While both types of stations are authorized on a secondary basis, only FM translators are subject to displacement by full-service FM stations.  </w:t>
      </w:r>
      <w:r w:rsidRPr="00527E7D">
        <w:rPr>
          <w:i/>
          <w:iCs/>
          <w:shd w:val="clear" w:color="auto" w:fill="FFFFFF"/>
        </w:rPr>
        <w:t>See</w:t>
      </w:r>
      <w:r w:rsidRPr="00527E7D">
        <w:rPr>
          <w:shd w:val="clear" w:color="auto" w:fill="FFFFFF"/>
        </w:rPr>
        <w:t xml:space="preserve"> </w:t>
      </w:r>
      <w:r w:rsidRPr="00527E7D">
        <w:rPr>
          <w:i/>
          <w:iCs/>
        </w:rPr>
        <w:t>Amendment of Part 74 of the Commission’s Rules Concerning FM Translator Stations</w:t>
      </w:r>
      <w:r w:rsidRPr="00527E7D">
        <w:t xml:space="preserve">, Report and Order, 5 FCC </w:t>
      </w:r>
      <w:r w:rsidRPr="00527E7D">
        <w:t>Rcd</w:t>
      </w:r>
      <w:r w:rsidRPr="00527E7D">
        <w:t xml:space="preserve"> 7212, 7224, para. 86 (1990); </w:t>
      </w:r>
      <w:r w:rsidRPr="00527E7D">
        <w:rPr>
          <w:i/>
          <w:iCs/>
          <w:shd w:val="clear" w:color="auto" w:fill="FFFFFF"/>
        </w:rPr>
        <w:t>FCC Adopts Limit for NCE FM New Station Applications in October 12 – October 19, 2007 Window</w:t>
      </w:r>
      <w:r w:rsidRPr="00527E7D">
        <w:rPr>
          <w:shd w:val="clear" w:color="auto" w:fill="FFFFFF"/>
        </w:rPr>
        <w:t xml:space="preserve">, Public Notice, 22 FCC </w:t>
      </w:r>
      <w:r w:rsidRPr="00527E7D">
        <w:rPr>
          <w:shd w:val="clear" w:color="auto" w:fill="FFFFFF"/>
        </w:rPr>
        <w:t>Rcd</w:t>
      </w:r>
      <w:r w:rsidRPr="00527E7D">
        <w:rPr>
          <w:shd w:val="clear" w:color="auto" w:fill="FFFFFF"/>
        </w:rPr>
        <w:t xml:space="preserve"> 18699, 18702 (2007)</w:t>
      </w:r>
      <w:r w:rsidRPr="00527E7D" w:rsidR="00C63CD3">
        <w:rPr>
          <w:shd w:val="clear" w:color="auto" w:fill="FFFFFF"/>
        </w:rPr>
        <w:t xml:space="preserve"> (</w:t>
      </w:r>
      <w:r w:rsidRPr="00527E7D" w:rsidR="00C63CD3">
        <w:rPr>
          <w:i/>
          <w:iCs/>
          <w:shd w:val="clear" w:color="auto" w:fill="FFFFFF"/>
        </w:rPr>
        <w:t>2007 Public Notice</w:t>
      </w:r>
      <w:r w:rsidRPr="00527E7D" w:rsidR="00C63CD3">
        <w:rPr>
          <w:shd w:val="clear" w:color="auto" w:fill="FFFFFF"/>
        </w:rPr>
        <w:t>)</w:t>
      </w:r>
      <w:r w:rsidRPr="00527E7D">
        <w:rPr>
          <w:shd w:val="clear" w:color="auto" w:fill="FFFFFF"/>
        </w:rPr>
        <w:t xml:space="preserve">.  FM boosters are not subject to displacement because they operate on the same frequency as their primary stations and their service contours </w:t>
      </w:r>
      <w:r w:rsidRPr="00527E7D" w:rsidR="007E1315">
        <w:rPr>
          <w:shd w:val="clear" w:color="auto" w:fill="FFFFFF"/>
        </w:rPr>
        <w:t>do</w:t>
      </w:r>
      <w:r w:rsidRPr="00527E7D">
        <w:rPr>
          <w:shd w:val="clear" w:color="auto" w:fill="FFFFFF"/>
        </w:rPr>
        <w:t xml:space="preserve"> not exceed the protected service contours of their primary stations.  </w:t>
      </w:r>
      <w:r w:rsidRPr="00527E7D" w:rsidR="00722AF9">
        <w:rPr>
          <w:i/>
          <w:iCs/>
          <w:shd w:val="clear" w:color="auto" w:fill="FFFFFF"/>
        </w:rPr>
        <w:t>See</w:t>
      </w:r>
      <w:r w:rsidRPr="00527E7D" w:rsidR="00722AF9">
        <w:rPr>
          <w:shd w:val="clear" w:color="auto" w:fill="FFFFFF"/>
        </w:rPr>
        <w:t xml:space="preserve"> 47 CFR §§ 74.</w:t>
      </w:r>
      <w:r w:rsidRPr="00527E7D" w:rsidR="005E293B">
        <w:rPr>
          <w:shd w:val="clear" w:color="auto" w:fill="FFFFFF"/>
        </w:rPr>
        <w:t xml:space="preserve">1202(c), </w:t>
      </w:r>
      <w:r w:rsidRPr="00527E7D" w:rsidR="00722AF9">
        <w:rPr>
          <w:shd w:val="clear" w:color="auto" w:fill="FFFFFF"/>
        </w:rPr>
        <w:t>74.1231(</w:t>
      </w:r>
      <w:r w:rsidRPr="00527E7D" w:rsidR="00722AF9">
        <w:rPr>
          <w:shd w:val="clear" w:color="auto" w:fill="FFFFFF"/>
        </w:rPr>
        <w:t>i</w:t>
      </w:r>
      <w:r w:rsidRPr="00527E7D" w:rsidR="00722AF9">
        <w:rPr>
          <w:shd w:val="clear" w:color="auto" w:fill="FFFFFF"/>
        </w:rPr>
        <w:t>).  Thus, unlike</w:t>
      </w:r>
      <w:r w:rsidRPr="00527E7D">
        <w:rPr>
          <w:shd w:val="clear" w:color="auto" w:fill="FFFFFF"/>
        </w:rPr>
        <w:t xml:space="preserve"> FM translator licensees, FM booster licensees have not “recognize[d] and accept[ed] the “inherent risk” that their stations are always subject to displacement by a full service station.</w:t>
      </w:r>
      <w:r w:rsidRPr="00527E7D" w:rsidR="00301126">
        <w:rPr>
          <w:shd w:val="clear" w:color="auto" w:fill="FFFFFF"/>
        </w:rPr>
        <w:t xml:space="preserve">  </w:t>
      </w:r>
      <w:r w:rsidRPr="00527E7D" w:rsidR="00C63CD3">
        <w:rPr>
          <w:i/>
          <w:iCs/>
          <w:shd w:val="clear" w:color="auto" w:fill="FFFFFF"/>
        </w:rPr>
        <w:t>2007 Public Notice</w:t>
      </w:r>
      <w:r w:rsidRPr="00527E7D" w:rsidR="00AA1E39">
        <w:rPr>
          <w:shd w:val="clear" w:color="auto" w:fill="FFFFFF"/>
        </w:rPr>
        <w:t xml:space="preserve">, 22 FCC </w:t>
      </w:r>
      <w:r w:rsidRPr="00527E7D" w:rsidR="00AA1E39">
        <w:rPr>
          <w:shd w:val="clear" w:color="auto" w:fill="FFFFFF"/>
        </w:rPr>
        <w:t>Rcd</w:t>
      </w:r>
      <w:r w:rsidRPr="00527E7D" w:rsidR="00AA1E39">
        <w:rPr>
          <w:shd w:val="clear" w:color="auto" w:fill="FFFFFF"/>
        </w:rPr>
        <w:t xml:space="preserve"> </w:t>
      </w:r>
      <w:r w:rsidRPr="00527E7D" w:rsidR="00C63CD3">
        <w:rPr>
          <w:shd w:val="clear" w:color="auto" w:fill="FFFFFF"/>
        </w:rPr>
        <w:t>at</w:t>
      </w:r>
      <w:r w:rsidRPr="00527E7D" w:rsidR="00AA1E39">
        <w:rPr>
          <w:shd w:val="clear" w:color="auto" w:fill="FFFFFF"/>
        </w:rPr>
        <w:t xml:space="preserve"> 18702.</w:t>
      </w:r>
    </w:p>
  </w:footnote>
  <w:footnote w:id="74">
    <w:p w:rsidR="008122B5" w:rsidRPr="00527E7D" w:rsidP="00933567" w14:paraId="1511F03E" w14:textId="060D3068">
      <w:pPr>
        <w:pStyle w:val="FootnoteText"/>
        <w:spacing w:after="120"/>
      </w:pPr>
      <w:r w:rsidRPr="00527E7D">
        <w:rPr>
          <w:rStyle w:val="FootnoteReference"/>
        </w:rPr>
        <w:footnoteRef/>
      </w:r>
      <w:r w:rsidRPr="00527E7D">
        <w:t xml:space="preserve"> </w:t>
      </w:r>
      <w:r w:rsidRPr="00527E7D">
        <w:t>47 CFR § 74.1202(c)</w:t>
      </w:r>
      <w:r w:rsidR="00E56853">
        <w:t xml:space="preserve"> </w:t>
      </w:r>
      <w:r w:rsidRPr="00527E7D">
        <w:t>(“An FM broadcast booster station will be assigned the channel assigned to its primary station.”).</w:t>
      </w:r>
    </w:p>
  </w:footnote>
  <w:footnote w:id="75">
    <w:p w:rsidR="002B27E2" w:rsidRPr="00527E7D" w:rsidP="00933567" w14:paraId="0E35D5F5" w14:textId="489813FC">
      <w:pPr>
        <w:pStyle w:val="FootnoteText"/>
        <w:spacing w:after="120"/>
      </w:pPr>
      <w:r w:rsidRPr="00527E7D">
        <w:rPr>
          <w:rStyle w:val="FootnoteReference"/>
        </w:rPr>
        <w:footnoteRef/>
      </w:r>
      <w:r w:rsidRPr="00527E7D">
        <w:t xml:space="preserve"> </w:t>
      </w:r>
      <w:r w:rsidRPr="00527E7D">
        <w:t xml:space="preserve">Application File No. 0000124846.  </w:t>
      </w:r>
      <w:r w:rsidRPr="00527E7D">
        <w:rPr>
          <w:i/>
          <w:iCs/>
        </w:rPr>
        <w:t xml:space="preserve">See, e.g., Henderson, </w:t>
      </w:r>
      <w:r w:rsidRPr="00527E7D">
        <w:t>DA 22-144</w:t>
      </w:r>
      <w:r w:rsidRPr="00527E7D">
        <w:rPr>
          <w:i/>
          <w:iCs/>
        </w:rPr>
        <w:t xml:space="preserve">, </w:t>
      </w:r>
      <w:r w:rsidRPr="00527E7D">
        <w:t>at 9 (ordering reimbursement for engineering fees related to application for construction permit to implement involuntary channel change)</w:t>
      </w:r>
      <w:r w:rsidRPr="00527E7D">
        <w:rPr>
          <w:i/>
          <w:iCs/>
        </w:rPr>
        <w:t>;</w:t>
      </w:r>
      <w:r w:rsidRPr="00527E7D">
        <w:t xml:space="preserve"> </w:t>
      </w:r>
      <w:r w:rsidRPr="00527E7D">
        <w:rPr>
          <w:i/>
          <w:iCs/>
        </w:rPr>
        <w:t>KBEX(FM</w:t>
      </w:r>
      <w:r w:rsidRPr="00527E7D">
        <w:t xml:space="preserve">), 28 FCC </w:t>
      </w:r>
      <w:r w:rsidRPr="00527E7D">
        <w:t>Rcd</w:t>
      </w:r>
      <w:r w:rsidRPr="00527E7D">
        <w:t xml:space="preserve"> </w:t>
      </w:r>
      <w:r w:rsidRPr="00527E7D" w:rsidR="00105448">
        <w:t xml:space="preserve">at </w:t>
      </w:r>
      <w:r w:rsidRPr="00527E7D">
        <w:t>3235, 3238 (MB 2013) (ordering reimbursement for all engineering fees incurred by accommodating party include those for “application preparation and technical comments”).</w:t>
      </w:r>
    </w:p>
  </w:footnote>
  <w:footnote w:id="76">
    <w:p w:rsidR="002B27E2" w:rsidRPr="00527E7D" w:rsidP="00933567" w14:paraId="425DD392" w14:textId="2105524E">
      <w:pPr>
        <w:pStyle w:val="FootnoteText"/>
        <w:spacing w:after="120"/>
      </w:pPr>
      <w:r w:rsidRPr="00527E7D">
        <w:rPr>
          <w:rStyle w:val="FootnoteReference"/>
        </w:rPr>
        <w:footnoteRef/>
      </w:r>
      <w:r w:rsidRPr="00527E7D">
        <w:t xml:space="preserve"> </w:t>
      </w:r>
      <w:r w:rsidRPr="00527E7D">
        <w:t xml:space="preserve">Report at Attach. </w:t>
      </w:r>
      <w:r w:rsidRPr="00527E7D" w:rsidR="00127456">
        <w:t>4</w:t>
      </w:r>
      <w:r w:rsidRPr="00527E7D">
        <w:t>.</w:t>
      </w:r>
    </w:p>
  </w:footnote>
  <w:footnote w:id="77">
    <w:p w:rsidR="004F1920" w:rsidRPr="00527E7D" w:rsidP="00933567" w14:paraId="42B739B7" w14:textId="6C2E9218">
      <w:pPr>
        <w:pStyle w:val="FootnoteText"/>
        <w:spacing w:after="120"/>
      </w:pPr>
      <w:r w:rsidRPr="00527E7D">
        <w:rPr>
          <w:rStyle w:val="FootnoteReference"/>
        </w:rPr>
        <w:footnoteRef/>
      </w:r>
      <w:r w:rsidRPr="00527E7D">
        <w:t xml:space="preserve"> </w:t>
      </w:r>
      <w:r w:rsidRPr="00527E7D" w:rsidR="004E6D88">
        <w:t xml:space="preserve">PVBC </w:t>
      </w:r>
      <w:r w:rsidRPr="00527E7D" w:rsidR="00DC4060">
        <w:t>indicated in the Report</w:t>
      </w:r>
      <w:r w:rsidRPr="00527E7D" w:rsidR="004E6D88">
        <w:t xml:space="preserve"> that it expects to incur costs related to the following items that fall into this category:  business cards, letterhead and cardstock, envelopes (window and plain), client intake forms, and rate cards.  </w:t>
      </w:r>
      <w:r w:rsidRPr="00527E7D" w:rsidR="00DC4060">
        <w:t>PVBC submitted additional information regarding these items</w:t>
      </w:r>
      <w:r w:rsidRPr="00527E7D" w:rsidR="004E6D88">
        <w:t xml:space="preserve"> in the </w:t>
      </w:r>
      <w:r w:rsidR="008A027D">
        <w:t xml:space="preserve">Update and the </w:t>
      </w:r>
      <w:r w:rsidRPr="00527E7D" w:rsidR="00940798">
        <w:t>Reply</w:t>
      </w:r>
      <w:r w:rsidRPr="00527E7D" w:rsidR="00781EC2">
        <w:t xml:space="preserve">, which we herein decide to accept.  </w:t>
      </w:r>
      <w:r w:rsidRPr="00527E7D" w:rsidR="008A027D">
        <w:t>Update at Representative Examples Attach</w:t>
      </w:r>
      <w:r w:rsidR="008A027D">
        <w:t xml:space="preserve">.; </w:t>
      </w:r>
      <w:r w:rsidRPr="00527E7D" w:rsidR="00427322">
        <w:t xml:space="preserve">Reply at </w:t>
      </w:r>
      <w:r w:rsidRPr="00527E7D" w:rsidR="0019662A">
        <w:t>12, 13</w:t>
      </w:r>
      <w:r w:rsidR="008A027D">
        <w:t xml:space="preserve">.  </w:t>
      </w:r>
      <w:r w:rsidRPr="00527E7D" w:rsidR="00781EC2">
        <w:t xml:space="preserve">Because we </w:t>
      </w:r>
      <w:r w:rsidR="0061350F">
        <w:t>are providing Entravision</w:t>
      </w:r>
      <w:r w:rsidRPr="00527E7D" w:rsidR="00781EC2">
        <w:t xml:space="preserve"> </w:t>
      </w:r>
      <w:r w:rsidRPr="00527E7D" w:rsidR="004E6D88">
        <w:t xml:space="preserve">the opportunity to </w:t>
      </w:r>
      <w:r w:rsidR="002D4536">
        <w:t>reply</w:t>
      </w:r>
      <w:r w:rsidRPr="00527E7D" w:rsidR="002D4536">
        <w:t xml:space="preserve"> </w:t>
      </w:r>
      <w:r w:rsidRPr="00527E7D" w:rsidR="004E6D88">
        <w:t xml:space="preserve">to this </w:t>
      </w:r>
      <w:r w:rsidRPr="00527E7D" w:rsidR="00781EC2">
        <w:t xml:space="preserve">additional </w:t>
      </w:r>
      <w:r w:rsidRPr="00527E7D" w:rsidR="004E6D88">
        <w:t xml:space="preserve">information, we </w:t>
      </w:r>
      <w:r w:rsidRPr="00527E7D" w:rsidR="00781EC2">
        <w:t xml:space="preserve">will not make any specific findings regarding these expense items </w:t>
      </w:r>
      <w:r w:rsidR="0061350F">
        <w:t>at this time</w:t>
      </w:r>
      <w:r w:rsidRPr="00527E7D" w:rsidR="004E6D88">
        <w:t>.</w:t>
      </w:r>
    </w:p>
  </w:footnote>
  <w:footnote w:id="78">
    <w:p w:rsidR="003F5D0C" w:rsidRPr="00527E7D" w:rsidP="00933567" w14:paraId="122F6234" w14:textId="3DF5B7C4">
      <w:pPr>
        <w:pStyle w:val="FootnoteText"/>
        <w:spacing w:after="120"/>
      </w:pPr>
      <w:r w:rsidRPr="00527E7D">
        <w:rPr>
          <w:rStyle w:val="FootnoteReference"/>
        </w:rPr>
        <w:footnoteRef/>
      </w:r>
      <w:r w:rsidRPr="00527E7D">
        <w:t xml:space="preserve"> </w:t>
      </w:r>
      <w:r w:rsidRPr="00527E7D">
        <w:t xml:space="preserve">Response at 11, 12.  </w:t>
      </w:r>
    </w:p>
  </w:footnote>
  <w:footnote w:id="79">
    <w:p w:rsidR="00BE22D7" w:rsidRPr="00527E7D" w:rsidP="00933567" w14:paraId="69B1D44B" w14:textId="0446FDA2">
      <w:pPr>
        <w:pStyle w:val="FootnoteText"/>
        <w:spacing w:after="120"/>
      </w:pPr>
      <w:r w:rsidRPr="00527E7D">
        <w:rPr>
          <w:rStyle w:val="FootnoteReference"/>
        </w:rPr>
        <w:footnoteRef/>
      </w:r>
      <w:r w:rsidRPr="00527E7D">
        <w:t xml:space="preserve"> </w:t>
      </w:r>
      <w:r w:rsidRPr="0061350F" w:rsidR="0061350F">
        <w:rPr>
          <w:i/>
          <w:iCs/>
        </w:rPr>
        <w:t>Id</w:t>
      </w:r>
      <w:r w:rsidR="0061350F">
        <w:t>.</w:t>
      </w:r>
      <w:r w:rsidRPr="00527E7D">
        <w:t xml:space="preserve"> at 11 (questioning “how many letters go out per month in today’s environment where most communications are electronic and in digital form” and how many envelopes are required “in a digital world”),</w:t>
      </w:r>
      <w:r w:rsidRPr="00527E7D" w:rsidR="003F5D0C">
        <w:t xml:space="preserve"> </w:t>
      </w:r>
      <w:r w:rsidRPr="00527E7D">
        <w:t>12 (questioning whether intake forms and rate cards are necessary “in a digital world”).</w:t>
      </w:r>
    </w:p>
  </w:footnote>
  <w:footnote w:id="80">
    <w:p w:rsidR="00AD0B9E" w:rsidRPr="00527E7D" w:rsidP="00933567" w14:paraId="7B26E844" w14:textId="4044C4F6">
      <w:pPr>
        <w:pStyle w:val="FootnoteText"/>
        <w:spacing w:after="120"/>
      </w:pPr>
      <w:r w:rsidRPr="00527E7D">
        <w:rPr>
          <w:rStyle w:val="FootnoteReference"/>
        </w:rPr>
        <w:footnoteRef/>
      </w:r>
      <w:r w:rsidRPr="00527E7D">
        <w:t xml:space="preserve"> </w:t>
      </w:r>
      <w:r w:rsidRPr="0061350F" w:rsidR="0061350F">
        <w:rPr>
          <w:i/>
          <w:iCs/>
        </w:rPr>
        <w:t>Id</w:t>
      </w:r>
      <w:r w:rsidR="0061350F">
        <w:t>.</w:t>
      </w:r>
      <w:r w:rsidRPr="00527E7D">
        <w:t xml:space="preserve"> at 10, 11.  </w:t>
      </w:r>
    </w:p>
  </w:footnote>
  <w:footnote w:id="81">
    <w:p w:rsidR="00DD073D" w:rsidRPr="00527E7D" w:rsidP="00933567" w14:paraId="1E703E92" w14:textId="04593FE5">
      <w:pPr>
        <w:pStyle w:val="FootnoteText"/>
        <w:spacing w:after="120"/>
      </w:pPr>
      <w:r w:rsidRPr="00527E7D">
        <w:rPr>
          <w:rStyle w:val="FootnoteReference"/>
        </w:rPr>
        <w:footnoteRef/>
      </w:r>
      <w:r w:rsidRPr="00527E7D">
        <w:t xml:space="preserve"> </w:t>
      </w:r>
      <w:r w:rsidRPr="00527E7D" w:rsidR="001414A7">
        <w:t>The photographs (and other evidence)</w:t>
      </w:r>
      <w:r w:rsidRPr="00527E7D" w:rsidR="00432AC0">
        <w:t xml:space="preserve"> will establish the nexus between </w:t>
      </w:r>
      <w:r w:rsidRPr="00527E7D" w:rsidR="00EB0CFD">
        <w:t>the need to replace the item</w:t>
      </w:r>
      <w:r w:rsidRPr="00527E7D" w:rsidR="001414A7">
        <w:t xml:space="preserve"> at issue</w:t>
      </w:r>
      <w:r w:rsidRPr="00527E7D" w:rsidR="00EB0CFD">
        <w:t xml:space="preserve"> and the KPPV(FM) channel change.  </w:t>
      </w:r>
      <w:r w:rsidRPr="00527E7D">
        <w:t>We note that PVBC included “representative examples of existing office items.”  Update at Representative Examples Attach.  PVBC need not send duplicate examples of these items.  However, PVBC should clearly indicate the expense item (</w:t>
      </w:r>
      <w:r w:rsidRPr="00527E7D">
        <w:rPr>
          <w:i/>
          <w:iCs/>
        </w:rPr>
        <w:t>e.g</w:t>
      </w:r>
      <w:r w:rsidRPr="00527E7D">
        <w:t>., client intake form, contest flyer</w:t>
      </w:r>
      <w:r w:rsidRPr="00527E7D" w:rsidR="00E7547F">
        <w:t>) represented by each</w:t>
      </w:r>
      <w:r w:rsidRPr="00527E7D">
        <w:t xml:space="preserve"> </w:t>
      </w:r>
      <w:r w:rsidRPr="00527E7D" w:rsidR="00E7547F">
        <w:t xml:space="preserve">of </w:t>
      </w:r>
      <w:r w:rsidR="0061350F">
        <w:t>the previously submitted</w:t>
      </w:r>
      <w:r w:rsidRPr="00527E7D" w:rsidR="00E7547F">
        <w:t xml:space="preserve"> </w:t>
      </w:r>
      <w:r w:rsidRPr="00527E7D">
        <w:t>example</w:t>
      </w:r>
      <w:r w:rsidRPr="00527E7D" w:rsidR="00E7547F">
        <w:t>s</w:t>
      </w:r>
      <w:r w:rsidRPr="00527E7D">
        <w:t>.</w:t>
      </w:r>
    </w:p>
  </w:footnote>
  <w:footnote w:id="82">
    <w:p w:rsidR="00A67992" w:rsidRPr="00527E7D" w:rsidP="00933567" w14:paraId="18471105" w14:textId="51A79150">
      <w:pPr>
        <w:pStyle w:val="FootnoteText"/>
        <w:spacing w:after="120"/>
      </w:pPr>
      <w:r w:rsidRPr="00527E7D">
        <w:rPr>
          <w:rStyle w:val="FootnoteReference"/>
        </w:rPr>
        <w:footnoteRef/>
      </w:r>
      <w:r w:rsidRPr="00527E7D">
        <w:t xml:space="preserve"> </w:t>
      </w:r>
      <w:r w:rsidRPr="00527E7D">
        <w:t xml:space="preserve">PVBC submitted additional information regarding the advertising expense items in the Reply, which we herein decide to accept.  </w:t>
      </w:r>
      <w:r w:rsidRPr="00527E7D" w:rsidR="008F3B15">
        <w:t xml:space="preserve">Reply at </w:t>
      </w:r>
      <w:r w:rsidRPr="00527E7D" w:rsidR="00005596">
        <w:t xml:space="preserve">14, </w:t>
      </w:r>
      <w:r w:rsidRPr="00527E7D" w:rsidR="00C80F72">
        <w:t>15, 17.</w:t>
      </w:r>
      <w:r w:rsidRPr="00527E7D" w:rsidR="008F3B15">
        <w:t xml:space="preserve">  </w:t>
      </w:r>
      <w:r w:rsidRPr="00527E7D">
        <w:t xml:space="preserve">Because we </w:t>
      </w:r>
      <w:r w:rsidR="00803614">
        <w:t>provide</w:t>
      </w:r>
      <w:r w:rsidRPr="00527E7D">
        <w:t xml:space="preserve"> Entravision the opportunity to </w:t>
      </w:r>
      <w:r w:rsidR="002D4536">
        <w:t>reply</w:t>
      </w:r>
      <w:r w:rsidRPr="00527E7D" w:rsidR="002D4536">
        <w:t xml:space="preserve"> </w:t>
      </w:r>
      <w:r w:rsidRPr="00527E7D">
        <w:t xml:space="preserve">to this additional information, we will not make any specific rulings regarding these expense items </w:t>
      </w:r>
      <w:r w:rsidR="00803614">
        <w:t>at this time</w:t>
      </w:r>
      <w:r w:rsidRPr="00527E7D">
        <w:t xml:space="preserve">.  </w:t>
      </w:r>
    </w:p>
  </w:footnote>
  <w:footnote w:id="83">
    <w:p w:rsidR="00A67992" w:rsidRPr="00527E7D" w:rsidP="00933567" w14:paraId="7964BCFD" w14:textId="1731CA40">
      <w:pPr>
        <w:pStyle w:val="ListParagraph"/>
        <w:spacing w:after="120" w:line="240" w:lineRule="auto"/>
        <w:ind w:left="0"/>
        <w:rPr>
          <w:rFonts w:ascii="Times New Roman" w:hAnsi="Times New Roman"/>
          <w:sz w:val="20"/>
          <w:szCs w:val="20"/>
        </w:rPr>
      </w:pPr>
      <w:r w:rsidRPr="00527E7D">
        <w:rPr>
          <w:rStyle w:val="FootnoteReference"/>
          <w:rFonts w:ascii="Times New Roman" w:hAnsi="Times New Roman"/>
          <w:sz w:val="20"/>
          <w:szCs w:val="20"/>
        </w:rPr>
        <w:footnoteRef/>
      </w:r>
      <w:r w:rsidRPr="00527E7D" w:rsidR="00C80F72">
        <w:rPr>
          <w:rFonts w:ascii="Times New Roman" w:hAnsi="Times New Roman"/>
          <w:b/>
          <w:bCs/>
          <w:sz w:val="20"/>
          <w:szCs w:val="20"/>
        </w:rPr>
        <w:t xml:space="preserve"> </w:t>
      </w:r>
      <w:r w:rsidRPr="00527E7D" w:rsidR="0078053E">
        <w:rPr>
          <w:rFonts w:ascii="Times New Roman" w:hAnsi="Times New Roman"/>
          <w:sz w:val="20"/>
          <w:szCs w:val="20"/>
        </w:rPr>
        <w:t xml:space="preserve">PVBC has indicated that it </w:t>
      </w:r>
      <w:r w:rsidR="006471B7">
        <w:rPr>
          <w:rFonts w:ascii="Times New Roman" w:hAnsi="Times New Roman"/>
          <w:sz w:val="20"/>
          <w:szCs w:val="20"/>
        </w:rPr>
        <w:t>expects to</w:t>
      </w:r>
      <w:r w:rsidRPr="00527E7D" w:rsidR="0078053E">
        <w:rPr>
          <w:rFonts w:ascii="Times New Roman" w:hAnsi="Times New Roman"/>
          <w:sz w:val="20"/>
          <w:szCs w:val="20"/>
        </w:rPr>
        <w:t xml:space="preserve"> seek reimbursement for 12 months of </w:t>
      </w:r>
      <w:r w:rsidRPr="00527E7D" w:rsidR="00A90828">
        <w:rPr>
          <w:rFonts w:ascii="Times New Roman" w:hAnsi="Times New Roman"/>
          <w:sz w:val="20"/>
          <w:szCs w:val="20"/>
        </w:rPr>
        <w:t>advertising</w:t>
      </w:r>
      <w:r w:rsidRPr="00527E7D" w:rsidR="00C25885">
        <w:rPr>
          <w:rFonts w:ascii="Times New Roman" w:hAnsi="Times New Roman"/>
          <w:sz w:val="20"/>
          <w:szCs w:val="20"/>
        </w:rPr>
        <w:t xml:space="preserve"> </w:t>
      </w:r>
      <w:r w:rsidR="00E87B72">
        <w:rPr>
          <w:rFonts w:ascii="Times New Roman" w:hAnsi="Times New Roman"/>
          <w:sz w:val="20"/>
          <w:szCs w:val="20"/>
        </w:rPr>
        <w:t>on th</w:t>
      </w:r>
      <w:r w:rsidRPr="00527E7D" w:rsidR="00504058">
        <w:rPr>
          <w:rFonts w:ascii="Times New Roman" w:hAnsi="Times New Roman"/>
          <w:sz w:val="20"/>
          <w:szCs w:val="20"/>
        </w:rPr>
        <w:t>e following</w:t>
      </w:r>
      <w:r w:rsidRPr="00527E7D" w:rsidR="00C25885">
        <w:rPr>
          <w:rFonts w:ascii="Times New Roman" w:hAnsi="Times New Roman"/>
          <w:sz w:val="20"/>
          <w:szCs w:val="20"/>
        </w:rPr>
        <w:t xml:space="preserve"> mediums</w:t>
      </w:r>
      <w:r w:rsidRPr="00527E7D" w:rsidR="00504058">
        <w:rPr>
          <w:rFonts w:ascii="Times New Roman" w:hAnsi="Times New Roman"/>
          <w:sz w:val="20"/>
          <w:szCs w:val="20"/>
        </w:rPr>
        <w:t>:</w:t>
      </w:r>
      <w:r w:rsidRPr="00527E7D" w:rsidR="00242FFC">
        <w:rPr>
          <w:rFonts w:ascii="Times New Roman" w:hAnsi="Times New Roman"/>
          <w:sz w:val="20"/>
          <w:szCs w:val="20"/>
        </w:rPr>
        <w:t xml:space="preserve"> </w:t>
      </w:r>
      <w:r w:rsidRPr="00527E7D" w:rsidR="00504058">
        <w:rPr>
          <w:rFonts w:ascii="Times New Roman" w:hAnsi="Times New Roman"/>
          <w:sz w:val="20"/>
          <w:szCs w:val="20"/>
        </w:rPr>
        <w:t xml:space="preserve"> </w:t>
      </w:r>
      <w:r w:rsidRPr="00527E7D" w:rsidR="00242FFC">
        <w:rPr>
          <w:rFonts w:ascii="Times New Roman" w:hAnsi="Times New Roman"/>
          <w:sz w:val="20"/>
          <w:szCs w:val="20"/>
        </w:rPr>
        <w:t>P</w:t>
      </w:r>
      <w:r w:rsidRPr="00527E7D" w:rsidR="00160D6E">
        <w:rPr>
          <w:rFonts w:ascii="Times New Roman" w:hAnsi="Times New Roman"/>
          <w:sz w:val="20"/>
          <w:szCs w:val="20"/>
        </w:rPr>
        <w:t xml:space="preserve">rescott Valley </w:t>
      </w:r>
      <w:r w:rsidRPr="00527E7D" w:rsidR="00A90828">
        <w:rPr>
          <w:rFonts w:ascii="Times New Roman" w:hAnsi="Times New Roman"/>
          <w:sz w:val="20"/>
          <w:szCs w:val="20"/>
        </w:rPr>
        <w:t>Chamber of Commerce</w:t>
      </w:r>
      <w:r w:rsidRPr="00527E7D" w:rsidR="00160D6E">
        <w:rPr>
          <w:rFonts w:ascii="Times New Roman" w:hAnsi="Times New Roman"/>
          <w:sz w:val="20"/>
          <w:szCs w:val="20"/>
        </w:rPr>
        <w:t xml:space="preserve"> Inserts, Billboards, </w:t>
      </w:r>
      <w:r w:rsidRPr="00527E7D" w:rsidR="00383200">
        <w:rPr>
          <w:rFonts w:ascii="Times New Roman" w:hAnsi="Times New Roman"/>
          <w:sz w:val="20"/>
          <w:szCs w:val="20"/>
        </w:rPr>
        <w:t xml:space="preserve">Television Advertising, </w:t>
      </w:r>
      <w:r w:rsidRPr="00527E7D" w:rsidR="00242FFC">
        <w:rPr>
          <w:rFonts w:ascii="Times New Roman" w:hAnsi="Times New Roman"/>
          <w:sz w:val="20"/>
          <w:szCs w:val="20"/>
        </w:rPr>
        <w:t>Valpak Inserts, Zion Marketing Mailings, and Verde Valley Advertising Mailings</w:t>
      </w:r>
      <w:r w:rsidRPr="00527E7D" w:rsidR="0078053E">
        <w:rPr>
          <w:rFonts w:ascii="Times New Roman" w:hAnsi="Times New Roman"/>
          <w:sz w:val="20"/>
          <w:szCs w:val="20"/>
        </w:rPr>
        <w:t xml:space="preserve">.  </w:t>
      </w:r>
    </w:p>
  </w:footnote>
  <w:footnote w:id="84">
    <w:p w:rsidR="00A67992" w:rsidRPr="00527E7D" w:rsidP="00933567" w14:paraId="7A7B32F5" w14:textId="5A0A0175">
      <w:pPr>
        <w:pStyle w:val="FootnoteText"/>
        <w:spacing w:after="120"/>
      </w:pPr>
      <w:r w:rsidRPr="00527E7D">
        <w:rPr>
          <w:rStyle w:val="FootnoteReference"/>
        </w:rPr>
        <w:footnoteRef/>
      </w:r>
      <w:r w:rsidRPr="00527E7D">
        <w:t xml:space="preserve"> </w:t>
      </w:r>
      <w:r w:rsidRPr="00527E7D" w:rsidR="001F2818">
        <w:t xml:space="preserve">In most cases, we would expect much of the “advertising” for the involuntary channel change to air on the station itself because promotion the channel change on air is one of the best ways—if not the best way—to notify listeners of the channel change.  </w:t>
      </w:r>
    </w:p>
  </w:footnote>
  <w:footnote w:id="85">
    <w:p w:rsidR="00245F9B" w:rsidRPr="00527E7D" w:rsidP="00933567" w14:paraId="1B23793B" w14:textId="44E39E29">
      <w:pPr>
        <w:pStyle w:val="FootnoteText"/>
        <w:spacing w:after="120"/>
      </w:pPr>
      <w:r w:rsidRPr="00527E7D">
        <w:rPr>
          <w:rStyle w:val="FootnoteReference"/>
        </w:rPr>
        <w:footnoteRef/>
      </w:r>
      <w:r w:rsidRPr="00527E7D">
        <w:t xml:space="preserve"> </w:t>
      </w:r>
      <w:r w:rsidRPr="00527E7D">
        <w:rPr>
          <w:i/>
          <w:iCs/>
        </w:rPr>
        <w:t xml:space="preserve">See </w:t>
      </w:r>
      <w:r w:rsidRPr="00527E7D">
        <w:rPr>
          <w:i/>
          <w:iCs/>
        </w:rPr>
        <w:t>Lechman</w:t>
      </w:r>
      <w:r w:rsidRPr="00527E7D">
        <w:t xml:space="preserve">, 8 FCC </w:t>
      </w:r>
      <w:r w:rsidRPr="00527E7D">
        <w:t>Rcd</w:t>
      </w:r>
      <w:r w:rsidRPr="00527E7D">
        <w:t xml:space="preserve"> 3059, paras. 6, 10</w:t>
      </w:r>
      <w:r>
        <w:t xml:space="preserve"> (requiring reimbursement of </w:t>
      </w:r>
      <w:r w:rsidR="009D4978">
        <w:t>$</w:t>
      </w:r>
      <w:r w:rsidR="00820B32">
        <w:t xml:space="preserve">2,197.20 in </w:t>
      </w:r>
      <w:r w:rsidR="007855E5">
        <w:t>newspaper and television</w:t>
      </w:r>
      <w:r w:rsidR="00820B32">
        <w:t xml:space="preserve"> advertising)</w:t>
      </w:r>
      <w:r w:rsidRPr="00527E7D">
        <w:t>.</w:t>
      </w:r>
      <w:r>
        <w:t xml:space="preserve">  </w:t>
      </w:r>
      <w:r w:rsidRPr="00527E7D">
        <w:rPr>
          <w:i/>
          <w:iCs/>
        </w:rPr>
        <w:t xml:space="preserve">See </w:t>
      </w:r>
      <w:r>
        <w:rPr>
          <w:i/>
          <w:iCs/>
        </w:rPr>
        <w:t xml:space="preserve">also </w:t>
      </w:r>
      <w:r w:rsidRPr="00527E7D">
        <w:rPr>
          <w:i/>
          <w:iCs/>
        </w:rPr>
        <w:t>Circleville</w:t>
      </w:r>
      <w:r w:rsidRPr="00527E7D">
        <w:t>, 8 FCC 2d. at 164</w:t>
      </w:r>
      <w:r w:rsidR="00634A4E">
        <w:t xml:space="preserve">, para </w:t>
      </w:r>
      <w:r w:rsidR="00B80C85">
        <w:t>12</w:t>
      </w:r>
      <w:r w:rsidRPr="00527E7D">
        <w:t xml:space="preserve"> (finding that “a certain amount of newspaper advertising should be reimbursable,” but noting that “the benefiting party should not be required to pay for improving the situation of the existing station”).</w:t>
      </w:r>
      <w:r w:rsidR="00423865">
        <w:t xml:space="preserve">  Entravision appears to concede that</w:t>
      </w:r>
      <w:r w:rsidR="00D61CF3">
        <w:t xml:space="preserve"> newspaper</w:t>
      </w:r>
      <w:r w:rsidR="00423865">
        <w:t xml:space="preserve"> advertising can be a legitimate and prudent advertising expense.  </w:t>
      </w:r>
      <w:r w:rsidRPr="00527E7D" w:rsidR="00423865">
        <w:t>Response at 15 (</w:t>
      </w:r>
      <w:r w:rsidR="00177C69">
        <w:t>“</w:t>
      </w:r>
      <w:r w:rsidRPr="00527E7D" w:rsidR="00423865">
        <w:t xml:space="preserve">Entravision would agree </w:t>
      </w:r>
      <w:r w:rsidR="00177C69">
        <w:t>that</w:t>
      </w:r>
      <w:r w:rsidRPr="00527E7D" w:rsidR="00423865">
        <w:t xml:space="preserve"> a quarter-page advertisement in the largest circulation publication serving Prescott Valley is acceptable, provided the advertising purchased is for no more than one month.”).  </w:t>
      </w:r>
      <w:r w:rsidR="00D61CF3">
        <w:t xml:space="preserve">In addition, Entravision appears to accept that </w:t>
      </w:r>
      <w:r w:rsidR="00733F7A">
        <w:t xml:space="preserve">billboard advertising </w:t>
      </w:r>
      <w:r w:rsidR="00865595">
        <w:t>may</w:t>
      </w:r>
      <w:r w:rsidR="00733F7A">
        <w:t xml:space="preserve"> </w:t>
      </w:r>
      <w:r w:rsidR="00865595">
        <w:t xml:space="preserve">be </w:t>
      </w:r>
      <w:r w:rsidR="00733F7A">
        <w:t xml:space="preserve">a legitimate and prudent expense.  </w:t>
      </w:r>
      <w:r w:rsidR="00733F7A">
        <w:rPr>
          <w:i/>
          <w:iCs/>
        </w:rPr>
        <w:t>Id.</w:t>
      </w:r>
      <w:r w:rsidRPr="00527E7D" w:rsidR="00423865">
        <w:t xml:space="preserve"> at 7, n.5, and </w:t>
      </w:r>
      <w:r w:rsidRPr="00527E7D" w:rsidR="00423865">
        <w:t>Exh</w:t>
      </w:r>
      <w:r w:rsidRPr="00527E7D" w:rsidR="00423865">
        <w:t xml:space="preserve">. A (including “reasonable cost showing” provided by accommodating party in another case—which </w:t>
      </w:r>
      <w:r w:rsidR="00FA5FCB">
        <w:t>includes costs for</w:t>
      </w:r>
      <w:r w:rsidRPr="00527E7D" w:rsidR="00423865">
        <w:t xml:space="preserve"> </w:t>
      </w:r>
      <w:r w:rsidR="00FA5FCB">
        <w:t xml:space="preserve">two months of </w:t>
      </w:r>
      <w:r w:rsidRPr="00527E7D" w:rsidR="00423865">
        <w:t>billboard advertising</w:t>
      </w:r>
      <w:r w:rsidR="00FA5FCB">
        <w:t>—</w:t>
      </w:r>
      <w:r w:rsidRPr="00527E7D" w:rsidR="00423865">
        <w:t>and indicating that “[t]his showing can be used as the starting point for the award of reasonable cost reimbursement to PVBC”).</w:t>
      </w:r>
    </w:p>
  </w:footnote>
  <w:footnote w:id="86">
    <w:p w:rsidR="00680858" w:rsidRPr="00527E7D" w:rsidP="00933567" w14:paraId="688131EA" w14:textId="6F4F9B78">
      <w:pPr>
        <w:pStyle w:val="FootnoteText"/>
        <w:spacing w:after="120"/>
      </w:pPr>
      <w:r w:rsidRPr="00527E7D">
        <w:rPr>
          <w:rStyle w:val="FootnoteReference"/>
        </w:rPr>
        <w:footnoteRef/>
      </w:r>
      <w:r w:rsidRPr="00527E7D">
        <w:t xml:space="preserve"> </w:t>
      </w:r>
      <w:r w:rsidRPr="00527E7D" w:rsidR="00BC615B">
        <w:t xml:space="preserve">Because </w:t>
      </w:r>
      <w:r w:rsidR="00AA3C4B">
        <w:t xml:space="preserve">Entravision </w:t>
      </w:r>
      <w:r w:rsidR="006754F8">
        <w:t xml:space="preserve">has not disputed whether the inserts </w:t>
      </w:r>
      <w:r w:rsidR="001E0DB5">
        <w:t>are</w:t>
      </w:r>
      <w:r w:rsidR="006754F8">
        <w:t xml:space="preserve"> a reimbursable advertising expense</w:t>
      </w:r>
      <w:r w:rsidRPr="00527E7D" w:rsidR="00BC615B">
        <w:t xml:space="preserve">, </w:t>
      </w:r>
      <w:r w:rsidR="00B51771">
        <w:t xml:space="preserve">the only issue in dispute is </w:t>
      </w:r>
      <w:r w:rsidRPr="00527E7D" w:rsidR="00937261">
        <w:t xml:space="preserve">whether Entravision should be required to reimburse PVBC for </w:t>
      </w:r>
      <w:r w:rsidR="00761F0B">
        <w:t xml:space="preserve">more than </w:t>
      </w:r>
      <w:r w:rsidR="00742241">
        <w:t>three months</w:t>
      </w:r>
      <w:r w:rsidR="00761F0B">
        <w:t xml:space="preserve"> of the inserts</w:t>
      </w:r>
      <w:r w:rsidRPr="00527E7D" w:rsidR="00937261">
        <w:t>.</w:t>
      </w:r>
      <w:r w:rsidRPr="00527E7D" w:rsidR="001275D1">
        <w:t xml:space="preserve">  </w:t>
      </w:r>
      <w:r w:rsidR="00B51771">
        <w:t xml:space="preserve">That is the issue that we address herein.  </w:t>
      </w:r>
    </w:p>
  </w:footnote>
  <w:footnote w:id="87">
    <w:p w:rsidR="00CD4487" w:rsidRPr="00527E7D" w:rsidP="00933567" w14:paraId="4C5D322D" w14:textId="3EF55905">
      <w:pPr>
        <w:pStyle w:val="FootnoteText"/>
        <w:spacing w:after="120"/>
      </w:pPr>
      <w:r w:rsidRPr="00527E7D">
        <w:rPr>
          <w:rStyle w:val="FootnoteReference"/>
        </w:rPr>
        <w:footnoteRef/>
      </w:r>
      <w:r w:rsidRPr="00527E7D">
        <w:t xml:space="preserve"> </w:t>
      </w:r>
      <w:r w:rsidRPr="00527E7D">
        <w:t>Response at 13 (“Entravision considers three months of inserts, amounting to $300 to be a reasonable cost to reimburse.”).</w:t>
      </w:r>
    </w:p>
  </w:footnote>
  <w:footnote w:id="88">
    <w:p w:rsidR="00FE5760" w:rsidP="00933567" w14:paraId="00169B4B" w14:textId="1A57DA03">
      <w:pPr>
        <w:pStyle w:val="FootnoteText"/>
        <w:spacing w:after="120"/>
      </w:pPr>
      <w:r>
        <w:rPr>
          <w:rStyle w:val="FootnoteReference"/>
        </w:rPr>
        <w:footnoteRef/>
      </w:r>
      <w:r>
        <w:t xml:space="preserve"> </w:t>
      </w:r>
      <w:r>
        <w:t xml:space="preserve">We remind both parties that Entravision’s reimbursement obligation </w:t>
      </w:r>
      <w:r w:rsidR="0090592E">
        <w:t xml:space="preserve">is not triggered until this expense is incurred.  </w:t>
      </w:r>
    </w:p>
  </w:footnote>
  <w:footnote w:id="89">
    <w:p w:rsidR="00BC5C0F" w:rsidRPr="00527E7D" w:rsidP="00933567" w14:paraId="1FF7F6D0" w14:textId="0E13CBCA">
      <w:pPr>
        <w:pStyle w:val="FootnoteText"/>
        <w:spacing w:after="120"/>
      </w:pPr>
      <w:r w:rsidRPr="00527E7D">
        <w:rPr>
          <w:rStyle w:val="FootnoteReference"/>
        </w:rPr>
        <w:footnoteRef/>
      </w:r>
      <w:r w:rsidRPr="00527E7D">
        <w:t xml:space="preserve"> </w:t>
      </w:r>
      <w:r>
        <w:t xml:space="preserve">Update at </w:t>
      </w:r>
      <w:r w:rsidR="00B24385">
        <w:t>Attachs</w:t>
      </w:r>
      <w:r w:rsidR="00B24385">
        <w:t>. 33, 35;</w:t>
      </w:r>
      <w:r>
        <w:t xml:space="preserve"> Reply at </w:t>
      </w:r>
      <w:r w:rsidR="00B62D81">
        <w:t>13-14, 15-16</w:t>
      </w:r>
      <w:r w:rsidR="00BA37EF">
        <w:t>.</w:t>
      </w:r>
      <w:r>
        <w:t xml:space="preserve"> </w:t>
      </w:r>
    </w:p>
  </w:footnote>
  <w:footnote w:id="90">
    <w:p w:rsidR="00CD65AF" w:rsidRPr="00527E7D" w:rsidP="00933567" w14:paraId="27B8C826" w14:textId="1A3C4B12">
      <w:pPr>
        <w:pStyle w:val="FootnoteText"/>
        <w:spacing w:after="120"/>
      </w:pPr>
      <w:r w:rsidRPr="00527E7D">
        <w:rPr>
          <w:rStyle w:val="FootnoteReference"/>
        </w:rPr>
        <w:footnoteRef/>
      </w:r>
      <w:r w:rsidRPr="00527E7D">
        <w:t xml:space="preserve"> </w:t>
      </w:r>
      <w:r w:rsidRPr="001B09BC" w:rsidR="001B09BC">
        <w:rPr>
          <w:i/>
          <w:iCs/>
        </w:rPr>
        <w:t>See</w:t>
      </w:r>
      <w:r w:rsidR="001B09BC">
        <w:t xml:space="preserve"> </w:t>
      </w:r>
      <w:r w:rsidRPr="00527E7D">
        <w:t xml:space="preserve">Response at 14, 15.  </w:t>
      </w:r>
    </w:p>
  </w:footnote>
  <w:footnote w:id="91">
    <w:p w:rsidR="00CD65AF" w:rsidRPr="00527E7D" w:rsidP="00933567" w14:paraId="66D96BA5" w14:textId="77777777">
      <w:pPr>
        <w:pStyle w:val="FootnoteText"/>
        <w:spacing w:after="120"/>
      </w:pPr>
      <w:r w:rsidRPr="00527E7D">
        <w:rPr>
          <w:rStyle w:val="FootnoteReference"/>
        </w:rPr>
        <w:footnoteRef/>
      </w:r>
      <w:r w:rsidRPr="00527E7D">
        <w:t xml:space="preserve"> </w:t>
      </w:r>
      <w:r w:rsidRPr="00527E7D">
        <w:rPr>
          <w:i/>
          <w:iCs/>
        </w:rPr>
        <w:t>Circleville</w:t>
      </w:r>
      <w:r w:rsidRPr="00527E7D">
        <w:t xml:space="preserve">, 8 FCC 2d at 163-64, para. 12.  </w:t>
      </w:r>
    </w:p>
  </w:footnote>
  <w:footnote w:id="92">
    <w:p w:rsidR="00CD65AF" w:rsidRPr="00527E7D" w:rsidP="00933567" w14:paraId="3E037999" w14:textId="381BD7A6">
      <w:pPr>
        <w:pStyle w:val="FootnoteText"/>
        <w:spacing w:after="120"/>
      </w:pPr>
      <w:r w:rsidRPr="00527E7D">
        <w:rPr>
          <w:rStyle w:val="FootnoteReference"/>
        </w:rPr>
        <w:footnoteRef/>
      </w:r>
      <w:r w:rsidRPr="00527E7D">
        <w:t xml:space="preserve"> </w:t>
      </w:r>
      <w:r w:rsidRPr="00527E7D">
        <w:rPr>
          <w:i/>
          <w:iCs/>
        </w:rPr>
        <w:t>Lechman</w:t>
      </w:r>
      <w:r w:rsidRPr="00527E7D">
        <w:t xml:space="preserve">, 8 FCC </w:t>
      </w:r>
      <w:r w:rsidRPr="00527E7D">
        <w:t>Rcd</w:t>
      </w:r>
      <w:r w:rsidRPr="00527E7D">
        <w:t xml:space="preserve"> at 3059, paras. 6, 10.  </w:t>
      </w:r>
    </w:p>
  </w:footnote>
  <w:footnote w:id="93">
    <w:p w:rsidR="00CD65AF" w:rsidRPr="00527E7D" w:rsidP="00933567" w14:paraId="265CC890" w14:textId="1C832BD3">
      <w:pPr>
        <w:pStyle w:val="FootnoteText"/>
        <w:spacing w:after="120"/>
      </w:pPr>
      <w:r w:rsidRPr="00527E7D">
        <w:rPr>
          <w:rStyle w:val="FootnoteReference"/>
        </w:rPr>
        <w:footnoteRef/>
      </w:r>
      <w:r w:rsidRPr="00527E7D">
        <w:t xml:space="preserve"> </w:t>
      </w:r>
      <w:r w:rsidRPr="007A01BB">
        <w:rPr>
          <w:i/>
          <w:iCs/>
        </w:rPr>
        <w:t>KBEX(FM),</w:t>
      </w:r>
      <w:r w:rsidRPr="007A01BB">
        <w:t xml:space="preserve"> </w:t>
      </w:r>
      <w:r w:rsidR="007A01BB">
        <w:t xml:space="preserve">28 FCC </w:t>
      </w:r>
      <w:r w:rsidR="007A01BB">
        <w:t>Rcd</w:t>
      </w:r>
      <w:r w:rsidR="007A01BB">
        <w:t xml:space="preserve"> at 3235, 3237-38</w:t>
      </w:r>
      <w:r w:rsidR="00464EC9">
        <w:t>.</w:t>
      </w:r>
      <w:r w:rsidRPr="00527E7D" w:rsidR="00346C7E">
        <w:t xml:space="preserve">  We note that Entravision appears to acknowledge that </w:t>
      </w:r>
      <w:r w:rsidRPr="00527E7D" w:rsidR="00A03387">
        <w:t xml:space="preserve">reimbursement is required </w:t>
      </w:r>
      <w:r w:rsidRPr="00E129DE" w:rsidR="00A03387">
        <w:t xml:space="preserve">for promotional </w:t>
      </w:r>
      <w:r w:rsidRPr="00E129DE" w:rsidR="00346C7E">
        <w:t>items like magnets, logo design, table cloths, building signage, hats</w:t>
      </w:r>
      <w:r w:rsidRPr="00E129DE" w:rsidR="00E129DE">
        <w:t>, A-frame signs, and banners</w:t>
      </w:r>
      <w:r w:rsidRPr="00E129DE" w:rsidR="000F6BB7">
        <w:t>.</w:t>
      </w:r>
      <w:r w:rsidRPr="00E129DE" w:rsidR="00A03387">
        <w:t xml:space="preserve">  Response at 7, n.5, and </w:t>
      </w:r>
      <w:r w:rsidRPr="00E129DE" w:rsidR="00A03387">
        <w:t>Exh</w:t>
      </w:r>
      <w:r w:rsidRPr="00E129DE" w:rsidR="00A03387">
        <w:t>. A (including “reasonable cost showing” provided by accommodating party in another case</w:t>
      </w:r>
      <w:r w:rsidRPr="00E129DE" w:rsidR="00276871">
        <w:t>—</w:t>
      </w:r>
      <w:r w:rsidRPr="00E129DE" w:rsidR="00832898">
        <w:t>which included expenses for magnets, logo design, table cloth</w:t>
      </w:r>
      <w:r w:rsidRPr="00E129DE" w:rsidR="00276871">
        <w:t>, building signage, and hats</w:t>
      </w:r>
      <w:r w:rsidRPr="00E129DE" w:rsidR="00A03387">
        <w:t>, and indicating that “[t]his showing can be used as the starting point for the award of reasonable cost reimbursement to PVBC</w:t>
      </w:r>
      <w:r w:rsidRPr="00E129DE" w:rsidR="00E129DE">
        <w:t>”),</w:t>
      </w:r>
      <w:r w:rsidRPr="00E129DE" w:rsidR="00E40F28">
        <w:t xml:space="preserve"> 17 (“Assuming that PVBC purchased this sign and it bears KPPV’s output frequency on it, Entravision is not opposed to replacing it at reasonable cost.”), 18 (“If PVBC has any banners in stock that contain its output frequency, Entravision accepts that their replacement would be at cost.”).</w:t>
      </w:r>
      <w:r w:rsidR="00E40F28">
        <w:t xml:space="preserve">  </w:t>
      </w:r>
    </w:p>
  </w:footnote>
  <w:footnote w:id="94">
    <w:p w:rsidR="00BD1181" w:rsidP="00933567" w14:paraId="1C57471B" w14:textId="7A64EE2B">
      <w:pPr>
        <w:pStyle w:val="FootnoteText"/>
        <w:spacing w:after="120"/>
      </w:pPr>
      <w:r>
        <w:rPr>
          <w:rStyle w:val="FootnoteReference"/>
        </w:rPr>
        <w:footnoteRef/>
      </w:r>
      <w:r>
        <w:t xml:space="preserve"> </w:t>
      </w:r>
      <w:r w:rsidR="008F3BC5">
        <w:t>Put another way</w:t>
      </w:r>
      <w:r w:rsidR="00953B93">
        <w:t>, if PVBC has 100 t-shirts in its possession that must be replaced because they include KPPV(FM)’s old frequency</w:t>
      </w:r>
      <w:r w:rsidR="008F3BC5">
        <w:t xml:space="preserve"> but PVBC orders 200 t-shirts, it is entitled to reimbursement only for the cost of 100 t-shirts.  </w:t>
      </w:r>
    </w:p>
  </w:footnote>
  <w:footnote w:id="95">
    <w:p w:rsidR="008F3BC5" w:rsidP="00933567" w14:paraId="5EFE54F1" w14:textId="432ECB71">
      <w:pPr>
        <w:pStyle w:val="FootnoteText"/>
        <w:spacing w:after="120"/>
      </w:pPr>
      <w:r>
        <w:rPr>
          <w:rStyle w:val="FootnoteReference"/>
        </w:rPr>
        <w:footnoteRef/>
      </w:r>
      <w:r>
        <w:t xml:space="preserve"> </w:t>
      </w:r>
      <w:r w:rsidRPr="00527E7D">
        <w:rPr>
          <w:i/>
          <w:iCs/>
        </w:rPr>
        <w:t>Circleville</w:t>
      </w:r>
      <w:r w:rsidRPr="00527E7D">
        <w:t>, 8 FCC 2d. at 164, para. 12.</w:t>
      </w:r>
      <w:r w:rsidR="0072086C">
        <w:t xml:space="preserve">  </w:t>
      </w:r>
      <w:r w:rsidRPr="008F6C0E" w:rsidR="0072086C">
        <w:t xml:space="preserve">Promotional items hold little or no value with respect to informing the public of the involuntary channel change.  </w:t>
      </w:r>
      <w:r w:rsidRPr="008F6C0E" w:rsidR="00C422D4">
        <w:t>Thus, there</w:t>
      </w:r>
      <w:r w:rsidRPr="008F6C0E" w:rsidR="00743660">
        <w:t xml:space="preserve"> is no clear nexus between the purchase of additional quantities of various promotional items and an involuntary channel change.</w:t>
      </w:r>
      <w:r w:rsidR="00743660">
        <w:rPr>
          <w:sz w:val="22"/>
          <w:szCs w:val="22"/>
        </w:rPr>
        <w:t xml:space="preserve">  </w:t>
      </w:r>
    </w:p>
  </w:footnote>
  <w:footnote w:id="96">
    <w:p w:rsidR="00FF710D" w:rsidRPr="00527E7D" w:rsidP="00933567" w14:paraId="076238E5" w14:textId="7249CA5E">
      <w:pPr>
        <w:pStyle w:val="FootnoteText"/>
        <w:spacing w:after="120"/>
      </w:pPr>
      <w:r w:rsidRPr="00527E7D">
        <w:rPr>
          <w:rStyle w:val="FootnoteReference"/>
        </w:rPr>
        <w:footnoteRef/>
      </w:r>
      <w:r w:rsidRPr="00527E7D">
        <w:t xml:space="preserve"> </w:t>
      </w:r>
      <w:r w:rsidRPr="002B70A8">
        <w:t>We categorize the following expense items as promotional:  Box Truck Wrap, Vinyl for Scoreboard at Local Stadium, Bumper Stickers, Vinyl on Office Walls, Tablecloths, T-Shirts and Caps, Banners, A-Frame Signs, Lip Balms, Pens, Keychains, Car Shades, Pint Glasses, Fleece Jackets, Satin Jackets, Polos, Lined Windbreakers.  We note that one additional expense item—Note Pads—appears to be promotional, and we include it in this category for the time being</w:t>
      </w:r>
      <w:r w:rsidRPr="009A3A0E">
        <w:t>.  Thus, the information requests related to Promotional Items apply to the Note Pads listed in the Report too.</w:t>
      </w:r>
      <w:r w:rsidRPr="009A3A0E" w:rsidR="009A3A0E">
        <w:t xml:space="preserve">  </w:t>
      </w:r>
    </w:p>
  </w:footnote>
  <w:footnote w:id="97">
    <w:p w:rsidR="004065A7" w:rsidP="00933567" w14:paraId="63E55646" w14:textId="587D77B2">
      <w:pPr>
        <w:pStyle w:val="FootnoteText"/>
        <w:spacing w:after="120"/>
      </w:pPr>
      <w:r>
        <w:rPr>
          <w:rStyle w:val="FootnoteReference"/>
        </w:rPr>
        <w:footnoteRef/>
      </w:r>
      <w:r>
        <w:t xml:space="preserve"> </w:t>
      </w:r>
      <w:r w:rsidRPr="009A3A0E">
        <w:t>PVBC included “representative examples”</w:t>
      </w:r>
      <w:r w:rsidR="00C265DC">
        <w:t xml:space="preserve"> of certain promotional items.</w:t>
      </w:r>
      <w:r w:rsidRPr="009A3A0E">
        <w:t xml:space="preserve">  Update at Representative Examples Attach.  PVBC need not </w:t>
      </w:r>
      <w:r>
        <w:t>provide</w:t>
      </w:r>
      <w:r w:rsidRPr="009A3A0E">
        <w:t xml:space="preserve"> duplicate examples of these items.  However, PVBC should clearly indicate the expense item (</w:t>
      </w:r>
      <w:r w:rsidRPr="009A3A0E">
        <w:rPr>
          <w:i/>
          <w:iCs/>
        </w:rPr>
        <w:t>e.g</w:t>
      </w:r>
      <w:r w:rsidRPr="009A3A0E">
        <w:t>., satin jacket, windbreaker) represented by each of these examples.</w:t>
      </w:r>
      <w:r w:rsidRPr="002B70A8">
        <w:t xml:space="preserve">  </w:t>
      </w:r>
    </w:p>
  </w:footnote>
  <w:footnote w:id="98">
    <w:p w:rsidR="001D2FDA" w:rsidRPr="00527E7D" w:rsidP="00933567" w14:paraId="1D5C0099" w14:textId="21BC7112">
      <w:pPr>
        <w:pStyle w:val="FootnoteText"/>
        <w:spacing w:after="120"/>
      </w:pPr>
      <w:r w:rsidRPr="00527E7D">
        <w:rPr>
          <w:rStyle w:val="FootnoteReference"/>
        </w:rPr>
        <w:footnoteRef/>
      </w:r>
      <w:r w:rsidRPr="00527E7D">
        <w:t xml:space="preserve"> </w:t>
      </w:r>
      <w:r w:rsidRPr="00527E7D">
        <w:rPr>
          <w:i/>
          <w:iCs/>
        </w:rPr>
        <w:t>Lechman</w:t>
      </w:r>
      <w:r w:rsidRPr="00527E7D">
        <w:t xml:space="preserve">, 8 FCC </w:t>
      </w:r>
      <w:r w:rsidRPr="00527E7D">
        <w:t>Rcd</w:t>
      </w:r>
      <w:r w:rsidRPr="00527E7D">
        <w:t xml:space="preserve"> at 3060, n.3.</w:t>
      </w:r>
    </w:p>
  </w:footnote>
  <w:footnote w:id="99">
    <w:p w:rsidR="001D2FDA" w:rsidRPr="00527E7D" w:rsidP="00933567" w14:paraId="6D8FB0E7" w14:textId="1C1709CD">
      <w:pPr>
        <w:pStyle w:val="FootnoteText"/>
        <w:spacing w:after="120"/>
      </w:pPr>
      <w:r w:rsidRPr="00527E7D">
        <w:rPr>
          <w:rStyle w:val="FootnoteReference"/>
        </w:rPr>
        <w:footnoteRef/>
      </w:r>
      <w:r w:rsidRPr="00527E7D">
        <w:t xml:space="preserve"> </w:t>
      </w:r>
      <w:r w:rsidR="00634A4E">
        <w:rPr>
          <w:i/>
          <w:iCs/>
        </w:rPr>
        <w:t>Id</w:t>
      </w:r>
      <w:r w:rsidRPr="00527E7D">
        <w:t>.</w:t>
      </w:r>
    </w:p>
  </w:footnote>
  <w:footnote w:id="100">
    <w:p w:rsidR="00ED69D7" w:rsidP="00933567" w14:paraId="326AFF5B" w14:textId="28B9A9A6">
      <w:pPr>
        <w:pStyle w:val="FootnoteText"/>
        <w:spacing w:after="120"/>
      </w:pPr>
      <w:r>
        <w:rPr>
          <w:rStyle w:val="FootnoteReference"/>
        </w:rPr>
        <w:footnoteRef/>
      </w:r>
      <w:r>
        <w:t xml:space="preserve"> </w:t>
      </w:r>
      <w:r w:rsidR="00382EB7">
        <w:t>Report</w:t>
      </w:r>
      <w:r w:rsidR="00F41F93">
        <w:t>, Preliminary Assessment</w:t>
      </w:r>
      <w:r w:rsidR="00CA4730">
        <w:t>, at 2; Update at Attach. 32</w:t>
      </w:r>
      <w:r w:rsidR="00304A01">
        <w:t>; Reply at 13-14.</w:t>
      </w:r>
    </w:p>
  </w:footnote>
  <w:footnote w:id="101">
    <w:p w:rsidR="00ED69D7" w:rsidP="00933567" w14:paraId="7853DD62" w14:textId="60C47277">
      <w:pPr>
        <w:pStyle w:val="FootnoteText"/>
        <w:spacing w:after="120"/>
      </w:pPr>
      <w:r>
        <w:rPr>
          <w:rStyle w:val="FootnoteReference"/>
        </w:rPr>
        <w:footnoteRef/>
      </w:r>
      <w:r>
        <w:t xml:space="preserve"> </w:t>
      </w:r>
      <w:r w:rsidR="00634A4E">
        <w:t>Report</w:t>
      </w:r>
      <w:r w:rsidR="00B132DF">
        <w:t xml:space="preserve">, Preliminary Assessment, at </w:t>
      </w:r>
      <w:r w:rsidR="0090214F">
        <w:t>2, and Attach. 17.</w:t>
      </w:r>
    </w:p>
  </w:footnote>
  <w:footnote w:id="102">
    <w:p w:rsidR="00FC1296" w:rsidP="00933567" w14:paraId="69594FF2" w14:textId="10D368C5">
      <w:pPr>
        <w:pStyle w:val="FootnoteText"/>
        <w:spacing w:after="120"/>
      </w:pPr>
      <w:r>
        <w:rPr>
          <w:rStyle w:val="FootnoteReference"/>
        </w:rPr>
        <w:footnoteRef/>
      </w:r>
      <w:r>
        <w:t xml:space="preserve"> </w:t>
      </w:r>
      <w:r w:rsidRPr="00BF462A">
        <w:t xml:space="preserve">To the extent that Entravision argues that </w:t>
      </w:r>
      <w:r w:rsidRPr="00BF462A" w:rsidR="00840EF8">
        <w:t>interior painting</w:t>
      </w:r>
      <w:r w:rsidRPr="00BF462A">
        <w:t xml:space="preserve"> </w:t>
      </w:r>
      <w:r w:rsidRPr="00BF462A" w:rsidR="00E735E3">
        <w:t xml:space="preserve">is not </w:t>
      </w:r>
      <w:r w:rsidRPr="00BF462A" w:rsidR="00840EF8">
        <w:t xml:space="preserve">a </w:t>
      </w:r>
      <w:r w:rsidRPr="00BF462A" w:rsidR="00E735E3">
        <w:t xml:space="preserve">reimbursable </w:t>
      </w:r>
      <w:r w:rsidRPr="00BF462A" w:rsidR="00840EF8">
        <w:t xml:space="preserve">expense </w:t>
      </w:r>
      <w:r w:rsidRPr="00BF462A" w:rsidR="00E735E3">
        <w:t>because</w:t>
      </w:r>
      <w:r w:rsidRPr="00BF462A">
        <w:t xml:space="preserve"> </w:t>
      </w:r>
      <w:r w:rsidRPr="00BF462A" w:rsidR="00E735E3">
        <w:t xml:space="preserve">it does not fall into one of the categories of expenses set forth in </w:t>
      </w:r>
      <w:r w:rsidRPr="0090214F" w:rsidR="00E735E3">
        <w:rPr>
          <w:i/>
          <w:iCs/>
        </w:rPr>
        <w:t>Circleville</w:t>
      </w:r>
      <w:r w:rsidRPr="00BF462A" w:rsidR="00E735E3">
        <w:t xml:space="preserve"> and its progeny, we reject this argument.  Response at </w:t>
      </w:r>
      <w:r w:rsidR="00B26670">
        <w:t>15.</w:t>
      </w:r>
      <w:r w:rsidRPr="00BF462A" w:rsidR="00E735E3">
        <w:t xml:space="preserve">  As </w:t>
      </w:r>
      <w:r w:rsidRPr="00BF462A" w:rsidR="0052264C">
        <w:t xml:space="preserve">we note above, an expense need not fall into one of the </w:t>
      </w:r>
      <w:r w:rsidRPr="00BF462A" w:rsidR="0052264C">
        <w:rPr>
          <w:i/>
          <w:iCs/>
        </w:rPr>
        <w:t>Circleville</w:t>
      </w:r>
      <w:r w:rsidRPr="00BF462A" w:rsidR="0052264C">
        <w:t xml:space="preserve"> categories to be </w:t>
      </w:r>
      <w:r w:rsidRPr="00BF462A" w:rsidR="00840EF8">
        <w:t>reimbursable</w:t>
      </w:r>
      <w:r w:rsidRPr="00BF462A" w:rsidR="0052264C">
        <w:t xml:space="preserve">.  Instead, there must be a clear nexus between the </w:t>
      </w:r>
      <w:r w:rsidRPr="00BF462A" w:rsidR="00840EF8">
        <w:t>expense and the involuntary channel change.</w:t>
      </w:r>
      <w:r w:rsidR="00840EF8">
        <w:rPr>
          <w:sz w:val="22"/>
          <w:szCs w:val="22"/>
        </w:rPr>
        <w:t xml:space="preserve"> </w:t>
      </w:r>
    </w:p>
  </w:footnote>
  <w:footnote w:id="103">
    <w:p w:rsidR="00342AF6" w:rsidP="00933567" w14:paraId="7916D26D" w14:textId="161400B3">
      <w:pPr>
        <w:pStyle w:val="FootnoteText"/>
        <w:spacing w:after="120"/>
      </w:pPr>
      <w:r>
        <w:rPr>
          <w:rStyle w:val="FootnoteReference"/>
        </w:rPr>
        <w:footnoteRef/>
      </w:r>
      <w:r>
        <w:t xml:space="preserve"> </w:t>
      </w:r>
      <w:r>
        <w:t>Report</w:t>
      </w:r>
      <w:r w:rsidR="002833BA">
        <w:t xml:space="preserve">, Preliminary Assessment, at 2, and Attach. </w:t>
      </w:r>
      <w:r w:rsidR="00881E04">
        <w:t>18.</w:t>
      </w:r>
    </w:p>
  </w:footnote>
  <w:footnote w:id="104">
    <w:p w:rsidR="00342AF6" w:rsidP="00933567" w14:paraId="5A042CC7" w14:textId="208EE29B">
      <w:pPr>
        <w:pStyle w:val="FootnoteText"/>
        <w:spacing w:after="120"/>
      </w:pPr>
      <w:r>
        <w:rPr>
          <w:rStyle w:val="FootnoteReference"/>
        </w:rPr>
        <w:footnoteRef/>
      </w:r>
      <w:r>
        <w:t xml:space="preserve"> </w:t>
      </w:r>
      <w:r>
        <w:t>Report</w:t>
      </w:r>
      <w:r w:rsidR="00881E04">
        <w:t>, Preliminary Assessment at 4.</w:t>
      </w:r>
    </w:p>
  </w:footnote>
  <w:footnote w:id="105">
    <w:p w:rsidR="00255018" w:rsidP="00933567" w14:paraId="0FD65BEA" w14:textId="46E8CB6A">
      <w:pPr>
        <w:pStyle w:val="FootnoteText"/>
        <w:spacing w:after="120"/>
      </w:pPr>
      <w:r>
        <w:rPr>
          <w:rStyle w:val="FootnoteReference"/>
        </w:rPr>
        <w:footnoteRef/>
      </w:r>
      <w:r>
        <w:t xml:space="preserve"> </w:t>
      </w:r>
      <w:r w:rsidRPr="00212BC3" w:rsidR="00881E04">
        <w:rPr>
          <w:i/>
          <w:iCs/>
        </w:rPr>
        <w:t>Id</w:t>
      </w:r>
      <w:r w:rsidR="00881E04">
        <w:t>. at 3.</w:t>
      </w:r>
    </w:p>
  </w:footnote>
  <w:footnote w:id="106">
    <w:p w:rsidR="00933567" w:rsidP="00933567" w14:paraId="101A101F" w14:textId="53639458">
      <w:pPr>
        <w:pStyle w:val="FootnoteText"/>
        <w:spacing w:after="120"/>
      </w:pPr>
      <w:r>
        <w:rPr>
          <w:rStyle w:val="FootnoteReference"/>
        </w:rPr>
        <w:footnoteRef/>
      </w:r>
      <w:r>
        <w:t xml:space="preserve"> </w:t>
      </w:r>
      <w:r w:rsidRPr="00212BC3" w:rsidR="00212BC3">
        <w:rPr>
          <w:i/>
          <w:iCs/>
        </w:rPr>
        <w:t>Id</w:t>
      </w:r>
      <w:r w:rsidR="00212BC3">
        <w:t>.</w:t>
      </w:r>
    </w:p>
  </w:footnote>
  <w:footnote w:id="107">
    <w:p w:rsidR="00C126B7" w:rsidP="00933567" w14:paraId="2F45A465" w14:textId="3A0E65D7">
      <w:pPr>
        <w:pStyle w:val="FootnoteText"/>
        <w:spacing w:after="120"/>
      </w:pPr>
      <w:r>
        <w:rPr>
          <w:rStyle w:val="FootnoteReference"/>
        </w:rPr>
        <w:footnoteRef/>
      </w:r>
      <w:r>
        <w:t xml:space="preserve"> </w:t>
      </w:r>
      <w:r w:rsidR="007730D0">
        <w:t>Update</w:t>
      </w:r>
      <w:r w:rsidR="009D6998">
        <w:t>, Preliminary Assessment at 3, and</w:t>
      </w:r>
      <w:r w:rsidR="007730D0">
        <w:t xml:space="preserve"> </w:t>
      </w:r>
      <w:r w:rsidR="00A40C4C">
        <w:t>Attach</w:t>
      </w:r>
      <w:r w:rsidR="009D6998">
        <w:t>s</w:t>
      </w:r>
      <w:r w:rsidR="00A40C4C">
        <w:t>. 35</w:t>
      </w:r>
      <w:r w:rsidR="009D6998">
        <w:t>, 36;</w:t>
      </w:r>
      <w:r w:rsidR="007730D0">
        <w:t xml:space="preserve"> Reply at </w:t>
      </w:r>
      <w:r w:rsidR="00B52A61">
        <w:t>14</w:t>
      </w:r>
      <w:r w:rsidR="000C6AE7">
        <w:t>.</w:t>
      </w:r>
    </w:p>
  </w:footnote>
  <w:footnote w:id="108">
    <w:p w:rsidR="00F77593" w:rsidRPr="00527E7D" w:rsidP="00933567" w14:paraId="081380E0" w14:textId="01AC00F6">
      <w:pPr>
        <w:pStyle w:val="FootnoteText"/>
        <w:spacing w:after="120"/>
      </w:pPr>
      <w:r w:rsidRPr="00527E7D">
        <w:rPr>
          <w:rStyle w:val="FootnoteReference"/>
        </w:rPr>
        <w:footnoteRef/>
      </w:r>
      <w:r w:rsidRPr="00527E7D">
        <w:t xml:space="preserve"> </w:t>
      </w:r>
      <w:r w:rsidRPr="007730D0">
        <w:rPr>
          <w:i/>
          <w:iCs/>
        </w:rPr>
        <w:t>KBEX(FM),</w:t>
      </w:r>
      <w:r w:rsidRPr="007730D0">
        <w:t xml:space="preserve"> </w:t>
      </w:r>
      <w:r>
        <w:t xml:space="preserve">28 FCC </w:t>
      </w:r>
      <w:r>
        <w:t>Rcd</w:t>
      </w:r>
      <w:r>
        <w:t xml:space="preserve"> at 3235, 3237-38</w:t>
      </w:r>
      <w:r w:rsidRPr="00527E7D">
        <w:t xml:space="preserve"> (requiring reimbursement for expense of “voice-over”).  </w:t>
      </w:r>
      <w:r w:rsidRPr="00527E7D">
        <w:rPr>
          <w:i/>
          <w:iCs/>
        </w:rPr>
        <w:t xml:space="preserve">See also </w:t>
      </w:r>
      <w:r w:rsidRPr="00527E7D">
        <w:rPr>
          <w:i/>
          <w:iCs/>
        </w:rPr>
        <w:t>Lechman</w:t>
      </w:r>
      <w:r w:rsidR="007730D0">
        <w:t xml:space="preserve">, 8 FCC </w:t>
      </w:r>
      <w:r w:rsidR="007730D0">
        <w:t>Rcd</w:t>
      </w:r>
      <w:r w:rsidRPr="00527E7D">
        <w:t xml:space="preserve"> at 3060, para. 11, n.3 (declining to require reimbursement for a “jingle package” because accommodating party had not “demonstrated that re-cutting the station’s three jingle packages was a reasonable and prudent expense connected with the frequency switch:  for example, we do not know the contents of the announcements or why they must now be changed, but refusing to “state here that such expenses are never reimbursable”).</w:t>
      </w:r>
    </w:p>
  </w:footnote>
  <w:footnote w:id="109">
    <w:p w:rsidR="00F77593" w:rsidRPr="00527E7D" w:rsidP="00933567" w14:paraId="6F43D7E1" w14:textId="77777777">
      <w:pPr>
        <w:pStyle w:val="FootnoteText"/>
        <w:spacing w:after="120"/>
      </w:pPr>
      <w:r w:rsidRPr="00527E7D">
        <w:rPr>
          <w:rStyle w:val="FootnoteReference"/>
        </w:rPr>
        <w:footnoteRef/>
      </w:r>
      <w:r w:rsidRPr="00527E7D">
        <w:t xml:space="preserve"> </w:t>
      </w:r>
      <w:r w:rsidRPr="00527E7D">
        <w:t xml:space="preserve">Response at 7, n.5, and </w:t>
      </w:r>
      <w:r w:rsidRPr="00527E7D">
        <w:t>Exh</w:t>
      </w:r>
      <w:r w:rsidRPr="00527E7D">
        <w:t xml:space="preserve">. A (including “reasonable cost showing” provided by accommodating party in another case, and indicating that “[t]his showing can be used as the starting point for the award of reasonable cost reimbursement to PVBC”).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FF77F60" w14:textId="572FC7D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4DE675C"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632FF409" w14:textId="77777777">
    <w:pPr>
      <w:pStyle w:val="Header"/>
      <w:tabs>
        <w:tab w:val="clear" w:pos="4320"/>
      </w:tabs>
      <w:jc w:val="center"/>
      <w:rPr>
        <w:sz w:val="22"/>
      </w:rPr>
    </w:pPr>
  </w:p>
  <w:p w:rsidR="002B54DB" w14:paraId="41B1DF47" w14:textId="77777777">
    <w:pPr>
      <w:pStyle w:val="Header"/>
      <w:tabs>
        <w:tab w:val="clear" w:pos="4320"/>
      </w:tabs>
      <w:jc w:val="center"/>
      <w:rPr>
        <w:sz w:val="22"/>
      </w:rPr>
    </w:pPr>
  </w:p>
  <w:p w:rsidR="002B54DB" w14:paraId="5FCF70BF" w14:textId="7FE0FCAA">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683844">
      <w:rPr>
        <w:noProof/>
        <w:sz w:val="24"/>
      </w:rPr>
      <w:t>June 6,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B17A1"/>
    <w:multiLevelType w:val="hybridMultilevel"/>
    <w:tmpl w:val="50203FFC"/>
    <w:lvl w:ilvl="0">
      <w:start w:val="1"/>
      <w:numFmt w:val="decimal"/>
      <w:lvlText w:val="%1."/>
      <w:lvlJc w:val="left"/>
      <w:pPr>
        <w:ind w:left="2520" w:hanging="360"/>
      </w:pPr>
      <w:rPr>
        <w:rFonts w:hint="default"/>
        <w:b w:val="0"/>
        <w:sz w:val="22"/>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E116790"/>
    <w:multiLevelType w:val="hybridMultilevel"/>
    <w:tmpl w:val="9AA2A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0121EC"/>
    <w:multiLevelType w:val="hybridMultilevel"/>
    <w:tmpl w:val="38AED8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13820C5"/>
    <w:multiLevelType w:val="hybridMultilevel"/>
    <w:tmpl w:val="59F43E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565640"/>
    <w:multiLevelType w:val="hybridMultilevel"/>
    <w:tmpl w:val="2B12B4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90326D"/>
    <w:multiLevelType w:val="hybridMultilevel"/>
    <w:tmpl w:val="46E66F22"/>
    <w:lvl w:ilvl="0">
      <w:start w:val="1"/>
      <w:numFmt w:val="bullet"/>
      <w:lvlText w:val=""/>
      <w:lvlJc w:val="left"/>
      <w:pPr>
        <w:ind w:left="720" w:hanging="360"/>
      </w:pPr>
      <w:rPr>
        <w:rFonts w:ascii="Symbol" w:hAnsi="Symbol" w:hint="default"/>
        <w:spacing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46B1880"/>
    <w:multiLevelType w:val="hybridMultilevel"/>
    <w:tmpl w:val="806878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92C5774"/>
    <w:multiLevelType w:val="hybridMultilevel"/>
    <w:tmpl w:val="5CE29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F6"/>
    <w:rsid w:val="00001FEE"/>
    <w:rsid w:val="00002311"/>
    <w:rsid w:val="00002BAD"/>
    <w:rsid w:val="000051CD"/>
    <w:rsid w:val="00005596"/>
    <w:rsid w:val="00005B81"/>
    <w:rsid w:val="000074B2"/>
    <w:rsid w:val="0001044D"/>
    <w:rsid w:val="000114EE"/>
    <w:rsid w:val="000129F2"/>
    <w:rsid w:val="00013227"/>
    <w:rsid w:val="000135AC"/>
    <w:rsid w:val="00013B6D"/>
    <w:rsid w:val="000160C8"/>
    <w:rsid w:val="000161AF"/>
    <w:rsid w:val="00020F57"/>
    <w:rsid w:val="000225BE"/>
    <w:rsid w:val="000243B4"/>
    <w:rsid w:val="00026739"/>
    <w:rsid w:val="000338DF"/>
    <w:rsid w:val="00034A13"/>
    <w:rsid w:val="00035EA3"/>
    <w:rsid w:val="0003756D"/>
    <w:rsid w:val="00040CEC"/>
    <w:rsid w:val="00044387"/>
    <w:rsid w:val="000460C3"/>
    <w:rsid w:val="00047B8B"/>
    <w:rsid w:val="00051316"/>
    <w:rsid w:val="0005134B"/>
    <w:rsid w:val="00054E9B"/>
    <w:rsid w:val="000564A5"/>
    <w:rsid w:val="0006065B"/>
    <w:rsid w:val="00061522"/>
    <w:rsid w:val="00062463"/>
    <w:rsid w:val="000626B0"/>
    <w:rsid w:val="0006270A"/>
    <w:rsid w:val="0006362E"/>
    <w:rsid w:val="00064E6C"/>
    <w:rsid w:val="000656BA"/>
    <w:rsid w:val="00065A1E"/>
    <w:rsid w:val="00070D29"/>
    <w:rsid w:val="00072CB6"/>
    <w:rsid w:val="00072F48"/>
    <w:rsid w:val="0007553C"/>
    <w:rsid w:val="00076859"/>
    <w:rsid w:val="0008059F"/>
    <w:rsid w:val="00082D91"/>
    <w:rsid w:val="000833EF"/>
    <w:rsid w:val="000836EA"/>
    <w:rsid w:val="00083756"/>
    <w:rsid w:val="00083884"/>
    <w:rsid w:val="0008441E"/>
    <w:rsid w:val="00087A57"/>
    <w:rsid w:val="000911C1"/>
    <w:rsid w:val="000925F0"/>
    <w:rsid w:val="00094C39"/>
    <w:rsid w:val="000958ED"/>
    <w:rsid w:val="000960F1"/>
    <w:rsid w:val="000A0FD4"/>
    <w:rsid w:val="000A1B8F"/>
    <w:rsid w:val="000A2F65"/>
    <w:rsid w:val="000A439A"/>
    <w:rsid w:val="000A5833"/>
    <w:rsid w:val="000A5D40"/>
    <w:rsid w:val="000A756D"/>
    <w:rsid w:val="000A7D64"/>
    <w:rsid w:val="000B1540"/>
    <w:rsid w:val="000B336B"/>
    <w:rsid w:val="000B5A2E"/>
    <w:rsid w:val="000C1179"/>
    <w:rsid w:val="000C190E"/>
    <w:rsid w:val="000C221A"/>
    <w:rsid w:val="000C2368"/>
    <w:rsid w:val="000C4629"/>
    <w:rsid w:val="000C5B0A"/>
    <w:rsid w:val="000C631B"/>
    <w:rsid w:val="000C6AE7"/>
    <w:rsid w:val="000C6B20"/>
    <w:rsid w:val="000D15D4"/>
    <w:rsid w:val="000D3221"/>
    <w:rsid w:val="000D5B22"/>
    <w:rsid w:val="000D750C"/>
    <w:rsid w:val="000E0358"/>
    <w:rsid w:val="000E0456"/>
    <w:rsid w:val="000E2DE3"/>
    <w:rsid w:val="000E3AC4"/>
    <w:rsid w:val="000E4582"/>
    <w:rsid w:val="000E68B2"/>
    <w:rsid w:val="000E6D37"/>
    <w:rsid w:val="000F0827"/>
    <w:rsid w:val="000F12C5"/>
    <w:rsid w:val="000F27F9"/>
    <w:rsid w:val="000F335A"/>
    <w:rsid w:val="000F50FE"/>
    <w:rsid w:val="000F5541"/>
    <w:rsid w:val="000F6BB7"/>
    <w:rsid w:val="000F7A7B"/>
    <w:rsid w:val="00100BF5"/>
    <w:rsid w:val="00101DE1"/>
    <w:rsid w:val="00101DED"/>
    <w:rsid w:val="00102405"/>
    <w:rsid w:val="00103FF4"/>
    <w:rsid w:val="00105448"/>
    <w:rsid w:val="00106BA7"/>
    <w:rsid w:val="001106DF"/>
    <w:rsid w:val="0011124D"/>
    <w:rsid w:val="00111454"/>
    <w:rsid w:val="001130F9"/>
    <w:rsid w:val="00113EF1"/>
    <w:rsid w:val="00116615"/>
    <w:rsid w:val="001168EE"/>
    <w:rsid w:val="00116B0C"/>
    <w:rsid w:val="0012120C"/>
    <w:rsid w:val="00123746"/>
    <w:rsid w:val="00123888"/>
    <w:rsid w:val="0012477A"/>
    <w:rsid w:val="00124C59"/>
    <w:rsid w:val="00125A18"/>
    <w:rsid w:val="00125C41"/>
    <w:rsid w:val="00125FED"/>
    <w:rsid w:val="00126CE3"/>
    <w:rsid w:val="00127455"/>
    <w:rsid w:val="00127456"/>
    <w:rsid w:val="001275D1"/>
    <w:rsid w:val="00127EB1"/>
    <w:rsid w:val="0013020B"/>
    <w:rsid w:val="00130290"/>
    <w:rsid w:val="0013041D"/>
    <w:rsid w:val="00130E2A"/>
    <w:rsid w:val="00131946"/>
    <w:rsid w:val="001333F1"/>
    <w:rsid w:val="001340CF"/>
    <w:rsid w:val="00137FCA"/>
    <w:rsid w:val="001414A7"/>
    <w:rsid w:val="00141E6C"/>
    <w:rsid w:val="00144783"/>
    <w:rsid w:val="00144C71"/>
    <w:rsid w:val="00146D28"/>
    <w:rsid w:val="00150398"/>
    <w:rsid w:val="00152441"/>
    <w:rsid w:val="001529F5"/>
    <w:rsid w:val="00152F06"/>
    <w:rsid w:val="00153340"/>
    <w:rsid w:val="001541F4"/>
    <w:rsid w:val="001547DD"/>
    <w:rsid w:val="001554F1"/>
    <w:rsid w:val="0015605E"/>
    <w:rsid w:val="001564A0"/>
    <w:rsid w:val="001565C9"/>
    <w:rsid w:val="00157AA4"/>
    <w:rsid w:val="00157BB3"/>
    <w:rsid w:val="00157F50"/>
    <w:rsid w:val="00160330"/>
    <w:rsid w:val="00160D6E"/>
    <w:rsid w:val="001612A1"/>
    <w:rsid w:val="00162543"/>
    <w:rsid w:val="001633AE"/>
    <w:rsid w:val="00164784"/>
    <w:rsid w:val="001651F4"/>
    <w:rsid w:val="00165E55"/>
    <w:rsid w:val="00165F3D"/>
    <w:rsid w:val="00166EA7"/>
    <w:rsid w:val="00166F29"/>
    <w:rsid w:val="00167A36"/>
    <w:rsid w:val="001707C0"/>
    <w:rsid w:val="00170E7C"/>
    <w:rsid w:val="001711EF"/>
    <w:rsid w:val="00174646"/>
    <w:rsid w:val="0017541A"/>
    <w:rsid w:val="00176204"/>
    <w:rsid w:val="001764BE"/>
    <w:rsid w:val="00177C69"/>
    <w:rsid w:val="00180AE4"/>
    <w:rsid w:val="00181156"/>
    <w:rsid w:val="00181AF4"/>
    <w:rsid w:val="00181E3C"/>
    <w:rsid w:val="001823B3"/>
    <w:rsid w:val="00182AAF"/>
    <w:rsid w:val="00182C04"/>
    <w:rsid w:val="00183440"/>
    <w:rsid w:val="00183711"/>
    <w:rsid w:val="00184C00"/>
    <w:rsid w:val="001852C7"/>
    <w:rsid w:val="001852DC"/>
    <w:rsid w:val="001868A3"/>
    <w:rsid w:val="00190769"/>
    <w:rsid w:val="00190C5D"/>
    <w:rsid w:val="00191950"/>
    <w:rsid w:val="00192A5F"/>
    <w:rsid w:val="0019492A"/>
    <w:rsid w:val="00194FC8"/>
    <w:rsid w:val="001958E5"/>
    <w:rsid w:val="00195B9A"/>
    <w:rsid w:val="0019662A"/>
    <w:rsid w:val="001A03CD"/>
    <w:rsid w:val="001A1147"/>
    <w:rsid w:val="001A1194"/>
    <w:rsid w:val="001A213B"/>
    <w:rsid w:val="001A26A6"/>
    <w:rsid w:val="001A2DBB"/>
    <w:rsid w:val="001A7154"/>
    <w:rsid w:val="001B09BC"/>
    <w:rsid w:val="001B16B6"/>
    <w:rsid w:val="001B3723"/>
    <w:rsid w:val="001B3C80"/>
    <w:rsid w:val="001B49B4"/>
    <w:rsid w:val="001B774B"/>
    <w:rsid w:val="001B7EF2"/>
    <w:rsid w:val="001C0684"/>
    <w:rsid w:val="001C07A3"/>
    <w:rsid w:val="001C16D1"/>
    <w:rsid w:val="001C171F"/>
    <w:rsid w:val="001C1FEF"/>
    <w:rsid w:val="001C2D41"/>
    <w:rsid w:val="001C6624"/>
    <w:rsid w:val="001D08CD"/>
    <w:rsid w:val="001D1360"/>
    <w:rsid w:val="001D15B0"/>
    <w:rsid w:val="001D2FDA"/>
    <w:rsid w:val="001D4237"/>
    <w:rsid w:val="001D452B"/>
    <w:rsid w:val="001D5B42"/>
    <w:rsid w:val="001D6A28"/>
    <w:rsid w:val="001D6FDA"/>
    <w:rsid w:val="001D7101"/>
    <w:rsid w:val="001E0268"/>
    <w:rsid w:val="001E0DB5"/>
    <w:rsid w:val="001E2534"/>
    <w:rsid w:val="001E34E4"/>
    <w:rsid w:val="001E3F28"/>
    <w:rsid w:val="001E5F8A"/>
    <w:rsid w:val="001F0F04"/>
    <w:rsid w:val="001F18C5"/>
    <w:rsid w:val="001F2606"/>
    <w:rsid w:val="001F2818"/>
    <w:rsid w:val="001F3024"/>
    <w:rsid w:val="001F5AD9"/>
    <w:rsid w:val="001F6E5B"/>
    <w:rsid w:val="001F7A73"/>
    <w:rsid w:val="0020041E"/>
    <w:rsid w:val="00204CE3"/>
    <w:rsid w:val="002067B9"/>
    <w:rsid w:val="00207881"/>
    <w:rsid w:val="00207D2E"/>
    <w:rsid w:val="002106BD"/>
    <w:rsid w:val="00210716"/>
    <w:rsid w:val="00210BEA"/>
    <w:rsid w:val="002115D4"/>
    <w:rsid w:val="00212750"/>
    <w:rsid w:val="00212BC3"/>
    <w:rsid w:val="00212F22"/>
    <w:rsid w:val="00212FEE"/>
    <w:rsid w:val="00214F6D"/>
    <w:rsid w:val="0022094A"/>
    <w:rsid w:val="00224D73"/>
    <w:rsid w:val="0022515E"/>
    <w:rsid w:val="00227476"/>
    <w:rsid w:val="00230111"/>
    <w:rsid w:val="002307CB"/>
    <w:rsid w:val="00230FBA"/>
    <w:rsid w:val="00232703"/>
    <w:rsid w:val="002357BD"/>
    <w:rsid w:val="00235892"/>
    <w:rsid w:val="0024049E"/>
    <w:rsid w:val="00241174"/>
    <w:rsid w:val="00241436"/>
    <w:rsid w:val="00241B16"/>
    <w:rsid w:val="00242FFC"/>
    <w:rsid w:val="00244496"/>
    <w:rsid w:val="00244AFA"/>
    <w:rsid w:val="00245866"/>
    <w:rsid w:val="00245F9B"/>
    <w:rsid w:val="00250C84"/>
    <w:rsid w:val="00253C5B"/>
    <w:rsid w:val="0025419D"/>
    <w:rsid w:val="0025434D"/>
    <w:rsid w:val="00254A45"/>
    <w:rsid w:val="00255018"/>
    <w:rsid w:val="002570BE"/>
    <w:rsid w:val="00260892"/>
    <w:rsid w:val="002618D9"/>
    <w:rsid w:val="00263478"/>
    <w:rsid w:val="002635AA"/>
    <w:rsid w:val="00267199"/>
    <w:rsid w:val="00267D27"/>
    <w:rsid w:val="00270F73"/>
    <w:rsid w:val="00271E4C"/>
    <w:rsid w:val="0027254F"/>
    <w:rsid w:val="00273B6C"/>
    <w:rsid w:val="0027664D"/>
    <w:rsid w:val="00276871"/>
    <w:rsid w:val="00280E55"/>
    <w:rsid w:val="002819C1"/>
    <w:rsid w:val="002833BA"/>
    <w:rsid w:val="002839C3"/>
    <w:rsid w:val="00284CB9"/>
    <w:rsid w:val="00286D63"/>
    <w:rsid w:val="002910BC"/>
    <w:rsid w:val="00291142"/>
    <w:rsid w:val="00291A71"/>
    <w:rsid w:val="0029297E"/>
    <w:rsid w:val="0029306B"/>
    <w:rsid w:val="00294CFD"/>
    <w:rsid w:val="00296D24"/>
    <w:rsid w:val="00297180"/>
    <w:rsid w:val="002A17B2"/>
    <w:rsid w:val="002A3ABF"/>
    <w:rsid w:val="002A4A16"/>
    <w:rsid w:val="002A5008"/>
    <w:rsid w:val="002A7830"/>
    <w:rsid w:val="002B1C95"/>
    <w:rsid w:val="002B2640"/>
    <w:rsid w:val="002B27E2"/>
    <w:rsid w:val="002B51EC"/>
    <w:rsid w:val="002B544B"/>
    <w:rsid w:val="002B54DB"/>
    <w:rsid w:val="002B5FD0"/>
    <w:rsid w:val="002B6665"/>
    <w:rsid w:val="002B6E47"/>
    <w:rsid w:val="002B70A8"/>
    <w:rsid w:val="002B7C7F"/>
    <w:rsid w:val="002C0AB2"/>
    <w:rsid w:val="002C1C3B"/>
    <w:rsid w:val="002C1F4F"/>
    <w:rsid w:val="002C21A9"/>
    <w:rsid w:val="002C3AC7"/>
    <w:rsid w:val="002C5749"/>
    <w:rsid w:val="002C6378"/>
    <w:rsid w:val="002C773F"/>
    <w:rsid w:val="002D16FC"/>
    <w:rsid w:val="002D1DE8"/>
    <w:rsid w:val="002D4536"/>
    <w:rsid w:val="002D5BD5"/>
    <w:rsid w:val="002D6D9A"/>
    <w:rsid w:val="002D730E"/>
    <w:rsid w:val="002D79FB"/>
    <w:rsid w:val="002D7B4B"/>
    <w:rsid w:val="002D7F7E"/>
    <w:rsid w:val="002E192D"/>
    <w:rsid w:val="002E373C"/>
    <w:rsid w:val="002E4B2E"/>
    <w:rsid w:val="002E6553"/>
    <w:rsid w:val="002E7AB7"/>
    <w:rsid w:val="002E7CA1"/>
    <w:rsid w:val="002F0822"/>
    <w:rsid w:val="002F0A13"/>
    <w:rsid w:val="002F0B15"/>
    <w:rsid w:val="002F17CA"/>
    <w:rsid w:val="002F17FB"/>
    <w:rsid w:val="002F1926"/>
    <w:rsid w:val="002F1A1B"/>
    <w:rsid w:val="002F28DC"/>
    <w:rsid w:val="002F307F"/>
    <w:rsid w:val="002F36F9"/>
    <w:rsid w:val="002F3978"/>
    <w:rsid w:val="002F3A77"/>
    <w:rsid w:val="002F417F"/>
    <w:rsid w:val="002F51EE"/>
    <w:rsid w:val="00301126"/>
    <w:rsid w:val="00303840"/>
    <w:rsid w:val="00304A01"/>
    <w:rsid w:val="00304A08"/>
    <w:rsid w:val="00305F7E"/>
    <w:rsid w:val="00306982"/>
    <w:rsid w:val="00306EB2"/>
    <w:rsid w:val="00311846"/>
    <w:rsid w:val="0031289B"/>
    <w:rsid w:val="00312E71"/>
    <w:rsid w:val="00313BFA"/>
    <w:rsid w:val="0031436E"/>
    <w:rsid w:val="00314F20"/>
    <w:rsid w:val="00315F84"/>
    <w:rsid w:val="00317AEF"/>
    <w:rsid w:val="00323813"/>
    <w:rsid w:val="00324462"/>
    <w:rsid w:val="003268C4"/>
    <w:rsid w:val="00327CA3"/>
    <w:rsid w:val="0033012F"/>
    <w:rsid w:val="003305AF"/>
    <w:rsid w:val="00331693"/>
    <w:rsid w:val="0033210E"/>
    <w:rsid w:val="00332B86"/>
    <w:rsid w:val="00333649"/>
    <w:rsid w:val="00333844"/>
    <w:rsid w:val="003343F6"/>
    <w:rsid w:val="00334D01"/>
    <w:rsid w:val="003368E3"/>
    <w:rsid w:val="0034004C"/>
    <w:rsid w:val="00340A3A"/>
    <w:rsid w:val="00342AF6"/>
    <w:rsid w:val="00343328"/>
    <w:rsid w:val="00343D16"/>
    <w:rsid w:val="0034441A"/>
    <w:rsid w:val="00345515"/>
    <w:rsid w:val="00345608"/>
    <w:rsid w:val="00346A70"/>
    <w:rsid w:val="00346C7E"/>
    <w:rsid w:val="0035005A"/>
    <w:rsid w:val="0035191A"/>
    <w:rsid w:val="00351FD9"/>
    <w:rsid w:val="00352802"/>
    <w:rsid w:val="00352863"/>
    <w:rsid w:val="003528D3"/>
    <w:rsid w:val="00353D10"/>
    <w:rsid w:val="00354245"/>
    <w:rsid w:val="00354676"/>
    <w:rsid w:val="00354C5F"/>
    <w:rsid w:val="00357962"/>
    <w:rsid w:val="00360C90"/>
    <w:rsid w:val="00363558"/>
    <w:rsid w:val="00363AE3"/>
    <w:rsid w:val="00364626"/>
    <w:rsid w:val="00365F56"/>
    <w:rsid w:val="003667E3"/>
    <w:rsid w:val="003675E5"/>
    <w:rsid w:val="00367D37"/>
    <w:rsid w:val="00371CD3"/>
    <w:rsid w:val="003725FA"/>
    <w:rsid w:val="00372B37"/>
    <w:rsid w:val="00372FC1"/>
    <w:rsid w:val="0037391C"/>
    <w:rsid w:val="00375385"/>
    <w:rsid w:val="00376915"/>
    <w:rsid w:val="00376AFD"/>
    <w:rsid w:val="00380967"/>
    <w:rsid w:val="00382EB7"/>
    <w:rsid w:val="00383200"/>
    <w:rsid w:val="00384069"/>
    <w:rsid w:val="003842C1"/>
    <w:rsid w:val="00384A3E"/>
    <w:rsid w:val="00384CAB"/>
    <w:rsid w:val="00384F9D"/>
    <w:rsid w:val="0038599A"/>
    <w:rsid w:val="00386FD7"/>
    <w:rsid w:val="003876AF"/>
    <w:rsid w:val="00391CF5"/>
    <w:rsid w:val="0039274A"/>
    <w:rsid w:val="0039353C"/>
    <w:rsid w:val="003954DE"/>
    <w:rsid w:val="003A0304"/>
    <w:rsid w:val="003A1563"/>
    <w:rsid w:val="003A2919"/>
    <w:rsid w:val="003A2FFE"/>
    <w:rsid w:val="003A31CA"/>
    <w:rsid w:val="003A4624"/>
    <w:rsid w:val="003A6572"/>
    <w:rsid w:val="003A77DE"/>
    <w:rsid w:val="003A77E0"/>
    <w:rsid w:val="003B0463"/>
    <w:rsid w:val="003B27F2"/>
    <w:rsid w:val="003B2B0A"/>
    <w:rsid w:val="003B5A30"/>
    <w:rsid w:val="003B6A9D"/>
    <w:rsid w:val="003C1B25"/>
    <w:rsid w:val="003C23DA"/>
    <w:rsid w:val="003C29EA"/>
    <w:rsid w:val="003C4091"/>
    <w:rsid w:val="003C47D1"/>
    <w:rsid w:val="003C5387"/>
    <w:rsid w:val="003C694C"/>
    <w:rsid w:val="003D015D"/>
    <w:rsid w:val="003D0B5B"/>
    <w:rsid w:val="003D2BE1"/>
    <w:rsid w:val="003D3AD2"/>
    <w:rsid w:val="003D5948"/>
    <w:rsid w:val="003D741E"/>
    <w:rsid w:val="003E14A0"/>
    <w:rsid w:val="003E2D8C"/>
    <w:rsid w:val="003E47DA"/>
    <w:rsid w:val="003E49ED"/>
    <w:rsid w:val="003E5133"/>
    <w:rsid w:val="003E557D"/>
    <w:rsid w:val="003E579B"/>
    <w:rsid w:val="003E5BB0"/>
    <w:rsid w:val="003E7C5E"/>
    <w:rsid w:val="003F23A7"/>
    <w:rsid w:val="003F2560"/>
    <w:rsid w:val="003F2D22"/>
    <w:rsid w:val="003F3F3D"/>
    <w:rsid w:val="003F40FA"/>
    <w:rsid w:val="003F5D0C"/>
    <w:rsid w:val="003F61FE"/>
    <w:rsid w:val="003F73E2"/>
    <w:rsid w:val="00400C6B"/>
    <w:rsid w:val="004022F0"/>
    <w:rsid w:val="004026C9"/>
    <w:rsid w:val="004028A8"/>
    <w:rsid w:val="004045F9"/>
    <w:rsid w:val="0040520B"/>
    <w:rsid w:val="004065A7"/>
    <w:rsid w:val="004068DF"/>
    <w:rsid w:val="00406D10"/>
    <w:rsid w:val="00411958"/>
    <w:rsid w:val="00412CCD"/>
    <w:rsid w:val="0041493F"/>
    <w:rsid w:val="004152FB"/>
    <w:rsid w:val="0041576F"/>
    <w:rsid w:val="00415CF1"/>
    <w:rsid w:val="00416039"/>
    <w:rsid w:val="0041789B"/>
    <w:rsid w:val="00420A8C"/>
    <w:rsid w:val="0042103C"/>
    <w:rsid w:val="004217FF"/>
    <w:rsid w:val="00422F90"/>
    <w:rsid w:val="00423865"/>
    <w:rsid w:val="004252C4"/>
    <w:rsid w:val="004256DB"/>
    <w:rsid w:val="00427322"/>
    <w:rsid w:val="00432364"/>
    <w:rsid w:val="00432AC0"/>
    <w:rsid w:val="00432AEB"/>
    <w:rsid w:val="00433C88"/>
    <w:rsid w:val="00435218"/>
    <w:rsid w:val="004362E8"/>
    <w:rsid w:val="00440A16"/>
    <w:rsid w:val="004418E8"/>
    <w:rsid w:val="00442BE4"/>
    <w:rsid w:val="0044303A"/>
    <w:rsid w:val="00443D83"/>
    <w:rsid w:val="004447BF"/>
    <w:rsid w:val="00444895"/>
    <w:rsid w:val="0044752C"/>
    <w:rsid w:val="00451D76"/>
    <w:rsid w:val="00454A2C"/>
    <w:rsid w:val="0045563F"/>
    <w:rsid w:val="00456020"/>
    <w:rsid w:val="004573D5"/>
    <w:rsid w:val="0045791A"/>
    <w:rsid w:val="00457B63"/>
    <w:rsid w:val="00457F06"/>
    <w:rsid w:val="00460839"/>
    <w:rsid w:val="004618AD"/>
    <w:rsid w:val="00462B81"/>
    <w:rsid w:val="00463A77"/>
    <w:rsid w:val="0046457D"/>
    <w:rsid w:val="00464CF6"/>
    <w:rsid w:val="00464EC9"/>
    <w:rsid w:val="0046564E"/>
    <w:rsid w:val="00465CC1"/>
    <w:rsid w:val="00465F80"/>
    <w:rsid w:val="004668E1"/>
    <w:rsid w:val="004676FF"/>
    <w:rsid w:val="00467AAD"/>
    <w:rsid w:val="00471F1E"/>
    <w:rsid w:val="004723D3"/>
    <w:rsid w:val="004727D8"/>
    <w:rsid w:val="00472BCB"/>
    <w:rsid w:val="00473771"/>
    <w:rsid w:val="00477EF8"/>
    <w:rsid w:val="004822AA"/>
    <w:rsid w:val="00482959"/>
    <w:rsid w:val="004833B5"/>
    <w:rsid w:val="0048674A"/>
    <w:rsid w:val="00486E79"/>
    <w:rsid w:val="0048729C"/>
    <w:rsid w:val="00491416"/>
    <w:rsid w:val="004917B4"/>
    <w:rsid w:val="00492A5E"/>
    <w:rsid w:val="004936E3"/>
    <w:rsid w:val="004940BB"/>
    <w:rsid w:val="004943F8"/>
    <w:rsid w:val="00494F81"/>
    <w:rsid w:val="00496000"/>
    <w:rsid w:val="004962D0"/>
    <w:rsid w:val="0049645F"/>
    <w:rsid w:val="00496F32"/>
    <w:rsid w:val="00496FCE"/>
    <w:rsid w:val="0049761F"/>
    <w:rsid w:val="004A0083"/>
    <w:rsid w:val="004A126F"/>
    <w:rsid w:val="004A27F8"/>
    <w:rsid w:val="004A2F5A"/>
    <w:rsid w:val="004A4B79"/>
    <w:rsid w:val="004A4D3E"/>
    <w:rsid w:val="004A671C"/>
    <w:rsid w:val="004A7BB9"/>
    <w:rsid w:val="004B0317"/>
    <w:rsid w:val="004B1A05"/>
    <w:rsid w:val="004B54DE"/>
    <w:rsid w:val="004C135D"/>
    <w:rsid w:val="004C1D0E"/>
    <w:rsid w:val="004C4DAA"/>
    <w:rsid w:val="004C5091"/>
    <w:rsid w:val="004C661D"/>
    <w:rsid w:val="004C6CC4"/>
    <w:rsid w:val="004D0474"/>
    <w:rsid w:val="004D3B53"/>
    <w:rsid w:val="004D6E2E"/>
    <w:rsid w:val="004D72C5"/>
    <w:rsid w:val="004D7F10"/>
    <w:rsid w:val="004E1FCC"/>
    <w:rsid w:val="004E3A17"/>
    <w:rsid w:val="004E445A"/>
    <w:rsid w:val="004E5EA0"/>
    <w:rsid w:val="004E6D88"/>
    <w:rsid w:val="004E7C9B"/>
    <w:rsid w:val="004F0054"/>
    <w:rsid w:val="004F0613"/>
    <w:rsid w:val="004F0681"/>
    <w:rsid w:val="004F18FA"/>
    <w:rsid w:val="004F1920"/>
    <w:rsid w:val="004F3D81"/>
    <w:rsid w:val="004F4373"/>
    <w:rsid w:val="004F47F0"/>
    <w:rsid w:val="004F62F3"/>
    <w:rsid w:val="004F66AB"/>
    <w:rsid w:val="004F79E7"/>
    <w:rsid w:val="004F7DA1"/>
    <w:rsid w:val="00500189"/>
    <w:rsid w:val="005010D5"/>
    <w:rsid w:val="00501FFC"/>
    <w:rsid w:val="00503A07"/>
    <w:rsid w:val="00504058"/>
    <w:rsid w:val="00504603"/>
    <w:rsid w:val="0050753E"/>
    <w:rsid w:val="00507EB2"/>
    <w:rsid w:val="005116FE"/>
    <w:rsid w:val="005118D8"/>
    <w:rsid w:val="00511F0B"/>
    <w:rsid w:val="0051213A"/>
    <w:rsid w:val="005121B7"/>
    <w:rsid w:val="00513A2E"/>
    <w:rsid w:val="00514600"/>
    <w:rsid w:val="0051518F"/>
    <w:rsid w:val="00515FAF"/>
    <w:rsid w:val="00516129"/>
    <w:rsid w:val="00520572"/>
    <w:rsid w:val="0052264C"/>
    <w:rsid w:val="00522963"/>
    <w:rsid w:val="00523696"/>
    <w:rsid w:val="005242AF"/>
    <w:rsid w:val="005245DE"/>
    <w:rsid w:val="00525EFE"/>
    <w:rsid w:val="00526708"/>
    <w:rsid w:val="0052758A"/>
    <w:rsid w:val="00527C71"/>
    <w:rsid w:val="00527E7D"/>
    <w:rsid w:val="00530BEB"/>
    <w:rsid w:val="00531EDE"/>
    <w:rsid w:val="00534A83"/>
    <w:rsid w:val="00535D84"/>
    <w:rsid w:val="00537E4D"/>
    <w:rsid w:val="005402C1"/>
    <w:rsid w:val="0054041B"/>
    <w:rsid w:val="00540756"/>
    <w:rsid w:val="00543ACF"/>
    <w:rsid w:val="0054479B"/>
    <w:rsid w:val="00545417"/>
    <w:rsid w:val="00551924"/>
    <w:rsid w:val="00552EE2"/>
    <w:rsid w:val="00554687"/>
    <w:rsid w:val="00554C32"/>
    <w:rsid w:val="00554E3B"/>
    <w:rsid w:val="005579E4"/>
    <w:rsid w:val="00561340"/>
    <w:rsid w:val="005626E3"/>
    <w:rsid w:val="0056443A"/>
    <w:rsid w:val="00565235"/>
    <w:rsid w:val="005652B4"/>
    <w:rsid w:val="00565F61"/>
    <w:rsid w:val="0056638F"/>
    <w:rsid w:val="005716E2"/>
    <w:rsid w:val="00572CC6"/>
    <w:rsid w:val="00572F66"/>
    <w:rsid w:val="00572F6A"/>
    <w:rsid w:val="005730E5"/>
    <w:rsid w:val="0057325C"/>
    <w:rsid w:val="005746F1"/>
    <w:rsid w:val="00574B1D"/>
    <w:rsid w:val="00576F7E"/>
    <w:rsid w:val="00577C2E"/>
    <w:rsid w:val="00577CFB"/>
    <w:rsid w:val="00580793"/>
    <w:rsid w:val="00581EF3"/>
    <w:rsid w:val="00582470"/>
    <w:rsid w:val="005824F7"/>
    <w:rsid w:val="0058281A"/>
    <w:rsid w:val="00583046"/>
    <w:rsid w:val="0058404E"/>
    <w:rsid w:val="00584188"/>
    <w:rsid w:val="005848D6"/>
    <w:rsid w:val="00586920"/>
    <w:rsid w:val="005923CB"/>
    <w:rsid w:val="005931D0"/>
    <w:rsid w:val="00593ED7"/>
    <w:rsid w:val="00594569"/>
    <w:rsid w:val="00595733"/>
    <w:rsid w:val="00595A00"/>
    <w:rsid w:val="00597CEA"/>
    <w:rsid w:val="00597E69"/>
    <w:rsid w:val="005A2176"/>
    <w:rsid w:val="005A283B"/>
    <w:rsid w:val="005A322B"/>
    <w:rsid w:val="005A34A3"/>
    <w:rsid w:val="005A3D6D"/>
    <w:rsid w:val="005A4CE7"/>
    <w:rsid w:val="005A59C5"/>
    <w:rsid w:val="005B2D82"/>
    <w:rsid w:val="005B3E94"/>
    <w:rsid w:val="005B45B6"/>
    <w:rsid w:val="005B47B7"/>
    <w:rsid w:val="005B4C1A"/>
    <w:rsid w:val="005B4D0F"/>
    <w:rsid w:val="005B4DE5"/>
    <w:rsid w:val="005B5689"/>
    <w:rsid w:val="005B5AED"/>
    <w:rsid w:val="005B6F40"/>
    <w:rsid w:val="005B7022"/>
    <w:rsid w:val="005C009C"/>
    <w:rsid w:val="005C018E"/>
    <w:rsid w:val="005C29CA"/>
    <w:rsid w:val="005C2EF9"/>
    <w:rsid w:val="005C3A2A"/>
    <w:rsid w:val="005C3A81"/>
    <w:rsid w:val="005D2B08"/>
    <w:rsid w:val="005D2ECC"/>
    <w:rsid w:val="005D3519"/>
    <w:rsid w:val="005D3958"/>
    <w:rsid w:val="005D3AFC"/>
    <w:rsid w:val="005D4D5E"/>
    <w:rsid w:val="005D4FF0"/>
    <w:rsid w:val="005D7CA3"/>
    <w:rsid w:val="005E017F"/>
    <w:rsid w:val="005E293B"/>
    <w:rsid w:val="005E2EE0"/>
    <w:rsid w:val="005E3A50"/>
    <w:rsid w:val="005E51B2"/>
    <w:rsid w:val="005E5C12"/>
    <w:rsid w:val="005E7052"/>
    <w:rsid w:val="005F124C"/>
    <w:rsid w:val="005F3F91"/>
    <w:rsid w:val="005F667D"/>
    <w:rsid w:val="005F6F82"/>
    <w:rsid w:val="005F7D63"/>
    <w:rsid w:val="00600078"/>
    <w:rsid w:val="0060038C"/>
    <w:rsid w:val="006005F2"/>
    <w:rsid w:val="00601EB3"/>
    <w:rsid w:val="00602FAB"/>
    <w:rsid w:val="0060325E"/>
    <w:rsid w:val="00603351"/>
    <w:rsid w:val="00604CE8"/>
    <w:rsid w:val="00605820"/>
    <w:rsid w:val="006059D4"/>
    <w:rsid w:val="0060671E"/>
    <w:rsid w:val="00610F0B"/>
    <w:rsid w:val="0061205C"/>
    <w:rsid w:val="0061350F"/>
    <w:rsid w:val="0062530A"/>
    <w:rsid w:val="00626615"/>
    <w:rsid w:val="00627509"/>
    <w:rsid w:val="00630FFE"/>
    <w:rsid w:val="006346FA"/>
    <w:rsid w:val="00634A4E"/>
    <w:rsid w:val="006350B8"/>
    <w:rsid w:val="00637CE9"/>
    <w:rsid w:val="006421D4"/>
    <w:rsid w:val="006434F8"/>
    <w:rsid w:val="006457EB"/>
    <w:rsid w:val="00646077"/>
    <w:rsid w:val="006471B7"/>
    <w:rsid w:val="00650A5D"/>
    <w:rsid w:val="00650F48"/>
    <w:rsid w:val="00651392"/>
    <w:rsid w:val="00652384"/>
    <w:rsid w:val="006524C8"/>
    <w:rsid w:val="00654D0A"/>
    <w:rsid w:val="00654FA1"/>
    <w:rsid w:val="006553B6"/>
    <w:rsid w:val="00655752"/>
    <w:rsid w:val="0065704A"/>
    <w:rsid w:val="006572D3"/>
    <w:rsid w:val="0066024A"/>
    <w:rsid w:val="006605C2"/>
    <w:rsid w:val="006609D0"/>
    <w:rsid w:val="00662C89"/>
    <w:rsid w:val="006649A6"/>
    <w:rsid w:val="006664E7"/>
    <w:rsid w:val="006673B6"/>
    <w:rsid w:val="006674DD"/>
    <w:rsid w:val="00667957"/>
    <w:rsid w:val="00670560"/>
    <w:rsid w:val="00670F87"/>
    <w:rsid w:val="006714BA"/>
    <w:rsid w:val="006754F8"/>
    <w:rsid w:val="00676292"/>
    <w:rsid w:val="00676301"/>
    <w:rsid w:val="00676BF9"/>
    <w:rsid w:val="0068066E"/>
    <w:rsid w:val="00680858"/>
    <w:rsid w:val="00683844"/>
    <w:rsid w:val="006838DA"/>
    <w:rsid w:val="006839AB"/>
    <w:rsid w:val="00683D40"/>
    <w:rsid w:val="00683FBB"/>
    <w:rsid w:val="00684E08"/>
    <w:rsid w:val="00685757"/>
    <w:rsid w:val="00690346"/>
    <w:rsid w:val="00692119"/>
    <w:rsid w:val="00692413"/>
    <w:rsid w:val="006934EF"/>
    <w:rsid w:val="00693C63"/>
    <w:rsid w:val="00693FCE"/>
    <w:rsid w:val="006959EF"/>
    <w:rsid w:val="0069670B"/>
    <w:rsid w:val="00696F2F"/>
    <w:rsid w:val="006975D8"/>
    <w:rsid w:val="006A0CEE"/>
    <w:rsid w:val="006A1F9B"/>
    <w:rsid w:val="006A53EC"/>
    <w:rsid w:val="006A550C"/>
    <w:rsid w:val="006A7031"/>
    <w:rsid w:val="006B04B0"/>
    <w:rsid w:val="006B102B"/>
    <w:rsid w:val="006B2796"/>
    <w:rsid w:val="006B2BF7"/>
    <w:rsid w:val="006B2C8E"/>
    <w:rsid w:val="006B5DEF"/>
    <w:rsid w:val="006B6A5D"/>
    <w:rsid w:val="006C1743"/>
    <w:rsid w:val="006C3535"/>
    <w:rsid w:val="006C41A2"/>
    <w:rsid w:val="006C51F0"/>
    <w:rsid w:val="006C53E8"/>
    <w:rsid w:val="006C56C3"/>
    <w:rsid w:val="006C5EB9"/>
    <w:rsid w:val="006C73A5"/>
    <w:rsid w:val="006C77AE"/>
    <w:rsid w:val="006C7866"/>
    <w:rsid w:val="006D03F5"/>
    <w:rsid w:val="006D04B9"/>
    <w:rsid w:val="006D178D"/>
    <w:rsid w:val="006D1D2F"/>
    <w:rsid w:val="006D28B5"/>
    <w:rsid w:val="006D2F30"/>
    <w:rsid w:val="006D34A3"/>
    <w:rsid w:val="006D3BDB"/>
    <w:rsid w:val="006D41B0"/>
    <w:rsid w:val="006D525C"/>
    <w:rsid w:val="006D6DDF"/>
    <w:rsid w:val="006E0348"/>
    <w:rsid w:val="006E0FD7"/>
    <w:rsid w:val="006E1E84"/>
    <w:rsid w:val="006E1F56"/>
    <w:rsid w:val="006E470C"/>
    <w:rsid w:val="006E584D"/>
    <w:rsid w:val="006E6E20"/>
    <w:rsid w:val="006E7207"/>
    <w:rsid w:val="006E7F54"/>
    <w:rsid w:val="006F0111"/>
    <w:rsid w:val="006F0E4B"/>
    <w:rsid w:val="006F0FC5"/>
    <w:rsid w:val="006F12CB"/>
    <w:rsid w:val="006F1338"/>
    <w:rsid w:val="006F2689"/>
    <w:rsid w:val="006F641E"/>
    <w:rsid w:val="006F681B"/>
    <w:rsid w:val="006F76D8"/>
    <w:rsid w:val="007005A2"/>
    <w:rsid w:val="00700BA0"/>
    <w:rsid w:val="007024BA"/>
    <w:rsid w:val="007028AA"/>
    <w:rsid w:val="00702BD0"/>
    <w:rsid w:val="00702F04"/>
    <w:rsid w:val="0070408B"/>
    <w:rsid w:val="00705803"/>
    <w:rsid w:val="00706569"/>
    <w:rsid w:val="00707F29"/>
    <w:rsid w:val="007106EC"/>
    <w:rsid w:val="00714624"/>
    <w:rsid w:val="0071605B"/>
    <w:rsid w:val="00716774"/>
    <w:rsid w:val="00717438"/>
    <w:rsid w:val="007178D2"/>
    <w:rsid w:val="0072086C"/>
    <w:rsid w:val="0072190D"/>
    <w:rsid w:val="00721BFB"/>
    <w:rsid w:val="00722AF9"/>
    <w:rsid w:val="00722B1D"/>
    <w:rsid w:val="00723619"/>
    <w:rsid w:val="0072683A"/>
    <w:rsid w:val="00727966"/>
    <w:rsid w:val="00727AE9"/>
    <w:rsid w:val="007307B4"/>
    <w:rsid w:val="00730ED5"/>
    <w:rsid w:val="007311EB"/>
    <w:rsid w:val="0073149D"/>
    <w:rsid w:val="007325B5"/>
    <w:rsid w:val="00732873"/>
    <w:rsid w:val="00733911"/>
    <w:rsid w:val="00733F7A"/>
    <w:rsid w:val="007340A2"/>
    <w:rsid w:val="007342D6"/>
    <w:rsid w:val="007345F5"/>
    <w:rsid w:val="00734805"/>
    <w:rsid w:val="00734DEF"/>
    <w:rsid w:val="00735189"/>
    <w:rsid w:val="00735C88"/>
    <w:rsid w:val="007362B6"/>
    <w:rsid w:val="00740C90"/>
    <w:rsid w:val="00741332"/>
    <w:rsid w:val="00742241"/>
    <w:rsid w:val="00743551"/>
    <w:rsid w:val="00743660"/>
    <w:rsid w:val="007454FB"/>
    <w:rsid w:val="00745AA6"/>
    <w:rsid w:val="0074684D"/>
    <w:rsid w:val="00746DAD"/>
    <w:rsid w:val="00747F37"/>
    <w:rsid w:val="00750F72"/>
    <w:rsid w:val="00751B43"/>
    <w:rsid w:val="0075290F"/>
    <w:rsid w:val="00753559"/>
    <w:rsid w:val="0075367C"/>
    <w:rsid w:val="007537D6"/>
    <w:rsid w:val="00754390"/>
    <w:rsid w:val="007604AB"/>
    <w:rsid w:val="00760AFE"/>
    <w:rsid w:val="00761F0B"/>
    <w:rsid w:val="0076327C"/>
    <w:rsid w:val="00763975"/>
    <w:rsid w:val="00763B58"/>
    <w:rsid w:val="00763DE2"/>
    <w:rsid w:val="007650BD"/>
    <w:rsid w:val="00767405"/>
    <w:rsid w:val="00770870"/>
    <w:rsid w:val="00771BC3"/>
    <w:rsid w:val="007730D0"/>
    <w:rsid w:val="00775E58"/>
    <w:rsid w:val="0078053E"/>
    <w:rsid w:val="00781A2E"/>
    <w:rsid w:val="00781D0C"/>
    <w:rsid w:val="00781EC2"/>
    <w:rsid w:val="007850EF"/>
    <w:rsid w:val="007855E5"/>
    <w:rsid w:val="00787319"/>
    <w:rsid w:val="00790066"/>
    <w:rsid w:val="00792A1A"/>
    <w:rsid w:val="00794DBB"/>
    <w:rsid w:val="0079573F"/>
    <w:rsid w:val="0079619B"/>
    <w:rsid w:val="00797582"/>
    <w:rsid w:val="007977C2"/>
    <w:rsid w:val="00797841"/>
    <w:rsid w:val="00797FBD"/>
    <w:rsid w:val="007A01BB"/>
    <w:rsid w:val="007A2856"/>
    <w:rsid w:val="007A340D"/>
    <w:rsid w:val="007A43E3"/>
    <w:rsid w:val="007A4D42"/>
    <w:rsid w:val="007A58B3"/>
    <w:rsid w:val="007A5F8E"/>
    <w:rsid w:val="007A6477"/>
    <w:rsid w:val="007B202A"/>
    <w:rsid w:val="007B2B7A"/>
    <w:rsid w:val="007B358C"/>
    <w:rsid w:val="007B3909"/>
    <w:rsid w:val="007B416D"/>
    <w:rsid w:val="007B5866"/>
    <w:rsid w:val="007B6656"/>
    <w:rsid w:val="007B6796"/>
    <w:rsid w:val="007B707A"/>
    <w:rsid w:val="007B7479"/>
    <w:rsid w:val="007C02E9"/>
    <w:rsid w:val="007C14E9"/>
    <w:rsid w:val="007C1DA4"/>
    <w:rsid w:val="007C42A1"/>
    <w:rsid w:val="007C4BBA"/>
    <w:rsid w:val="007C5951"/>
    <w:rsid w:val="007C5E01"/>
    <w:rsid w:val="007C6B7C"/>
    <w:rsid w:val="007C6F74"/>
    <w:rsid w:val="007C7B51"/>
    <w:rsid w:val="007C7D0D"/>
    <w:rsid w:val="007C7D3C"/>
    <w:rsid w:val="007C7E26"/>
    <w:rsid w:val="007C7FF5"/>
    <w:rsid w:val="007D2CD3"/>
    <w:rsid w:val="007D3599"/>
    <w:rsid w:val="007D4C8D"/>
    <w:rsid w:val="007D5441"/>
    <w:rsid w:val="007D544C"/>
    <w:rsid w:val="007D72FB"/>
    <w:rsid w:val="007D7B27"/>
    <w:rsid w:val="007E1315"/>
    <w:rsid w:val="007E17B2"/>
    <w:rsid w:val="007E5409"/>
    <w:rsid w:val="007E558E"/>
    <w:rsid w:val="007E717E"/>
    <w:rsid w:val="007E7587"/>
    <w:rsid w:val="007E7C71"/>
    <w:rsid w:val="007F0832"/>
    <w:rsid w:val="007F1213"/>
    <w:rsid w:val="007F1261"/>
    <w:rsid w:val="007F276E"/>
    <w:rsid w:val="007F2B37"/>
    <w:rsid w:val="007F2E70"/>
    <w:rsid w:val="007F426D"/>
    <w:rsid w:val="007F5D28"/>
    <w:rsid w:val="007F6161"/>
    <w:rsid w:val="00801477"/>
    <w:rsid w:val="00801545"/>
    <w:rsid w:val="00802ACA"/>
    <w:rsid w:val="00803051"/>
    <w:rsid w:val="00803205"/>
    <w:rsid w:val="00803614"/>
    <w:rsid w:val="008042D8"/>
    <w:rsid w:val="0080436B"/>
    <w:rsid w:val="00805C2E"/>
    <w:rsid w:val="00806D89"/>
    <w:rsid w:val="008071C3"/>
    <w:rsid w:val="00810756"/>
    <w:rsid w:val="00810B20"/>
    <w:rsid w:val="008122B5"/>
    <w:rsid w:val="0081239A"/>
    <w:rsid w:val="00812DD3"/>
    <w:rsid w:val="00813958"/>
    <w:rsid w:val="00814EE2"/>
    <w:rsid w:val="0081662F"/>
    <w:rsid w:val="00817C0D"/>
    <w:rsid w:val="0082027F"/>
    <w:rsid w:val="00820B32"/>
    <w:rsid w:val="00820C15"/>
    <w:rsid w:val="0082101E"/>
    <w:rsid w:val="0082408E"/>
    <w:rsid w:val="008242D2"/>
    <w:rsid w:val="00824BC7"/>
    <w:rsid w:val="0082511F"/>
    <w:rsid w:val="00825A28"/>
    <w:rsid w:val="00826CF9"/>
    <w:rsid w:val="008311C8"/>
    <w:rsid w:val="00832898"/>
    <w:rsid w:val="00833069"/>
    <w:rsid w:val="00833BF4"/>
    <w:rsid w:val="00833EA8"/>
    <w:rsid w:val="0083452C"/>
    <w:rsid w:val="00835A51"/>
    <w:rsid w:val="0083652D"/>
    <w:rsid w:val="00837CB7"/>
    <w:rsid w:val="00840EF8"/>
    <w:rsid w:val="008430BC"/>
    <w:rsid w:val="00843D11"/>
    <w:rsid w:val="008444A5"/>
    <w:rsid w:val="00844A5A"/>
    <w:rsid w:val="0084641D"/>
    <w:rsid w:val="00847C24"/>
    <w:rsid w:val="00850C68"/>
    <w:rsid w:val="00850F40"/>
    <w:rsid w:val="0085143C"/>
    <w:rsid w:val="00852647"/>
    <w:rsid w:val="008530BB"/>
    <w:rsid w:val="008532CB"/>
    <w:rsid w:val="00853EFD"/>
    <w:rsid w:val="00854C87"/>
    <w:rsid w:val="00854D10"/>
    <w:rsid w:val="00854D4F"/>
    <w:rsid w:val="008553A1"/>
    <w:rsid w:val="0085621A"/>
    <w:rsid w:val="008571E9"/>
    <w:rsid w:val="00860469"/>
    <w:rsid w:val="00860761"/>
    <w:rsid w:val="0086260A"/>
    <w:rsid w:val="00862958"/>
    <w:rsid w:val="00862B54"/>
    <w:rsid w:val="0086402F"/>
    <w:rsid w:val="00865595"/>
    <w:rsid w:val="008657EC"/>
    <w:rsid w:val="00865FC0"/>
    <w:rsid w:val="00867D55"/>
    <w:rsid w:val="00870698"/>
    <w:rsid w:val="00874A04"/>
    <w:rsid w:val="00874BB6"/>
    <w:rsid w:val="00876918"/>
    <w:rsid w:val="00880622"/>
    <w:rsid w:val="00880F99"/>
    <w:rsid w:val="00881AD9"/>
    <w:rsid w:val="00881E04"/>
    <w:rsid w:val="00883361"/>
    <w:rsid w:val="0088435B"/>
    <w:rsid w:val="008850BE"/>
    <w:rsid w:val="0088511E"/>
    <w:rsid w:val="00886EC6"/>
    <w:rsid w:val="0089169A"/>
    <w:rsid w:val="00892F02"/>
    <w:rsid w:val="0089357C"/>
    <w:rsid w:val="00893C7E"/>
    <w:rsid w:val="0089445A"/>
    <w:rsid w:val="00895B30"/>
    <w:rsid w:val="008A027D"/>
    <w:rsid w:val="008A0DF0"/>
    <w:rsid w:val="008A67E0"/>
    <w:rsid w:val="008A7AF6"/>
    <w:rsid w:val="008B3BA6"/>
    <w:rsid w:val="008B4381"/>
    <w:rsid w:val="008B7B89"/>
    <w:rsid w:val="008C52F5"/>
    <w:rsid w:val="008C748E"/>
    <w:rsid w:val="008C76E4"/>
    <w:rsid w:val="008D3AF4"/>
    <w:rsid w:val="008D4020"/>
    <w:rsid w:val="008D4A4E"/>
    <w:rsid w:val="008D4E79"/>
    <w:rsid w:val="008D5FD5"/>
    <w:rsid w:val="008D6162"/>
    <w:rsid w:val="008D6B8E"/>
    <w:rsid w:val="008D79AF"/>
    <w:rsid w:val="008D7E8E"/>
    <w:rsid w:val="008E1578"/>
    <w:rsid w:val="008E2442"/>
    <w:rsid w:val="008E5237"/>
    <w:rsid w:val="008E6921"/>
    <w:rsid w:val="008E69DE"/>
    <w:rsid w:val="008E7190"/>
    <w:rsid w:val="008F07AF"/>
    <w:rsid w:val="008F09D6"/>
    <w:rsid w:val="008F1E83"/>
    <w:rsid w:val="008F3159"/>
    <w:rsid w:val="008F3B15"/>
    <w:rsid w:val="008F3BC5"/>
    <w:rsid w:val="008F3BE5"/>
    <w:rsid w:val="008F53A8"/>
    <w:rsid w:val="008F6AD4"/>
    <w:rsid w:val="008F6C0E"/>
    <w:rsid w:val="009006E3"/>
    <w:rsid w:val="00900B42"/>
    <w:rsid w:val="00901A2C"/>
    <w:rsid w:val="0090214F"/>
    <w:rsid w:val="009024B8"/>
    <w:rsid w:val="00902AB6"/>
    <w:rsid w:val="00904670"/>
    <w:rsid w:val="009052E7"/>
    <w:rsid w:val="0090592E"/>
    <w:rsid w:val="00905C39"/>
    <w:rsid w:val="0090672D"/>
    <w:rsid w:val="0091013B"/>
    <w:rsid w:val="009138B9"/>
    <w:rsid w:val="00914317"/>
    <w:rsid w:val="00914D01"/>
    <w:rsid w:val="00917026"/>
    <w:rsid w:val="009174B8"/>
    <w:rsid w:val="009219CB"/>
    <w:rsid w:val="009226DB"/>
    <w:rsid w:val="00922C8D"/>
    <w:rsid w:val="009248AF"/>
    <w:rsid w:val="0092637C"/>
    <w:rsid w:val="00926A42"/>
    <w:rsid w:val="00930227"/>
    <w:rsid w:val="00930DA6"/>
    <w:rsid w:val="00933567"/>
    <w:rsid w:val="0093397E"/>
    <w:rsid w:val="00933D73"/>
    <w:rsid w:val="009340C4"/>
    <w:rsid w:val="00934C50"/>
    <w:rsid w:val="00936E62"/>
    <w:rsid w:val="00937261"/>
    <w:rsid w:val="00940798"/>
    <w:rsid w:val="00940C4D"/>
    <w:rsid w:val="00942334"/>
    <w:rsid w:val="0094362F"/>
    <w:rsid w:val="009463BA"/>
    <w:rsid w:val="00950963"/>
    <w:rsid w:val="00950D87"/>
    <w:rsid w:val="00951856"/>
    <w:rsid w:val="00951B23"/>
    <w:rsid w:val="00951CD9"/>
    <w:rsid w:val="00953A5F"/>
    <w:rsid w:val="00953B93"/>
    <w:rsid w:val="0095423A"/>
    <w:rsid w:val="0095426E"/>
    <w:rsid w:val="009549E4"/>
    <w:rsid w:val="009605BB"/>
    <w:rsid w:val="00960C3E"/>
    <w:rsid w:val="00961AE4"/>
    <w:rsid w:val="00961BFB"/>
    <w:rsid w:val="009633CB"/>
    <w:rsid w:val="00963D9F"/>
    <w:rsid w:val="00964A69"/>
    <w:rsid w:val="00964B1E"/>
    <w:rsid w:val="00964BD8"/>
    <w:rsid w:val="009672A0"/>
    <w:rsid w:val="00967C37"/>
    <w:rsid w:val="00967C98"/>
    <w:rsid w:val="00970B37"/>
    <w:rsid w:val="00970D04"/>
    <w:rsid w:val="00970ECC"/>
    <w:rsid w:val="009710AF"/>
    <w:rsid w:val="009721AD"/>
    <w:rsid w:val="00972429"/>
    <w:rsid w:val="009727A7"/>
    <w:rsid w:val="00973564"/>
    <w:rsid w:val="00973FA3"/>
    <w:rsid w:val="009754C9"/>
    <w:rsid w:val="00975A38"/>
    <w:rsid w:val="00976E6A"/>
    <w:rsid w:val="00976EEC"/>
    <w:rsid w:val="009774BA"/>
    <w:rsid w:val="009813D9"/>
    <w:rsid w:val="00981EEB"/>
    <w:rsid w:val="00982AF2"/>
    <w:rsid w:val="00982BF1"/>
    <w:rsid w:val="00983665"/>
    <w:rsid w:val="00984531"/>
    <w:rsid w:val="00984959"/>
    <w:rsid w:val="009858AA"/>
    <w:rsid w:val="00986B5C"/>
    <w:rsid w:val="00991878"/>
    <w:rsid w:val="00991BA7"/>
    <w:rsid w:val="00991C0C"/>
    <w:rsid w:val="00992B21"/>
    <w:rsid w:val="00994300"/>
    <w:rsid w:val="00994664"/>
    <w:rsid w:val="00994D70"/>
    <w:rsid w:val="00995DAD"/>
    <w:rsid w:val="009A1426"/>
    <w:rsid w:val="009A15A6"/>
    <w:rsid w:val="009A264C"/>
    <w:rsid w:val="009A3A0E"/>
    <w:rsid w:val="009A3C79"/>
    <w:rsid w:val="009A3D0B"/>
    <w:rsid w:val="009A5332"/>
    <w:rsid w:val="009A6068"/>
    <w:rsid w:val="009B0458"/>
    <w:rsid w:val="009B1D7C"/>
    <w:rsid w:val="009B31E4"/>
    <w:rsid w:val="009B38B0"/>
    <w:rsid w:val="009B47BC"/>
    <w:rsid w:val="009B49B5"/>
    <w:rsid w:val="009B49F0"/>
    <w:rsid w:val="009B504B"/>
    <w:rsid w:val="009B5EDC"/>
    <w:rsid w:val="009B6BAD"/>
    <w:rsid w:val="009B7FBB"/>
    <w:rsid w:val="009C0FAB"/>
    <w:rsid w:val="009C21E8"/>
    <w:rsid w:val="009C3BA6"/>
    <w:rsid w:val="009C4A76"/>
    <w:rsid w:val="009C4D6A"/>
    <w:rsid w:val="009C515B"/>
    <w:rsid w:val="009C5AB4"/>
    <w:rsid w:val="009C6AEA"/>
    <w:rsid w:val="009C7238"/>
    <w:rsid w:val="009D0763"/>
    <w:rsid w:val="009D1381"/>
    <w:rsid w:val="009D3050"/>
    <w:rsid w:val="009D4978"/>
    <w:rsid w:val="009D5817"/>
    <w:rsid w:val="009D5A88"/>
    <w:rsid w:val="009D6998"/>
    <w:rsid w:val="009E00C2"/>
    <w:rsid w:val="009E1B64"/>
    <w:rsid w:val="009E2040"/>
    <w:rsid w:val="009E2560"/>
    <w:rsid w:val="009E27F3"/>
    <w:rsid w:val="009E2FE9"/>
    <w:rsid w:val="009E3E43"/>
    <w:rsid w:val="009E4034"/>
    <w:rsid w:val="009E5349"/>
    <w:rsid w:val="009E6099"/>
    <w:rsid w:val="009E6B7A"/>
    <w:rsid w:val="009F04C6"/>
    <w:rsid w:val="009F065D"/>
    <w:rsid w:val="009F0FE3"/>
    <w:rsid w:val="009F2BA2"/>
    <w:rsid w:val="009F3B4C"/>
    <w:rsid w:val="009F4FE8"/>
    <w:rsid w:val="009F5154"/>
    <w:rsid w:val="009F5C3D"/>
    <w:rsid w:val="009F6237"/>
    <w:rsid w:val="009F70F0"/>
    <w:rsid w:val="009F7B7D"/>
    <w:rsid w:val="00A002FB"/>
    <w:rsid w:val="00A00544"/>
    <w:rsid w:val="00A0078B"/>
    <w:rsid w:val="00A013FF"/>
    <w:rsid w:val="00A01BA1"/>
    <w:rsid w:val="00A03387"/>
    <w:rsid w:val="00A04628"/>
    <w:rsid w:val="00A04EB4"/>
    <w:rsid w:val="00A106E9"/>
    <w:rsid w:val="00A10723"/>
    <w:rsid w:val="00A10BAE"/>
    <w:rsid w:val="00A11121"/>
    <w:rsid w:val="00A111A8"/>
    <w:rsid w:val="00A11FDE"/>
    <w:rsid w:val="00A141A0"/>
    <w:rsid w:val="00A1459A"/>
    <w:rsid w:val="00A16588"/>
    <w:rsid w:val="00A16A4E"/>
    <w:rsid w:val="00A17F25"/>
    <w:rsid w:val="00A20C4A"/>
    <w:rsid w:val="00A212C9"/>
    <w:rsid w:val="00A218DD"/>
    <w:rsid w:val="00A21C09"/>
    <w:rsid w:val="00A223BA"/>
    <w:rsid w:val="00A2241E"/>
    <w:rsid w:val="00A22C0E"/>
    <w:rsid w:val="00A244BD"/>
    <w:rsid w:val="00A25538"/>
    <w:rsid w:val="00A26220"/>
    <w:rsid w:val="00A265B1"/>
    <w:rsid w:val="00A27F76"/>
    <w:rsid w:val="00A30556"/>
    <w:rsid w:val="00A32402"/>
    <w:rsid w:val="00A335C7"/>
    <w:rsid w:val="00A34EAC"/>
    <w:rsid w:val="00A3516F"/>
    <w:rsid w:val="00A35DF1"/>
    <w:rsid w:val="00A37BD9"/>
    <w:rsid w:val="00A37C3B"/>
    <w:rsid w:val="00A40C4C"/>
    <w:rsid w:val="00A427A2"/>
    <w:rsid w:val="00A42966"/>
    <w:rsid w:val="00A42A49"/>
    <w:rsid w:val="00A436BC"/>
    <w:rsid w:val="00A4477A"/>
    <w:rsid w:val="00A459E2"/>
    <w:rsid w:val="00A45C8D"/>
    <w:rsid w:val="00A46A6D"/>
    <w:rsid w:val="00A47864"/>
    <w:rsid w:val="00A508EC"/>
    <w:rsid w:val="00A510A9"/>
    <w:rsid w:val="00A516C6"/>
    <w:rsid w:val="00A55890"/>
    <w:rsid w:val="00A5620F"/>
    <w:rsid w:val="00A5668D"/>
    <w:rsid w:val="00A57FB4"/>
    <w:rsid w:val="00A62D9C"/>
    <w:rsid w:val="00A62F5B"/>
    <w:rsid w:val="00A62FAA"/>
    <w:rsid w:val="00A64CAE"/>
    <w:rsid w:val="00A65BC5"/>
    <w:rsid w:val="00A65C07"/>
    <w:rsid w:val="00A65CDB"/>
    <w:rsid w:val="00A67209"/>
    <w:rsid w:val="00A67992"/>
    <w:rsid w:val="00A706CE"/>
    <w:rsid w:val="00A7102F"/>
    <w:rsid w:val="00A72694"/>
    <w:rsid w:val="00A728FD"/>
    <w:rsid w:val="00A73AA3"/>
    <w:rsid w:val="00A73B85"/>
    <w:rsid w:val="00A75367"/>
    <w:rsid w:val="00A819AC"/>
    <w:rsid w:val="00A82745"/>
    <w:rsid w:val="00A83143"/>
    <w:rsid w:val="00A840E4"/>
    <w:rsid w:val="00A8446F"/>
    <w:rsid w:val="00A869CF"/>
    <w:rsid w:val="00A86FC0"/>
    <w:rsid w:val="00A9029C"/>
    <w:rsid w:val="00A90465"/>
    <w:rsid w:val="00A90828"/>
    <w:rsid w:val="00A92400"/>
    <w:rsid w:val="00A9364E"/>
    <w:rsid w:val="00A93B27"/>
    <w:rsid w:val="00A94381"/>
    <w:rsid w:val="00A94DAD"/>
    <w:rsid w:val="00AA07F6"/>
    <w:rsid w:val="00AA1E39"/>
    <w:rsid w:val="00AA1EB7"/>
    <w:rsid w:val="00AA291B"/>
    <w:rsid w:val="00AA32F9"/>
    <w:rsid w:val="00AA3531"/>
    <w:rsid w:val="00AA3A77"/>
    <w:rsid w:val="00AA3C4B"/>
    <w:rsid w:val="00AA508F"/>
    <w:rsid w:val="00AA50EB"/>
    <w:rsid w:val="00AA6185"/>
    <w:rsid w:val="00AA642E"/>
    <w:rsid w:val="00AA767B"/>
    <w:rsid w:val="00AA7780"/>
    <w:rsid w:val="00AB5248"/>
    <w:rsid w:val="00AB536C"/>
    <w:rsid w:val="00AB6BE4"/>
    <w:rsid w:val="00AB74DA"/>
    <w:rsid w:val="00AB780F"/>
    <w:rsid w:val="00AC0646"/>
    <w:rsid w:val="00AC13CF"/>
    <w:rsid w:val="00AC1499"/>
    <w:rsid w:val="00AC1A86"/>
    <w:rsid w:val="00AC3728"/>
    <w:rsid w:val="00AC3B1C"/>
    <w:rsid w:val="00AC42C3"/>
    <w:rsid w:val="00AC4500"/>
    <w:rsid w:val="00AC5434"/>
    <w:rsid w:val="00AD0494"/>
    <w:rsid w:val="00AD0A68"/>
    <w:rsid w:val="00AD0B9E"/>
    <w:rsid w:val="00AD3000"/>
    <w:rsid w:val="00AD4030"/>
    <w:rsid w:val="00AD4B4C"/>
    <w:rsid w:val="00AD5876"/>
    <w:rsid w:val="00AD6096"/>
    <w:rsid w:val="00AD69F8"/>
    <w:rsid w:val="00AE0B90"/>
    <w:rsid w:val="00AE25B9"/>
    <w:rsid w:val="00AE3C73"/>
    <w:rsid w:val="00AE3FC4"/>
    <w:rsid w:val="00AE449B"/>
    <w:rsid w:val="00AE52BA"/>
    <w:rsid w:val="00AE5FD9"/>
    <w:rsid w:val="00AE76AA"/>
    <w:rsid w:val="00AF1B0E"/>
    <w:rsid w:val="00AF2457"/>
    <w:rsid w:val="00AF4C7A"/>
    <w:rsid w:val="00AF59D4"/>
    <w:rsid w:val="00AF623B"/>
    <w:rsid w:val="00AF7C51"/>
    <w:rsid w:val="00B00D86"/>
    <w:rsid w:val="00B037A1"/>
    <w:rsid w:val="00B05D22"/>
    <w:rsid w:val="00B109AD"/>
    <w:rsid w:val="00B1176D"/>
    <w:rsid w:val="00B132DF"/>
    <w:rsid w:val="00B14FBC"/>
    <w:rsid w:val="00B1799D"/>
    <w:rsid w:val="00B2038C"/>
    <w:rsid w:val="00B20519"/>
    <w:rsid w:val="00B22EB2"/>
    <w:rsid w:val="00B24385"/>
    <w:rsid w:val="00B2553A"/>
    <w:rsid w:val="00B25A62"/>
    <w:rsid w:val="00B25D51"/>
    <w:rsid w:val="00B26670"/>
    <w:rsid w:val="00B307B9"/>
    <w:rsid w:val="00B30CA3"/>
    <w:rsid w:val="00B32668"/>
    <w:rsid w:val="00B3390F"/>
    <w:rsid w:val="00B33EDB"/>
    <w:rsid w:val="00B35261"/>
    <w:rsid w:val="00B35F53"/>
    <w:rsid w:val="00B365AB"/>
    <w:rsid w:val="00B369C3"/>
    <w:rsid w:val="00B379B4"/>
    <w:rsid w:val="00B401B6"/>
    <w:rsid w:val="00B4147C"/>
    <w:rsid w:val="00B41AE5"/>
    <w:rsid w:val="00B41C3A"/>
    <w:rsid w:val="00B41D50"/>
    <w:rsid w:val="00B42C53"/>
    <w:rsid w:val="00B437AA"/>
    <w:rsid w:val="00B4471C"/>
    <w:rsid w:val="00B447DD"/>
    <w:rsid w:val="00B4497B"/>
    <w:rsid w:val="00B4514B"/>
    <w:rsid w:val="00B4540D"/>
    <w:rsid w:val="00B45948"/>
    <w:rsid w:val="00B500AC"/>
    <w:rsid w:val="00B50529"/>
    <w:rsid w:val="00B51771"/>
    <w:rsid w:val="00B52A61"/>
    <w:rsid w:val="00B5352B"/>
    <w:rsid w:val="00B5435B"/>
    <w:rsid w:val="00B5762F"/>
    <w:rsid w:val="00B604B4"/>
    <w:rsid w:val="00B62D81"/>
    <w:rsid w:val="00B63158"/>
    <w:rsid w:val="00B63470"/>
    <w:rsid w:val="00B65903"/>
    <w:rsid w:val="00B67C9D"/>
    <w:rsid w:val="00B70A55"/>
    <w:rsid w:val="00B71CC8"/>
    <w:rsid w:val="00B754BC"/>
    <w:rsid w:val="00B76FB6"/>
    <w:rsid w:val="00B80C85"/>
    <w:rsid w:val="00B83443"/>
    <w:rsid w:val="00B84832"/>
    <w:rsid w:val="00B85152"/>
    <w:rsid w:val="00B87FD5"/>
    <w:rsid w:val="00B920CF"/>
    <w:rsid w:val="00B9212D"/>
    <w:rsid w:val="00B9266F"/>
    <w:rsid w:val="00B92986"/>
    <w:rsid w:val="00B92CB6"/>
    <w:rsid w:val="00B94DE6"/>
    <w:rsid w:val="00B95C73"/>
    <w:rsid w:val="00B97598"/>
    <w:rsid w:val="00B9777E"/>
    <w:rsid w:val="00BA14FB"/>
    <w:rsid w:val="00BA1FFC"/>
    <w:rsid w:val="00BA37EF"/>
    <w:rsid w:val="00BA3838"/>
    <w:rsid w:val="00BA4E85"/>
    <w:rsid w:val="00BA562F"/>
    <w:rsid w:val="00BA6EC6"/>
    <w:rsid w:val="00BA7258"/>
    <w:rsid w:val="00BB2018"/>
    <w:rsid w:val="00BB4711"/>
    <w:rsid w:val="00BB78D6"/>
    <w:rsid w:val="00BB7B5C"/>
    <w:rsid w:val="00BC1C6E"/>
    <w:rsid w:val="00BC286A"/>
    <w:rsid w:val="00BC4AD4"/>
    <w:rsid w:val="00BC4D7F"/>
    <w:rsid w:val="00BC5C0F"/>
    <w:rsid w:val="00BC615B"/>
    <w:rsid w:val="00BC6CE1"/>
    <w:rsid w:val="00BC6DEE"/>
    <w:rsid w:val="00BD01B1"/>
    <w:rsid w:val="00BD1181"/>
    <w:rsid w:val="00BD15B0"/>
    <w:rsid w:val="00BD31F7"/>
    <w:rsid w:val="00BD4A7C"/>
    <w:rsid w:val="00BD77C6"/>
    <w:rsid w:val="00BE0140"/>
    <w:rsid w:val="00BE064E"/>
    <w:rsid w:val="00BE11BD"/>
    <w:rsid w:val="00BE22D7"/>
    <w:rsid w:val="00BE25F4"/>
    <w:rsid w:val="00BE31A4"/>
    <w:rsid w:val="00BE352F"/>
    <w:rsid w:val="00BE69D0"/>
    <w:rsid w:val="00BE6F69"/>
    <w:rsid w:val="00BF3853"/>
    <w:rsid w:val="00BF462A"/>
    <w:rsid w:val="00BF5102"/>
    <w:rsid w:val="00BF6121"/>
    <w:rsid w:val="00BF747F"/>
    <w:rsid w:val="00C00845"/>
    <w:rsid w:val="00C03543"/>
    <w:rsid w:val="00C054BB"/>
    <w:rsid w:val="00C07639"/>
    <w:rsid w:val="00C076B6"/>
    <w:rsid w:val="00C07E1C"/>
    <w:rsid w:val="00C100B0"/>
    <w:rsid w:val="00C126B7"/>
    <w:rsid w:val="00C15010"/>
    <w:rsid w:val="00C17E06"/>
    <w:rsid w:val="00C20164"/>
    <w:rsid w:val="00C215F1"/>
    <w:rsid w:val="00C232FC"/>
    <w:rsid w:val="00C23B1C"/>
    <w:rsid w:val="00C25749"/>
    <w:rsid w:val="00C25885"/>
    <w:rsid w:val="00C265DC"/>
    <w:rsid w:val="00C270E7"/>
    <w:rsid w:val="00C308BB"/>
    <w:rsid w:val="00C30FDF"/>
    <w:rsid w:val="00C33B2C"/>
    <w:rsid w:val="00C3477C"/>
    <w:rsid w:val="00C35952"/>
    <w:rsid w:val="00C372E9"/>
    <w:rsid w:val="00C422D4"/>
    <w:rsid w:val="00C4626D"/>
    <w:rsid w:val="00C46ECE"/>
    <w:rsid w:val="00C470A4"/>
    <w:rsid w:val="00C540BF"/>
    <w:rsid w:val="00C54142"/>
    <w:rsid w:val="00C56F07"/>
    <w:rsid w:val="00C570BC"/>
    <w:rsid w:val="00C607C5"/>
    <w:rsid w:val="00C60D54"/>
    <w:rsid w:val="00C610F9"/>
    <w:rsid w:val="00C61D85"/>
    <w:rsid w:val="00C62533"/>
    <w:rsid w:val="00C62793"/>
    <w:rsid w:val="00C63210"/>
    <w:rsid w:val="00C6332B"/>
    <w:rsid w:val="00C63583"/>
    <w:rsid w:val="00C6385F"/>
    <w:rsid w:val="00C63CD3"/>
    <w:rsid w:val="00C63FEA"/>
    <w:rsid w:val="00C64497"/>
    <w:rsid w:val="00C64EB8"/>
    <w:rsid w:val="00C706F4"/>
    <w:rsid w:val="00C7093D"/>
    <w:rsid w:val="00C70C06"/>
    <w:rsid w:val="00C710C9"/>
    <w:rsid w:val="00C753CD"/>
    <w:rsid w:val="00C758C5"/>
    <w:rsid w:val="00C75E4F"/>
    <w:rsid w:val="00C77AE4"/>
    <w:rsid w:val="00C80F72"/>
    <w:rsid w:val="00C81160"/>
    <w:rsid w:val="00C832D9"/>
    <w:rsid w:val="00C84AE8"/>
    <w:rsid w:val="00C85444"/>
    <w:rsid w:val="00C905EA"/>
    <w:rsid w:val="00C90F84"/>
    <w:rsid w:val="00C91181"/>
    <w:rsid w:val="00C918A4"/>
    <w:rsid w:val="00C92E2A"/>
    <w:rsid w:val="00C94AA0"/>
    <w:rsid w:val="00C94E61"/>
    <w:rsid w:val="00C962E7"/>
    <w:rsid w:val="00C96696"/>
    <w:rsid w:val="00CA1163"/>
    <w:rsid w:val="00CA1538"/>
    <w:rsid w:val="00CA24CD"/>
    <w:rsid w:val="00CA38A3"/>
    <w:rsid w:val="00CA4730"/>
    <w:rsid w:val="00CA5332"/>
    <w:rsid w:val="00CA5BBE"/>
    <w:rsid w:val="00CA5E7D"/>
    <w:rsid w:val="00CB03A3"/>
    <w:rsid w:val="00CB0D6C"/>
    <w:rsid w:val="00CB0E67"/>
    <w:rsid w:val="00CB1605"/>
    <w:rsid w:val="00CB2425"/>
    <w:rsid w:val="00CB262C"/>
    <w:rsid w:val="00CB352F"/>
    <w:rsid w:val="00CB3855"/>
    <w:rsid w:val="00CB4DDF"/>
    <w:rsid w:val="00CB5247"/>
    <w:rsid w:val="00CB543A"/>
    <w:rsid w:val="00CB5A7E"/>
    <w:rsid w:val="00CB60E6"/>
    <w:rsid w:val="00CC2183"/>
    <w:rsid w:val="00CC2339"/>
    <w:rsid w:val="00CC4399"/>
    <w:rsid w:val="00CC7236"/>
    <w:rsid w:val="00CD0305"/>
    <w:rsid w:val="00CD2972"/>
    <w:rsid w:val="00CD2F59"/>
    <w:rsid w:val="00CD30D3"/>
    <w:rsid w:val="00CD3A0B"/>
    <w:rsid w:val="00CD3CA8"/>
    <w:rsid w:val="00CD4487"/>
    <w:rsid w:val="00CD4C03"/>
    <w:rsid w:val="00CD5565"/>
    <w:rsid w:val="00CD65AF"/>
    <w:rsid w:val="00CE0D16"/>
    <w:rsid w:val="00CE2464"/>
    <w:rsid w:val="00CE3314"/>
    <w:rsid w:val="00CE395B"/>
    <w:rsid w:val="00CE6382"/>
    <w:rsid w:val="00CF19BF"/>
    <w:rsid w:val="00CF265A"/>
    <w:rsid w:val="00CF5E51"/>
    <w:rsid w:val="00CF60AA"/>
    <w:rsid w:val="00CF7205"/>
    <w:rsid w:val="00CF7B4D"/>
    <w:rsid w:val="00D02D2F"/>
    <w:rsid w:val="00D02E87"/>
    <w:rsid w:val="00D03A26"/>
    <w:rsid w:val="00D0606D"/>
    <w:rsid w:val="00D06997"/>
    <w:rsid w:val="00D0774F"/>
    <w:rsid w:val="00D10210"/>
    <w:rsid w:val="00D108FE"/>
    <w:rsid w:val="00D10B3A"/>
    <w:rsid w:val="00D11361"/>
    <w:rsid w:val="00D13528"/>
    <w:rsid w:val="00D158E8"/>
    <w:rsid w:val="00D15CDB"/>
    <w:rsid w:val="00D1701D"/>
    <w:rsid w:val="00D2146E"/>
    <w:rsid w:val="00D216D6"/>
    <w:rsid w:val="00D21FD1"/>
    <w:rsid w:val="00D25E6A"/>
    <w:rsid w:val="00D30343"/>
    <w:rsid w:val="00D31043"/>
    <w:rsid w:val="00D31221"/>
    <w:rsid w:val="00D3135B"/>
    <w:rsid w:val="00D31F59"/>
    <w:rsid w:val="00D32B63"/>
    <w:rsid w:val="00D358A2"/>
    <w:rsid w:val="00D36F03"/>
    <w:rsid w:val="00D37ACF"/>
    <w:rsid w:val="00D43598"/>
    <w:rsid w:val="00D44CF6"/>
    <w:rsid w:val="00D45A05"/>
    <w:rsid w:val="00D46338"/>
    <w:rsid w:val="00D4687F"/>
    <w:rsid w:val="00D47AEA"/>
    <w:rsid w:val="00D517F9"/>
    <w:rsid w:val="00D535A6"/>
    <w:rsid w:val="00D54257"/>
    <w:rsid w:val="00D5464D"/>
    <w:rsid w:val="00D54807"/>
    <w:rsid w:val="00D56C51"/>
    <w:rsid w:val="00D573E0"/>
    <w:rsid w:val="00D613AB"/>
    <w:rsid w:val="00D61CF3"/>
    <w:rsid w:val="00D63BAD"/>
    <w:rsid w:val="00D64F2B"/>
    <w:rsid w:val="00D66260"/>
    <w:rsid w:val="00D66594"/>
    <w:rsid w:val="00D711AA"/>
    <w:rsid w:val="00D71CE3"/>
    <w:rsid w:val="00D73196"/>
    <w:rsid w:val="00D738C5"/>
    <w:rsid w:val="00D73D58"/>
    <w:rsid w:val="00D75571"/>
    <w:rsid w:val="00D762B8"/>
    <w:rsid w:val="00D81534"/>
    <w:rsid w:val="00D82309"/>
    <w:rsid w:val="00D83874"/>
    <w:rsid w:val="00D90974"/>
    <w:rsid w:val="00D94C74"/>
    <w:rsid w:val="00D95482"/>
    <w:rsid w:val="00D95F27"/>
    <w:rsid w:val="00D96F0D"/>
    <w:rsid w:val="00D97671"/>
    <w:rsid w:val="00D97863"/>
    <w:rsid w:val="00DA04D2"/>
    <w:rsid w:val="00DA3DC6"/>
    <w:rsid w:val="00DA5240"/>
    <w:rsid w:val="00DA6315"/>
    <w:rsid w:val="00DA761D"/>
    <w:rsid w:val="00DB0AF7"/>
    <w:rsid w:val="00DB0FEE"/>
    <w:rsid w:val="00DB14C8"/>
    <w:rsid w:val="00DB2BBC"/>
    <w:rsid w:val="00DB3247"/>
    <w:rsid w:val="00DB3E36"/>
    <w:rsid w:val="00DB5DC6"/>
    <w:rsid w:val="00DB5E3C"/>
    <w:rsid w:val="00DB6EA9"/>
    <w:rsid w:val="00DB75E3"/>
    <w:rsid w:val="00DC09C9"/>
    <w:rsid w:val="00DC170E"/>
    <w:rsid w:val="00DC181E"/>
    <w:rsid w:val="00DC4060"/>
    <w:rsid w:val="00DC4D53"/>
    <w:rsid w:val="00DC76B1"/>
    <w:rsid w:val="00DD073D"/>
    <w:rsid w:val="00DD273C"/>
    <w:rsid w:val="00DD33A9"/>
    <w:rsid w:val="00DD3CA1"/>
    <w:rsid w:val="00DD49B5"/>
    <w:rsid w:val="00DD4B70"/>
    <w:rsid w:val="00DD572F"/>
    <w:rsid w:val="00DD76B7"/>
    <w:rsid w:val="00DE02CE"/>
    <w:rsid w:val="00DE0387"/>
    <w:rsid w:val="00DE03CD"/>
    <w:rsid w:val="00DE1615"/>
    <w:rsid w:val="00DE2768"/>
    <w:rsid w:val="00DE3239"/>
    <w:rsid w:val="00DE551C"/>
    <w:rsid w:val="00DE7EA8"/>
    <w:rsid w:val="00DF1E10"/>
    <w:rsid w:val="00DF37ED"/>
    <w:rsid w:val="00DF3DF0"/>
    <w:rsid w:val="00DF5347"/>
    <w:rsid w:val="00DF6A14"/>
    <w:rsid w:val="00DF7E18"/>
    <w:rsid w:val="00E00374"/>
    <w:rsid w:val="00E02644"/>
    <w:rsid w:val="00E02A34"/>
    <w:rsid w:val="00E052CD"/>
    <w:rsid w:val="00E059A3"/>
    <w:rsid w:val="00E06E61"/>
    <w:rsid w:val="00E0716A"/>
    <w:rsid w:val="00E07B5C"/>
    <w:rsid w:val="00E107B9"/>
    <w:rsid w:val="00E11B93"/>
    <w:rsid w:val="00E129DE"/>
    <w:rsid w:val="00E13680"/>
    <w:rsid w:val="00E14DCF"/>
    <w:rsid w:val="00E15475"/>
    <w:rsid w:val="00E15A82"/>
    <w:rsid w:val="00E15E99"/>
    <w:rsid w:val="00E16413"/>
    <w:rsid w:val="00E2070B"/>
    <w:rsid w:val="00E20D7E"/>
    <w:rsid w:val="00E20D80"/>
    <w:rsid w:val="00E22478"/>
    <w:rsid w:val="00E22964"/>
    <w:rsid w:val="00E24772"/>
    <w:rsid w:val="00E27DE2"/>
    <w:rsid w:val="00E27F64"/>
    <w:rsid w:val="00E27F97"/>
    <w:rsid w:val="00E3000E"/>
    <w:rsid w:val="00E30FEB"/>
    <w:rsid w:val="00E33399"/>
    <w:rsid w:val="00E347D0"/>
    <w:rsid w:val="00E34E18"/>
    <w:rsid w:val="00E37632"/>
    <w:rsid w:val="00E37827"/>
    <w:rsid w:val="00E37FA8"/>
    <w:rsid w:val="00E40F28"/>
    <w:rsid w:val="00E413C9"/>
    <w:rsid w:val="00E4143C"/>
    <w:rsid w:val="00E42928"/>
    <w:rsid w:val="00E464A2"/>
    <w:rsid w:val="00E503AF"/>
    <w:rsid w:val="00E50733"/>
    <w:rsid w:val="00E530D0"/>
    <w:rsid w:val="00E5311B"/>
    <w:rsid w:val="00E53384"/>
    <w:rsid w:val="00E542F0"/>
    <w:rsid w:val="00E5543A"/>
    <w:rsid w:val="00E558EE"/>
    <w:rsid w:val="00E56853"/>
    <w:rsid w:val="00E631BC"/>
    <w:rsid w:val="00E633A7"/>
    <w:rsid w:val="00E63B9B"/>
    <w:rsid w:val="00E63EE7"/>
    <w:rsid w:val="00E6438C"/>
    <w:rsid w:val="00E662A5"/>
    <w:rsid w:val="00E67BD9"/>
    <w:rsid w:val="00E70486"/>
    <w:rsid w:val="00E70521"/>
    <w:rsid w:val="00E70EAC"/>
    <w:rsid w:val="00E735E3"/>
    <w:rsid w:val="00E745B1"/>
    <w:rsid w:val="00E7547F"/>
    <w:rsid w:val="00E76B98"/>
    <w:rsid w:val="00E80135"/>
    <w:rsid w:val="00E80406"/>
    <w:rsid w:val="00E816D4"/>
    <w:rsid w:val="00E82032"/>
    <w:rsid w:val="00E82386"/>
    <w:rsid w:val="00E82832"/>
    <w:rsid w:val="00E82BAE"/>
    <w:rsid w:val="00E84FD6"/>
    <w:rsid w:val="00E877C1"/>
    <w:rsid w:val="00E87B72"/>
    <w:rsid w:val="00E90D25"/>
    <w:rsid w:val="00E91EB2"/>
    <w:rsid w:val="00E92997"/>
    <w:rsid w:val="00E92B48"/>
    <w:rsid w:val="00E948AE"/>
    <w:rsid w:val="00E97149"/>
    <w:rsid w:val="00EA02E5"/>
    <w:rsid w:val="00EA0F39"/>
    <w:rsid w:val="00EA2070"/>
    <w:rsid w:val="00EA38BA"/>
    <w:rsid w:val="00EA5E81"/>
    <w:rsid w:val="00EA7856"/>
    <w:rsid w:val="00EA7FEB"/>
    <w:rsid w:val="00EB0CFD"/>
    <w:rsid w:val="00EB1BA3"/>
    <w:rsid w:val="00EB1E3F"/>
    <w:rsid w:val="00EB21A1"/>
    <w:rsid w:val="00EB27D4"/>
    <w:rsid w:val="00EB4E34"/>
    <w:rsid w:val="00EB5445"/>
    <w:rsid w:val="00EB6A22"/>
    <w:rsid w:val="00EB7949"/>
    <w:rsid w:val="00EC0EF3"/>
    <w:rsid w:val="00EC1060"/>
    <w:rsid w:val="00EC41F3"/>
    <w:rsid w:val="00EC5028"/>
    <w:rsid w:val="00EC51A7"/>
    <w:rsid w:val="00EC5668"/>
    <w:rsid w:val="00EC5ECD"/>
    <w:rsid w:val="00EC7134"/>
    <w:rsid w:val="00EC71CC"/>
    <w:rsid w:val="00EC7D1B"/>
    <w:rsid w:val="00ED1A44"/>
    <w:rsid w:val="00ED294E"/>
    <w:rsid w:val="00ED3A2B"/>
    <w:rsid w:val="00ED594C"/>
    <w:rsid w:val="00ED630A"/>
    <w:rsid w:val="00ED69D7"/>
    <w:rsid w:val="00EE1903"/>
    <w:rsid w:val="00EE2A6D"/>
    <w:rsid w:val="00EE5064"/>
    <w:rsid w:val="00EE591E"/>
    <w:rsid w:val="00EE6F64"/>
    <w:rsid w:val="00EE75B0"/>
    <w:rsid w:val="00EF2062"/>
    <w:rsid w:val="00EF464B"/>
    <w:rsid w:val="00EF5DAF"/>
    <w:rsid w:val="00EF7329"/>
    <w:rsid w:val="00EF7D11"/>
    <w:rsid w:val="00F011F3"/>
    <w:rsid w:val="00F013CA"/>
    <w:rsid w:val="00F01BB8"/>
    <w:rsid w:val="00F02BFC"/>
    <w:rsid w:val="00F02D5B"/>
    <w:rsid w:val="00F02F65"/>
    <w:rsid w:val="00F0393A"/>
    <w:rsid w:val="00F043F2"/>
    <w:rsid w:val="00F0462C"/>
    <w:rsid w:val="00F05424"/>
    <w:rsid w:val="00F056FB"/>
    <w:rsid w:val="00F057CC"/>
    <w:rsid w:val="00F114AD"/>
    <w:rsid w:val="00F120F1"/>
    <w:rsid w:val="00F12838"/>
    <w:rsid w:val="00F12F67"/>
    <w:rsid w:val="00F13D45"/>
    <w:rsid w:val="00F143E7"/>
    <w:rsid w:val="00F147CB"/>
    <w:rsid w:val="00F14B24"/>
    <w:rsid w:val="00F159F7"/>
    <w:rsid w:val="00F15E1D"/>
    <w:rsid w:val="00F164D4"/>
    <w:rsid w:val="00F168D4"/>
    <w:rsid w:val="00F174B0"/>
    <w:rsid w:val="00F215C7"/>
    <w:rsid w:val="00F21895"/>
    <w:rsid w:val="00F22301"/>
    <w:rsid w:val="00F23510"/>
    <w:rsid w:val="00F247C5"/>
    <w:rsid w:val="00F268DF"/>
    <w:rsid w:val="00F31DD0"/>
    <w:rsid w:val="00F331CE"/>
    <w:rsid w:val="00F34BA5"/>
    <w:rsid w:val="00F3638F"/>
    <w:rsid w:val="00F364C9"/>
    <w:rsid w:val="00F36CE0"/>
    <w:rsid w:val="00F37537"/>
    <w:rsid w:val="00F41AA2"/>
    <w:rsid w:val="00F41F93"/>
    <w:rsid w:val="00F43FA1"/>
    <w:rsid w:val="00F44F4B"/>
    <w:rsid w:val="00F50988"/>
    <w:rsid w:val="00F5159D"/>
    <w:rsid w:val="00F52649"/>
    <w:rsid w:val="00F536CC"/>
    <w:rsid w:val="00F54B99"/>
    <w:rsid w:val="00F56257"/>
    <w:rsid w:val="00F5684E"/>
    <w:rsid w:val="00F56B08"/>
    <w:rsid w:val="00F574D7"/>
    <w:rsid w:val="00F609C7"/>
    <w:rsid w:val="00F61E8E"/>
    <w:rsid w:val="00F6256D"/>
    <w:rsid w:val="00F64101"/>
    <w:rsid w:val="00F6568F"/>
    <w:rsid w:val="00F670E0"/>
    <w:rsid w:val="00F67779"/>
    <w:rsid w:val="00F71401"/>
    <w:rsid w:val="00F7226F"/>
    <w:rsid w:val="00F72696"/>
    <w:rsid w:val="00F748BB"/>
    <w:rsid w:val="00F75804"/>
    <w:rsid w:val="00F770CB"/>
    <w:rsid w:val="00F77593"/>
    <w:rsid w:val="00F800CE"/>
    <w:rsid w:val="00F80213"/>
    <w:rsid w:val="00F80370"/>
    <w:rsid w:val="00F83005"/>
    <w:rsid w:val="00F8320E"/>
    <w:rsid w:val="00F85C48"/>
    <w:rsid w:val="00F8704C"/>
    <w:rsid w:val="00F917B4"/>
    <w:rsid w:val="00F92467"/>
    <w:rsid w:val="00F924DF"/>
    <w:rsid w:val="00F933E7"/>
    <w:rsid w:val="00F939F4"/>
    <w:rsid w:val="00F94254"/>
    <w:rsid w:val="00F94D44"/>
    <w:rsid w:val="00F95234"/>
    <w:rsid w:val="00F956CB"/>
    <w:rsid w:val="00F95D6B"/>
    <w:rsid w:val="00F95DD7"/>
    <w:rsid w:val="00F967CE"/>
    <w:rsid w:val="00F97AC2"/>
    <w:rsid w:val="00F97CFC"/>
    <w:rsid w:val="00FA0CF5"/>
    <w:rsid w:val="00FA201A"/>
    <w:rsid w:val="00FA3479"/>
    <w:rsid w:val="00FA3F2E"/>
    <w:rsid w:val="00FA404A"/>
    <w:rsid w:val="00FA51B9"/>
    <w:rsid w:val="00FA5FCB"/>
    <w:rsid w:val="00FA6320"/>
    <w:rsid w:val="00FB0606"/>
    <w:rsid w:val="00FB06BA"/>
    <w:rsid w:val="00FB35DC"/>
    <w:rsid w:val="00FB3D3C"/>
    <w:rsid w:val="00FB4007"/>
    <w:rsid w:val="00FB4BE4"/>
    <w:rsid w:val="00FB4E36"/>
    <w:rsid w:val="00FB62B6"/>
    <w:rsid w:val="00FB6318"/>
    <w:rsid w:val="00FB764F"/>
    <w:rsid w:val="00FC0880"/>
    <w:rsid w:val="00FC1000"/>
    <w:rsid w:val="00FC1296"/>
    <w:rsid w:val="00FC1A0F"/>
    <w:rsid w:val="00FC2B3B"/>
    <w:rsid w:val="00FC4385"/>
    <w:rsid w:val="00FC6C03"/>
    <w:rsid w:val="00FC7011"/>
    <w:rsid w:val="00FC72D0"/>
    <w:rsid w:val="00FD0387"/>
    <w:rsid w:val="00FD0C45"/>
    <w:rsid w:val="00FD59C3"/>
    <w:rsid w:val="00FD76CE"/>
    <w:rsid w:val="00FE1E14"/>
    <w:rsid w:val="00FE2D1F"/>
    <w:rsid w:val="00FE2EC1"/>
    <w:rsid w:val="00FE47D6"/>
    <w:rsid w:val="00FE4BF7"/>
    <w:rsid w:val="00FE4CE5"/>
    <w:rsid w:val="00FE4D08"/>
    <w:rsid w:val="00FE5760"/>
    <w:rsid w:val="00FE61F4"/>
    <w:rsid w:val="00FE7C35"/>
    <w:rsid w:val="00FF13DD"/>
    <w:rsid w:val="00FF1BD1"/>
    <w:rsid w:val="00FF3A05"/>
    <w:rsid w:val="00FF3CD5"/>
    <w:rsid w:val="00FF3D48"/>
    <w:rsid w:val="00FF57E4"/>
    <w:rsid w:val="00FF710D"/>
    <w:rsid w:val="00FF737B"/>
    <w:rsid w:val="00FF7ADD"/>
    <w:rsid w:val="00FF7E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B244BD"/>
  <w15:chartTrackingRefBased/>
  <w15:docId w15:val="{8A2085CE-BBFC-42A0-AEB0-0E72E968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0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AA07F6"/>
    <w:rPr>
      <w:color w:val="0563C1"/>
      <w:u w:val="single"/>
    </w:rPr>
  </w:style>
  <w:style w:type="character" w:customStyle="1" w:styleId="UnresolvedMention">
    <w:name w:val="Unresolved Mention"/>
    <w:uiPriority w:val="99"/>
    <w:semiHidden/>
    <w:unhideWhenUsed/>
    <w:rsid w:val="00AA07F6"/>
    <w:rPr>
      <w:color w:val="605E5C"/>
      <w:shd w:val="clear" w:color="auto" w:fill="E1DFDD"/>
    </w:rPr>
  </w:style>
  <w:style w:type="paragraph" w:styleId="ListParagraph">
    <w:name w:val="List Paragraph"/>
    <w:basedOn w:val="Normal"/>
    <w:uiPriority w:val="34"/>
    <w:qFormat/>
    <w:rsid w:val="004E445A"/>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4E445A"/>
    <w:rPr>
      <w:sz w:val="16"/>
      <w:szCs w:val="16"/>
    </w:rPr>
  </w:style>
  <w:style w:type="paragraph" w:styleId="CommentText">
    <w:name w:val="annotation text"/>
    <w:basedOn w:val="Normal"/>
    <w:link w:val="CommentTextChar"/>
    <w:uiPriority w:val="99"/>
    <w:unhideWhenUsed/>
    <w:rsid w:val="004E445A"/>
    <w:pPr>
      <w:spacing w:after="160"/>
    </w:pPr>
    <w:rPr>
      <w:rFonts w:ascii="Calibri" w:eastAsia="Calibri" w:hAnsi="Calibri"/>
    </w:rPr>
  </w:style>
  <w:style w:type="character" w:customStyle="1" w:styleId="CommentTextChar">
    <w:name w:val="Comment Text Char"/>
    <w:link w:val="CommentText"/>
    <w:uiPriority w:val="99"/>
    <w:rsid w:val="004E445A"/>
    <w:rPr>
      <w:rFonts w:ascii="Calibri" w:eastAsia="Calibri" w:hAnsi="Calibri"/>
    </w:rPr>
  </w:style>
  <w:style w:type="paragraph" w:customStyle="1" w:styleId="ParaNum">
    <w:name w:val="ParaNum"/>
    <w:basedOn w:val="Normal"/>
    <w:link w:val="ParaNumCharChar1"/>
    <w:qFormat/>
    <w:rsid w:val="00412CCD"/>
    <w:pPr>
      <w:widowControl w:val="0"/>
      <w:numPr>
        <w:numId w:val="2"/>
      </w:numPr>
      <w:spacing w:after="120"/>
    </w:pPr>
    <w:rPr>
      <w:snapToGrid w:val="0"/>
      <w:kern w:val="28"/>
      <w:sz w:val="22"/>
    </w:rPr>
  </w:style>
  <w:style w:type="character" w:customStyle="1" w:styleId="ParaNumCharChar1">
    <w:name w:val="ParaNum Char Char1"/>
    <w:link w:val="ParaNum"/>
    <w:locked/>
    <w:rsid w:val="00412CCD"/>
    <w:rPr>
      <w:snapToGrid w:val="0"/>
      <w:kern w:val="28"/>
      <w:sz w:val="22"/>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DF7E18"/>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F7E18"/>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nhideWhenUsed/>
    <w:rsid w:val="00DF7E18"/>
    <w:rPr>
      <w:vertAlign w:val="superscript"/>
    </w:rPr>
  </w:style>
  <w:style w:type="paragraph" w:styleId="CommentSubject">
    <w:name w:val="annotation subject"/>
    <w:basedOn w:val="CommentText"/>
    <w:next w:val="CommentText"/>
    <w:link w:val="CommentSubjectChar"/>
    <w:uiPriority w:val="99"/>
    <w:semiHidden/>
    <w:unhideWhenUsed/>
    <w:rsid w:val="00002311"/>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002311"/>
    <w:rPr>
      <w:rFonts w:ascii="Calibri" w:eastAsia="Calibri" w:hAnsi="Calibri"/>
      <w:b/>
      <w:bCs/>
    </w:rPr>
  </w:style>
  <w:style w:type="paragraph" w:customStyle="1" w:styleId="xmsonormal">
    <w:name w:val="x_msonormal"/>
    <w:basedOn w:val="Normal"/>
    <w:rsid w:val="004936E3"/>
    <w:rPr>
      <w:rFonts w:ascii="Calibri" w:eastAsia="Calibri" w:hAnsi="Calibri" w:cs="Calibri"/>
      <w:sz w:val="22"/>
      <w:szCs w:val="22"/>
    </w:rPr>
  </w:style>
  <w:style w:type="paragraph" w:styleId="Revision">
    <w:name w:val="Revision"/>
    <w:hidden/>
    <w:uiPriority w:val="99"/>
    <w:semiHidden/>
    <w:rsid w:val="00286D63"/>
  </w:style>
  <w:style w:type="character" w:customStyle="1" w:styleId="FooterChar">
    <w:name w:val="Footer Char"/>
    <w:basedOn w:val="DefaultParagraphFont"/>
    <w:link w:val="Footer"/>
    <w:uiPriority w:val="99"/>
    <w:rsid w:val="001F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DENBO@FCCWORLD.COM" TargetMode="External" /><Relationship Id="rId6" Type="http://schemas.openxmlformats.org/officeDocument/2006/relationships/hyperlink" Target="mailto:BARRY.FRIEDMAN@THOMPSONHINE.COM" TargetMode="External" /><Relationship Id="rId7" Type="http://schemas.openxmlformats.org/officeDocument/2006/relationships/hyperlink" Target="mailto:tom.hutton@fcc.gov" TargetMode="External" /><Relationship Id="rId8" Type="http://schemas.openxmlformats.org/officeDocument/2006/relationships/hyperlink" Target="mailto:heather.dixon@fcc.gov" TargetMode="Externa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