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5549C" w:rsidP="00FC634A" w14:paraId="1B24762D" w14:textId="53211ECC">
      <w:pPr>
        <w:jc w:val="right"/>
        <w:rPr>
          <w:b/>
          <w:sz w:val="24"/>
        </w:rPr>
      </w:pPr>
      <w:r>
        <w:rPr>
          <w:b/>
          <w:sz w:val="24"/>
        </w:rPr>
        <w:t xml:space="preserve"> </w:t>
      </w:r>
      <w:r w:rsidRPr="003F2433" w:rsidR="00F83F7F">
        <w:rPr>
          <w:b/>
          <w:sz w:val="24"/>
        </w:rPr>
        <w:t>DA 2</w:t>
      </w:r>
      <w:r w:rsidRPr="003F2433" w:rsidR="00F4472B">
        <w:rPr>
          <w:b/>
          <w:sz w:val="24"/>
        </w:rPr>
        <w:t>2</w:t>
      </w:r>
      <w:r w:rsidR="008D03B1">
        <w:rPr>
          <w:b/>
          <w:sz w:val="24"/>
        </w:rPr>
        <w:t>-</w:t>
      </w:r>
      <w:r w:rsidR="0038438E">
        <w:rPr>
          <w:b/>
          <w:sz w:val="24"/>
        </w:rPr>
        <w:t>617</w:t>
      </w:r>
    </w:p>
    <w:p w:rsidR="0055549C" w14:paraId="60D64ED9" w14:textId="70EA3928">
      <w:pPr>
        <w:spacing w:before="60"/>
        <w:jc w:val="right"/>
        <w:rPr>
          <w:b/>
          <w:sz w:val="24"/>
        </w:rPr>
      </w:pPr>
      <w:r>
        <w:rPr>
          <w:b/>
          <w:sz w:val="24"/>
        </w:rPr>
        <w:t xml:space="preserve">Released: </w:t>
      </w:r>
      <w:r w:rsidR="0038438E">
        <w:rPr>
          <w:b/>
          <w:sz w:val="24"/>
        </w:rPr>
        <w:t>June 7</w:t>
      </w:r>
      <w:r w:rsidRPr="003F2433" w:rsidR="003F2433">
        <w:rPr>
          <w:b/>
          <w:sz w:val="24"/>
        </w:rPr>
        <w:t>,</w:t>
      </w:r>
      <w:r w:rsidRPr="003F2433" w:rsidR="00543404">
        <w:rPr>
          <w:b/>
          <w:sz w:val="24"/>
        </w:rPr>
        <w:t xml:space="preserve"> </w:t>
      </w:r>
      <w:r w:rsidRPr="003F2433" w:rsidR="00F83F7F">
        <w:rPr>
          <w:b/>
          <w:sz w:val="24"/>
        </w:rPr>
        <w:t>2022</w:t>
      </w:r>
      <w:r w:rsidR="00F83F7F">
        <w:rPr>
          <w:b/>
          <w:sz w:val="24"/>
        </w:rPr>
        <w:t xml:space="preserve"> </w:t>
      </w:r>
    </w:p>
    <w:p w:rsidR="00C3785B" w14:paraId="7402CE16" w14:textId="77777777">
      <w:pPr>
        <w:spacing w:before="60"/>
        <w:jc w:val="right"/>
        <w:rPr>
          <w:b/>
          <w:sz w:val="24"/>
        </w:rPr>
      </w:pPr>
    </w:p>
    <w:p w:rsidR="0055549C" w:rsidRPr="00F83F7F" w:rsidP="00F83F7F" w14:paraId="2CC29016" w14:textId="23CA3799">
      <w:pPr>
        <w:spacing w:after="240"/>
        <w:jc w:val="center"/>
        <w:rPr>
          <w:rFonts w:ascii="Times New Roman Bold" w:hAnsi="Times New Roman Bold"/>
          <w:b/>
          <w:caps/>
          <w:sz w:val="24"/>
        </w:rPr>
      </w:pPr>
      <w:r>
        <w:rPr>
          <w:rFonts w:ascii="Times New Roman Bold" w:hAnsi="Times New Roman Bold"/>
          <w:b/>
          <w:caps/>
          <w:sz w:val="24"/>
        </w:rPr>
        <w:t>Public safety and homeland security b</w:t>
      </w:r>
      <w:r w:rsidR="003F33F3">
        <w:rPr>
          <w:rFonts w:ascii="Times New Roman Bold" w:hAnsi="Times New Roman Bold"/>
          <w:b/>
          <w:caps/>
          <w:sz w:val="24"/>
        </w:rPr>
        <w:t xml:space="preserve">ureau seeks comment on </w:t>
      </w:r>
      <w:r w:rsidR="000612A7">
        <w:rPr>
          <w:rFonts w:ascii="Times New Roman Bold" w:hAnsi="Times New Roman Bold"/>
          <w:b/>
          <w:caps/>
          <w:sz w:val="24"/>
        </w:rPr>
        <w:t>WAIVER</w:t>
      </w:r>
      <w:r w:rsidR="00055037">
        <w:rPr>
          <w:rFonts w:ascii="Times New Roman Bold" w:hAnsi="Times New Roman Bold"/>
          <w:b/>
          <w:caps/>
          <w:sz w:val="24"/>
        </w:rPr>
        <w:t xml:space="preserve"> REQU</w:t>
      </w:r>
      <w:r w:rsidR="00B443B5">
        <w:rPr>
          <w:rFonts w:ascii="Times New Roman Bold" w:hAnsi="Times New Roman Bold"/>
          <w:b/>
          <w:caps/>
          <w:sz w:val="24"/>
        </w:rPr>
        <w:t>e</w:t>
      </w:r>
      <w:r w:rsidR="00055037">
        <w:rPr>
          <w:rFonts w:ascii="Times New Roman Bold" w:hAnsi="Times New Roman Bold"/>
          <w:b/>
          <w:caps/>
          <w:sz w:val="24"/>
        </w:rPr>
        <w:t>ST</w:t>
      </w:r>
      <w:r w:rsidR="000612A7">
        <w:rPr>
          <w:rFonts w:ascii="Times New Roman Bold" w:hAnsi="Times New Roman Bold"/>
          <w:b/>
          <w:caps/>
          <w:sz w:val="24"/>
        </w:rPr>
        <w:t xml:space="preserve">S from Intelligent Transportation System LICENSEES TO USE C-V2X TECHNOLOGY IN THE </w:t>
      </w:r>
      <w:r w:rsidRPr="00741BE3" w:rsidR="000612A7">
        <w:rPr>
          <w:rFonts w:ascii="Times New Roman Bold" w:hAnsi="Times New Roman Bold"/>
          <w:b/>
          <w:caps/>
          <w:sz w:val="24"/>
        </w:rPr>
        <w:t xml:space="preserve">5.895-5.925 </w:t>
      </w:r>
      <w:r w:rsidR="000612A7">
        <w:rPr>
          <w:rFonts w:ascii="Times New Roman Bold" w:hAnsi="Times New Roman Bold"/>
          <w:b/>
          <w:caps/>
          <w:sz w:val="24"/>
        </w:rPr>
        <w:t>GHZ band</w:t>
      </w:r>
      <w:r w:rsidR="00A94E56">
        <w:rPr>
          <w:rFonts w:ascii="Times New Roman Bold" w:hAnsi="Times New Roman Bold"/>
          <w:b/>
          <w:caps/>
          <w:sz w:val="24"/>
        </w:rPr>
        <w:t xml:space="preserve"> </w:t>
      </w:r>
    </w:p>
    <w:p w:rsidR="0055549C" w14:paraId="3F1E6F2A" w14:textId="7A4F87DD">
      <w:pPr>
        <w:jc w:val="center"/>
        <w:rPr>
          <w:b/>
          <w:sz w:val="24"/>
        </w:rPr>
      </w:pPr>
      <w:r>
        <w:rPr>
          <w:b/>
          <w:sz w:val="24"/>
        </w:rPr>
        <w:t>ET</w:t>
      </w:r>
      <w:r w:rsidRPr="00E77405">
        <w:rPr>
          <w:b/>
          <w:sz w:val="24"/>
        </w:rPr>
        <w:t xml:space="preserve"> Docket No. 1</w:t>
      </w:r>
      <w:r>
        <w:rPr>
          <w:b/>
          <w:sz w:val="24"/>
        </w:rPr>
        <w:t>9-138</w:t>
      </w:r>
    </w:p>
    <w:p w:rsidR="0055549C" w14:paraId="0D9B6990" w14:textId="77777777">
      <w:bookmarkStart w:id="0" w:name="TOChere"/>
    </w:p>
    <w:p w:rsidR="00B477FC" w:rsidP="00B477FC" w14:paraId="4FDC55A6" w14:textId="3720E888">
      <w:pPr>
        <w:rPr>
          <w:b/>
          <w:bCs/>
        </w:rPr>
      </w:pPr>
      <w:r w:rsidRPr="00F83F7F">
        <w:rPr>
          <w:b/>
          <w:bCs/>
        </w:rPr>
        <w:t xml:space="preserve">Comments Due: </w:t>
      </w:r>
      <w:r w:rsidR="0042306C">
        <w:rPr>
          <w:b/>
          <w:bCs/>
        </w:rPr>
        <w:t xml:space="preserve"> </w:t>
      </w:r>
      <w:r>
        <w:rPr>
          <w:b/>
          <w:bCs/>
        </w:rPr>
        <w:t>(</w:t>
      </w:r>
      <w:r w:rsidRPr="004F43F4">
        <w:rPr>
          <w:b/>
          <w:bCs/>
        </w:rPr>
        <w:t xml:space="preserve">30 days after </w:t>
      </w:r>
      <w:r>
        <w:rPr>
          <w:b/>
          <w:bCs/>
        </w:rPr>
        <w:t xml:space="preserve">date of </w:t>
      </w:r>
      <w:r w:rsidRPr="004F43F4">
        <w:rPr>
          <w:b/>
          <w:bCs/>
        </w:rPr>
        <w:t>publication in the Federal Register</w:t>
      </w:r>
      <w:r>
        <w:rPr>
          <w:b/>
          <w:bCs/>
        </w:rPr>
        <w:t>)</w:t>
      </w:r>
    </w:p>
    <w:p w:rsidR="00B477FC" w:rsidP="00B477FC" w14:paraId="52CEA1F6" w14:textId="77777777">
      <w:pPr>
        <w:rPr>
          <w:b/>
          <w:bCs/>
        </w:rPr>
      </w:pPr>
      <w:r w:rsidRPr="00F83F7F">
        <w:rPr>
          <w:b/>
          <w:bCs/>
        </w:rPr>
        <w:t xml:space="preserve">Reply Comments Due: </w:t>
      </w:r>
      <w:r>
        <w:rPr>
          <w:b/>
          <w:bCs/>
        </w:rPr>
        <w:t xml:space="preserve"> (60 days </w:t>
      </w:r>
      <w:r w:rsidRPr="004F43F4">
        <w:rPr>
          <w:b/>
          <w:bCs/>
        </w:rPr>
        <w:t xml:space="preserve">after </w:t>
      </w:r>
      <w:r>
        <w:rPr>
          <w:b/>
          <w:bCs/>
        </w:rPr>
        <w:t xml:space="preserve">date of </w:t>
      </w:r>
      <w:r w:rsidRPr="004F43F4">
        <w:rPr>
          <w:b/>
          <w:bCs/>
        </w:rPr>
        <w:t>publication in the Federal Register</w:t>
      </w:r>
      <w:r>
        <w:rPr>
          <w:b/>
          <w:bCs/>
        </w:rPr>
        <w:t>)</w:t>
      </w:r>
    </w:p>
    <w:p w:rsidR="00F83F7F" w14:paraId="1895B653" w14:textId="42805F73">
      <w:pPr>
        <w:rPr>
          <w:b/>
          <w:bCs/>
        </w:rPr>
      </w:pPr>
    </w:p>
    <w:p w:rsidR="007D3133" w:rsidP="00897979" w14:paraId="27765D31" w14:textId="6A920C97">
      <w:pPr>
        <w:pStyle w:val="ParaNum"/>
        <w:widowControl/>
        <w:numPr>
          <w:ilvl w:val="0"/>
          <w:numId w:val="0"/>
        </w:numPr>
        <w:ind w:firstLine="720"/>
        <w:rPr>
          <w:rFonts w:eastAsia="Calibri"/>
          <w:snapToGrid/>
          <w:kern w:val="0"/>
        </w:rPr>
      </w:pPr>
      <w:r>
        <w:rPr>
          <w:rFonts w:eastAsia="Segoe UI Emoji"/>
        </w:rPr>
        <w:t>By this Public Notice</w:t>
      </w:r>
      <w:r w:rsidR="00F82BCE">
        <w:rPr>
          <w:rFonts w:eastAsia="Segoe UI Emoji"/>
        </w:rPr>
        <w:t xml:space="preserve"> (PN)</w:t>
      </w:r>
      <w:r>
        <w:rPr>
          <w:rFonts w:eastAsia="Segoe UI Emoji"/>
        </w:rPr>
        <w:t xml:space="preserve">, the </w:t>
      </w:r>
      <w:r w:rsidR="00097560">
        <w:rPr>
          <w:rFonts w:eastAsia="Segoe UI Emoji"/>
        </w:rPr>
        <w:t>Public Safety and Homeland Security</w:t>
      </w:r>
      <w:r>
        <w:rPr>
          <w:rFonts w:eastAsia="Segoe UI Emoji"/>
        </w:rPr>
        <w:t xml:space="preserve"> </w:t>
      </w:r>
      <w:r w:rsidR="005A3BD1">
        <w:rPr>
          <w:rFonts w:eastAsia="Segoe UI Emoji"/>
        </w:rPr>
        <w:t xml:space="preserve">Bureau </w:t>
      </w:r>
      <w:r>
        <w:rPr>
          <w:rFonts w:eastAsia="Segoe UI Emoji"/>
        </w:rPr>
        <w:t>(Bureau) seeks comment</w:t>
      </w:r>
      <w:r>
        <w:t xml:space="preserve"> on</w:t>
      </w:r>
      <w:r w:rsidR="00F83F7F">
        <w:t xml:space="preserve"> </w:t>
      </w:r>
      <w:r w:rsidR="00227B66">
        <w:t xml:space="preserve">the </w:t>
      </w:r>
      <w:r w:rsidR="00EB0D65">
        <w:t>filings from</w:t>
      </w:r>
      <w:r w:rsidR="008676AE">
        <w:t xml:space="preserve"> the </w:t>
      </w:r>
      <w:r w:rsidR="00DC54C8">
        <w:t>respective</w:t>
      </w:r>
      <w:r w:rsidR="00751FB7">
        <w:t xml:space="preserve"> </w:t>
      </w:r>
      <w:r w:rsidR="00DC54C8">
        <w:t xml:space="preserve">Departments of Transportation of the </w:t>
      </w:r>
      <w:r w:rsidR="008676AE">
        <w:t>State of Florida</w:t>
      </w:r>
      <w:r w:rsidR="006E4E50">
        <w:t xml:space="preserve"> and </w:t>
      </w:r>
      <w:r w:rsidR="008676AE">
        <w:t>State of Georgia</w:t>
      </w:r>
      <w:r w:rsidR="00720D18">
        <w:t xml:space="preserve">, and </w:t>
      </w:r>
      <w:r w:rsidR="00751FB7">
        <w:t xml:space="preserve">State of </w:t>
      </w:r>
      <w:r w:rsidR="00720D18">
        <w:t>Maryland</w:t>
      </w:r>
      <w:r w:rsidR="00A7567E">
        <w:t xml:space="preserve"> State Highway Admin</w:t>
      </w:r>
      <w:r w:rsidR="00EC0138">
        <w:t>i</w:t>
      </w:r>
      <w:r w:rsidR="00A7567E">
        <w:t>stration</w:t>
      </w:r>
      <w:r w:rsidR="00F83F7F">
        <w:t xml:space="preserve">, </w:t>
      </w:r>
      <w:r w:rsidR="008E6935">
        <w:t xml:space="preserve">each </w:t>
      </w:r>
      <w:r w:rsidR="004950E0">
        <w:t>request</w:t>
      </w:r>
      <w:r w:rsidR="009C43BB">
        <w:t>ing</w:t>
      </w:r>
      <w:r w:rsidR="004950E0">
        <w:t xml:space="preserve"> </w:t>
      </w:r>
      <w:r w:rsidR="00ED408F">
        <w:t xml:space="preserve">a </w:t>
      </w:r>
      <w:r w:rsidRPr="671CB5FD" w:rsidR="00984D07">
        <w:rPr>
          <w:rFonts w:eastAsia="Calibri"/>
          <w:snapToGrid/>
          <w:kern w:val="0"/>
        </w:rPr>
        <w:t xml:space="preserve">waiver of the Commission’s rules to operate roadside units </w:t>
      </w:r>
      <w:r w:rsidR="007043E4">
        <w:rPr>
          <w:rFonts w:eastAsia="Calibri"/>
          <w:snapToGrid/>
          <w:kern w:val="0"/>
        </w:rPr>
        <w:t xml:space="preserve">(RSUs) </w:t>
      </w:r>
      <w:r w:rsidRPr="671CB5FD" w:rsidR="00984D07">
        <w:rPr>
          <w:rFonts w:eastAsia="Calibri"/>
          <w:snapToGrid/>
          <w:kern w:val="0"/>
        </w:rPr>
        <w:t>with cellular vehicle to everything (C-V2X)-based technology in the upper 30 megahertz (5.895-5.925 GHz) portion of the 5.850-5.925 GHz (5.9 GHz) band</w:t>
      </w:r>
      <w:r w:rsidR="00FF2AD6">
        <w:rPr>
          <w:rFonts w:eastAsia="Calibri"/>
          <w:snapToGrid/>
          <w:kern w:val="0"/>
        </w:rPr>
        <w:t xml:space="preserve"> under </w:t>
      </w:r>
      <w:r w:rsidR="006127A6">
        <w:rPr>
          <w:rFonts w:eastAsia="Calibri"/>
          <w:snapToGrid/>
          <w:kern w:val="0"/>
        </w:rPr>
        <w:t xml:space="preserve">its </w:t>
      </w:r>
      <w:r w:rsidR="00FF2AD6">
        <w:rPr>
          <w:rFonts w:eastAsia="Calibri"/>
          <w:snapToGrid/>
          <w:kern w:val="0"/>
        </w:rPr>
        <w:t xml:space="preserve">Part 90 </w:t>
      </w:r>
      <w:r w:rsidR="00A87FC2">
        <w:rPr>
          <w:rFonts w:eastAsia="Calibri"/>
          <w:snapToGrid/>
          <w:kern w:val="0"/>
        </w:rPr>
        <w:t xml:space="preserve">intelligent transportation system (ITS) </w:t>
      </w:r>
      <w:r w:rsidR="00FF2AD6">
        <w:rPr>
          <w:rFonts w:eastAsia="Calibri"/>
          <w:snapToGrid/>
          <w:kern w:val="0"/>
        </w:rPr>
        <w:t>license</w:t>
      </w:r>
      <w:r w:rsidRPr="671CB5FD" w:rsidR="009F595E">
        <w:rPr>
          <w:rFonts w:eastAsia="Calibri"/>
          <w:snapToGrid/>
          <w:kern w:val="0"/>
        </w:rPr>
        <w:t>.</w:t>
      </w:r>
      <w:r>
        <w:rPr>
          <w:rStyle w:val="FootnoteReference"/>
        </w:rPr>
        <w:footnoteReference w:id="3"/>
      </w:r>
      <w:r w:rsidR="00F83F7F">
        <w:t xml:space="preserve"> </w:t>
      </w:r>
      <w:r w:rsidR="00ED408F">
        <w:t xml:space="preserve"> </w:t>
      </w:r>
      <w:r w:rsidR="00115002">
        <w:t>These waiver</w:t>
      </w:r>
      <w:r w:rsidR="00692F76">
        <w:t xml:space="preserve"> request</w:t>
      </w:r>
      <w:r w:rsidR="00115002">
        <w:t xml:space="preserve">s </w:t>
      </w:r>
      <w:r>
        <w:t xml:space="preserve">seek </w:t>
      </w:r>
      <w:r w:rsidR="00F91A4C">
        <w:t xml:space="preserve">operating authority for C-V2X </w:t>
      </w:r>
      <w:r w:rsidR="0015498B">
        <w:t xml:space="preserve">through </w:t>
      </w:r>
      <w:r w:rsidR="00115002">
        <w:t xml:space="preserve">the streamlined </w:t>
      </w:r>
      <w:r w:rsidR="001E08D1">
        <w:t xml:space="preserve">waiver process </w:t>
      </w:r>
      <w:r w:rsidR="00305C07">
        <w:t xml:space="preserve">described </w:t>
      </w:r>
      <w:r w:rsidR="005B449F">
        <w:t xml:space="preserve">by the </w:t>
      </w:r>
      <w:r w:rsidR="00336E0A">
        <w:t xml:space="preserve">Commission in its </w:t>
      </w:r>
      <w:r w:rsidRPr="671CB5FD" w:rsidR="00336E0A">
        <w:rPr>
          <w:rFonts w:eastAsia="Calibri"/>
          <w:snapToGrid/>
          <w:kern w:val="0"/>
        </w:rPr>
        <w:t>November 20, 2020</w:t>
      </w:r>
      <w:r w:rsidRPr="671CB5FD" w:rsidR="00514756">
        <w:rPr>
          <w:rFonts w:eastAsia="Calibri"/>
          <w:snapToGrid/>
          <w:kern w:val="0"/>
        </w:rPr>
        <w:t xml:space="preserve"> </w:t>
      </w:r>
      <w:r w:rsidRPr="568F2CB0" w:rsidR="00336E0A">
        <w:rPr>
          <w:rFonts w:eastAsia="Calibri"/>
          <w:i/>
          <w:iCs/>
          <w:snapToGrid/>
          <w:kern w:val="0"/>
        </w:rPr>
        <w:t>5.9 GHz First Report and Order</w:t>
      </w:r>
      <w:r>
        <w:rPr>
          <w:rStyle w:val="FootnoteReference"/>
          <w:rFonts w:eastAsia="Calibri"/>
          <w:snapToGrid/>
          <w:kern w:val="0"/>
        </w:rPr>
        <w:footnoteReference w:id="4"/>
      </w:r>
      <w:r w:rsidRPr="568F2CB0" w:rsidR="00663C7C">
        <w:rPr>
          <w:rFonts w:eastAsia="Calibri"/>
          <w:i/>
          <w:iCs/>
          <w:snapToGrid/>
          <w:kern w:val="0"/>
        </w:rPr>
        <w:t xml:space="preserve"> </w:t>
      </w:r>
      <w:r w:rsidRPr="671CB5FD" w:rsidR="00527123">
        <w:rPr>
          <w:rFonts w:eastAsia="Calibri"/>
          <w:snapToGrid/>
          <w:kern w:val="0"/>
        </w:rPr>
        <w:t>and</w:t>
      </w:r>
      <w:r w:rsidRPr="671CB5FD" w:rsidR="00663C7C">
        <w:rPr>
          <w:rFonts w:eastAsia="Calibri"/>
          <w:snapToGrid/>
          <w:kern w:val="0"/>
        </w:rPr>
        <w:t xml:space="preserve"> the guidance that </w:t>
      </w:r>
      <w:r w:rsidRPr="671CB5FD" w:rsidR="001E4FE6">
        <w:rPr>
          <w:rFonts w:eastAsia="Calibri"/>
          <w:snapToGrid/>
          <w:kern w:val="0"/>
        </w:rPr>
        <w:t>the Bureau</w:t>
      </w:r>
      <w:r w:rsidR="00666A9E">
        <w:rPr>
          <w:rFonts w:eastAsia="Calibri"/>
          <w:snapToGrid/>
          <w:kern w:val="0"/>
        </w:rPr>
        <w:t>,</w:t>
      </w:r>
      <w:r w:rsidRPr="671CB5FD" w:rsidR="001E4FE6">
        <w:rPr>
          <w:rFonts w:eastAsia="Calibri"/>
          <w:snapToGrid/>
          <w:kern w:val="0"/>
        </w:rPr>
        <w:t xml:space="preserve"> in conjunction </w:t>
      </w:r>
      <w:r w:rsidRPr="671CB5FD" w:rsidR="001E4FE6">
        <w:rPr>
          <w:rFonts w:eastAsia="Calibri"/>
          <w:snapToGrid/>
          <w:kern w:val="0"/>
        </w:rPr>
        <w:t>with the Wireless Telecommunications Bureau</w:t>
      </w:r>
      <w:r w:rsidR="00706E35">
        <w:rPr>
          <w:rFonts w:eastAsia="Calibri"/>
          <w:snapToGrid/>
          <w:kern w:val="0"/>
        </w:rPr>
        <w:t xml:space="preserve"> (the Bureaus)</w:t>
      </w:r>
      <w:r w:rsidR="00666A9E">
        <w:rPr>
          <w:rFonts w:eastAsia="Calibri"/>
          <w:snapToGrid/>
          <w:kern w:val="0"/>
        </w:rPr>
        <w:t>,</w:t>
      </w:r>
      <w:r w:rsidRPr="671CB5FD" w:rsidR="00527123">
        <w:rPr>
          <w:rFonts w:eastAsia="Calibri"/>
          <w:snapToGrid/>
          <w:kern w:val="0"/>
        </w:rPr>
        <w:t xml:space="preserve"> provided in a subsequent Public Notice</w:t>
      </w:r>
      <w:r w:rsidR="00706E35">
        <w:rPr>
          <w:rFonts w:eastAsia="Calibri"/>
          <w:snapToGrid/>
          <w:kern w:val="0"/>
        </w:rPr>
        <w:t>,</w:t>
      </w:r>
      <w:r w:rsidR="00ED408F">
        <w:rPr>
          <w:rFonts w:eastAsia="Calibri"/>
          <w:snapToGrid/>
          <w:kern w:val="0"/>
        </w:rPr>
        <w:t xml:space="preserve"> as directed by the Commission</w:t>
      </w:r>
      <w:r w:rsidRPr="671CB5FD" w:rsidR="00527123">
        <w:rPr>
          <w:rFonts w:eastAsia="Calibri"/>
          <w:snapToGrid/>
          <w:kern w:val="0"/>
        </w:rPr>
        <w:t>.</w:t>
      </w:r>
      <w:r>
        <w:rPr>
          <w:rStyle w:val="FootnoteReference"/>
          <w:rFonts w:eastAsia="Calibri"/>
          <w:snapToGrid/>
          <w:kern w:val="0"/>
        </w:rPr>
        <w:footnoteReference w:id="5"/>
      </w:r>
      <w:r w:rsidRPr="671CB5FD" w:rsidR="001E4FE6">
        <w:rPr>
          <w:rFonts w:eastAsia="Calibri"/>
          <w:snapToGrid/>
          <w:kern w:val="0"/>
        </w:rPr>
        <w:t xml:space="preserve"> </w:t>
      </w:r>
      <w:r w:rsidRPr="671CB5FD" w:rsidR="00336E0A">
        <w:rPr>
          <w:rFonts w:eastAsia="Calibri"/>
          <w:snapToGrid/>
          <w:kern w:val="0"/>
        </w:rPr>
        <w:t xml:space="preserve">  </w:t>
      </w:r>
    </w:p>
    <w:p w:rsidR="009C3E49" w:rsidRPr="00841EEE" w:rsidP="007D67D4" w14:paraId="31FD2AD4" w14:textId="0D1D95B7">
      <w:pPr>
        <w:pStyle w:val="ParaNum"/>
        <w:numPr>
          <w:ilvl w:val="0"/>
          <w:numId w:val="0"/>
        </w:numPr>
        <w:tabs>
          <w:tab w:val="left" w:pos="720"/>
        </w:tabs>
      </w:pPr>
      <w:r>
        <w:rPr>
          <w:rFonts w:eastAsia="Calibri"/>
          <w:b/>
          <w:bCs/>
          <w:i/>
          <w:iCs/>
          <w:snapToGrid/>
          <w:kern w:val="0"/>
        </w:rPr>
        <w:tab/>
      </w:r>
      <w:r w:rsidRPr="568F2CB0" w:rsidR="007D3133">
        <w:rPr>
          <w:rFonts w:eastAsia="Calibri"/>
          <w:b/>
          <w:bCs/>
          <w:i/>
          <w:iCs/>
          <w:snapToGrid/>
          <w:kern w:val="0"/>
        </w:rPr>
        <w:t>Guidance PN</w:t>
      </w:r>
      <w:r w:rsidR="007D3133">
        <w:rPr>
          <w:rFonts w:eastAsia="Calibri"/>
          <w:snapToGrid/>
          <w:kern w:val="0"/>
        </w:rPr>
        <w:t xml:space="preserve">.  </w:t>
      </w:r>
      <w:r w:rsidRPr="568F2CB0" w:rsidR="001F1CC4">
        <w:t xml:space="preserve">Based on the decisions in the </w:t>
      </w:r>
      <w:r w:rsidRPr="568F2CB0" w:rsidR="001F1CC4">
        <w:rPr>
          <w:i/>
          <w:iCs/>
        </w:rPr>
        <w:t>5.9 GHz First Report and Order</w:t>
      </w:r>
      <w:r w:rsidRPr="568F2CB0" w:rsidR="001F1CC4">
        <w:t xml:space="preserve">, and until the Commission renders a decision on the rule changes proposed in the </w:t>
      </w:r>
      <w:r w:rsidRPr="568F2CB0" w:rsidR="001F1CC4">
        <w:rPr>
          <w:i/>
          <w:iCs/>
        </w:rPr>
        <w:t>Further Notice of Proposed Rulemaking</w:t>
      </w:r>
      <w:r w:rsidRPr="568F2CB0" w:rsidR="001F1CC4">
        <w:t xml:space="preserve">, the Commission stated that it will permit any existing or future part 90 </w:t>
      </w:r>
      <w:r w:rsidRPr="568F2CB0" w:rsidR="00D154FA">
        <w:t>intelligent transportation system (</w:t>
      </w:r>
      <w:r w:rsidRPr="568F2CB0" w:rsidR="001F1CC4">
        <w:t>ITS</w:t>
      </w:r>
      <w:r w:rsidRPr="00380560" w:rsidR="00D154FA">
        <w:rPr>
          <w:szCs w:val="24"/>
        </w:rPr>
        <w:t>)</w:t>
      </w:r>
      <w:r w:rsidRPr="568F2CB0" w:rsidR="001F1CC4">
        <w:t xml:space="preserve"> licensee to operate C-V2X-based roadside units in the 5.895-5.925 GHz band within their geographic licensing areas by requesting and obtaining a waiver of the Commission’s rules, subject to specific conditions</w:t>
      </w:r>
      <w:r w:rsidR="00ED408F">
        <w:t xml:space="preserve">.  </w:t>
      </w:r>
      <w:r w:rsidRPr="568F2CB0" w:rsidR="00A0329F">
        <w:t xml:space="preserve">On August 6, 2021, the Bureaus jointly issued </w:t>
      </w:r>
      <w:r w:rsidR="00F87E05">
        <w:t xml:space="preserve">the </w:t>
      </w:r>
      <w:r w:rsidRPr="007D67D4" w:rsidR="00F87E05">
        <w:rPr>
          <w:i/>
          <w:iCs/>
        </w:rPr>
        <w:t>G</w:t>
      </w:r>
      <w:r w:rsidRPr="007D67D4" w:rsidR="00A0329F">
        <w:rPr>
          <w:i/>
          <w:iCs/>
        </w:rPr>
        <w:t>uidance</w:t>
      </w:r>
      <w:r w:rsidRPr="007D67D4" w:rsidR="00F87E05">
        <w:rPr>
          <w:i/>
          <w:iCs/>
        </w:rPr>
        <w:t xml:space="preserve"> PN</w:t>
      </w:r>
      <w:r w:rsidRPr="568F2CB0" w:rsidR="00A0329F">
        <w:t xml:space="preserve"> </w:t>
      </w:r>
      <w:r>
        <w:t>detailing the process for such waiver applicants</w:t>
      </w:r>
      <w:r w:rsidR="00706E35">
        <w:t>,</w:t>
      </w:r>
      <w:r>
        <w:t xml:space="preserve"> and providing additional information regarding further waivers that may be required for requesting early deployment of certain other C-V2X</w:t>
      </w:r>
      <w:r w:rsidR="00706E35">
        <w:t xml:space="preserve"> </w:t>
      </w:r>
      <w:r>
        <w:t>operations, and the equipment certification process for C-V2X equipment.</w:t>
      </w:r>
      <w:r w:rsidRPr="568F2CB0">
        <w:t xml:space="preserve"> </w:t>
      </w:r>
    </w:p>
    <w:p w:rsidR="00A17D71" w:rsidP="00336E0A" w14:paraId="4A5F1990" w14:textId="682E39F8">
      <w:pPr>
        <w:pStyle w:val="ParaNum"/>
        <w:numPr>
          <w:ilvl w:val="0"/>
          <w:numId w:val="0"/>
        </w:numPr>
        <w:ind w:firstLine="720"/>
        <w:rPr>
          <w:szCs w:val="22"/>
        </w:rPr>
      </w:pPr>
      <w:r w:rsidRPr="00841EEE">
        <w:rPr>
          <w:rFonts w:eastAsia="Calibri"/>
          <w:b/>
          <w:bCs/>
          <w:i/>
          <w:iCs/>
          <w:snapToGrid/>
          <w:kern w:val="0"/>
          <w:szCs w:val="22"/>
        </w:rPr>
        <w:t>Streamlined Waiver Process</w:t>
      </w:r>
      <w:r>
        <w:rPr>
          <w:rFonts w:eastAsia="Calibri"/>
          <w:b/>
          <w:bCs/>
          <w:i/>
          <w:iCs/>
          <w:snapToGrid/>
          <w:kern w:val="0"/>
          <w:szCs w:val="22"/>
        </w:rPr>
        <w:t xml:space="preserve"> for Part 90 Licensees</w:t>
      </w:r>
      <w:r w:rsidRPr="00841EEE">
        <w:rPr>
          <w:rFonts w:eastAsia="Calibri"/>
          <w:b/>
          <w:bCs/>
          <w:i/>
          <w:iCs/>
          <w:snapToGrid/>
          <w:kern w:val="0"/>
          <w:szCs w:val="22"/>
        </w:rPr>
        <w:t>.</w:t>
      </w:r>
      <w:r>
        <w:rPr>
          <w:rFonts w:eastAsia="Calibri"/>
          <w:snapToGrid/>
          <w:kern w:val="0"/>
          <w:szCs w:val="22"/>
        </w:rPr>
        <w:t xml:space="preserve">  </w:t>
      </w:r>
      <w:r w:rsidR="009C3E49">
        <w:rPr>
          <w:rFonts w:eastAsia="Calibri"/>
          <w:snapToGrid/>
          <w:kern w:val="0"/>
          <w:szCs w:val="22"/>
        </w:rPr>
        <w:t xml:space="preserve">In the </w:t>
      </w:r>
      <w:r w:rsidR="009C3E49">
        <w:rPr>
          <w:rFonts w:eastAsia="Calibri"/>
          <w:i/>
          <w:iCs/>
          <w:snapToGrid/>
          <w:kern w:val="0"/>
          <w:szCs w:val="22"/>
        </w:rPr>
        <w:t>Guidance PN</w:t>
      </w:r>
      <w:r w:rsidR="00937E3A">
        <w:rPr>
          <w:rFonts w:eastAsia="Calibri"/>
          <w:i/>
          <w:iCs/>
          <w:snapToGrid/>
          <w:kern w:val="0"/>
          <w:szCs w:val="22"/>
        </w:rPr>
        <w:t xml:space="preserve">, </w:t>
      </w:r>
      <w:r w:rsidRPr="00937E3A" w:rsidR="00937E3A">
        <w:rPr>
          <w:rFonts w:eastAsia="Calibri"/>
          <w:snapToGrid/>
          <w:kern w:val="0"/>
          <w:szCs w:val="22"/>
        </w:rPr>
        <w:t>the Bureaus</w:t>
      </w:r>
      <w:r w:rsidR="00937E3A">
        <w:rPr>
          <w:szCs w:val="22"/>
        </w:rPr>
        <w:t xml:space="preserve"> </w:t>
      </w:r>
      <w:r w:rsidR="00CB29CE">
        <w:rPr>
          <w:szCs w:val="22"/>
        </w:rPr>
        <w:t>stated</w:t>
      </w:r>
      <w:r w:rsidR="00937E3A">
        <w:rPr>
          <w:szCs w:val="22"/>
        </w:rPr>
        <w:t xml:space="preserve"> </w:t>
      </w:r>
      <w:r w:rsidR="00937E3A">
        <w:rPr>
          <w:i/>
          <w:iCs/>
          <w:szCs w:val="22"/>
        </w:rPr>
        <w:t>inter alia,</w:t>
      </w:r>
      <w:r w:rsidR="00937E3A">
        <w:rPr>
          <w:szCs w:val="22"/>
        </w:rPr>
        <w:t xml:space="preserve"> </w:t>
      </w:r>
      <w:bookmarkStart w:id="3" w:name="_Hlk79069054"/>
      <w:r w:rsidR="00CB29CE">
        <w:rPr>
          <w:szCs w:val="22"/>
        </w:rPr>
        <w:t xml:space="preserve">that in </w:t>
      </w:r>
      <w:r w:rsidR="00D32CA8">
        <w:rPr>
          <w:szCs w:val="22"/>
        </w:rPr>
        <w:t xml:space="preserve">order to </w:t>
      </w:r>
      <w:r w:rsidR="00706E35">
        <w:rPr>
          <w:szCs w:val="22"/>
        </w:rPr>
        <w:t xml:space="preserve">receive </w:t>
      </w:r>
      <w:r w:rsidR="00D32CA8">
        <w:rPr>
          <w:szCs w:val="22"/>
        </w:rPr>
        <w:t>streamline</w:t>
      </w:r>
      <w:r w:rsidR="00706E35">
        <w:rPr>
          <w:szCs w:val="22"/>
        </w:rPr>
        <w:t>d</w:t>
      </w:r>
      <w:r w:rsidR="00D32CA8">
        <w:rPr>
          <w:szCs w:val="22"/>
        </w:rPr>
        <w:t xml:space="preserve"> consideration</w:t>
      </w:r>
      <w:r w:rsidR="000E5198">
        <w:rPr>
          <w:szCs w:val="22"/>
        </w:rPr>
        <w:t xml:space="preserve"> of</w:t>
      </w:r>
      <w:r w:rsidR="00D32CA8">
        <w:rPr>
          <w:szCs w:val="22"/>
        </w:rPr>
        <w:t xml:space="preserve"> </w:t>
      </w:r>
      <w:r w:rsidR="00706E35">
        <w:rPr>
          <w:szCs w:val="22"/>
        </w:rPr>
        <w:t>a</w:t>
      </w:r>
      <w:r w:rsidR="00D32CA8">
        <w:rPr>
          <w:szCs w:val="22"/>
        </w:rPr>
        <w:t xml:space="preserve"> waiver request</w:t>
      </w:r>
      <w:r w:rsidR="00C3785B">
        <w:rPr>
          <w:szCs w:val="22"/>
        </w:rPr>
        <w:t xml:space="preserve">, </w:t>
      </w:r>
      <w:r w:rsidR="00706E35">
        <w:rPr>
          <w:szCs w:val="22"/>
        </w:rPr>
        <w:t xml:space="preserve">consistent with </w:t>
      </w:r>
      <w:r w:rsidR="008C463D">
        <w:rPr>
          <w:szCs w:val="22"/>
        </w:rPr>
        <w:t>S</w:t>
      </w:r>
      <w:r w:rsidR="00D32CA8">
        <w:rPr>
          <w:szCs w:val="22"/>
        </w:rPr>
        <w:t>ection 1.925</w:t>
      </w:r>
      <w:r w:rsidR="00706E35">
        <w:rPr>
          <w:szCs w:val="22"/>
        </w:rPr>
        <w:t xml:space="preserve"> of the </w:t>
      </w:r>
      <w:r w:rsidRPr="001232A6" w:rsidR="00D32CA8">
        <w:rPr>
          <w:szCs w:val="22"/>
        </w:rPr>
        <w:t xml:space="preserve">Commission’s </w:t>
      </w:r>
      <w:r w:rsidR="00706E35">
        <w:rPr>
          <w:szCs w:val="22"/>
        </w:rPr>
        <w:t>rules</w:t>
      </w:r>
      <w:r w:rsidRPr="001232A6" w:rsidR="00D32CA8">
        <w:rPr>
          <w:szCs w:val="22"/>
        </w:rPr>
        <w:t>,</w:t>
      </w:r>
      <w:r>
        <w:rPr>
          <w:rStyle w:val="FootnoteReference"/>
          <w:szCs w:val="22"/>
        </w:rPr>
        <w:footnoteReference w:id="6"/>
      </w:r>
      <w:r w:rsidRPr="001232A6" w:rsidR="00D32CA8">
        <w:rPr>
          <w:szCs w:val="22"/>
        </w:rPr>
        <w:t xml:space="preserve"> </w:t>
      </w:r>
      <w:r w:rsidR="007D67D4">
        <w:rPr>
          <w:szCs w:val="22"/>
        </w:rPr>
        <w:t xml:space="preserve">applicants would need to provide </w:t>
      </w:r>
      <w:r w:rsidR="00D32CA8">
        <w:rPr>
          <w:szCs w:val="22"/>
        </w:rPr>
        <w:t>the following certifications</w:t>
      </w:r>
      <w:r w:rsidRPr="001232A6" w:rsidR="00D32CA8">
        <w:rPr>
          <w:szCs w:val="22"/>
        </w:rPr>
        <w:t xml:space="preserve">:  </w:t>
      </w:r>
      <w:bookmarkEnd w:id="3"/>
    </w:p>
    <w:p w:rsidR="00A12E22" w:rsidP="00841EEE" w14:paraId="594B4195" w14:textId="2CB472F9">
      <w:pPr>
        <w:pStyle w:val="ParaNum"/>
        <w:numPr>
          <w:ilvl w:val="0"/>
          <w:numId w:val="0"/>
        </w:numPr>
        <w:ind w:left="720"/>
        <w:rPr>
          <w:szCs w:val="22"/>
        </w:rPr>
      </w:pPr>
      <w:r w:rsidRPr="001232A6">
        <w:rPr>
          <w:szCs w:val="22"/>
        </w:rPr>
        <w:t xml:space="preserve">(1) </w:t>
      </w:r>
      <w:r>
        <w:rPr>
          <w:szCs w:val="22"/>
        </w:rPr>
        <w:t xml:space="preserve">a certification that </w:t>
      </w:r>
      <w:r w:rsidRPr="001232A6">
        <w:rPr>
          <w:szCs w:val="22"/>
        </w:rPr>
        <w:t xml:space="preserve">there are </w:t>
      </w:r>
      <w:r>
        <w:rPr>
          <w:szCs w:val="22"/>
        </w:rPr>
        <w:t xml:space="preserve">no </w:t>
      </w:r>
      <w:r w:rsidRPr="001232A6">
        <w:rPr>
          <w:szCs w:val="22"/>
        </w:rPr>
        <w:t>existing ITS licensees authorized to operate within the same geographic area in which the waiver applicant seeks to operate,</w:t>
      </w:r>
      <w:r>
        <w:rPr>
          <w:szCs w:val="22"/>
        </w:rPr>
        <w:t xml:space="preserve"> OR certification that</w:t>
      </w:r>
      <w:r w:rsidRPr="001232A6">
        <w:rPr>
          <w:szCs w:val="22"/>
        </w:rPr>
        <w:t xml:space="preserve"> the waiver applicant has coordinated with every</w:t>
      </w:r>
      <w:r>
        <w:rPr>
          <w:szCs w:val="22"/>
        </w:rPr>
        <w:t xml:space="preserve"> </w:t>
      </w:r>
      <w:r w:rsidRPr="001232A6">
        <w:rPr>
          <w:szCs w:val="22"/>
        </w:rPr>
        <w:t xml:space="preserve">existing ITS licensee licensed (in whole or part) within that same geographic area </w:t>
      </w:r>
      <w:r>
        <w:rPr>
          <w:szCs w:val="22"/>
        </w:rPr>
        <w:t xml:space="preserve">to ensure </w:t>
      </w:r>
      <w:r w:rsidRPr="001232A6">
        <w:rPr>
          <w:szCs w:val="22"/>
        </w:rPr>
        <w:t xml:space="preserve">that the waiver applicant’s C-V2X-based roadside unit operations will not interfere with any </w:t>
      </w:r>
      <w:r w:rsidR="005641E6">
        <w:rPr>
          <w:szCs w:val="22"/>
        </w:rPr>
        <w:t>Dedicated Short Range Communications (</w:t>
      </w:r>
      <w:r w:rsidRPr="001232A6">
        <w:rPr>
          <w:szCs w:val="22"/>
        </w:rPr>
        <w:t>DSRC</w:t>
      </w:r>
      <w:r w:rsidR="005641E6">
        <w:rPr>
          <w:szCs w:val="22"/>
        </w:rPr>
        <w:t>)</w:t>
      </w:r>
      <w:r w:rsidRPr="001232A6">
        <w:rPr>
          <w:szCs w:val="22"/>
        </w:rPr>
        <w:t>-based roadside units operating in the 5.895-5.925 GHz band;</w:t>
      </w:r>
      <w:r>
        <w:rPr>
          <w:rStyle w:val="FootnoteReference"/>
          <w:sz w:val="24"/>
          <w:szCs w:val="24"/>
        </w:rPr>
        <w:footnoteReference w:id="7"/>
      </w:r>
      <w:r w:rsidRPr="001232A6">
        <w:rPr>
          <w:szCs w:val="22"/>
        </w:rPr>
        <w:t xml:space="preserve"> </w:t>
      </w:r>
    </w:p>
    <w:p w:rsidR="00A12E22" w:rsidP="00841EEE" w14:paraId="5C9A3CA8" w14:textId="135A2A9A">
      <w:pPr>
        <w:pStyle w:val="ParaNum"/>
        <w:numPr>
          <w:ilvl w:val="0"/>
          <w:numId w:val="0"/>
        </w:numPr>
        <w:ind w:left="720"/>
        <w:rPr>
          <w:szCs w:val="22"/>
        </w:rPr>
      </w:pPr>
      <w:r w:rsidRPr="001232A6">
        <w:rPr>
          <w:szCs w:val="22"/>
        </w:rPr>
        <w:t xml:space="preserve">(2) </w:t>
      </w:r>
      <w:r w:rsidRPr="000122B7">
        <w:rPr>
          <w:szCs w:val="22"/>
        </w:rPr>
        <w:t>a certification that</w:t>
      </w:r>
      <w:r w:rsidRPr="001232A6">
        <w:rPr>
          <w:szCs w:val="22"/>
        </w:rPr>
        <w:t xml:space="preserve"> the waiver applicant’s C-V2X operations will comply with the existing technical rules (e.g., including, but not limited to, power and out-of-band emission limits)</w:t>
      </w:r>
      <w:r>
        <w:rPr>
          <w:szCs w:val="22"/>
        </w:rPr>
        <w:t xml:space="preserve"> for DSRC-based technologies</w:t>
      </w:r>
      <w:r w:rsidRPr="001232A6">
        <w:rPr>
          <w:szCs w:val="22"/>
        </w:rPr>
        <w:t xml:space="preserve"> other than the portion of the current rules requiring use of DSRC-based technologies; </w:t>
      </w:r>
    </w:p>
    <w:p w:rsidR="003E11B4" w:rsidP="00841EEE" w14:paraId="30847977" w14:textId="77777777">
      <w:pPr>
        <w:pStyle w:val="ParaNum"/>
        <w:numPr>
          <w:ilvl w:val="0"/>
          <w:numId w:val="0"/>
        </w:numPr>
        <w:ind w:left="720"/>
        <w:rPr>
          <w:szCs w:val="22"/>
        </w:rPr>
      </w:pPr>
      <w:r w:rsidRPr="001232A6">
        <w:rPr>
          <w:szCs w:val="22"/>
        </w:rPr>
        <w:t xml:space="preserve">(3) </w:t>
      </w:r>
      <w:r w:rsidRPr="000122B7">
        <w:rPr>
          <w:szCs w:val="22"/>
        </w:rPr>
        <w:t>a certification that</w:t>
      </w:r>
      <w:r w:rsidRPr="001232A6">
        <w:rPr>
          <w:szCs w:val="22"/>
        </w:rPr>
        <w:t xml:space="preserve"> the applicant’s operations will be revised to the extent necessary to comply with any final rules that the Commission adopts for C-V2X operations; and </w:t>
      </w:r>
    </w:p>
    <w:p w:rsidR="00A12E22" w:rsidP="00841EEE" w14:paraId="46E86260" w14:textId="65349502">
      <w:pPr>
        <w:pStyle w:val="ParaNum"/>
        <w:numPr>
          <w:ilvl w:val="0"/>
          <w:numId w:val="0"/>
        </w:numPr>
        <w:ind w:left="720"/>
        <w:rPr>
          <w:szCs w:val="22"/>
        </w:rPr>
      </w:pPr>
      <w:r w:rsidRPr="001232A6">
        <w:rPr>
          <w:szCs w:val="22"/>
        </w:rPr>
        <w:t xml:space="preserve">(4) </w:t>
      </w:r>
      <w:r w:rsidRPr="000122B7">
        <w:rPr>
          <w:szCs w:val="22"/>
        </w:rPr>
        <w:t>a certification that</w:t>
      </w:r>
      <w:r>
        <w:rPr>
          <w:szCs w:val="22"/>
        </w:rPr>
        <w:t xml:space="preserve"> the applicant’s</w:t>
      </w:r>
      <w:r w:rsidRPr="001232A6">
        <w:rPr>
          <w:szCs w:val="22"/>
        </w:rPr>
        <w:t xml:space="preserve"> C-V2X operations will be limited to transportation and vehicle safety-related communications.</w:t>
      </w:r>
      <w:r>
        <w:rPr>
          <w:rStyle w:val="FootnoteReference"/>
          <w:szCs w:val="22"/>
        </w:rPr>
        <w:footnoteReference w:id="8"/>
      </w:r>
    </w:p>
    <w:p w:rsidR="00E52080" w:rsidP="00336E0A" w14:paraId="4341F3A6" w14:textId="6CD0FEDF">
      <w:pPr>
        <w:pStyle w:val="ParaNum"/>
        <w:numPr>
          <w:ilvl w:val="0"/>
          <w:numId w:val="0"/>
        </w:numPr>
        <w:ind w:firstLine="720"/>
        <w:rPr>
          <w:szCs w:val="22"/>
        </w:rPr>
      </w:pPr>
      <w:r w:rsidRPr="00841EEE">
        <w:rPr>
          <w:b/>
          <w:bCs/>
          <w:i/>
          <w:iCs/>
          <w:szCs w:val="22"/>
        </w:rPr>
        <w:t>General Waiver Process for Part 90 Licensees.</w:t>
      </w:r>
      <w:r>
        <w:rPr>
          <w:szCs w:val="22"/>
        </w:rPr>
        <w:t xml:space="preserve">  </w:t>
      </w:r>
      <w:r w:rsidR="00AB6D97">
        <w:rPr>
          <w:szCs w:val="22"/>
        </w:rPr>
        <w:t xml:space="preserve">Regarding licensees unable to satisfy the streamlined waiver process, in the </w:t>
      </w:r>
      <w:r w:rsidRPr="00841EEE" w:rsidR="00AB6D97">
        <w:rPr>
          <w:i/>
          <w:iCs/>
          <w:szCs w:val="22"/>
        </w:rPr>
        <w:t>Guidance PN</w:t>
      </w:r>
      <w:r w:rsidR="00AB6D97">
        <w:rPr>
          <w:szCs w:val="22"/>
        </w:rPr>
        <w:t xml:space="preserve">, </w:t>
      </w:r>
      <w:r w:rsidR="003E11B4">
        <w:rPr>
          <w:szCs w:val="22"/>
        </w:rPr>
        <w:t xml:space="preserve">the Bureaus </w:t>
      </w:r>
      <w:r w:rsidR="003F7173">
        <w:rPr>
          <w:szCs w:val="22"/>
        </w:rPr>
        <w:t xml:space="preserve">stated that:  </w:t>
      </w:r>
    </w:p>
    <w:p w:rsidR="004865C6" w14:paraId="49BA159B" w14:textId="135D0750">
      <w:pPr>
        <w:pStyle w:val="ParaNum"/>
        <w:numPr>
          <w:ilvl w:val="0"/>
          <w:numId w:val="0"/>
        </w:numPr>
        <w:ind w:left="720" w:right="720"/>
        <w:rPr>
          <w:szCs w:val="22"/>
        </w:rPr>
      </w:pPr>
      <w:r>
        <w:rPr>
          <w:szCs w:val="22"/>
        </w:rPr>
        <w:t>“</w:t>
      </w:r>
      <w:r w:rsidRPr="568F2CB0">
        <w:t xml:space="preserve">If an ITS waiver applicant that seeks authority to operate C-V2X-based roadside units or on-board units in the 5.895-5.925 GHz band is unable to comply with the existing ITS technical rules found in 47 CFR §§ 90.371 – 90.383 or 47 CFR §§ 95.3167-95.3189, respectively, they should include in their general waiver request the certifications from the streamlined waiver process outlined in this PN that they are unable to meet, the specific existing rules that they are unable to comply with, along with a specific proposal </w:t>
      </w:r>
      <w:r w:rsidRPr="568F2CB0">
        <w:t>of the technical specifications they seek to use instead, and an explanation of why a waiver is warranted under Section 1.925.  To facilitate granting of qualifying waiver requests, and in light of the alternate technical specifications proposed in their waiver, we would generally expect the ITS waiver applicant to include a demonstration showing that their requested waiver would not cause a greater potential for interference to other users operating in the 5.895-5.925 GHz band than DSRC-based operations in this band, and otherwise to address how the public interest would be served by such a waiver under Section 1.925.  Based on the proposed change in technical parameters, the waiver request should also address any conditions (e.g., coordination zone radius, per 47 CFR § 90.371(b)) necessary to protect Federal Government Relocation Services.</w:t>
      </w:r>
      <w:r>
        <w:rPr>
          <w:szCs w:val="22"/>
        </w:rPr>
        <w:t>”</w:t>
      </w:r>
      <w:r>
        <w:rPr>
          <w:rStyle w:val="FootnoteReference"/>
        </w:rPr>
        <w:footnoteReference w:id="9"/>
      </w:r>
    </w:p>
    <w:p w:rsidR="00747C7C" w:rsidP="00534A30" w14:paraId="672781ED" w14:textId="6E1D7234">
      <w:pPr>
        <w:pStyle w:val="ParaNum"/>
        <w:numPr>
          <w:ilvl w:val="0"/>
          <w:numId w:val="0"/>
        </w:numPr>
        <w:ind w:firstLine="720"/>
      </w:pPr>
      <w:r>
        <w:rPr>
          <w:b/>
          <w:bCs/>
          <w:i/>
          <w:iCs/>
        </w:rPr>
        <w:t>Equipment Certification</w:t>
      </w:r>
      <w:r w:rsidR="00CB378A">
        <w:rPr>
          <w:b/>
          <w:bCs/>
          <w:i/>
          <w:iCs/>
        </w:rPr>
        <w:t xml:space="preserve"> Guidance.  </w:t>
      </w:r>
      <w:r w:rsidRPr="008377EB" w:rsidR="00CB378A">
        <w:t>The Bureau</w:t>
      </w:r>
      <w:r w:rsidR="00436253">
        <w:t>s’</w:t>
      </w:r>
      <w:r w:rsidRPr="008377EB" w:rsidR="00CB378A">
        <w:t xml:space="preserve"> </w:t>
      </w:r>
      <w:r w:rsidRPr="008377EB" w:rsidR="00CB378A">
        <w:rPr>
          <w:i/>
          <w:iCs/>
        </w:rPr>
        <w:t>Guidance PN</w:t>
      </w:r>
      <w:r w:rsidR="00CB378A">
        <w:t xml:space="preserve"> discussed the need for additional waivers of the </w:t>
      </w:r>
      <w:r w:rsidR="009569C3">
        <w:t xml:space="preserve">FCC’s equipment authorization rules to allow </w:t>
      </w:r>
      <w:r w:rsidR="0087343E">
        <w:t xml:space="preserve">for C-V2X on-board units.  As noted in the </w:t>
      </w:r>
      <w:r w:rsidRPr="008377EB" w:rsidR="0087343E">
        <w:rPr>
          <w:i/>
          <w:iCs/>
        </w:rPr>
        <w:t>Guidance PN</w:t>
      </w:r>
      <w:r w:rsidR="00BD78EA">
        <w:t xml:space="preserve">, the applicant for equipment certification </w:t>
      </w:r>
      <w:r w:rsidR="00F25E04">
        <w:t>should identify the</w:t>
      </w:r>
      <w:r w:rsidR="00F86950">
        <w:t xml:space="preserve"> </w:t>
      </w:r>
      <w:r w:rsidR="00F25E04">
        <w:t>specific technical requirements that the C-V2X equipment would meet.</w:t>
      </w:r>
      <w:r w:rsidR="00264BB4">
        <w:t xml:space="preserve">  In </w:t>
      </w:r>
      <w:r w:rsidR="0023173E">
        <w:t xml:space="preserve">the </w:t>
      </w:r>
      <w:r w:rsidRPr="008377EB" w:rsidR="0023173E">
        <w:rPr>
          <w:i/>
          <w:iCs/>
        </w:rPr>
        <w:t>Guidance PN</w:t>
      </w:r>
      <w:r w:rsidR="003C324A">
        <w:t>, the Bureaus said:</w:t>
      </w:r>
    </w:p>
    <w:p w:rsidR="004516BD" w:rsidP="008377EB" w14:paraId="078D3EAF" w14:textId="091733B6">
      <w:pPr>
        <w:pStyle w:val="ParaNum"/>
        <w:numPr>
          <w:ilvl w:val="0"/>
          <w:numId w:val="0"/>
        </w:numPr>
        <w:ind w:left="720"/>
        <w:rPr>
          <w:b/>
          <w:bCs/>
          <w:i/>
          <w:iCs/>
        </w:rPr>
      </w:pPr>
      <w:r>
        <w:t>“</w:t>
      </w:r>
      <w:r w:rsidR="003C324A">
        <w:t xml:space="preserve">The applicant for equipment certification should identify the specific technical requirements that the C-V2X equipment would meet, </w:t>
      </w:r>
      <w:r>
        <w:t>and explain how those specific technical requirements would be consistent with the associated waiver(s) granted for operation of C-V2X systems in the 5.895-5.925 GHz band. To the extent that the request for waiver of equipment authorization rules to authorize C-V2X-based roadside units or on-board units differs in any respect from the technical rules specified in the Part 90 or Part 95 waiver(s), the application for waiver may require more extensive review, consistent with current practice relating to waiver of equipment authorization rules</w:t>
      </w:r>
      <w:r w:rsidR="003C324A">
        <w:t>.</w:t>
      </w:r>
      <w:r>
        <w:t>”</w:t>
      </w:r>
      <w:r>
        <w:rPr>
          <w:rStyle w:val="FootnoteReference"/>
          <w:rFonts w:eastAsia="Calibri"/>
          <w:snapToGrid/>
          <w:kern w:val="0"/>
        </w:rPr>
        <w:footnoteReference w:id="10"/>
      </w:r>
      <w:r w:rsidR="007B3018">
        <w:rPr>
          <w:rFonts w:eastAsia="Calibri"/>
          <w:snapToGrid/>
          <w:kern w:val="0"/>
        </w:rPr>
        <w:t xml:space="preserve">  </w:t>
      </w:r>
      <w:r w:rsidR="00641C1F">
        <w:t xml:space="preserve"> </w:t>
      </w:r>
      <w:r>
        <w:rPr>
          <w:b/>
          <w:bCs/>
          <w:i/>
          <w:iCs/>
        </w:rPr>
        <w:t xml:space="preserve"> </w:t>
      </w:r>
    </w:p>
    <w:p w:rsidR="00375BB5" w:rsidP="00375BB5" w14:paraId="489AC49A" w14:textId="2396A622">
      <w:pPr>
        <w:pStyle w:val="ParaNum"/>
        <w:numPr>
          <w:ilvl w:val="0"/>
          <w:numId w:val="0"/>
        </w:numPr>
        <w:ind w:firstLine="720"/>
      </w:pPr>
      <w:r>
        <w:rPr>
          <w:b/>
          <w:bCs/>
          <w:i/>
          <w:iCs/>
        </w:rPr>
        <w:t xml:space="preserve">The </w:t>
      </w:r>
      <w:r w:rsidR="00F4772B">
        <w:rPr>
          <w:b/>
          <w:bCs/>
          <w:i/>
          <w:iCs/>
        </w:rPr>
        <w:t xml:space="preserve">Waiver Requests and Supplemental Information.  </w:t>
      </w:r>
      <w:r w:rsidR="00F4772B">
        <w:t xml:space="preserve">As noted above, </w:t>
      </w:r>
      <w:r w:rsidR="00220906">
        <w:t xml:space="preserve">the </w:t>
      </w:r>
      <w:r w:rsidR="00242CF9">
        <w:t xml:space="preserve">respective </w:t>
      </w:r>
      <w:r w:rsidR="00A60C63">
        <w:t>s</w:t>
      </w:r>
      <w:r w:rsidR="00220906">
        <w:t xml:space="preserve">tate </w:t>
      </w:r>
      <w:r w:rsidR="003A6642">
        <w:t>entities</w:t>
      </w:r>
      <w:r w:rsidR="00A55E6E">
        <w:t xml:space="preserve"> each filed an initial request for waiver</w:t>
      </w:r>
      <w:r w:rsidR="00DC268D">
        <w:t>, and each has subsequently supplemented its request</w:t>
      </w:r>
      <w:r w:rsidR="00596D14">
        <w:t xml:space="preserve"> with additional information in support of their requests.  </w:t>
      </w:r>
      <w:r w:rsidR="002E498E">
        <w:t xml:space="preserve">Commenters should review each of these requests and supplemental materials </w:t>
      </w:r>
      <w:r w:rsidR="00DC7843">
        <w:t xml:space="preserve">for purposes of commenting.  Among other things, each </w:t>
      </w:r>
      <w:r w:rsidR="00D37AD8">
        <w:t>s</w:t>
      </w:r>
      <w:r w:rsidR="00DC7843">
        <w:t xml:space="preserve">tate has provided </w:t>
      </w:r>
      <w:r w:rsidR="00851EE9">
        <w:t xml:space="preserve">particular </w:t>
      </w:r>
      <w:r w:rsidR="009C5D2E">
        <w:t xml:space="preserve">technical information on </w:t>
      </w:r>
      <w:r w:rsidR="00851EE9">
        <w:t>its proposed C-V</w:t>
      </w:r>
      <w:r w:rsidR="00200343">
        <w:t xml:space="preserve">2X operations.  We </w:t>
      </w:r>
      <w:r w:rsidR="004D674B">
        <w:t xml:space="preserve">provide a high-level summary of that </w:t>
      </w:r>
      <w:r w:rsidR="00200343">
        <w:t>information below</w:t>
      </w:r>
      <w:r w:rsidR="00072189">
        <w:t>.</w:t>
      </w:r>
      <w:r w:rsidR="00200343">
        <w:t xml:space="preserve"> </w:t>
      </w:r>
    </w:p>
    <w:p w:rsidR="00375BB5" w:rsidRPr="003A4AE3" w:rsidP="00691ECF" w14:paraId="4E7D6087" w14:textId="77777777">
      <w:pPr>
        <w:spacing w:after="60"/>
        <w:jc w:val="center"/>
        <w:rPr>
          <w:b/>
          <w:bCs/>
        </w:rPr>
      </w:pPr>
      <w:r>
        <w:rPr>
          <w:b/>
          <w:bCs/>
        </w:rPr>
        <w:t>Proposed Technical Specifications in 5.9 GHz Band C-V2X Waiver Requests</w:t>
      </w:r>
    </w:p>
    <w:tbl>
      <w:tblPr>
        <w:tblStyle w:val="TableGrid"/>
        <w:tblW w:w="9355" w:type="dxa"/>
        <w:tblLook w:val="04A0"/>
      </w:tblPr>
      <w:tblGrid>
        <w:gridCol w:w="1402"/>
        <w:gridCol w:w="1563"/>
        <w:gridCol w:w="1440"/>
        <w:gridCol w:w="1710"/>
        <w:gridCol w:w="3240"/>
      </w:tblGrid>
      <w:tr w14:paraId="320B771B" w14:textId="77777777" w:rsidTr="00315191">
        <w:tblPrEx>
          <w:tblW w:w="9355" w:type="dxa"/>
          <w:tblLook w:val="04A0"/>
        </w:tblPrEx>
        <w:tc>
          <w:tcPr>
            <w:tcW w:w="1402" w:type="dxa"/>
          </w:tcPr>
          <w:p w:rsidR="00375BB5" w:rsidRPr="00D16367" w:rsidP="009B5198" w14:paraId="3AED01EC" w14:textId="77777777"/>
        </w:tc>
        <w:tc>
          <w:tcPr>
            <w:tcW w:w="1563" w:type="dxa"/>
          </w:tcPr>
          <w:p w:rsidR="00375BB5" w:rsidP="009B5198" w14:paraId="316F7D46" w14:textId="77777777">
            <w:pPr>
              <w:rPr>
                <w:b/>
                <w:bCs/>
              </w:rPr>
            </w:pPr>
            <w:r>
              <w:rPr>
                <w:b/>
                <w:bCs/>
              </w:rPr>
              <w:t xml:space="preserve">Current </w:t>
            </w:r>
          </w:p>
          <w:p w:rsidR="00375BB5" w:rsidP="009B5198" w14:paraId="1D25A54C" w14:textId="77777777">
            <w:pPr>
              <w:rPr>
                <w:b/>
                <w:bCs/>
              </w:rPr>
            </w:pPr>
            <w:r>
              <w:rPr>
                <w:b/>
                <w:bCs/>
              </w:rPr>
              <w:t xml:space="preserve">5.9 GHz ITS </w:t>
            </w:r>
            <w:r w:rsidRPr="00E652FD">
              <w:rPr>
                <w:b/>
                <w:bCs/>
              </w:rPr>
              <w:t>Requirements</w:t>
            </w:r>
          </w:p>
          <w:p w:rsidR="00375BB5" w:rsidRPr="00E652FD" w:rsidP="009B5198" w14:paraId="4843174C" w14:textId="77777777">
            <w:pPr>
              <w:rPr>
                <w:b/>
                <w:bCs/>
              </w:rPr>
            </w:pPr>
            <w:r>
              <w:rPr>
                <w:b/>
                <w:bCs/>
              </w:rPr>
              <w:t>(Part 90 Subpart M)</w:t>
            </w:r>
          </w:p>
        </w:tc>
        <w:tc>
          <w:tcPr>
            <w:tcW w:w="1440" w:type="dxa"/>
          </w:tcPr>
          <w:p w:rsidR="00375BB5" w:rsidP="009B5198" w14:paraId="50E18B69" w14:textId="77777777">
            <w:pPr>
              <w:rPr>
                <w:b/>
                <w:bCs/>
              </w:rPr>
            </w:pPr>
            <w:r w:rsidRPr="00E652FD">
              <w:rPr>
                <w:b/>
                <w:bCs/>
              </w:rPr>
              <w:t>FL DOT</w:t>
            </w:r>
            <w:r>
              <w:rPr>
                <w:b/>
                <w:bCs/>
              </w:rPr>
              <w:t xml:space="preserve"> Waiver</w:t>
            </w:r>
          </w:p>
          <w:p w:rsidR="00375BB5" w:rsidRPr="00E652FD" w:rsidP="009B5198" w14:paraId="77AE1BF3" w14:textId="77777777">
            <w:pPr>
              <w:rPr>
                <w:b/>
                <w:bCs/>
              </w:rPr>
            </w:pPr>
            <w:r>
              <w:rPr>
                <w:b/>
                <w:bCs/>
              </w:rPr>
              <w:t xml:space="preserve">Request to Deploy 4G-LTE C-V2X (Call Sign WQBS407) </w:t>
            </w:r>
          </w:p>
        </w:tc>
        <w:tc>
          <w:tcPr>
            <w:tcW w:w="1710" w:type="dxa"/>
          </w:tcPr>
          <w:p w:rsidR="00161610" w:rsidP="009B5198" w14:paraId="3F280EB8" w14:textId="77777777">
            <w:pPr>
              <w:rPr>
                <w:b/>
                <w:bCs/>
              </w:rPr>
            </w:pPr>
            <w:r w:rsidRPr="00E652FD">
              <w:rPr>
                <w:b/>
                <w:bCs/>
              </w:rPr>
              <w:t>GA DOT</w:t>
            </w:r>
            <w:r>
              <w:rPr>
                <w:b/>
                <w:bCs/>
              </w:rPr>
              <w:t xml:space="preserve"> Waiver Request to Deploy LTE C-V2X (3GPP Rel. 14) </w:t>
            </w:r>
          </w:p>
          <w:p w:rsidR="00375BB5" w:rsidRPr="00E652FD" w:rsidP="009B5198" w14:paraId="6D732D30" w14:textId="4057E614">
            <w:pPr>
              <w:rPr>
                <w:b/>
                <w:bCs/>
              </w:rPr>
            </w:pPr>
            <w:r>
              <w:rPr>
                <w:b/>
                <w:bCs/>
              </w:rPr>
              <w:t>(</w:t>
            </w:r>
            <w:r>
              <w:rPr>
                <w:b/>
                <w:bCs/>
              </w:rPr>
              <w:t xml:space="preserve">Call </w:t>
            </w:r>
            <w:r w:rsidRPr="00897979">
              <w:rPr>
                <w:rFonts w:ascii="Times New Roman Bold" w:hAnsi="Times New Roman Bold"/>
                <w:b/>
                <w:bCs/>
                <w:sz w:val="20"/>
              </w:rPr>
              <w:t>Sign</w:t>
            </w:r>
            <w:r w:rsidR="00241BD3">
              <w:rPr>
                <w:rFonts w:ascii="Times New Roman Bold" w:hAnsi="Times New Roman Bold"/>
                <w:b/>
                <w:bCs/>
                <w:sz w:val="20"/>
              </w:rPr>
              <w:t xml:space="preserve"> </w:t>
            </w:r>
            <w:r w:rsidRPr="00DD64C9">
              <w:rPr>
                <w:rFonts w:ascii="Times New Roman Bold" w:hAnsi="Times New Roman Bold"/>
                <w:b/>
                <w:bCs/>
                <w:szCs w:val="22"/>
              </w:rPr>
              <w:t>WRAT914</w:t>
            </w:r>
            <w:r>
              <w:rPr>
                <w:b/>
                <w:bCs/>
              </w:rPr>
              <w:t>)</w:t>
            </w:r>
          </w:p>
        </w:tc>
        <w:tc>
          <w:tcPr>
            <w:tcW w:w="3240" w:type="dxa"/>
          </w:tcPr>
          <w:p w:rsidR="00375BB5" w:rsidP="009B5198" w14:paraId="76998AA3" w14:textId="77777777">
            <w:pPr>
              <w:rPr>
                <w:b/>
                <w:bCs/>
              </w:rPr>
            </w:pPr>
            <w:r w:rsidRPr="00E652FD">
              <w:rPr>
                <w:b/>
                <w:bCs/>
              </w:rPr>
              <w:t>MDOT SHA</w:t>
            </w:r>
            <w:r>
              <w:rPr>
                <w:b/>
                <w:bCs/>
              </w:rPr>
              <w:t xml:space="preserve"> Waiver Request to Deploy</w:t>
            </w:r>
          </w:p>
          <w:p w:rsidR="00375BB5" w:rsidP="009B5198" w14:paraId="7B688752" w14:textId="77777777">
            <w:pPr>
              <w:rPr>
                <w:b/>
                <w:bCs/>
              </w:rPr>
            </w:pPr>
            <w:r>
              <w:rPr>
                <w:b/>
                <w:bCs/>
              </w:rPr>
              <w:t>4G-LTE C-V2X</w:t>
            </w:r>
          </w:p>
          <w:p w:rsidR="00375BB5" w:rsidRPr="00E652FD" w:rsidP="009B5198" w14:paraId="741C5B95" w14:textId="7FD775D5">
            <w:pPr>
              <w:rPr>
                <w:b/>
                <w:bCs/>
              </w:rPr>
            </w:pPr>
            <w:r>
              <w:rPr>
                <w:b/>
                <w:bCs/>
              </w:rPr>
              <w:t>(</w:t>
            </w:r>
            <w:r>
              <w:rPr>
                <w:b/>
                <w:bCs/>
              </w:rPr>
              <w:t>Call Sign WRKJ514</w:t>
            </w:r>
            <w:r>
              <w:rPr>
                <w:b/>
                <w:bCs/>
              </w:rPr>
              <w:t>)</w:t>
            </w:r>
          </w:p>
        </w:tc>
      </w:tr>
      <w:tr w14:paraId="42E8DA81" w14:textId="77777777" w:rsidTr="00315191">
        <w:tblPrEx>
          <w:tblW w:w="9355" w:type="dxa"/>
          <w:tblLook w:val="04A0"/>
        </w:tblPrEx>
        <w:tc>
          <w:tcPr>
            <w:tcW w:w="1402" w:type="dxa"/>
          </w:tcPr>
          <w:p w:rsidR="00375BB5" w:rsidP="009B5198" w14:paraId="328C14A1" w14:textId="77777777">
            <w:pPr>
              <w:rPr>
                <w:b/>
                <w:bCs/>
              </w:rPr>
            </w:pPr>
            <w:r>
              <w:rPr>
                <w:b/>
                <w:bCs/>
              </w:rPr>
              <w:t>Maximum</w:t>
            </w:r>
          </w:p>
          <w:p w:rsidR="00375BB5" w:rsidP="009B5198" w14:paraId="4300303E" w14:textId="5CF769FB">
            <w:pPr>
              <w:rPr>
                <w:b/>
                <w:bCs/>
              </w:rPr>
            </w:pPr>
            <w:r>
              <w:rPr>
                <w:b/>
                <w:bCs/>
              </w:rPr>
              <w:t>R</w:t>
            </w:r>
            <w:r w:rsidR="0051368F">
              <w:rPr>
                <w:b/>
                <w:bCs/>
              </w:rPr>
              <w:t>oadside Unit (RSU)</w:t>
            </w:r>
            <w:r>
              <w:rPr>
                <w:b/>
                <w:bCs/>
              </w:rPr>
              <w:t xml:space="preserve"> Transmitter Output Power</w:t>
            </w:r>
            <w:r w:rsidR="00691ECF">
              <w:rPr>
                <w:b/>
                <w:bCs/>
              </w:rPr>
              <w:t xml:space="preserve"> </w:t>
            </w:r>
            <w:r w:rsidRPr="00691ECF" w:rsidR="00691ECF">
              <w:rPr>
                <w:b/>
                <w:bCs/>
                <w:sz w:val="18"/>
                <w:szCs w:val="18"/>
              </w:rPr>
              <w:t>(</w:t>
            </w:r>
            <w:r w:rsidRPr="00691ECF" w:rsidR="00306B40">
              <w:rPr>
                <w:b/>
                <w:bCs/>
                <w:sz w:val="18"/>
                <w:szCs w:val="18"/>
              </w:rPr>
              <w:t>d</w:t>
            </w:r>
            <w:r w:rsidRPr="00691ECF">
              <w:rPr>
                <w:b/>
                <w:bCs/>
                <w:sz w:val="18"/>
                <w:szCs w:val="18"/>
              </w:rPr>
              <w:t>Bm)</w:t>
            </w:r>
          </w:p>
        </w:tc>
        <w:tc>
          <w:tcPr>
            <w:tcW w:w="1563" w:type="dxa"/>
          </w:tcPr>
          <w:p w:rsidR="00375BB5" w:rsidP="009B5198" w14:paraId="7947867F" w14:textId="77777777">
            <w:r>
              <w:t>RSU Classes C/D: 20/28.8</w:t>
            </w:r>
          </w:p>
        </w:tc>
        <w:tc>
          <w:tcPr>
            <w:tcW w:w="1440" w:type="dxa"/>
          </w:tcPr>
          <w:p w:rsidR="00375BB5" w:rsidP="009B5198" w14:paraId="47FFBD62" w14:textId="77777777">
            <w:r>
              <w:t xml:space="preserve">Ch. 180: 17 </w:t>
            </w:r>
          </w:p>
          <w:p w:rsidR="00375BB5" w:rsidP="009B5198" w14:paraId="39112D32" w14:textId="77777777">
            <w:r>
              <w:t>Ch. 181: 17</w:t>
            </w:r>
          </w:p>
          <w:p w:rsidR="00375BB5" w:rsidP="009B5198" w14:paraId="62FFB3C6" w14:textId="77777777">
            <w:r>
              <w:t>Ch. 182: 17</w:t>
            </w:r>
          </w:p>
          <w:p w:rsidR="00375BB5" w:rsidP="009B5198" w14:paraId="06A0A041" w14:textId="77777777">
            <w:r>
              <w:t>Ch. 184: 28.8</w:t>
            </w:r>
          </w:p>
        </w:tc>
        <w:tc>
          <w:tcPr>
            <w:tcW w:w="1710" w:type="dxa"/>
          </w:tcPr>
          <w:p w:rsidR="00375BB5" w:rsidP="009B5198" w14:paraId="5B30919D" w14:textId="77777777">
            <w:r>
              <w:t xml:space="preserve">Ch. 180: 22 </w:t>
            </w:r>
          </w:p>
          <w:p w:rsidR="00375BB5" w:rsidP="009B5198" w14:paraId="714F101F" w14:textId="77777777">
            <w:r>
              <w:t>Ch. 181: 22</w:t>
            </w:r>
          </w:p>
          <w:p w:rsidR="00375BB5" w:rsidP="009B5198" w14:paraId="012A582C" w14:textId="77777777">
            <w:r>
              <w:t>Ch. 182: 22</w:t>
            </w:r>
          </w:p>
          <w:p w:rsidR="00375BB5" w:rsidP="009B5198" w14:paraId="4018DE8B" w14:textId="77777777">
            <w:r>
              <w:t>Ch. 184: 22</w:t>
            </w:r>
          </w:p>
          <w:p w:rsidR="001E7376" w:rsidP="009B5198" w14:paraId="50853A78" w14:textId="66B27278">
            <w:r>
              <w:t>5905-</w:t>
            </w:r>
            <w:r w:rsidR="002836AB">
              <w:t>5925 MHz: Not given</w:t>
            </w:r>
          </w:p>
        </w:tc>
        <w:tc>
          <w:tcPr>
            <w:tcW w:w="3240" w:type="dxa"/>
          </w:tcPr>
          <w:p w:rsidR="00375BB5" w:rsidP="009B5198" w14:paraId="2220E710" w14:textId="77777777">
            <w:r>
              <w:t xml:space="preserve">Ch. 180: 23 </w:t>
            </w:r>
          </w:p>
          <w:p w:rsidR="00375BB5" w:rsidP="009B5198" w14:paraId="634D0B1B" w14:textId="77777777">
            <w:r>
              <w:t>Ch. 181: 23</w:t>
            </w:r>
          </w:p>
          <w:p w:rsidR="00375BB5" w:rsidP="009B5198" w14:paraId="1DAFF0CA" w14:textId="77777777">
            <w:r>
              <w:t>Ch. 182: 23</w:t>
            </w:r>
          </w:p>
          <w:p w:rsidR="00375BB5" w:rsidP="009B5198" w14:paraId="01B53108" w14:textId="25C049E7">
            <w:r>
              <w:t>5905-5925 MHz: Not given</w:t>
            </w:r>
          </w:p>
        </w:tc>
      </w:tr>
      <w:tr w14:paraId="3D842FB3" w14:textId="77777777" w:rsidTr="00315191">
        <w:tblPrEx>
          <w:tblW w:w="9355" w:type="dxa"/>
          <w:tblLook w:val="04A0"/>
        </w:tblPrEx>
        <w:tc>
          <w:tcPr>
            <w:tcW w:w="1402" w:type="dxa"/>
          </w:tcPr>
          <w:p w:rsidR="00375BB5" w:rsidP="009B5198" w14:paraId="285B23B2" w14:textId="77777777">
            <w:pPr>
              <w:rPr>
                <w:b/>
                <w:bCs/>
              </w:rPr>
            </w:pPr>
            <w:r>
              <w:rPr>
                <w:b/>
                <w:bCs/>
              </w:rPr>
              <w:t>Maximum</w:t>
            </w:r>
          </w:p>
          <w:p w:rsidR="00375BB5" w:rsidP="009B5198" w14:paraId="4B752500" w14:textId="4F501CE3">
            <w:pPr>
              <w:rPr>
                <w:b/>
                <w:bCs/>
              </w:rPr>
            </w:pPr>
            <w:r>
              <w:rPr>
                <w:b/>
                <w:bCs/>
              </w:rPr>
              <w:t>RSU EIRP</w:t>
            </w:r>
            <w:r w:rsidR="007746F3">
              <w:rPr>
                <w:b/>
                <w:bCs/>
              </w:rPr>
              <w:t>*</w:t>
            </w:r>
            <w:r>
              <w:rPr>
                <w:b/>
                <w:bCs/>
              </w:rPr>
              <w:t xml:space="preserve"> (dBm)</w:t>
            </w:r>
          </w:p>
          <w:p w:rsidR="00375BB5" w:rsidP="009B5198" w14:paraId="681959D3" w14:textId="77777777">
            <w:pPr>
              <w:rPr>
                <w:b/>
                <w:bCs/>
              </w:rPr>
            </w:pPr>
          </w:p>
          <w:p w:rsidR="00375BB5" w:rsidRPr="00E652FD" w:rsidP="009B5198" w14:paraId="2F97D1EA" w14:textId="77777777">
            <w:pPr>
              <w:rPr>
                <w:b/>
                <w:bCs/>
              </w:rPr>
            </w:pPr>
          </w:p>
        </w:tc>
        <w:tc>
          <w:tcPr>
            <w:tcW w:w="1563" w:type="dxa"/>
          </w:tcPr>
          <w:p w:rsidR="00375BB5" w:rsidP="009B5198" w14:paraId="6E5CC4D0" w14:textId="77777777">
            <w:r>
              <w:t>Ch. 180: 23</w:t>
            </w:r>
          </w:p>
          <w:p w:rsidR="00375BB5" w:rsidP="009B5198" w14:paraId="77F75259" w14:textId="77777777">
            <w:r>
              <w:t>Ch. 181: 23</w:t>
            </w:r>
          </w:p>
          <w:p w:rsidR="00375BB5" w:rsidP="009B5198" w14:paraId="661F2B06" w14:textId="77777777">
            <w:r>
              <w:t>Ch. 182: 23</w:t>
            </w:r>
          </w:p>
          <w:p w:rsidR="00375BB5" w:rsidRPr="00D16367" w:rsidP="009B5198" w14:paraId="54C26769" w14:textId="77777777">
            <w:r>
              <w:t>Ch. 184: 33/40</w:t>
            </w:r>
          </w:p>
        </w:tc>
        <w:tc>
          <w:tcPr>
            <w:tcW w:w="1440" w:type="dxa"/>
          </w:tcPr>
          <w:p w:rsidR="00375BB5" w:rsidP="009B5198" w14:paraId="41060601" w14:textId="77777777">
            <w:r>
              <w:t xml:space="preserve">Ch. 180: 23 </w:t>
            </w:r>
          </w:p>
          <w:p w:rsidR="00375BB5" w:rsidP="009B5198" w14:paraId="1F212C8E" w14:textId="77777777">
            <w:r>
              <w:t>Ch. 181: 23</w:t>
            </w:r>
          </w:p>
          <w:p w:rsidR="00375BB5" w:rsidP="009B5198" w14:paraId="56B71568" w14:textId="77777777">
            <w:r>
              <w:t>Ch. 182: 23</w:t>
            </w:r>
          </w:p>
          <w:p w:rsidR="00375BB5" w:rsidRPr="00D16367" w:rsidP="009B5198" w14:paraId="48BD1E1B" w14:textId="77777777">
            <w:r>
              <w:t>Ch. 184: 34.8</w:t>
            </w:r>
          </w:p>
        </w:tc>
        <w:tc>
          <w:tcPr>
            <w:tcW w:w="1710" w:type="dxa"/>
          </w:tcPr>
          <w:p w:rsidR="00375BB5" w:rsidP="009B5198" w14:paraId="1A38DE28" w14:textId="77777777">
            <w:r>
              <w:t>Ch. 180: 23/22.8</w:t>
            </w:r>
          </w:p>
          <w:p w:rsidR="00375BB5" w:rsidP="009B5198" w14:paraId="12AF7109" w14:textId="77777777">
            <w:r>
              <w:t>Ch. 181: 23/22.8</w:t>
            </w:r>
          </w:p>
          <w:p w:rsidR="00375BB5" w:rsidP="009B5198" w14:paraId="6F902B33" w14:textId="77777777">
            <w:r>
              <w:t>Ch. 182: 23/22.8</w:t>
            </w:r>
          </w:p>
          <w:p w:rsidR="00375BB5" w:rsidP="009B5198" w14:paraId="08D647EE" w14:textId="77777777">
            <w:r>
              <w:t>Ch. 184: 23/22.8</w:t>
            </w:r>
          </w:p>
          <w:p w:rsidR="00375BB5" w:rsidRPr="00D16367" w:rsidP="009B5198" w14:paraId="1F922771" w14:textId="14669B88">
            <w:r>
              <w:t xml:space="preserve">5905-5925 MHz: 23/22.8 </w:t>
            </w:r>
          </w:p>
        </w:tc>
        <w:tc>
          <w:tcPr>
            <w:tcW w:w="3240" w:type="dxa"/>
          </w:tcPr>
          <w:p w:rsidR="00375BB5" w:rsidP="009B5198" w14:paraId="44FFD372" w14:textId="77777777">
            <w:r>
              <w:t>Ch. 180: 22.6</w:t>
            </w:r>
          </w:p>
          <w:p w:rsidR="00375BB5" w:rsidP="009B5198" w14:paraId="255F9B80" w14:textId="77777777">
            <w:r>
              <w:t>Ch. 181: 22.6</w:t>
            </w:r>
          </w:p>
          <w:p w:rsidR="00375BB5" w:rsidP="009B5198" w14:paraId="5FDD443B" w14:textId="77777777">
            <w:r>
              <w:t>Ch. 182: 22.6</w:t>
            </w:r>
          </w:p>
          <w:p w:rsidR="00375BB5" w:rsidRPr="00D16367" w:rsidP="009B5198" w14:paraId="468F7741" w14:textId="60FE1F18">
            <w:r>
              <w:t>5905-5925 MHz: 33</w:t>
            </w:r>
          </w:p>
        </w:tc>
      </w:tr>
      <w:tr w14:paraId="76F45662" w14:textId="77777777" w:rsidTr="00315191">
        <w:tblPrEx>
          <w:tblW w:w="9355" w:type="dxa"/>
          <w:tblLook w:val="04A0"/>
        </w:tblPrEx>
        <w:trPr>
          <w:trHeight w:val="710"/>
        </w:trPr>
        <w:tc>
          <w:tcPr>
            <w:tcW w:w="1402" w:type="dxa"/>
            <w:vMerge w:val="restart"/>
          </w:tcPr>
          <w:p w:rsidR="00DD3E27" w:rsidP="009B5198" w14:paraId="61E3B714" w14:textId="115FF93D">
            <w:pPr>
              <w:rPr>
                <w:b/>
                <w:bCs/>
              </w:rPr>
            </w:pPr>
            <w:r>
              <w:rPr>
                <w:b/>
                <w:bCs/>
              </w:rPr>
              <w:t>Transmit Spectrum Mask (Out-of-Band Emissions (OOBE))</w:t>
            </w:r>
          </w:p>
        </w:tc>
        <w:tc>
          <w:tcPr>
            <w:tcW w:w="1563" w:type="dxa"/>
            <w:vMerge w:val="restart"/>
          </w:tcPr>
          <w:p w:rsidR="00DD3E27" w:rsidP="009B5198" w14:paraId="77F3620A" w14:textId="22B44BDA">
            <w:r>
              <w:t>See Table I.8 of IEEE 802.11p-2010.</w:t>
            </w:r>
          </w:p>
        </w:tc>
        <w:tc>
          <w:tcPr>
            <w:tcW w:w="1440" w:type="dxa"/>
            <w:vMerge w:val="restart"/>
          </w:tcPr>
          <w:p w:rsidR="00DD3E27" w:rsidP="009B5198" w14:paraId="4F05096D" w14:textId="6E5D8A7D">
            <w:r>
              <w:t>Stated will comply with existing rules.</w:t>
            </w:r>
          </w:p>
        </w:tc>
        <w:tc>
          <w:tcPr>
            <w:tcW w:w="1710" w:type="dxa"/>
            <w:vMerge w:val="restart"/>
          </w:tcPr>
          <w:p w:rsidR="00DD3E27" w:rsidP="009B5198" w14:paraId="0F4774BD" w14:textId="4EA5185A">
            <w:r>
              <w:t>Stated will comply with existing rules.</w:t>
            </w:r>
          </w:p>
        </w:tc>
        <w:tc>
          <w:tcPr>
            <w:tcW w:w="3240" w:type="dxa"/>
          </w:tcPr>
          <w:p w:rsidR="00DD3E27" w:rsidP="009B5198" w14:paraId="4FE075C2" w14:textId="77777777">
            <w:r>
              <w:t>Stated will comply with existing rules.</w:t>
            </w:r>
          </w:p>
          <w:p w:rsidR="00DD3E27" w:rsidP="009B5198" w14:paraId="43563DD8" w14:textId="34BA7167"/>
        </w:tc>
      </w:tr>
      <w:tr w14:paraId="7E96839D" w14:textId="77777777" w:rsidTr="00315191">
        <w:tblPrEx>
          <w:tblW w:w="9355" w:type="dxa"/>
          <w:tblLook w:val="04A0"/>
        </w:tblPrEx>
        <w:trPr>
          <w:trHeight w:val="1392"/>
        </w:trPr>
        <w:tc>
          <w:tcPr>
            <w:tcW w:w="1402" w:type="dxa"/>
            <w:vMerge/>
          </w:tcPr>
          <w:p w:rsidR="00DD3E27" w:rsidP="009B5198" w14:paraId="5671FEF0" w14:textId="77777777">
            <w:pPr>
              <w:rPr>
                <w:b/>
                <w:bCs/>
              </w:rPr>
            </w:pPr>
          </w:p>
        </w:tc>
        <w:tc>
          <w:tcPr>
            <w:tcW w:w="1563" w:type="dxa"/>
            <w:vMerge/>
          </w:tcPr>
          <w:p w:rsidR="00DD3E27" w:rsidP="009B5198" w14:paraId="6E4E1E38" w14:textId="77777777"/>
        </w:tc>
        <w:tc>
          <w:tcPr>
            <w:tcW w:w="1440" w:type="dxa"/>
            <w:vMerge/>
          </w:tcPr>
          <w:p w:rsidR="00DD3E27" w:rsidP="009B5198" w14:paraId="45EA2CCD" w14:textId="77777777"/>
        </w:tc>
        <w:tc>
          <w:tcPr>
            <w:tcW w:w="1710" w:type="dxa"/>
            <w:vMerge/>
          </w:tcPr>
          <w:p w:rsidR="00DD3E27" w:rsidP="009B5198" w14:paraId="43C58206" w14:textId="77777777"/>
        </w:tc>
        <w:tc>
          <w:tcPr>
            <w:tcW w:w="3240" w:type="dxa"/>
          </w:tcPr>
          <w:p w:rsidR="00891C49" w:rsidP="00891C49" w14:paraId="3044D78A" w14:textId="249F4720">
            <w:r>
              <w:t>At 5905-5925 MHz:</w:t>
            </w:r>
          </w:p>
          <w:p w:rsidR="00AA7AA0" w:rsidP="00891C49" w14:paraId="25FE5B47" w14:textId="34334FB1">
            <w:r>
              <w:t>Frequency</w:t>
            </w:r>
            <w:r>
              <w:t xml:space="preserve"> </w:t>
            </w:r>
            <w:r w:rsidR="00C4290B">
              <w:t xml:space="preserve"> </w:t>
            </w:r>
            <w:r w:rsidR="00315191">
              <w:t xml:space="preserve"> </w:t>
            </w:r>
            <w:r w:rsidR="00C4290B">
              <w:t>OOBE</w:t>
            </w:r>
            <w:r w:rsidR="006700E4">
              <w:t xml:space="preserve">            </w:t>
            </w:r>
            <w:r w:rsidR="006700E4">
              <w:t>OOBE</w:t>
            </w:r>
            <w:r>
              <w:t xml:space="preserve">      </w:t>
            </w:r>
          </w:p>
          <w:p w:rsidR="00AA7AA0" w:rsidP="00891C49" w14:paraId="0E1FECC2" w14:textId="58DD0F6A">
            <w:r>
              <w:t>o</w:t>
            </w:r>
            <w:r w:rsidR="00891C49">
              <w:t>ffset</w:t>
            </w:r>
            <w:r w:rsidR="00C4290B">
              <w:t xml:space="preserve">         </w:t>
            </w:r>
            <w:r w:rsidR="006700E4">
              <w:t xml:space="preserve"> </w:t>
            </w:r>
            <w:r w:rsidR="00315191">
              <w:t xml:space="preserve"> </w:t>
            </w:r>
            <w:r w:rsidR="00C4290B">
              <w:t>PSD</w:t>
            </w:r>
            <w:r w:rsidR="006700E4">
              <w:t>**           PSD</w:t>
            </w:r>
          </w:p>
          <w:p w:rsidR="00891C49" w:rsidP="00891C49" w14:paraId="10D642C9" w14:textId="649F9326">
            <w:r>
              <w:t>from</w:t>
            </w:r>
            <w:r w:rsidR="00533527">
              <w:t xml:space="preserve">          </w:t>
            </w:r>
            <w:r w:rsidR="006700E4">
              <w:t xml:space="preserve"> </w:t>
            </w:r>
            <w:r w:rsidR="00315191">
              <w:t xml:space="preserve"> </w:t>
            </w:r>
            <w:r w:rsidR="006700E4">
              <w:t>offset</w:t>
            </w:r>
            <w:r>
              <w:t xml:space="preserve">  </w:t>
            </w:r>
            <w:r w:rsidR="00533527">
              <w:t xml:space="preserve">  </w:t>
            </w:r>
            <w:r>
              <w:t xml:space="preserve">          </w:t>
            </w:r>
            <w:r w:rsidR="006700E4">
              <w:t>for</w:t>
            </w:r>
            <w:r>
              <w:t xml:space="preserve">          </w:t>
            </w:r>
          </w:p>
          <w:p w:rsidR="00891C49" w:rsidP="00891C49" w14:paraId="06CCC2E9" w14:textId="008AA522">
            <w:r>
              <w:t xml:space="preserve">channel      </w:t>
            </w:r>
            <w:r w:rsidR="006700E4">
              <w:t xml:space="preserve"> relative           C-V2X</w:t>
            </w:r>
          </w:p>
          <w:p w:rsidR="006700E4" w:rsidP="00C4290B" w14:paraId="553FDB36" w14:textId="40DE24DF">
            <w:r>
              <w:t>edg</w:t>
            </w:r>
            <w:r w:rsidR="00533527">
              <w:t xml:space="preserve">e </w:t>
            </w:r>
            <w:r>
              <w:t xml:space="preserve">         to</w:t>
            </w:r>
            <w:r w:rsidR="00315191">
              <w:t xml:space="preserve"> 33 dBm/       </w:t>
            </w:r>
            <w:r w:rsidR="00D14779">
              <w:t>trans-</w:t>
            </w:r>
            <w:r w:rsidR="00315191">
              <w:t xml:space="preserve">            </w:t>
            </w:r>
            <w:r w:rsidR="0053461C">
              <w:t>(MHz)</w:t>
            </w:r>
            <w:r w:rsidR="00315191">
              <w:t xml:space="preserve">      20 MHz (or</w:t>
            </w:r>
            <w:r w:rsidR="00D14779">
              <w:t xml:space="preserve">   </w:t>
            </w:r>
            <w:r w:rsidR="0053461C">
              <w:t xml:space="preserve">  </w:t>
            </w:r>
            <w:r w:rsidR="00D14779">
              <w:t>missions</w:t>
            </w:r>
          </w:p>
          <w:p w:rsidR="00891C49" w:rsidP="00C4290B" w14:paraId="785E065C" w14:textId="34675027">
            <w:r>
              <w:t xml:space="preserve">           </w:t>
            </w:r>
            <w:r w:rsidR="00C4290B">
              <w:t xml:space="preserve">      </w:t>
            </w:r>
            <w:r w:rsidR="00315191">
              <w:t>10</w:t>
            </w:r>
            <w:r w:rsidR="006700E4">
              <w:t xml:space="preserve"> dBm/</w:t>
            </w:r>
            <w:r w:rsidR="00C4290B">
              <w:t xml:space="preserve">         </w:t>
            </w:r>
            <w:r>
              <w:t xml:space="preserve">  </w:t>
            </w:r>
            <w:r w:rsidR="00315191">
              <w:t>(dBm/</w:t>
            </w:r>
            <w:r w:rsidR="00C4290B">
              <w:t xml:space="preserve">                         </w:t>
            </w:r>
            <w:r w:rsidR="00533527">
              <w:t xml:space="preserve"> </w:t>
            </w:r>
          </w:p>
          <w:p w:rsidR="00D14779" w:rsidP="00891C49" w14:paraId="429332A6" w14:textId="0C58E45C">
            <w:r>
              <w:t xml:space="preserve">                 100 MHz)    </w:t>
            </w:r>
            <w:r w:rsidR="00035F39">
              <w:t xml:space="preserve"> </w:t>
            </w:r>
            <w:r>
              <w:t xml:space="preserve"> 100 kHz)</w:t>
            </w:r>
          </w:p>
          <w:p w:rsidR="00891C49" w:rsidP="00891C49" w14:paraId="4A26ED95" w14:textId="25395B8D">
            <w:r>
              <w:t xml:space="preserve">0.0             </w:t>
            </w:r>
            <w:r w:rsidR="0053461C">
              <w:t xml:space="preserve"> </w:t>
            </w:r>
            <w:r w:rsidR="00D14779">
              <w:t>-26.0</w:t>
            </w:r>
            <w:r>
              <w:t xml:space="preserve">   </w:t>
            </w:r>
            <w:r w:rsidR="00C4290B">
              <w:t xml:space="preserve">            </w:t>
            </w:r>
            <w:r w:rsidR="00D14779">
              <w:t xml:space="preserve">   -16.0                       </w:t>
            </w:r>
          </w:p>
          <w:p w:rsidR="00891C49" w:rsidP="00891C49" w14:paraId="52755833" w14:textId="2479F037">
            <w:r>
              <w:t xml:space="preserve">1.0           </w:t>
            </w:r>
            <w:r w:rsidR="00C4290B">
              <w:t xml:space="preserve">  </w:t>
            </w:r>
            <w:r w:rsidR="0053461C">
              <w:t xml:space="preserve"> </w:t>
            </w:r>
            <w:r w:rsidR="00D14779">
              <w:t>-32.0</w:t>
            </w:r>
            <w:r w:rsidR="00C4290B">
              <w:t xml:space="preserve">              </w:t>
            </w:r>
            <w:r w:rsidR="00D14779">
              <w:t xml:space="preserve">    </w:t>
            </w:r>
            <w:r>
              <w:t>-22.0</w:t>
            </w:r>
            <w:r w:rsidR="00D14779">
              <w:t xml:space="preserve">         </w:t>
            </w:r>
          </w:p>
          <w:p w:rsidR="00891C49" w:rsidP="00891C49" w14:paraId="7AC58C04" w14:textId="75012619">
            <w:r>
              <w:t xml:space="preserve">10.0         </w:t>
            </w:r>
            <w:r w:rsidR="00D14779">
              <w:t xml:space="preserve">  </w:t>
            </w:r>
            <w:r w:rsidR="0053461C">
              <w:t xml:space="preserve"> </w:t>
            </w:r>
            <w:r w:rsidR="00D14779">
              <w:t>-40.0</w:t>
            </w:r>
            <w:r>
              <w:t xml:space="preserve">       </w:t>
            </w:r>
            <w:r w:rsidR="00C4290B">
              <w:t xml:space="preserve">           </w:t>
            </w:r>
            <w:r w:rsidR="00D14779">
              <w:t>-30.0</w:t>
            </w:r>
            <w:r w:rsidR="00C4290B">
              <w:t xml:space="preserve">      </w:t>
            </w:r>
            <w:r w:rsidR="00D14779">
              <w:t xml:space="preserve">  </w:t>
            </w:r>
          </w:p>
          <w:p w:rsidR="00DD3E27" w:rsidP="00891C49" w14:paraId="0B19F9F3" w14:textId="481F8F28">
            <w:r>
              <w:t>20.0</w:t>
            </w:r>
            <w:r w:rsidR="00047B78">
              <w:t xml:space="preserve">           </w:t>
            </w:r>
            <w:r w:rsidR="0053461C">
              <w:t xml:space="preserve"> </w:t>
            </w:r>
            <w:r w:rsidR="00035F39">
              <w:t>-50.0</w:t>
            </w:r>
            <w:r w:rsidR="00C4290B">
              <w:t xml:space="preserve">             </w:t>
            </w:r>
            <w:r w:rsidR="00D14779">
              <w:t xml:space="preserve">  </w:t>
            </w:r>
            <w:r w:rsidR="00A83868">
              <w:t xml:space="preserve"> </w:t>
            </w:r>
            <w:r w:rsidR="00D14779">
              <w:t xml:space="preserve">  </w:t>
            </w:r>
            <w:r w:rsidR="00047B78">
              <w:t>-40.0</w:t>
            </w:r>
          </w:p>
        </w:tc>
      </w:tr>
      <w:tr w14:paraId="1C86221F" w14:textId="77777777" w:rsidTr="00315191">
        <w:tblPrEx>
          <w:tblW w:w="9355" w:type="dxa"/>
          <w:tblLook w:val="04A0"/>
        </w:tblPrEx>
        <w:tc>
          <w:tcPr>
            <w:tcW w:w="1402" w:type="dxa"/>
          </w:tcPr>
          <w:p w:rsidR="00375BB5" w:rsidRPr="00E652FD" w:rsidP="009B5198" w14:paraId="696D0497" w14:textId="77777777">
            <w:pPr>
              <w:rPr>
                <w:b/>
                <w:bCs/>
              </w:rPr>
            </w:pPr>
            <w:r>
              <w:rPr>
                <w:b/>
                <w:bCs/>
              </w:rPr>
              <w:t>RSU Antenna Center Line Height Above Roadway Surface</w:t>
            </w:r>
          </w:p>
        </w:tc>
        <w:tc>
          <w:tcPr>
            <w:tcW w:w="1563" w:type="dxa"/>
          </w:tcPr>
          <w:p w:rsidR="00375BB5" w:rsidRPr="00D16367" w:rsidP="009B5198" w14:paraId="165616A2" w14:textId="5ED17727">
            <w:r>
              <w:t>8 meters</w:t>
            </w:r>
            <w:r w:rsidR="00B27517">
              <w:t xml:space="preserve"> or less</w:t>
            </w:r>
            <w:r>
              <w:t xml:space="preserve">, with </w:t>
            </w:r>
            <w:r w:rsidR="00171D4E">
              <w:t xml:space="preserve">EIRP </w:t>
            </w:r>
            <w:r>
              <w:t xml:space="preserve">reduced </w:t>
            </w:r>
            <w:r w:rsidR="00171D4E">
              <w:t>by a factor of 20 x log(height/</w:t>
            </w:r>
            <w:r w:rsidR="00EE7AEC">
              <w:t>8</w:t>
            </w:r>
            <w:r w:rsidR="00171D4E">
              <w:t xml:space="preserve">) if antenna center line height is </w:t>
            </w:r>
            <w:r>
              <w:t xml:space="preserve"> </w:t>
            </w:r>
            <w:r w:rsidR="00B27517">
              <w:rPr>
                <w:rFonts w:eastAsia="Calibri"/>
                <w:snapToGrid/>
                <w:kern w:val="0"/>
              </w:rPr>
              <w:t xml:space="preserve">15 meters or less (but greater than </w:t>
            </w:r>
            <w:r>
              <w:t>8 meters</w:t>
            </w:r>
            <w:r w:rsidR="009E4AE1">
              <w:t>)</w:t>
            </w:r>
          </w:p>
        </w:tc>
        <w:tc>
          <w:tcPr>
            <w:tcW w:w="1440" w:type="dxa"/>
          </w:tcPr>
          <w:p w:rsidR="00375BB5" w:rsidRPr="00D16367" w:rsidP="009B5198" w14:paraId="7FAF0F67" w14:textId="77777777">
            <w:r>
              <w:t>7.9 meters above ground level (AGL) at all locations</w:t>
            </w:r>
          </w:p>
        </w:tc>
        <w:tc>
          <w:tcPr>
            <w:tcW w:w="1710" w:type="dxa"/>
          </w:tcPr>
          <w:p w:rsidR="00375BB5" w:rsidRPr="00D16367" w:rsidP="009B5198" w14:paraId="79EED85A" w14:textId="7F6D7FD9">
            <w:r>
              <w:t xml:space="preserve">Less than 8 meters AGL at 114 locations; 8.2 meters AGL at one location with reduced EIRP per 47 CFR § 90.377(b) n.1 to </w:t>
            </w:r>
            <w:r w:rsidR="00AA4DF3">
              <w:t>T</w:t>
            </w:r>
            <w:r>
              <w:t>able</w:t>
            </w:r>
          </w:p>
        </w:tc>
        <w:tc>
          <w:tcPr>
            <w:tcW w:w="3240" w:type="dxa"/>
          </w:tcPr>
          <w:p w:rsidR="00375BB5" w:rsidRPr="00D16367" w:rsidP="009B5198" w14:paraId="5AEEF14D" w14:textId="77777777">
            <w:r>
              <w:t>8 meters AGL (One location specified in ULS waiver application)</w:t>
            </w:r>
          </w:p>
        </w:tc>
      </w:tr>
      <w:tr w14:paraId="4753A3BF" w14:textId="77777777" w:rsidTr="00315191">
        <w:tblPrEx>
          <w:tblW w:w="9355" w:type="dxa"/>
          <w:tblLook w:val="04A0"/>
        </w:tblPrEx>
        <w:tc>
          <w:tcPr>
            <w:tcW w:w="1402" w:type="dxa"/>
          </w:tcPr>
          <w:p w:rsidR="00C3185D" w:rsidP="009B5198" w14:paraId="5B3B5A9D" w14:textId="06FF6574">
            <w:pPr>
              <w:rPr>
                <w:b/>
                <w:bCs/>
              </w:rPr>
            </w:pPr>
            <w:r>
              <w:rPr>
                <w:b/>
                <w:bCs/>
              </w:rPr>
              <w:t>Maximum Onboard Unit (OBU) Transmitter Output Power/EIRP</w:t>
            </w:r>
            <w:r w:rsidR="00216294">
              <w:rPr>
                <w:b/>
                <w:bCs/>
              </w:rPr>
              <w:t xml:space="preserve"> (dBm)</w:t>
            </w:r>
          </w:p>
        </w:tc>
        <w:tc>
          <w:tcPr>
            <w:tcW w:w="1563" w:type="dxa"/>
          </w:tcPr>
          <w:p w:rsidR="00415AED" w:rsidP="009B5198" w14:paraId="0EC59707" w14:textId="65B001EB">
            <w:r>
              <w:t>Portable:</w:t>
            </w:r>
          </w:p>
          <w:p w:rsidR="00C3185D" w:rsidP="009B5198" w14:paraId="6EDEEA0A" w14:textId="2AD39CAC">
            <w:r>
              <w:t>0</w:t>
            </w:r>
            <w:r w:rsidR="009B4D3A">
              <w:t>/</w:t>
            </w:r>
            <w:r>
              <w:t>6;</w:t>
            </w:r>
          </w:p>
          <w:p w:rsidR="00415AED" w:rsidP="009B5198" w14:paraId="7B5716B9" w14:textId="77777777">
            <w:r>
              <w:t>Non-portable:</w:t>
            </w:r>
          </w:p>
          <w:p w:rsidR="00415AED" w:rsidP="009B5198" w14:paraId="0F101EB7" w14:textId="1A24A7DB">
            <w:r>
              <w:t>28.8/33</w:t>
            </w:r>
            <w:r w:rsidR="004E73E5">
              <w:t xml:space="preserve"> </w:t>
            </w:r>
            <w:r>
              <w:t>for non-gov., 44.8 for gov.</w:t>
            </w:r>
          </w:p>
        </w:tc>
        <w:tc>
          <w:tcPr>
            <w:tcW w:w="1440" w:type="dxa"/>
          </w:tcPr>
          <w:p w:rsidR="00C3185D" w:rsidP="009B5198" w14:paraId="7877189C" w14:textId="47CAF753">
            <w:r>
              <w:t>Not given.</w:t>
            </w:r>
          </w:p>
        </w:tc>
        <w:tc>
          <w:tcPr>
            <w:tcW w:w="1710" w:type="dxa"/>
          </w:tcPr>
          <w:p w:rsidR="00C3185D" w:rsidP="009B5198" w14:paraId="0BF8197A" w14:textId="6324625D">
            <w:r>
              <w:t>Waiver request does not include any OBU deployments.</w:t>
            </w:r>
          </w:p>
        </w:tc>
        <w:tc>
          <w:tcPr>
            <w:tcW w:w="3240" w:type="dxa"/>
          </w:tcPr>
          <w:p w:rsidR="00C3185D" w:rsidP="009B5198" w14:paraId="47F61A16" w14:textId="7C04EF96">
            <w:r>
              <w:t>20/33</w:t>
            </w:r>
          </w:p>
        </w:tc>
      </w:tr>
    </w:tbl>
    <w:p w:rsidR="00897979" w:rsidP="006700E4" w14:paraId="728FB9D3" w14:textId="4FEFAF24">
      <w:pPr>
        <w:pStyle w:val="ParaNum"/>
        <w:numPr>
          <w:ilvl w:val="0"/>
          <w:numId w:val="0"/>
        </w:numPr>
      </w:pPr>
      <w:r>
        <w:t xml:space="preserve">*EIRP (equivalent </w:t>
      </w:r>
      <w:r>
        <w:t>isotropically</w:t>
      </w:r>
      <w:r>
        <w:t xml:space="preserve"> radiated power)</w:t>
      </w:r>
      <w:r w:rsidR="006700E4">
        <w:t>; **PSD (power spectral density)</w:t>
      </w:r>
    </w:p>
    <w:p w:rsidR="00F23D49" w:rsidP="00534A30" w14:paraId="7A0D489F" w14:textId="0423F58C">
      <w:pPr>
        <w:pStyle w:val="ParaNum"/>
        <w:numPr>
          <w:ilvl w:val="0"/>
          <w:numId w:val="0"/>
        </w:numPr>
        <w:ind w:firstLine="720"/>
        <w:rPr>
          <w:rFonts w:eastAsia="Segoe UI Emoji"/>
        </w:rPr>
      </w:pPr>
      <w:r w:rsidRPr="568F2CB0">
        <w:rPr>
          <w:b/>
          <w:bCs/>
          <w:i/>
          <w:iCs/>
        </w:rPr>
        <w:t>Public Comment on Waivers.</w:t>
      </w:r>
      <w:r>
        <w:t xml:space="preserve">  </w:t>
      </w:r>
      <w:r w:rsidR="005B36F5">
        <w:t xml:space="preserve">Prior to evaluating the merits of the </w:t>
      </w:r>
      <w:r>
        <w:t xml:space="preserve">instant </w:t>
      </w:r>
      <w:r w:rsidR="00502DE9">
        <w:t>requests for waivers</w:t>
      </w:r>
      <w:r w:rsidRPr="568F2CB0" w:rsidR="001A08AC">
        <w:rPr>
          <w:i/>
          <w:iCs/>
        </w:rPr>
        <w:t>,</w:t>
      </w:r>
      <w:r w:rsidR="001A08AC">
        <w:t xml:space="preserve"> and </w:t>
      </w:r>
      <w:r w:rsidR="00CD02CD">
        <w:t xml:space="preserve">in order to assist </w:t>
      </w:r>
      <w:r w:rsidR="00502DE9">
        <w:t>in assessing the requests</w:t>
      </w:r>
      <w:r w:rsidR="0039163D">
        <w:t xml:space="preserve">, </w:t>
      </w:r>
      <w:r w:rsidR="00430A46">
        <w:t>t</w:t>
      </w:r>
      <w:r w:rsidR="001520EE">
        <w:t>he B</w:t>
      </w:r>
      <w:r w:rsidR="00D12BBC">
        <w:t>ureau seeks comment o</w:t>
      </w:r>
      <w:r w:rsidR="00101DBA">
        <w:t xml:space="preserve">n </w:t>
      </w:r>
      <w:r w:rsidR="002807EE">
        <w:t xml:space="preserve">whether </w:t>
      </w:r>
      <w:r w:rsidR="00D81B87">
        <w:t xml:space="preserve">the </w:t>
      </w:r>
      <w:r w:rsidR="00770EDD">
        <w:t>certifications</w:t>
      </w:r>
      <w:r w:rsidR="001B116C">
        <w:t>, as supplemented,</w:t>
      </w:r>
      <w:r w:rsidR="00770EDD">
        <w:t xml:space="preserve"> in the </w:t>
      </w:r>
      <w:r w:rsidRPr="568F2CB0" w:rsidR="00D81B87">
        <w:rPr>
          <w:i/>
          <w:iCs/>
        </w:rPr>
        <w:t>Waivers</w:t>
      </w:r>
      <w:r w:rsidRPr="568F2CB0" w:rsidR="00AC611E">
        <w:rPr>
          <w:i/>
          <w:iCs/>
        </w:rPr>
        <w:t xml:space="preserve"> </w:t>
      </w:r>
      <w:r w:rsidR="001D5DE4">
        <w:t xml:space="preserve">are </w:t>
      </w:r>
      <w:r w:rsidR="00E02180">
        <w:t>suffic</w:t>
      </w:r>
      <w:r w:rsidR="00617848">
        <w:t>ient to allow the Bure</w:t>
      </w:r>
      <w:r w:rsidR="00456670">
        <w:t xml:space="preserve">au to make a rigorous evaluation of the requests </w:t>
      </w:r>
      <w:r w:rsidR="006C1B3B">
        <w:t>under the streamlined review process</w:t>
      </w:r>
      <w:r w:rsidR="002F5FFB">
        <w:t xml:space="preserve">.  Under the general waiver process, we seek comment on </w:t>
      </w:r>
      <w:r w:rsidR="002807EE">
        <w:t xml:space="preserve">whether </w:t>
      </w:r>
      <w:r w:rsidR="005F7E4C">
        <w:t xml:space="preserve">the </w:t>
      </w:r>
      <w:r w:rsidR="00030EBF">
        <w:t xml:space="preserve">waiver requests </w:t>
      </w:r>
      <w:r w:rsidR="002F5FFB">
        <w:t xml:space="preserve">as supplemented </w:t>
      </w:r>
      <w:r w:rsidR="005F006F">
        <w:t>c</w:t>
      </w:r>
      <w:r w:rsidR="00EC2A59">
        <w:t xml:space="preserve">ontain sufficient information to satisfy </w:t>
      </w:r>
      <w:r w:rsidR="005F006F">
        <w:t>the additional requirements set for</w:t>
      </w:r>
      <w:r w:rsidR="00970EFC">
        <w:t xml:space="preserve">th in the </w:t>
      </w:r>
      <w:r w:rsidRPr="568F2CB0" w:rsidR="002D15B6">
        <w:rPr>
          <w:i/>
          <w:iCs/>
        </w:rPr>
        <w:t>Guidance PN</w:t>
      </w:r>
      <w:r w:rsidR="002D15B6">
        <w:t xml:space="preserve"> at </w:t>
      </w:r>
      <w:r w:rsidR="00970EFC">
        <w:t>footnote</w:t>
      </w:r>
      <w:r w:rsidR="002D15B6">
        <w:t xml:space="preserve"> 10,</w:t>
      </w:r>
      <w:r w:rsidR="00970EFC">
        <w:t xml:space="preserve"> </w:t>
      </w:r>
      <w:r w:rsidR="00770EDD">
        <w:t>re</w:t>
      </w:r>
      <w:r w:rsidR="00970EFC">
        <w:t>ferenced above</w:t>
      </w:r>
      <w:r w:rsidR="00985261">
        <w:t>,</w:t>
      </w:r>
      <w:r w:rsidR="00897979">
        <w:t xml:space="preserve"> </w:t>
      </w:r>
      <w:r w:rsidR="00985261">
        <w:t>i</w:t>
      </w:r>
      <w:r w:rsidR="002F5FFB">
        <w:t>ncludin</w:t>
      </w:r>
      <w:r w:rsidR="00985261">
        <w:t>g whether</w:t>
      </w:r>
      <w:r w:rsidR="002F5FFB">
        <w:t xml:space="preserve"> the proposed C-V2X operations would protect others from interference. </w:t>
      </w:r>
      <w:r w:rsidR="00195532">
        <w:t xml:space="preserve"> </w:t>
      </w:r>
      <w:r w:rsidR="00C17C58">
        <w:t>In addition</w:t>
      </w:r>
      <w:r w:rsidR="00195532">
        <w:t xml:space="preserve">, we seek comment </w:t>
      </w:r>
      <w:r w:rsidR="00C17C58">
        <w:t xml:space="preserve">from manufacturers on equipment authorizations to support the </w:t>
      </w:r>
      <w:r w:rsidR="00C319CD">
        <w:t>proposed operations</w:t>
      </w:r>
      <w:r w:rsidR="00B0562B">
        <w:t xml:space="preserve"> in the instant waiver requests</w:t>
      </w:r>
      <w:r w:rsidR="00A81F8E">
        <w:t>.</w:t>
      </w:r>
      <w:r w:rsidR="00AA0721">
        <w:t xml:space="preserve"> </w:t>
      </w:r>
      <w:r w:rsidR="002F5FFB">
        <w:t xml:space="preserve"> </w:t>
      </w:r>
    </w:p>
    <w:p w:rsidR="005C17E4" w:rsidRPr="00897979" w:rsidP="00897979" w14:paraId="6D3B043F" w14:textId="635A3617">
      <w:pPr>
        <w:ind w:firstLine="720"/>
        <w:rPr>
          <w:rFonts w:eastAsia="Segoe UI Emoji"/>
        </w:rPr>
      </w:pPr>
      <w:r w:rsidRPr="0064299F">
        <w:rPr>
          <w:rFonts w:eastAsia="Segoe UI Emoji"/>
          <w:b/>
          <w:bCs/>
        </w:rPr>
        <w:t>Procedural Matters</w:t>
      </w:r>
      <w:r w:rsidR="00897979">
        <w:rPr>
          <w:rFonts w:eastAsia="Segoe UI Emoji"/>
          <w:b/>
          <w:bCs/>
        </w:rPr>
        <w:t>.</w:t>
      </w:r>
      <w:r w:rsidRPr="0064299F">
        <w:rPr>
          <w:rFonts w:eastAsia="Segoe UI Emoji"/>
          <w:b/>
          <w:bCs/>
        </w:rPr>
        <w:t xml:space="preserve"> </w:t>
      </w:r>
      <w:r w:rsidRPr="568F2CB0">
        <w:rPr>
          <w:rFonts w:eastAsia="Segoe UI Emoji"/>
        </w:rPr>
        <w:t xml:space="preserve">To develop a complete record on the issues presented by this request, the proceeding will be treated, for </w:t>
      </w:r>
      <w:r w:rsidRPr="008377EB">
        <w:rPr>
          <w:rFonts w:eastAsia="Segoe UI Emoji"/>
          <w:i/>
        </w:rPr>
        <w:t>ex parte</w:t>
      </w:r>
      <w:r w:rsidRPr="568F2CB0">
        <w:rPr>
          <w:rFonts w:eastAsia="Segoe UI Emoji"/>
        </w:rPr>
        <w:t xml:space="preserve"> purposes, as a “permit-but-disclose” proceeding in accordance with Section 1.1200(a) of the Commission’s rules, subject to the requirements under Section 1.1206(b). </w:t>
      </w:r>
      <w:r w:rsidRPr="568F2CB0" w:rsidR="00396208">
        <w:rPr>
          <w:rFonts w:eastAsia="Segoe UI Emoji"/>
        </w:rPr>
        <w:t xml:space="preserve"> </w:t>
      </w:r>
      <w:r w:rsidRPr="568F2CB0" w:rsidR="00BE66A5">
        <w:rPr>
          <w:rFonts w:eastAsia="Segoe UI Emoji"/>
        </w:rPr>
        <w:t xml:space="preserve">Parties should </w:t>
      </w:r>
      <w:r w:rsidRPr="568F2CB0" w:rsidR="00992130">
        <w:rPr>
          <w:rFonts w:eastAsia="Segoe UI Emoji"/>
        </w:rPr>
        <w:t>file all comments and re</w:t>
      </w:r>
      <w:r w:rsidRPr="568F2CB0" w:rsidR="00A86604">
        <w:rPr>
          <w:rFonts w:eastAsia="Segoe UI Emoji"/>
        </w:rPr>
        <w:t>p</w:t>
      </w:r>
      <w:r w:rsidRPr="568F2CB0" w:rsidR="00992130">
        <w:rPr>
          <w:rFonts w:eastAsia="Segoe UI Emoji"/>
        </w:rPr>
        <w:t xml:space="preserve">ly comments in </w:t>
      </w:r>
      <w:r w:rsidRPr="568F2CB0" w:rsidR="00F66A64">
        <w:rPr>
          <w:rFonts w:eastAsia="Segoe UI Emoji"/>
          <w:b/>
          <w:bCs/>
        </w:rPr>
        <w:t>ET Docket No. 19-138</w:t>
      </w:r>
      <w:r w:rsidRPr="568F2CB0" w:rsidR="00BE358E">
        <w:rPr>
          <w:rFonts w:eastAsia="Segoe UI Emoji"/>
        </w:rPr>
        <w:t xml:space="preserve"> and clearly indicate </w:t>
      </w:r>
      <w:r w:rsidRPr="568F2CB0" w:rsidR="00A029B7">
        <w:rPr>
          <w:rFonts w:eastAsia="Segoe UI Emoji"/>
        </w:rPr>
        <w:t xml:space="preserve">to which of the three waivers identified in this </w:t>
      </w:r>
      <w:r w:rsidRPr="00897979" w:rsidR="00897979">
        <w:rPr>
          <w:rFonts w:eastAsia="Segoe UI Emoji"/>
          <w:i/>
          <w:iCs/>
        </w:rPr>
        <w:t>Public Notice</w:t>
      </w:r>
      <w:r w:rsidRPr="568F2CB0" w:rsidR="00A029B7">
        <w:rPr>
          <w:rFonts w:eastAsia="Segoe UI Emoji"/>
        </w:rPr>
        <w:t xml:space="preserve"> the comments apply (i.e., </w:t>
      </w:r>
      <w:r w:rsidR="00EC0138">
        <w:t>Florida</w:t>
      </w:r>
      <w:r w:rsidR="002E08A0">
        <w:t xml:space="preserve"> Department of Transportation</w:t>
      </w:r>
      <w:r w:rsidR="00EC0138">
        <w:t>, Georgia</w:t>
      </w:r>
      <w:r w:rsidR="002E08A0">
        <w:t xml:space="preserve"> Department of Transportation</w:t>
      </w:r>
      <w:r w:rsidR="00EC0138">
        <w:t>, or Maryland State Highway Administration</w:t>
      </w:r>
      <w:r w:rsidR="00ED03D6">
        <w:t>)</w:t>
      </w:r>
      <w:r w:rsidRPr="568F2CB0" w:rsidR="00992130">
        <w:rPr>
          <w:rFonts w:eastAsia="Segoe UI Emoji"/>
        </w:rPr>
        <w:t xml:space="preserve">. </w:t>
      </w:r>
    </w:p>
    <w:p w:rsidR="005C17E4" w:rsidRPr="00F83F7F" w:rsidP="005C17E4" w14:paraId="598AC500" w14:textId="77777777">
      <w:pPr>
        <w:ind w:firstLine="720"/>
      </w:pPr>
    </w:p>
    <w:p w:rsidR="009811D3" w14:paraId="770BA354" w14:textId="6B24157A">
      <w:r w:rsidRPr="009811D3">
        <w:rPr>
          <w:i/>
          <w:iCs/>
        </w:rPr>
        <w:t>Filing Requirements</w:t>
      </w:r>
      <w:r>
        <w:t xml:space="preserve">. </w:t>
      </w:r>
      <w:r w:rsidR="007B6A52">
        <w:t xml:space="preserve"> </w:t>
      </w:r>
      <w:r>
        <w:t xml:space="preserve">Parties may file comments, identified by </w:t>
      </w:r>
      <w:r w:rsidR="00F66A64">
        <w:rPr>
          <w:rFonts w:eastAsia="Segoe UI Emoji"/>
          <w:b/>
          <w:bCs/>
        </w:rPr>
        <w:t>ET Docket No. 19-138</w:t>
      </w:r>
      <w:r>
        <w:t>, by any of the following methods:</w:t>
      </w:r>
    </w:p>
    <w:p w:rsidR="00393C8E" w14:paraId="2886A22D" w14:textId="77777777"/>
    <w:p w:rsidR="009811D3" w:rsidP="009811D3" w14:paraId="13877EBE" w14:textId="42752996">
      <w:pPr>
        <w:numPr>
          <w:ilvl w:val="0"/>
          <w:numId w:val="7"/>
        </w:numPr>
      </w:pPr>
      <w:r>
        <w:t xml:space="preserve">Electronic Filers: Comments may be filed electronically using the </w:t>
      </w:r>
      <w:r w:rsidR="00241BD3">
        <w:t>I</w:t>
      </w:r>
      <w:r>
        <w:t xml:space="preserve">nternet by accessing the ECFS: </w:t>
      </w:r>
      <w:hyperlink r:id="rId5" w:history="1">
        <w:r w:rsidRPr="008B683A" w:rsidR="00014C7D">
          <w:rPr>
            <w:rStyle w:val="Hyperlink"/>
          </w:rPr>
          <w:t>https://www.fcc.gov/ecfs/</w:t>
        </w:r>
      </w:hyperlink>
      <w:r w:rsidR="00014C7D">
        <w:t>.</w:t>
      </w:r>
    </w:p>
    <w:p w:rsidR="00014C7D" w:rsidP="009811D3" w14:paraId="7BF0EC90" w14:textId="77777777">
      <w:pPr>
        <w:numPr>
          <w:ilvl w:val="0"/>
          <w:numId w:val="7"/>
        </w:numPr>
      </w:pPr>
      <w:r>
        <w:t>Paper Filers: Parties who choose to file by paper must file an original and one copy of each filing.</w:t>
      </w:r>
    </w:p>
    <w:p w:rsidR="00014C7D" w:rsidP="00014C7D" w14:paraId="68F362F9" w14:textId="77777777"/>
    <w:p w:rsidR="00014C7D" w:rsidP="00393C8E" w14:paraId="0166B169" w14:textId="45DE8D38">
      <w:pPr>
        <w:ind w:firstLine="360"/>
      </w:pPr>
      <w:r>
        <w:t xml:space="preserve">Filings can be sent by commercial courier or by the U.S. Postal Service. </w:t>
      </w:r>
      <w:r w:rsidR="00241BD3">
        <w:t xml:space="preserve"> </w:t>
      </w:r>
      <w:r>
        <w:t xml:space="preserve">All filings must be addressed to the Commission’s Secretary, Office of the Secretary, Federal Communications Commission. </w:t>
      </w:r>
    </w:p>
    <w:p w:rsidR="00350832" w:rsidP="00014C7D" w14:paraId="6CAB507E" w14:textId="77777777"/>
    <w:p w:rsidR="00014C7D" w:rsidP="00014C7D" w14:paraId="45EB10A5" w14:textId="6E476734">
      <w:pPr>
        <w:numPr>
          <w:ilvl w:val="0"/>
          <w:numId w:val="8"/>
        </w:numPr>
      </w:pPr>
      <w:r>
        <w:t>Commercial deliveries (other than U.S. Postal Service Express Mail and Priority Mail) must be sent to 9050 Junction Drive, Annapolis Junction, MD 20701.</w:t>
      </w:r>
    </w:p>
    <w:p w:rsidR="00350832" w:rsidP="00014C7D" w14:paraId="32D66EBF" w14:textId="67637298">
      <w:pPr>
        <w:numPr>
          <w:ilvl w:val="0"/>
          <w:numId w:val="8"/>
        </w:numPr>
      </w:pPr>
      <w:r>
        <w:t xml:space="preserve">U.S. Postal Service First-Class, Express, and Priority mail must be addressed to 45 L Street, NE, Washington, DC 20554. </w:t>
      </w:r>
    </w:p>
    <w:p w:rsidR="001002E1" w:rsidP="00014C7D" w14:paraId="1714E0C8" w14:textId="2AC3FCC6">
      <w:pPr>
        <w:numPr>
          <w:ilvl w:val="0"/>
          <w:numId w:val="8"/>
        </w:numPr>
      </w:pPr>
      <w:r>
        <w:t xml:space="preserve">Effective March 19, 2020, and until further notice, the Commission no longer accepts any hand or messenger delivered filings. </w:t>
      </w:r>
      <w:r w:rsidR="00241BD3">
        <w:t xml:space="preserve"> </w:t>
      </w:r>
      <w:r>
        <w:t>This is a temporary measure taken</w:t>
      </w:r>
      <w:r w:rsidR="009811D3">
        <w:t xml:space="preserve"> to help protect the health and safety of individuals, and to mitigate the transmission of COVID-19. </w:t>
      </w:r>
      <w:r w:rsidR="00241BD3">
        <w:t xml:space="preserve"> </w:t>
      </w:r>
      <w:r w:rsidR="009811D3">
        <w:t xml:space="preserve">See FCC Announces Closure of FCC Headquarters Open Window and Change in Hand-Delivery Policy, Public Notice, DA 20-304 (March 19, 2020). </w:t>
      </w:r>
      <w:r w:rsidR="004E73E5">
        <w:t xml:space="preserve"> </w:t>
      </w:r>
      <w:hyperlink r:id="rId6" w:history="1">
        <w:r w:rsidRPr="004E73E5" w:rsidR="004E73E5">
          <w:rPr>
            <w:rStyle w:val="Hyperlink"/>
          </w:rPr>
          <w:t>https://www.fcc.gov/document/fcc-closes-headquarters-open-window-and-changeshanddelivery-policy</w:t>
        </w:r>
      </w:hyperlink>
      <w:r w:rsidR="004E6038">
        <w:t xml:space="preserve">. </w:t>
      </w:r>
      <w:r w:rsidR="009811D3">
        <w:t xml:space="preserve"> </w:t>
      </w:r>
    </w:p>
    <w:p w:rsidR="001002E1" w:rsidP="00014C7D" w14:paraId="7A8B6171" w14:textId="77777777">
      <w:pPr>
        <w:numPr>
          <w:ilvl w:val="0"/>
          <w:numId w:val="8"/>
        </w:numPr>
      </w:pPr>
      <w:r>
        <w:t xml:space="preserve">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 </w:t>
      </w:r>
    </w:p>
    <w:p w:rsidR="001002E1" w:rsidP="001002E1" w14:paraId="42FBFCF1" w14:textId="77777777"/>
    <w:p w:rsidR="00A77F67" w:rsidP="001002E1" w14:paraId="401DAA6C" w14:textId="6DE0ACAC">
      <w:pPr>
        <w:ind w:firstLine="360"/>
      </w:pPr>
      <w:r w:rsidRPr="001002E1">
        <w:rPr>
          <w:i/>
          <w:iCs/>
        </w:rPr>
        <w:t>People with Disabilities</w:t>
      </w:r>
      <w:r>
        <w:t xml:space="preserve">: To request materials in accessible formats for people with disabilities (braille, large print, electronic files, audio format), send an e-mail to </w:t>
      </w:r>
      <w:hyperlink r:id="rId7" w:history="1">
        <w:r w:rsidRPr="0047077D" w:rsidR="004E6038">
          <w:rPr>
            <w:rStyle w:val="Hyperlink"/>
          </w:rPr>
          <w:t>fcc504@fcc.gov</w:t>
        </w:r>
      </w:hyperlink>
      <w:r w:rsidR="004E6038">
        <w:t xml:space="preserve"> </w:t>
      </w:r>
      <w:r>
        <w:t>or call the Consumer &amp; Government Affairs Bureau at 202-418-0530 (voice), 202-418-0432 (</w:t>
      </w:r>
      <w:r>
        <w:t>tty</w:t>
      </w:r>
      <w:r>
        <w:t xml:space="preserve">). </w:t>
      </w:r>
    </w:p>
    <w:p w:rsidR="00A77F67" w:rsidP="00191386" w14:paraId="55D89F6E" w14:textId="77777777"/>
    <w:p w:rsidR="0055549C" w:rsidP="001002E1" w14:paraId="52DB0EB7" w14:textId="7AFF649C">
      <w:pPr>
        <w:ind w:firstLine="360"/>
      </w:pPr>
      <w:r w:rsidRPr="00A77F67">
        <w:rPr>
          <w:i/>
          <w:iCs/>
        </w:rPr>
        <w:t>Additional Information</w:t>
      </w:r>
      <w:r>
        <w:t xml:space="preserve">. </w:t>
      </w:r>
      <w:r w:rsidR="00220740">
        <w:t xml:space="preserve"> </w:t>
      </w:r>
      <w:r>
        <w:t>For further information reg</w:t>
      </w:r>
      <w:r w:rsidR="00A77F67">
        <w:t xml:space="preserve">arding this Public Notice, please contact </w:t>
      </w:r>
      <w:r w:rsidR="00F66A64">
        <w:t>Roberto Mussenden</w:t>
      </w:r>
      <w:r w:rsidR="00F62AE1">
        <w:t>, Senior Attorney, Policy and Licensing Division, Public Safety and Homeland Security Bureau,</w:t>
      </w:r>
      <w:r w:rsidR="00A77F67">
        <w:t xml:space="preserve"> at </w:t>
      </w:r>
      <w:hyperlink r:id="rId8" w:history="1">
        <w:r w:rsidRPr="00C47FA9" w:rsidR="00C51148">
          <w:rPr>
            <w:rStyle w:val="Hyperlink"/>
          </w:rPr>
          <w:t>Roberto.Mussenden@fcc.gov</w:t>
        </w:r>
      </w:hyperlink>
      <w:r w:rsidR="00AE7DB2">
        <w:t xml:space="preserve"> or (</w:t>
      </w:r>
      <w:r w:rsidR="00A50A3C">
        <w:t>202</w:t>
      </w:r>
      <w:r w:rsidR="00AE7DB2">
        <w:t>)-</w:t>
      </w:r>
      <w:r w:rsidR="00A50A3C">
        <w:t>418</w:t>
      </w:r>
      <w:r w:rsidR="00AE7DB2">
        <w:t>-</w:t>
      </w:r>
      <w:r w:rsidR="00F048DC">
        <w:t>1428</w:t>
      </w:r>
      <w:r w:rsidR="00AE7DB2">
        <w:t xml:space="preserve">. </w:t>
      </w:r>
    </w:p>
    <w:p w:rsidR="00AE7DB2" w:rsidP="001002E1" w14:paraId="2ADEE8CC" w14:textId="1A881386">
      <w:pPr>
        <w:ind w:firstLine="360"/>
      </w:pPr>
    </w:p>
    <w:p w:rsidR="00AE7DB2" w:rsidP="00AE7DB2" w14:paraId="7161AE2E" w14:textId="714BC7FA">
      <w:pPr>
        <w:ind w:firstLine="360"/>
        <w:jc w:val="center"/>
      </w:pPr>
      <w:r>
        <w:t xml:space="preserve">-FCC- </w:t>
      </w:r>
    </w:p>
    <w:bookmarkEnd w:id="0"/>
    <w:p w:rsidR="00F83F7F" w14:paraId="037287DF" w14:textId="702BF68D">
      <w:r>
        <w:br w:type="page"/>
      </w:r>
    </w:p>
    <w:p w:rsidR="00F83F7F" w:rsidP="60926781" w14:paraId="20E59457" w14:textId="6974CB72">
      <w:pPr>
        <w:ind w:firstLine="360"/>
        <w:jc w:val="center"/>
        <w:rPr>
          <w:szCs w:val="22"/>
        </w:rPr>
      </w:pPr>
      <w:r w:rsidRPr="60926781">
        <w:rPr>
          <w:szCs w:val="22"/>
        </w:rPr>
        <w:t>Attachment</w:t>
      </w:r>
    </w:p>
    <w:p w:rsidR="00F972B9" w:rsidP="60926781" w14:paraId="080EA4E5" w14:textId="79900374">
      <w:pPr>
        <w:ind w:firstLine="360"/>
        <w:jc w:val="center"/>
        <w:rPr>
          <w:szCs w:val="22"/>
        </w:rPr>
      </w:pPr>
      <w:r>
        <w:rPr>
          <w:szCs w:val="22"/>
        </w:rPr>
        <w:t>List of File Nos. Associated With the Waivers</w:t>
      </w:r>
    </w:p>
    <w:p w:rsidR="00F83F7F" w:rsidP="60926781" w14:paraId="22574ABB" w14:textId="0CAA3A06">
      <w:pPr>
        <w:ind w:firstLine="360"/>
        <w:jc w:val="center"/>
        <w:rPr>
          <w:szCs w:val="22"/>
        </w:rPr>
      </w:pPr>
    </w:p>
    <w:tbl>
      <w:tblPr>
        <w:tblW w:w="9810" w:type="dxa"/>
        <w:tblInd w:w="-10" w:type="dxa"/>
        <w:tblLayout w:type="fixed"/>
        <w:tblLook w:val="04A0"/>
      </w:tblPr>
      <w:tblGrid>
        <w:gridCol w:w="6480"/>
        <w:gridCol w:w="1170"/>
        <w:gridCol w:w="2160"/>
      </w:tblGrid>
      <w:tr w14:paraId="0E13FEBA" w14:textId="77777777" w:rsidTr="00BF44BC">
        <w:tblPrEx>
          <w:tblW w:w="9810" w:type="dxa"/>
          <w:tblInd w:w="-10" w:type="dxa"/>
          <w:tblLayout w:type="fixed"/>
          <w:tblLook w:val="04A0"/>
        </w:tblPrEx>
        <w:trPr>
          <w:trHeight w:val="360"/>
        </w:trPr>
        <w:tc>
          <w:tcPr>
            <w:tcW w:w="6480" w:type="dxa"/>
            <w:tcBorders>
              <w:top w:val="single" w:sz="8" w:space="0" w:color="CCCCFF"/>
              <w:left w:val="single" w:sz="8" w:space="0" w:color="CCCCFF"/>
              <w:bottom w:val="single" w:sz="8" w:space="0" w:color="CCCCFF"/>
              <w:right w:val="single" w:sz="8" w:space="0" w:color="CCCCFF"/>
            </w:tcBorders>
            <w:shd w:val="clear" w:color="auto" w:fill="666699"/>
            <w:vAlign w:val="bottom"/>
          </w:tcPr>
          <w:p w:rsidR="006D5E31" w14:paraId="7ECE4680" w14:textId="595E6B90">
            <w:r w:rsidRPr="60926781">
              <w:rPr>
                <w:rFonts w:ascii="Arial" w:eastAsia="Arial" w:hAnsi="Arial" w:cs="Arial"/>
                <w:b/>
                <w:bCs/>
                <w:color w:val="FFFFFF" w:themeColor="background1"/>
                <w:sz w:val="18"/>
                <w:szCs w:val="18"/>
              </w:rPr>
              <w:t>File Number</w:t>
            </w:r>
          </w:p>
        </w:tc>
        <w:tc>
          <w:tcPr>
            <w:tcW w:w="1170" w:type="dxa"/>
            <w:tcBorders>
              <w:top w:val="single" w:sz="8" w:space="0" w:color="CCCCFF"/>
              <w:left w:val="single" w:sz="8" w:space="0" w:color="CCCCFF"/>
              <w:bottom w:val="single" w:sz="8" w:space="0" w:color="CCCCFF"/>
              <w:right w:val="single" w:sz="8" w:space="0" w:color="CCCCFF"/>
            </w:tcBorders>
            <w:shd w:val="clear" w:color="auto" w:fill="666699"/>
            <w:vAlign w:val="bottom"/>
          </w:tcPr>
          <w:p w:rsidR="006D5E31" w14:paraId="0842FACB" w14:textId="0A03D471">
            <w:r w:rsidRPr="60926781">
              <w:rPr>
                <w:rFonts w:ascii="Arial" w:eastAsia="Arial" w:hAnsi="Arial" w:cs="Arial"/>
                <w:b/>
                <w:bCs/>
                <w:color w:val="FFFFFF" w:themeColor="background1"/>
                <w:sz w:val="18"/>
                <w:szCs w:val="18"/>
              </w:rPr>
              <w:t>Call Sign</w:t>
            </w:r>
          </w:p>
        </w:tc>
        <w:tc>
          <w:tcPr>
            <w:tcW w:w="2160" w:type="dxa"/>
            <w:tcBorders>
              <w:top w:val="single" w:sz="8" w:space="0" w:color="CCCCFF"/>
              <w:left w:val="single" w:sz="8" w:space="0" w:color="CCCCFF"/>
              <w:bottom w:val="single" w:sz="8" w:space="0" w:color="CCCCFF"/>
              <w:right w:val="single" w:sz="8" w:space="0" w:color="CCCCFF"/>
            </w:tcBorders>
            <w:shd w:val="clear" w:color="auto" w:fill="666699"/>
            <w:vAlign w:val="bottom"/>
          </w:tcPr>
          <w:p w:rsidR="006D5E31" w14:paraId="3C902F2E" w14:textId="69F2C36C">
            <w:r w:rsidRPr="60926781">
              <w:rPr>
                <w:rFonts w:ascii="Arial" w:eastAsia="Arial" w:hAnsi="Arial" w:cs="Arial"/>
                <w:b/>
                <w:bCs/>
                <w:color w:val="FFFFFF" w:themeColor="background1"/>
                <w:sz w:val="18"/>
                <w:szCs w:val="18"/>
              </w:rPr>
              <w:t>Legal Entity Name</w:t>
            </w:r>
          </w:p>
        </w:tc>
      </w:tr>
      <w:tr w14:paraId="0DA7FD0F" w14:textId="77777777" w:rsidTr="00F7076B">
        <w:tblPrEx>
          <w:tblW w:w="9810" w:type="dxa"/>
          <w:tblInd w:w="-10" w:type="dxa"/>
          <w:tblLayout w:type="fixed"/>
          <w:tblLook w:val="04A0"/>
        </w:tblPrEx>
        <w:trPr>
          <w:trHeight w:val="360"/>
        </w:trPr>
        <w:tc>
          <w:tcPr>
            <w:tcW w:w="6480" w:type="dxa"/>
            <w:tcBorders>
              <w:top w:val="single" w:sz="8" w:space="0" w:color="CCCCFF"/>
              <w:left w:val="single" w:sz="8" w:space="0" w:color="CCCCFF"/>
              <w:right w:val="single" w:sz="8" w:space="0" w:color="CCCCFF"/>
            </w:tcBorders>
            <w:shd w:val="clear" w:color="auto" w:fill="FFFFFF" w:themeFill="background1"/>
          </w:tcPr>
          <w:p w:rsidR="006D5E31" w14:paraId="4BFF2C89" w14:textId="05D2CDC3">
            <w:r w:rsidRPr="60926781">
              <w:rPr>
                <w:rFonts w:ascii="Arial" w:eastAsia="Arial" w:hAnsi="Arial" w:cs="Arial"/>
                <w:color w:val="000000" w:themeColor="text1"/>
                <w:sz w:val="18"/>
                <w:szCs w:val="18"/>
              </w:rPr>
              <w:t>0009960580</w:t>
            </w:r>
            <w:r w:rsidR="00BF44BC">
              <w:t>,</w:t>
            </w:r>
            <w:r w:rsidRPr="60926781">
              <w:rPr>
                <w:rFonts w:ascii="Arial" w:eastAsia="Arial" w:hAnsi="Arial" w:cs="Arial"/>
                <w:color w:val="000000" w:themeColor="text1"/>
                <w:sz w:val="18"/>
                <w:szCs w:val="18"/>
              </w:rPr>
              <w:t>0009960584</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0009960610</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0009960620</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0009960630</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00099606630009960678</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0009960686</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0009960694</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0009960705</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0009960803</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00099608920009960953</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0009960995</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0009961041</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0009961049</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0009961054</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0009961058</w:t>
            </w:r>
          </w:p>
          <w:p w:rsidR="006D5E31" w:rsidP="00BF44BC" w14:paraId="28E65AD4" w14:textId="350D0487">
            <w:r w:rsidRPr="60926781">
              <w:rPr>
                <w:rFonts w:ascii="Arial" w:eastAsia="Arial" w:hAnsi="Arial" w:cs="Arial"/>
                <w:color w:val="000000" w:themeColor="text1"/>
                <w:sz w:val="18"/>
                <w:szCs w:val="18"/>
              </w:rPr>
              <w:t>0009961062</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0009961072</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0009961078</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0009961083</w:t>
            </w:r>
          </w:p>
        </w:tc>
        <w:tc>
          <w:tcPr>
            <w:tcW w:w="1170" w:type="dxa"/>
            <w:tcBorders>
              <w:top w:val="single" w:sz="8" w:space="0" w:color="CCCCFF"/>
              <w:left w:val="single" w:sz="8" w:space="0" w:color="CCCCFF"/>
              <w:bottom w:val="single" w:sz="8" w:space="0" w:color="CCCCFF"/>
              <w:right w:val="single" w:sz="8" w:space="0" w:color="CCCCFF"/>
            </w:tcBorders>
            <w:shd w:val="clear" w:color="auto" w:fill="FFFFFF" w:themeFill="background1"/>
            <w:vAlign w:val="center"/>
          </w:tcPr>
          <w:p w:rsidR="006D5E31" w14:paraId="34B4B8C2" w14:textId="3245D834">
            <w:r w:rsidRPr="60926781">
              <w:rPr>
                <w:rFonts w:ascii="Arial" w:eastAsia="Arial" w:hAnsi="Arial" w:cs="Arial"/>
                <w:color w:val="000000" w:themeColor="text1"/>
                <w:sz w:val="18"/>
                <w:szCs w:val="18"/>
              </w:rPr>
              <w:t>WQBS407</w:t>
            </w:r>
          </w:p>
        </w:tc>
        <w:tc>
          <w:tcPr>
            <w:tcW w:w="2160" w:type="dxa"/>
            <w:tcBorders>
              <w:top w:val="single" w:sz="8" w:space="0" w:color="CCCCFF"/>
              <w:left w:val="single" w:sz="8" w:space="0" w:color="CCCCFF"/>
              <w:bottom w:val="single" w:sz="8" w:space="0" w:color="CCCCFF"/>
              <w:right w:val="single" w:sz="8" w:space="0" w:color="CCCCFF"/>
            </w:tcBorders>
            <w:shd w:val="clear" w:color="auto" w:fill="FFFFFF" w:themeFill="background1"/>
            <w:vAlign w:val="center"/>
          </w:tcPr>
          <w:p w:rsidR="006D5E31" w14:paraId="7F84A1D2" w14:textId="6443DD7E">
            <w:r w:rsidRPr="60926781">
              <w:rPr>
                <w:rFonts w:ascii="Arial" w:eastAsia="Arial" w:hAnsi="Arial" w:cs="Arial"/>
                <w:color w:val="000000" w:themeColor="text1"/>
                <w:sz w:val="18"/>
                <w:szCs w:val="18"/>
              </w:rPr>
              <w:t>Florida, State of</w:t>
            </w:r>
          </w:p>
        </w:tc>
      </w:tr>
      <w:tr w14:paraId="3472B954" w14:textId="77777777" w:rsidTr="00BF44BC">
        <w:tblPrEx>
          <w:tblW w:w="9810" w:type="dxa"/>
          <w:tblInd w:w="-10" w:type="dxa"/>
          <w:tblLayout w:type="fixed"/>
          <w:tblLook w:val="04A0"/>
        </w:tblPrEx>
        <w:trPr>
          <w:trHeight w:val="360"/>
        </w:trPr>
        <w:tc>
          <w:tcPr>
            <w:tcW w:w="6480" w:type="dxa"/>
            <w:tcBorders>
              <w:top w:val="single" w:sz="8" w:space="0" w:color="CCCCFF"/>
              <w:left w:val="single" w:sz="8" w:space="0" w:color="CCCCFF"/>
              <w:bottom w:val="single" w:sz="8" w:space="0" w:color="CCCCFF"/>
              <w:right w:val="single" w:sz="8" w:space="0" w:color="CCCCFF"/>
            </w:tcBorders>
            <w:shd w:val="clear" w:color="auto" w:fill="FFFFFF" w:themeFill="background1"/>
            <w:vAlign w:val="bottom"/>
          </w:tcPr>
          <w:p w:rsidR="006D5E31" w14:paraId="44F6DD97" w14:textId="3C09A904">
            <w:r w:rsidRPr="60926781">
              <w:rPr>
                <w:rFonts w:ascii="Arial" w:eastAsia="Arial" w:hAnsi="Arial" w:cs="Arial"/>
                <w:color w:val="000000" w:themeColor="text1"/>
                <w:sz w:val="18"/>
                <w:szCs w:val="18"/>
              </w:rPr>
              <w:t xml:space="preserve"> </w:t>
            </w:r>
          </w:p>
        </w:tc>
        <w:tc>
          <w:tcPr>
            <w:tcW w:w="1170" w:type="dxa"/>
            <w:tcBorders>
              <w:top w:val="single" w:sz="8" w:space="0" w:color="CCCCFF"/>
              <w:left w:val="single" w:sz="8" w:space="0" w:color="CCCCFF"/>
              <w:bottom w:val="single" w:sz="8" w:space="0" w:color="CCCCFF"/>
              <w:right w:val="single" w:sz="8" w:space="0" w:color="CCCCFF"/>
            </w:tcBorders>
            <w:shd w:val="clear" w:color="auto" w:fill="FFFFFF" w:themeFill="background1"/>
            <w:vAlign w:val="bottom"/>
          </w:tcPr>
          <w:p w:rsidR="006D5E31" w14:paraId="4BA92134" w14:textId="6C2F3DC9">
            <w:r w:rsidRPr="60926781">
              <w:rPr>
                <w:rFonts w:ascii="Arial" w:eastAsia="Arial" w:hAnsi="Arial" w:cs="Arial"/>
                <w:color w:val="000000" w:themeColor="text1"/>
                <w:sz w:val="18"/>
                <w:szCs w:val="18"/>
              </w:rPr>
              <w:t xml:space="preserve"> </w:t>
            </w:r>
          </w:p>
        </w:tc>
        <w:tc>
          <w:tcPr>
            <w:tcW w:w="2160" w:type="dxa"/>
            <w:tcBorders>
              <w:top w:val="single" w:sz="8" w:space="0" w:color="CCCCFF"/>
              <w:left w:val="single" w:sz="8" w:space="0" w:color="CCCCFF"/>
              <w:bottom w:val="single" w:sz="8" w:space="0" w:color="CCCCFF"/>
              <w:right w:val="single" w:sz="8" w:space="0" w:color="CCCCFF"/>
            </w:tcBorders>
            <w:shd w:val="clear" w:color="auto" w:fill="FFFFFF" w:themeFill="background1"/>
            <w:vAlign w:val="bottom"/>
          </w:tcPr>
          <w:p w:rsidR="006D5E31" w14:paraId="19FDCEE2" w14:textId="1BAED871">
            <w:r w:rsidRPr="60926781">
              <w:rPr>
                <w:rFonts w:ascii="Arial" w:eastAsia="Arial" w:hAnsi="Arial" w:cs="Arial"/>
                <w:color w:val="000000" w:themeColor="text1"/>
                <w:sz w:val="18"/>
                <w:szCs w:val="18"/>
              </w:rPr>
              <w:t xml:space="preserve"> </w:t>
            </w:r>
          </w:p>
        </w:tc>
      </w:tr>
      <w:tr w14:paraId="7E6D9C8A" w14:textId="77777777" w:rsidTr="00BF44BC">
        <w:tblPrEx>
          <w:tblW w:w="9810" w:type="dxa"/>
          <w:tblInd w:w="-10" w:type="dxa"/>
          <w:tblLayout w:type="fixed"/>
          <w:tblLook w:val="04A0"/>
        </w:tblPrEx>
        <w:trPr>
          <w:trHeight w:val="360"/>
        </w:trPr>
        <w:tc>
          <w:tcPr>
            <w:tcW w:w="6480" w:type="dxa"/>
            <w:tcBorders>
              <w:top w:val="single" w:sz="8" w:space="0" w:color="CCCCFF"/>
              <w:left w:val="single" w:sz="8" w:space="0" w:color="CCCCFF"/>
              <w:bottom w:val="single" w:sz="8" w:space="0" w:color="CCCCFF"/>
              <w:right w:val="single" w:sz="8" w:space="0" w:color="CCCCFF"/>
            </w:tcBorders>
            <w:shd w:val="clear" w:color="auto" w:fill="666699"/>
            <w:vAlign w:val="bottom"/>
          </w:tcPr>
          <w:p w:rsidR="006D5E31" w14:paraId="1A97B747" w14:textId="10191884">
            <w:r w:rsidRPr="60926781">
              <w:rPr>
                <w:rFonts w:ascii="Arial" w:eastAsia="Arial" w:hAnsi="Arial" w:cs="Arial"/>
                <w:b/>
                <w:bCs/>
                <w:color w:val="FFFFFF" w:themeColor="background1"/>
                <w:sz w:val="18"/>
                <w:szCs w:val="18"/>
              </w:rPr>
              <w:t>File Number</w:t>
            </w:r>
          </w:p>
        </w:tc>
        <w:tc>
          <w:tcPr>
            <w:tcW w:w="1170" w:type="dxa"/>
            <w:tcBorders>
              <w:top w:val="single" w:sz="8" w:space="0" w:color="CCCCFF"/>
              <w:left w:val="single" w:sz="8" w:space="0" w:color="CCCCFF"/>
              <w:bottom w:val="single" w:sz="8" w:space="0" w:color="CCCCFF"/>
              <w:right w:val="single" w:sz="8" w:space="0" w:color="CCCCFF"/>
            </w:tcBorders>
            <w:shd w:val="clear" w:color="auto" w:fill="666699"/>
            <w:vAlign w:val="bottom"/>
          </w:tcPr>
          <w:p w:rsidR="006D5E31" w14:paraId="6F50405B" w14:textId="09ABF0D1">
            <w:r w:rsidRPr="60926781">
              <w:rPr>
                <w:rFonts w:ascii="Arial" w:eastAsia="Arial" w:hAnsi="Arial" w:cs="Arial"/>
                <w:b/>
                <w:bCs/>
                <w:color w:val="FFFFFF" w:themeColor="background1"/>
                <w:sz w:val="18"/>
                <w:szCs w:val="18"/>
              </w:rPr>
              <w:t>Call Sign</w:t>
            </w:r>
          </w:p>
        </w:tc>
        <w:tc>
          <w:tcPr>
            <w:tcW w:w="2160" w:type="dxa"/>
            <w:tcBorders>
              <w:top w:val="single" w:sz="8" w:space="0" w:color="CCCCFF"/>
              <w:left w:val="single" w:sz="8" w:space="0" w:color="CCCCFF"/>
              <w:bottom w:val="single" w:sz="8" w:space="0" w:color="CCCCFF"/>
              <w:right w:val="single" w:sz="8" w:space="0" w:color="CCCCFF"/>
            </w:tcBorders>
            <w:shd w:val="clear" w:color="auto" w:fill="666699"/>
            <w:vAlign w:val="bottom"/>
          </w:tcPr>
          <w:p w:rsidR="006D5E31" w14:paraId="43737770" w14:textId="5F5144F5">
            <w:r w:rsidRPr="60926781">
              <w:rPr>
                <w:rFonts w:ascii="Arial" w:eastAsia="Arial" w:hAnsi="Arial" w:cs="Arial"/>
                <w:b/>
                <w:bCs/>
                <w:color w:val="FFFFFF" w:themeColor="background1"/>
                <w:sz w:val="18"/>
                <w:szCs w:val="18"/>
              </w:rPr>
              <w:t>Legal Entity Name</w:t>
            </w:r>
          </w:p>
        </w:tc>
      </w:tr>
      <w:tr w14:paraId="2466B251" w14:textId="77777777" w:rsidTr="00F7076B">
        <w:tblPrEx>
          <w:tblW w:w="9810" w:type="dxa"/>
          <w:tblInd w:w="-10" w:type="dxa"/>
          <w:tblLayout w:type="fixed"/>
          <w:tblLook w:val="04A0"/>
        </w:tblPrEx>
        <w:trPr>
          <w:trHeight w:val="360"/>
        </w:trPr>
        <w:tc>
          <w:tcPr>
            <w:tcW w:w="6480" w:type="dxa"/>
            <w:tcBorders>
              <w:top w:val="single" w:sz="8" w:space="0" w:color="CCCCFF"/>
              <w:left w:val="single" w:sz="8" w:space="0" w:color="CCCCFF"/>
              <w:right w:val="single" w:sz="8" w:space="0" w:color="CCCCFF"/>
            </w:tcBorders>
            <w:shd w:val="clear" w:color="auto" w:fill="FFFFFF" w:themeFill="background1"/>
            <w:vAlign w:val="bottom"/>
          </w:tcPr>
          <w:p w:rsidR="006D5E31" w14:paraId="25A852FB" w14:textId="4206BD10">
            <w:r w:rsidRPr="60926781">
              <w:rPr>
                <w:rFonts w:ascii="Arial" w:eastAsia="Arial" w:hAnsi="Arial" w:cs="Arial"/>
                <w:color w:val="000000" w:themeColor="text1"/>
                <w:sz w:val="18"/>
                <w:szCs w:val="18"/>
              </w:rPr>
              <w:t>0009714478</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0009714605</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0009714790</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0009714844</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0009714864</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0009715391</w:t>
            </w:r>
          </w:p>
          <w:p w:rsidR="006D5E31" w14:paraId="6B016B39" w14:textId="4ABF7CDC">
            <w:r w:rsidRPr="60926781">
              <w:rPr>
                <w:rFonts w:ascii="Arial" w:eastAsia="Arial" w:hAnsi="Arial" w:cs="Arial"/>
                <w:color w:val="000000" w:themeColor="text1"/>
                <w:sz w:val="18"/>
                <w:szCs w:val="18"/>
              </w:rPr>
              <w:t>0009744297</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0009744319</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0009744337</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0009744347</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0009744369</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0009744414</w:t>
            </w:r>
          </w:p>
          <w:p w:rsidR="006D5E31" w14:paraId="71723585" w14:textId="058B3028">
            <w:r w:rsidRPr="60926781">
              <w:rPr>
                <w:rFonts w:ascii="Arial" w:eastAsia="Arial" w:hAnsi="Arial" w:cs="Arial"/>
                <w:color w:val="000000" w:themeColor="text1"/>
                <w:sz w:val="18"/>
                <w:szCs w:val="18"/>
              </w:rPr>
              <w:t>0009744460</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0009744578</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0009744593</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0009744630</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0009744652</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0009744709</w:t>
            </w:r>
          </w:p>
          <w:p w:rsidR="006D5E31" w14:paraId="30FDD40D" w14:textId="18FC0A8F">
            <w:r w:rsidRPr="60926781">
              <w:rPr>
                <w:rFonts w:ascii="Arial" w:eastAsia="Arial" w:hAnsi="Arial" w:cs="Arial"/>
                <w:color w:val="000000" w:themeColor="text1"/>
                <w:sz w:val="18"/>
                <w:szCs w:val="18"/>
              </w:rPr>
              <w:t>0009744731</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0009744744</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0009744838</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0009744861</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0009744983</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0009744990</w:t>
            </w:r>
          </w:p>
          <w:p w:rsidR="006D5E31" w14:paraId="04CE9BD1" w14:textId="27680172">
            <w:r w:rsidRPr="60926781">
              <w:rPr>
                <w:rFonts w:ascii="Arial" w:eastAsia="Arial" w:hAnsi="Arial" w:cs="Arial"/>
                <w:color w:val="000000" w:themeColor="text1"/>
                <w:sz w:val="18"/>
                <w:szCs w:val="18"/>
              </w:rPr>
              <w:t>0009745000</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0009745021</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0009745053</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0009745080</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0009745097</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0009745139</w:t>
            </w:r>
          </w:p>
          <w:p w:rsidR="006D5E31" w14:paraId="4A9082CA" w14:textId="33C707D6">
            <w:r w:rsidRPr="60926781">
              <w:rPr>
                <w:rFonts w:ascii="Arial" w:eastAsia="Arial" w:hAnsi="Arial" w:cs="Arial"/>
                <w:color w:val="000000" w:themeColor="text1"/>
                <w:sz w:val="18"/>
                <w:szCs w:val="18"/>
              </w:rPr>
              <w:t>0009745275</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0009746434</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0009746435</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0009746449</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0009746761</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0009746776</w:t>
            </w:r>
          </w:p>
          <w:p w:rsidR="006D5E31" w14:paraId="049775F0" w14:textId="113CD534">
            <w:r w:rsidRPr="60926781">
              <w:rPr>
                <w:rFonts w:ascii="Arial" w:eastAsia="Arial" w:hAnsi="Arial" w:cs="Arial"/>
                <w:color w:val="000000" w:themeColor="text1"/>
                <w:sz w:val="18"/>
                <w:szCs w:val="18"/>
              </w:rPr>
              <w:t>0009746844</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0009746861</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0009746915</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0009746932</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0009746975</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0009746992</w:t>
            </w:r>
          </w:p>
          <w:p w:rsidR="006D5E31" w14:paraId="33D3FA97" w14:textId="0F55DCD8">
            <w:r w:rsidRPr="60926781">
              <w:rPr>
                <w:rFonts w:ascii="Arial" w:eastAsia="Arial" w:hAnsi="Arial" w:cs="Arial"/>
                <w:color w:val="000000" w:themeColor="text1"/>
                <w:sz w:val="18"/>
                <w:szCs w:val="18"/>
              </w:rPr>
              <w:t>0009748858</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0009748869</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0009748877</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0009748878</w:t>
            </w:r>
            <w:r w:rsidR="00BF44BC">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0009748881</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0009748899</w:t>
            </w:r>
          </w:p>
          <w:p w:rsidR="006D5E31" w14:paraId="2F67E80F" w14:textId="3C032910">
            <w:r w:rsidRPr="60926781">
              <w:rPr>
                <w:rFonts w:ascii="Arial" w:eastAsia="Arial" w:hAnsi="Arial" w:cs="Arial"/>
                <w:color w:val="000000" w:themeColor="text1"/>
                <w:sz w:val="18"/>
                <w:szCs w:val="18"/>
              </w:rPr>
              <w:t>0009748931</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0009748938</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0009748948</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0009749695</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0009749738</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0009749744</w:t>
            </w:r>
          </w:p>
          <w:p w:rsidR="006D5E31" w14:paraId="29289B48" w14:textId="5ABDC144">
            <w:r w:rsidRPr="60926781">
              <w:rPr>
                <w:rFonts w:ascii="Arial" w:eastAsia="Arial" w:hAnsi="Arial" w:cs="Arial"/>
                <w:color w:val="000000" w:themeColor="text1"/>
                <w:sz w:val="18"/>
                <w:szCs w:val="18"/>
              </w:rPr>
              <w:t>0009749748</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0009749763</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0009749765</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0009749767</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0009749778</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0009749782</w:t>
            </w:r>
          </w:p>
          <w:p w:rsidR="006D5E31" w14:paraId="2CF03250" w14:textId="1A8CEE14">
            <w:r w:rsidRPr="60926781">
              <w:rPr>
                <w:rFonts w:ascii="Arial" w:eastAsia="Arial" w:hAnsi="Arial" w:cs="Arial"/>
                <w:color w:val="000000" w:themeColor="text1"/>
                <w:sz w:val="18"/>
                <w:szCs w:val="18"/>
              </w:rPr>
              <w:t>0009749789</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0009753306</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0009753314</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0009753321</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0009753326</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0009753341</w:t>
            </w:r>
          </w:p>
          <w:p w:rsidR="006D5E31" w14:paraId="270989E5" w14:textId="0ED9534A">
            <w:r w:rsidRPr="60926781">
              <w:rPr>
                <w:rFonts w:ascii="Arial" w:eastAsia="Arial" w:hAnsi="Arial" w:cs="Arial"/>
                <w:color w:val="000000" w:themeColor="text1"/>
                <w:sz w:val="18"/>
                <w:szCs w:val="18"/>
              </w:rPr>
              <w:t>0009753347</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0009753354</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0009753388</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0009753392</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0009757666</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0009757695</w:t>
            </w:r>
          </w:p>
          <w:p w:rsidR="006D5E31" w14:paraId="330B72E5" w14:textId="1BB7CF3D">
            <w:r w:rsidRPr="60926781">
              <w:rPr>
                <w:rFonts w:ascii="Arial" w:eastAsia="Arial" w:hAnsi="Arial" w:cs="Arial"/>
                <w:color w:val="000000" w:themeColor="text1"/>
                <w:sz w:val="18"/>
                <w:szCs w:val="18"/>
              </w:rPr>
              <w:t>0009757712</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0009757720</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0009757728</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0009757740</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0009757747</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0009757753</w:t>
            </w:r>
          </w:p>
          <w:p w:rsidR="006D5E31" w14:paraId="7F0721DE" w14:textId="18655EA9">
            <w:r w:rsidRPr="60926781">
              <w:rPr>
                <w:rFonts w:ascii="Arial" w:eastAsia="Arial" w:hAnsi="Arial" w:cs="Arial"/>
                <w:color w:val="000000" w:themeColor="text1"/>
                <w:sz w:val="18"/>
                <w:szCs w:val="18"/>
              </w:rPr>
              <w:t>0009757760</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0009841930</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0009842007</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0009842067</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0009842096</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0009842143</w:t>
            </w:r>
          </w:p>
          <w:p w:rsidR="006D5E31" w14:paraId="7115488C" w14:textId="74BD6624">
            <w:r w:rsidRPr="60926781">
              <w:rPr>
                <w:rFonts w:ascii="Arial" w:eastAsia="Arial" w:hAnsi="Arial" w:cs="Arial"/>
                <w:color w:val="000000" w:themeColor="text1"/>
                <w:sz w:val="18"/>
                <w:szCs w:val="18"/>
              </w:rPr>
              <w:t>0009842153</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0009842162</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0009856610</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0009856647</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0009856693</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0009856754</w:t>
            </w:r>
          </w:p>
          <w:p w:rsidR="006D5E31" w14:paraId="5E593FAF" w14:textId="0ECE88AC">
            <w:r w:rsidRPr="60926781">
              <w:rPr>
                <w:rFonts w:ascii="Arial" w:eastAsia="Arial" w:hAnsi="Arial" w:cs="Arial"/>
                <w:color w:val="000000" w:themeColor="text1"/>
                <w:sz w:val="18"/>
                <w:szCs w:val="18"/>
              </w:rPr>
              <w:t>0009856807</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0009869883</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0009870822</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0009870853</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0009870854</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0009870855</w:t>
            </w:r>
          </w:p>
          <w:p w:rsidR="006D5E31" w14:paraId="6B1AA910" w14:textId="7ECDC4AC">
            <w:r w:rsidRPr="60926781">
              <w:rPr>
                <w:rFonts w:ascii="Arial" w:eastAsia="Arial" w:hAnsi="Arial" w:cs="Arial"/>
                <w:color w:val="000000" w:themeColor="text1"/>
                <w:sz w:val="18"/>
                <w:szCs w:val="18"/>
              </w:rPr>
              <w:t>0009870859</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0009870864</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0009870869</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0009870873</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0009871104</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0009871151</w:t>
            </w:r>
          </w:p>
          <w:p w:rsidR="006D5E31" w14:paraId="5D92313A" w14:textId="79061BFC">
            <w:r w:rsidRPr="60926781">
              <w:rPr>
                <w:rFonts w:ascii="Arial" w:eastAsia="Arial" w:hAnsi="Arial" w:cs="Arial"/>
                <w:color w:val="000000" w:themeColor="text1"/>
                <w:sz w:val="18"/>
                <w:szCs w:val="18"/>
              </w:rPr>
              <w:t>0009871198</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0009871340</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0009871416</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0009871446</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0009871630</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0009871656</w:t>
            </w:r>
          </w:p>
          <w:p w:rsidR="006D5E31" w14:paraId="1792F291" w14:textId="07BABF6F">
            <w:r w:rsidRPr="60926781">
              <w:rPr>
                <w:rFonts w:ascii="Arial" w:eastAsia="Arial" w:hAnsi="Arial" w:cs="Arial"/>
                <w:color w:val="000000" w:themeColor="text1"/>
                <w:sz w:val="18"/>
                <w:szCs w:val="18"/>
              </w:rPr>
              <w:t>0009871682</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0009875485</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0009875530</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0009875549</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0009875579</w:t>
            </w:r>
            <w:r w:rsidR="00F7076B">
              <w:rPr>
                <w:rFonts w:ascii="Arial" w:eastAsia="Arial" w:hAnsi="Arial" w:cs="Arial"/>
                <w:color w:val="000000" w:themeColor="text1"/>
                <w:sz w:val="18"/>
                <w:szCs w:val="18"/>
              </w:rPr>
              <w:t>,</w:t>
            </w:r>
            <w:r w:rsidRPr="60926781">
              <w:rPr>
                <w:rFonts w:ascii="Arial" w:eastAsia="Arial" w:hAnsi="Arial" w:cs="Arial"/>
                <w:color w:val="000000" w:themeColor="text1"/>
                <w:sz w:val="18"/>
                <w:szCs w:val="18"/>
              </w:rPr>
              <w:t>0009875614</w:t>
            </w:r>
          </w:p>
          <w:p w:rsidR="006D5E31" w:rsidP="0044628D" w14:paraId="747F364A" w14:textId="7B70535A">
            <w:r w:rsidRPr="60926781">
              <w:rPr>
                <w:rFonts w:ascii="Arial" w:eastAsia="Arial" w:hAnsi="Arial" w:cs="Arial"/>
                <w:color w:val="000000" w:themeColor="text1"/>
                <w:sz w:val="18"/>
                <w:szCs w:val="18"/>
              </w:rPr>
              <w:t>0009875630</w:t>
            </w:r>
          </w:p>
        </w:tc>
        <w:tc>
          <w:tcPr>
            <w:tcW w:w="1170" w:type="dxa"/>
            <w:tcBorders>
              <w:top w:val="single" w:sz="8" w:space="0" w:color="CCCCFF"/>
              <w:left w:val="single" w:sz="8" w:space="0" w:color="CCCCFF"/>
              <w:bottom w:val="single" w:sz="8" w:space="0" w:color="CCCCFF"/>
              <w:right w:val="single" w:sz="8" w:space="0" w:color="CCCCFF"/>
            </w:tcBorders>
            <w:shd w:val="clear" w:color="auto" w:fill="FFFFFF" w:themeFill="background1"/>
            <w:vAlign w:val="center"/>
          </w:tcPr>
          <w:p w:rsidR="006D5E31" w14:paraId="1B6E885C" w14:textId="4FC412A9">
            <w:r w:rsidRPr="60926781">
              <w:rPr>
                <w:rFonts w:ascii="Arial" w:eastAsia="Arial" w:hAnsi="Arial" w:cs="Arial"/>
                <w:color w:val="000000" w:themeColor="text1"/>
                <w:sz w:val="18"/>
                <w:szCs w:val="18"/>
              </w:rPr>
              <w:t>WRAT914</w:t>
            </w:r>
          </w:p>
        </w:tc>
        <w:tc>
          <w:tcPr>
            <w:tcW w:w="2160" w:type="dxa"/>
            <w:tcBorders>
              <w:top w:val="single" w:sz="8" w:space="0" w:color="CCCCFF"/>
              <w:left w:val="single" w:sz="8" w:space="0" w:color="CCCCFF"/>
              <w:bottom w:val="single" w:sz="8" w:space="0" w:color="CCCCFF"/>
              <w:right w:val="single" w:sz="8" w:space="0" w:color="CCCCFF"/>
            </w:tcBorders>
            <w:shd w:val="clear" w:color="auto" w:fill="FFFFFF" w:themeFill="background1"/>
            <w:vAlign w:val="center"/>
          </w:tcPr>
          <w:p w:rsidR="006D5E31" w14:paraId="40D6CB28" w14:textId="482DE194">
            <w:r w:rsidRPr="60926781">
              <w:rPr>
                <w:rFonts w:ascii="Arial" w:eastAsia="Arial" w:hAnsi="Arial" w:cs="Arial"/>
                <w:color w:val="000000" w:themeColor="text1"/>
                <w:sz w:val="18"/>
                <w:szCs w:val="18"/>
              </w:rPr>
              <w:t>Georgia, State of</w:t>
            </w:r>
          </w:p>
        </w:tc>
      </w:tr>
      <w:tr w14:paraId="73CFC49E" w14:textId="77777777" w:rsidTr="00BF44BC">
        <w:tblPrEx>
          <w:tblW w:w="9810" w:type="dxa"/>
          <w:tblInd w:w="-10" w:type="dxa"/>
          <w:tblLayout w:type="fixed"/>
          <w:tblLook w:val="04A0"/>
        </w:tblPrEx>
        <w:trPr>
          <w:trHeight w:val="360"/>
        </w:trPr>
        <w:tc>
          <w:tcPr>
            <w:tcW w:w="6480" w:type="dxa"/>
            <w:tcBorders>
              <w:top w:val="single" w:sz="8" w:space="0" w:color="CCCCFF"/>
              <w:left w:val="single" w:sz="8" w:space="0" w:color="CCCCFF"/>
              <w:bottom w:val="single" w:sz="8" w:space="0" w:color="CCCCFF"/>
              <w:right w:val="single" w:sz="8" w:space="0" w:color="CCCCFF"/>
            </w:tcBorders>
            <w:shd w:val="clear" w:color="auto" w:fill="FFFFFF" w:themeFill="background1"/>
            <w:vAlign w:val="bottom"/>
          </w:tcPr>
          <w:p w:rsidR="006D5E31" w14:paraId="52482055" w14:textId="7619EED9">
            <w:r w:rsidRPr="60926781">
              <w:rPr>
                <w:rFonts w:ascii="Arial" w:eastAsia="Arial" w:hAnsi="Arial" w:cs="Arial"/>
                <w:color w:val="000000" w:themeColor="text1"/>
                <w:sz w:val="18"/>
                <w:szCs w:val="18"/>
              </w:rPr>
              <w:t xml:space="preserve"> </w:t>
            </w:r>
          </w:p>
        </w:tc>
        <w:tc>
          <w:tcPr>
            <w:tcW w:w="1170" w:type="dxa"/>
            <w:tcBorders>
              <w:top w:val="single" w:sz="8" w:space="0" w:color="CCCCFF"/>
              <w:left w:val="single" w:sz="8" w:space="0" w:color="CCCCFF"/>
              <w:bottom w:val="single" w:sz="8" w:space="0" w:color="CCCCFF"/>
              <w:right w:val="single" w:sz="8" w:space="0" w:color="CCCCFF"/>
            </w:tcBorders>
            <w:shd w:val="clear" w:color="auto" w:fill="FFFFFF" w:themeFill="background1"/>
            <w:vAlign w:val="bottom"/>
          </w:tcPr>
          <w:p w:rsidR="006D5E31" w14:paraId="787E7C61" w14:textId="027D7AE2">
            <w:r w:rsidRPr="60926781">
              <w:rPr>
                <w:rFonts w:ascii="Arial" w:eastAsia="Arial" w:hAnsi="Arial" w:cs="Arial"/>
                <w:color w:val="000000" w:themeColor="text1"/>
                <w:sz w:val="18"/>
                <w:szCs w:val="18"/>
              </w:rPr>
              <w:t xml:space="preserve"> </w:t>
            </w:r>
          </w:p>
        </w:tc>
        <w:tc>
          <w:tcPr>
            <w:tcW w:w="2160" w:type="dxa"/>
            <w:tcBorders>
              <w:top w:val="single" w:sz="8" w:space="0" w:color="CCCCFF"/>
              <w:left w:val="single" w:sz="8" w:space="0" w:color="CCCCFF"/>
              <w:bottom w:val="single" w:sz="8" w:space="0" w:color="CCCCFF"/>
              <w:right w:val="single" w:sz="8" w:space="0" w:color="CCCCFF"/>
            </w:tcBorders>
            <w:shd w:val="clear" w:color="auto" w:fill="FFFFFF" w:themeFill="background1"/>
            <w:vAlign w:val="bottom"/>
          </w:tcPr>
          <w:p w:rsidR="006D5E31" w14:paraId="10012017" w14:textId="20D5F18E">
            <w:r w:rsidRPr="60926781">
              <w:rPr>
                <w:rFonts w:ascii="Arial" w:eastAsia="Arial" w:hAnsi="Arial" w:cs="Arial"/>
                <w:color w:val="000000" w:themeColor="text1"/>
                <w:sz w:val="18"/>
                <w:szCs w:val="18"/>
              </w:rPr>
              <w:t xml:space="preserve"> </w:t>
            </w:r>
          </w:p>
        </w:tc>
      </w:tr>
      <w:tr w14:paraId="4EB611BA" w14:textId="77777777" w:rsidTr="00BF44BC">
        <w:tblPrEx>
          <w:tblW w:w="9810" w:type="dxa"/>
          <w:tblInd w:w="-10" w:type="dxa"/>
          <w:tblLayout w:type="fixed"/>
          <w:tblLook w:val="04A0"/>
        </w:tblPrEx>
        <w:trPr>
          <w:trHeight w:val="360"/>
        </w:trPr>
        <w:tc>
          <w:tcPr>
            <w:tcW w:w="6480" w:type="dxa"/>
            <w:tcBorders>
              <w:top w:val="single" w:sz="8" w:space="0" w:color="CCCCFF"/>
              <w:left w:val="single" w:sz="8" w:space="0" w:color="CCCCFF"/>
              <w:bottom w:val="single" w:sz="8" w:space="0" w:color="CCCCFF"/>
              <w:right w:val="single" w:sz="8" w:space="0" w:color="CCCCFF"/>
            </w:tcBorders>
            <w:shd w:val="clear" w:color="auto" w:fill="666699"/>
            <w:vAlign w:val="bottom"/>
          </w:tcPr>
          <w:p w:rsidR="006D5E31" w14:paraId="4C7FAE25" w14:textId="3FA2D73A">
            <w:r w:rsidRPr="60926781">
              <w:rPr>
                <w:rFonts w:ascii="Arial" w:eastAsia="Arial" w:hAnsi="Arial" w:cs="Arial"/>
                <w:b/>
                <w:bCs/>
                <w:color w:val="FFFFFF" w:themeColor="background1"/>
                <w:sz w:val="18"/>
                <w:szCs w:val="18"/>
              </w:rPr>
              <w:t>File Number</w:t>
            </w:r>
          </w:p>
        </w:tc>
        <w:tc>
          <w:tcPr>
            <w:tcW w:w="1170" w:type="dxa"/>
            <w:tcBorders>
              <w:top w:val="single" w:sz="8" w:space="0" w:color="CCCCFF"/>
              <w:left w:val="single" w:sz="8" w:space="0" w:color="CCCCFF"/>
              <w:bottom w:val="single" w:sz="8" w:space="0" w:color="CCCCFF"/>
              <w:right w:val="single" w:sz="8" w:space="0" w:color="CCCCFF"/>
            </w:tcBorders>
            <w:shd w:val="clear" w:color="auto" w:fill="666699"/>
            <w:vAlign w:val="bottom"/>
          </w:tcPr>
          <w:p w:rsidR="006D5E31" w14:paraId="1C640573" w14:textId="248A5666">
            <w:r w:rsidRPr="60926781">
              <w:rPr>
                <w:rFonts w:ascii="Arial" w:eastAsia="Arial" w:hAnsi="Arial" w:cs="Arial"/>
                <w:b/>
                <w:bCs/>
                <w:color w:val="FFFFFF" w:themeColor="background1"/>
                <w:sz w:val="18"/>
                <w:szCs w:val="18"/>
              </w:rPr>
              <w:t>Call Sign</w:t>
            </w:r>
          </w:p>
        </w:tc>
        <w:tc>
          <w:tcPr>
            <w:tcW w:w="2160" w:type="dxa"/>
            <w:tcBorders>
              <w:top w:val="single" w:sz="8" w:space="0" w:color="CCCCFF"/>
              <w:left w:val="single" w:sz="8" w:space="0" w:color="CCCCFF"/>
              <w:bottom w:val="single" w:sz="8" w:space="0" w:color="CCCCFF"/>
              <w:right w:val="single" w:sz="8" w:space="0" w:color="CCCCFF"/>
            </w:tcBorders>
            <w:shd w:val="clear" w:color="auto" w:fill="666699"/>
            <w:vAlign w:val="bottom"/>
          </w:tcPr>
          <w:p w:rsidR="006D5E31" w14:paraId="1B4123A1" w14:textId="257C4460">
            <w:r w:rsidRPr="60926781">
              <w:rPr>
                <w:rFonts w:ascii="Arial" w:eastAsia="Arial" w:hAnsi="Arial" w:cs="Arial"/>
                <w:b/>
                <w:bCs/>
                <w:color w:val="FFFFFF" w:themeColor="background1"/>
                <w:sz w:val="18"/>
                <w:szCs w:val="18"/>
              </w:rPr>
              <w:t>Legal Entity Name</w:t>
            </w:r>
          </w:p>
        </w:tc>
      </w:tr>
      <w:tr w14:paraId="0ACE489A" w14:textId="77777777" w:rsidTr="005509D7">
        <w:tblPrEx>
          <w:tblW w:w="9810" w:type="dxa"/>
          <w:tblInd w:w="-10" w:type="dxa"/>
          <w:tblLayout w:type="fixed"/>
          <w:tblLook w:val="04A0"/>
        </w:tblPrEx>
        <w:trPr>
          <w:trHeight w:val="360"/>
        </w:trPr>
        <w:tc>
          <w:tcPr>
            <w:tcW w:w="6480" w:type="dxa"/>
            <w:tcBorders>
              <w:top w:val="single" w:sz="8" w:space="0" w:color="CCCCFF"/>
              <w:left w:val="single" w:sz="8" w:space="0" w:color="CCCCFF"/>
              <w:bottom w:val="single" w:sz="8" w:space="0" w:color="CCCCFF"/>
              <w:right w:val="single" w:sz="8" w:space="0" w:color="CCCCFF"/>
            </w:tcBorders>
            <w:shd w:val="clear" w:color="auto" w:fill="FFFFFF" w:themeFill="background1"/>
            <w:vAlign w:val="bottom"/>
          </w:tcPr>
          <w:p w:rsidR="006D5E31" w14:paraId="6B6AEA6A" w14:textId="67A5B46D">
            <w:r w:rsidRPr="60926781">
              <w:rPr>
                <w:rFonts w:ascii="Arial" w:eastAsia="Arial" w:hAnsi="Arial" w:cs="Arial"/>
                <w:color w:val="000000" w:themeColor="text1"/>
                <w:sz w:val="18"/>
                <w:szCs w:val="18"/>
              </w:rPr>
              <w:t>0009957505</w:t>
            </w:r>
          </w:p>
        </w:tc>
        <w:tc>
          <w:tcPr>
            <w:tcW w:w="1170" w:type="dxa"/>
            <w:tcBorders>
              <w:top w:val="single" w:sz="8" w:space="0" w:color="CCCCFF"/>
              <w:left w:val="single" w:sz="8" w:space="0" w:color="CCCCFF"/>
              <w:bottom w:val="single" w:sz="8" w:space="0" w:color="CCCCFF"/>
              <w:right w:val="single" w:sz="8" w:space="0" w:color="CCCCFF"/>
            </w:tcBorders>
            <w:shd w:val="clear" w:color="auto" w:fill="FFFFFF" w:themeFill="background1"/>
            <w:vAlign w:val="center"/>
          </w:tcPr>
          <w:p w:rsidR="006D5E31" w14:paraId="59EC948F" w14:textId="21338F4E">
            <w:r w:rsidRPr="60926781">
              <w:rPr>
                <w:rFonts w:ascii="Arial" w:eastAsia="Arial" w:hAnsi="Arial" w:cs="Arial"/>
                <w:color w:val="000000" w:themeColor="text1"/>
                <w:sz w:val="18"/>
                <w:szCs w:val="18"/>
              </w:rPr>
              <w:t>WRKJ514</w:t>
            </w:r>
          </w:p>
        </w:tc>
        <w:tc>
          <w:tcPr>
            <w:tcW w:w="2160" w:type="dxa"/>
            <w:tcBorders>
              <w:top w:val="single" w:sz="8" w:space="0" w:color="CCCCFF"/>
              <w:left w:val="single" w:sz="8" w:space="0" w:color="CCCCFF"/>
              <w:bottom w:val="single" w:sz="8" w:space="0" w:color="CCCCFF"/>
              <w:right w:val="single" w:sz="8" w:space="0" w:color="CCCCFF"/>
            </w:tcBorders>
            <w:shd w:val="clear" w:color="auto" w:fill="FFFFFF" w:themeFill="background1"/>
            <w:vAlign w:val="bottom"/>
          </w:tcPr>
          <w:p w:rsidR="006D5E31" w14:paraId="3EB5C810" w14:textId="695F3282">
            <w:r w:rsidRPr="60926781">
              <w:rPr>
                <w:rFonts w:ascii="Arial" w:eastAsia="Arial" w:hAnsi="Arial" w:cs="Arial"/>
                <w:color w:val="000000" w:themeColor="text1"/>
                <w:sz w:val="18"/>
                <w:szCs w:val="18"/>
              </w:rPr>
              <w:t>Maryland State Highway Administration</w:t>
            </w:r>
          </w:p>
        </w:tc>
      </w:tr>
    </w:tbl>
    <w:p w:rsidR="00F83F7F" w:rsidP="60926781" w14:paraId="7A7C33DC" w14:textId="76F78C1E">
      <w:pPr>
        <w:spacing w:line="257" w:lineRule="auto"/>
        <w:rPr>
          <w:rFonts w:ascii="Calibri" w:eastAsia="Calibri" w:hAnsi="Calibri" w:cs="Calibri"/>
          <w:szCs w:val="22"/>
        </w:rPr>
      </w:pPr>
    </w:p>
    <w:p w:rsidR="00F83F7F" w:rsidP="60926781" w14:paraId="38D054C1" w14:textId="1A28B853">
      <w:pPr>
        <w:rPr>
          <w:szCs w:val="22"/>
        </w:rPr>
      </w:pPr>
    </w:p>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549C" w14:paraId="69A7DFD0" w14:textId="77777777">
    <w:pPr>
      <w:pStyle w:val="Footer"/>
      <w:framePr w:wrap="around" w:vAnchor="text" w:hAnchor="margin" w:xAlign="center" w:y="1"/>
    </w:pPr>
    <w:r>
      <w:fldChar w:fldCharType="begin"/>
    </w:r>
    <w:r>
      <w:instrText xml:space="preserve">PAGE  </w:instrText>
    </w:r>
    <w:r w:rsidR="00D70587">
      <w:fldChar w:fldCharType="separate"/>
    </w:r>
    <w:r>
      <w:fldChar w:fldCharType="end"/>
    </w:r>
  </w:p>
  <w:p w:rsidR="0055549C" w14:paraId="68420FD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549C" w14:paraId="5EF523E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549C" w14:paraId="0BA8995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C1402" w14:paraId="36287F93" w14:textId="77777777">
      <w:r>
        <w:separator/>
      </w:r>
    </w:p>
  </w:footnote>
  <w:footnote w:type="continuationSeparator" w:id="1">
    <w:p w:rsidR="00FC1402" w14:paraId="4C8F000C" w14:textId="77777777">
      <w:pPr>
        <w:rPr>
          <w:sz w:val="20"/>
        </w:rPr>
      </w:pPr>
      <w:r>
        <w:rPr>
          <w:sz w:val="20"/>
        </w:rPr>
        <w:t xml:space="preserve">(Continued from previous page)  </w:t>
      </w:r>
      <w:r>
        <w:rPr>
          <w:sz w:val="20"/>
        </w:rPr>
        <w:separator/>
      </w:r>
    </w:p>
  </w:footnote>
  <w:footnote w:type="continuationNotice" w:id="2">
    <w:p w:rsidR="00FC1402" w14:paraId="49CAD5CA" w14:textId="77777777">
      <w:pPr>
        <w:jc w:val="right"/>
        <w:rPr>
          <w:sz w:val="20"/>
        </w:rPr>
      </w:pPr>
      <w:r>
        <w:rPr>
          <w:sz w:val="20"/>
        </w:rPr>
        <w:t>(continued….)</w:t>
      </w:r>
    </w:p>
  </w:footnote>
  <w:footnote w:id="3">
    <w:p w:rsidR="005C17E4" w:rsidP="009D405C" w14:paraId="55DB2EC6" w14:textId="5323E6FD">
      <w:pPr>
        <w:pStyle w:val="FootnoteText"/>
      </w:pPr>
      <w:r>
        <w:rPr>
          <w:rStyle w:val="FootnoteReference"/>
        </w:rPr>
        <w:footnoteRef/>
      </w:r>
      <w:r w:rsidR="568F2CB0">
        <w:t xml:space="preserve"> </w:t>
      </w:r>
      <w:r w:rsidRPr="568F2CB0" w:rsidR="568F2CB0">
        <w:rPr>
          <w:i/>
          <w:iCs/>
        </w:rPr>
        <w:t xml:space="preserve">See </w:t>
      </w:r>
      <w:r w:rsidR="568F2CB0">
        <w:t>Florida Request for Waiver</w:t>
      </w:r>
      <w:r w:rsidR="000853B0">
        <w:t xml:space="preserve"> and </w:t>
      </w:r>
      <w:r w:rsidR="00A46F54">
        <w:t xml:space="preserve">Waiver </w:t>
      </w:r>
      <w:r w:rsidR="000853B0">
        <w:t>Supplement</w:t>
      </w:r>
      <w:r w:rsidR="007A5A82">
        <w:t xml:space="preserve"> for Call Sign WQBS</w:t>
      </w:r>
      <w:r w:rsidR="00652550">
        <w:t>407</w:t>
      </w:r>
      <w:r w:rsidR="568F2CB0">
        <w:t xml:space="preserve">: </w:t>
      </w:r>
      <w:hyperlink r:id="rId1" w:history="1">
        <w:r w:rsidRPr="007D745A" w:rsidR="568F2CB0">
          <w:rPr>
            <w:rStyle w:val="Hyperlink"/>
          </w:rPr>
          <w:t>https://wireless2.fcc.gov/UlsEntry/attachments/attachmentViewRD.jsp;ATTACHMENTS=n11rv1dGLFqTJyRt8Dh7JDXtr1rwy3fKLTPvhjLtglhFpQTDyQrV!560130442!1071318750?applType=search&amp;fileKey=824024548&amp;attachmentKey=21437925&amp;attachmentInd=applAttach</w:t>
        </w:r>
      </w:hyperlink>
      <w:r w:rsidR="006F7172">
        <w:rPr>
          <w:rStyle w:val="Hyperlink"/>
        </w:rPr>
        <w:t xml:space="preserve"> </w:t>
      </w:r>
      <w:r w:rsidR="00897979">
        <w:rPr>
          <w:rStyle w:val="Hyperlink"/>
          <w:color w:val="auto"/>
          <w:u w:val="none"/>
        </w:rPr>
        <w:t>and</w:t>
      </w:r>
      <w:r w:rsidR="006F7172">
        <w:rPr>
          <w:rStyle w:val="Hyperlink"/>
        </w:rPr>
        <w:t xml:space="preserve"> </w:t>
      </w:r>
      <w:r w:rsidRPr="006F7172" w:rsidR="006F7172">
        <w:rPr>
          <w:rStyle w:val="Hyperlink"/>
        </w:rPr>
        <w:t>https://wireless2.fcc.gov/UlsEntry/attachments/attachmentViewRD.jsp?applType=search&amp;fileKey=380862473&amp;attachmentKey=21490155&amp;attachmentInd=applAttach</w:t>
      </w:r>
      <w:r w:rsidR="568F2CB0">
        <w:t>; Georgia Request for Waiver</w:t>
      </w:r>
      <w:r w:rsidR="000853B0">
        <w:t xml:space="preserve"> and </w:t>
      </w:r>
      <w:r w:rsidR="00A46F54">
        <w:t xml:space="preserve">Waiver </w:t>
      </w:r>
      <w:r w:rsidR="000853B0">
        <w:t>Supplement</w:t>
      </w:r>
      <w:r w:rsidR="00965402">
        <w:t xml:space="preserve"> for Call Sign WRAT914</w:t>
      </w:r>
      <w:r w:rsidR="568F2CB0">
        <w:t xml:space="preserve">: </w:t>
      </w:r>
      <w:hyperlink r:id="rId2" w:history="1">
        <w:r w:rsidRPr="007D745A" w:rsidR="568F2CB0">
          <w:rPr>
            <w:rStyle w:val="Hyperlink"/>
          </w:rPr>
          <w:t>https://wireless2.fcc.gov/UlsEntry/attachments/attachmentViewRD.jsp?applType=search&amp;fileKey=488583324&amp;attachmentKey=21298366&amp;attachmentInd=applAttach</w:t>
        </w:r>
      </w:hyperlink>
      <w:r w:rsidR="000D33BD">
        <w:t xml:space="preserve"> and </w:t>
      </w:r>
      <w:hyperlink r:id="rId3" w:history="1">
        <w:r w:rsidRPr="006333B8" w:rsidR="00897979">
          <w:rPr>
            <w:rStyle w:val="Hyperlink"/>
          </w:rPr>
          <w:t>https://wireless2.fcc.gov/UlsEntry/attachments/attachmentViewRD.jsp?applType=search&amp;fileKey=699457663&amp;attachmentKey=21490180&amp;attachmentInd=applAttach</w:t>
        </w:r>
      </w:hyperlink>
      <w:r w:rsidR="568F2CB0">
        <w:t>; and Maryland Request for Waiver</w:t>
      </w:r>
      <w:r w:rsidR="00AB7D1A">
        <w:t xml:space="preserve"> </w:t>
      </w:r>
      <w:r w:rsidR="000853B0">
        <w:t xml:space="preserve">and </w:t>
      </w:r>
      <w:r w:rsidR="00A46F54">
        <w:t xml:space="preserve">Waiver </w:t>
      </w:r>
      <w:r w:rsidR="000853B0">
        <w:t xml:space="preserve">Supplement </w:t>
      </w:r>
      <w:r w:rsidR="00AB7D1A">
        <w:t>for Call Sign</w:t>
      </w:r>
      <w:r w:rsidR="00DD4D34">
        <w:t>WRKJ514:</w:t>
      </w:r>
      <w:r w:rsidR="568F2CB0">
        <w:t xml:space="preserve"> </w:t>
      </w:r>
      <w:r w:rsidRPr="00937577" w:rsidR="568F2CB0">
        <w:rPr>
          <w:rStyle w:val="Hyperlink"/>
        </w:rPr>
        <w:t>https://wireless2.fcc.gov/UlsEntry/attachments/attachmentViewRD.jsp?applType=search&amp;fileKey=62040067&amp;attachmentKey=21435297&amp;attachmentInd=applAttach</w:t>
      </w:r>
      <w:r w:rsidR="568F2CB0">
        <w:t xml:space="preserve"> </w:t>
      </w:r>
      <w:r w:rsidR="00DF1275">
        <w:t xml:space="preserve">and </w:t>
      </w:r>
      <w:hyperlink r:id="rId4" w:history="1">
        <w:r w:rsidRPr="006333B8" w:rsidR="00897979">
          <w:rPr>
            <w:rStyle w:val="Hyperlink"/>
          </w:rPr>
          <w:t>https://wireless2.fcc.gov/UlsEntry/attachments/attachmentViewRD.jsp;ATTACHMENTS=8T6wvP6cNSKjHVnXfkhyB6RyWQyvjBvwpQKcGdSjCVtkpy8gzF7K!560130442!1071318750?applType=search&amp;fileKey=470416313&amp;attachmentKey=21488488&amp;attachmentInd=applAttach</w:t>
        </w:r>
      </w:hyperlink>
      <w:r w:rsidR="00897979">
        <w:t xml:space="preserve"> </w:t>
      </w:r>
      <w:r w:rsidR="568F2CB0">
        <w:t xml:space="preserve">(collectively </w:t>
      </w:r>
      <w:r w:rsidRPr="568F2CB0" w:rsidR="568F2CB0">
        <w:rPr>
          <w:i/>
          <w:iCs/>
        </w:rPr>
        <w:t>Waivers</w:t>
      </w:r>
      <w:r w:rsidR="568F2CB0">
        <w:t>).  We have attached a list of the file numbers associated with the</w:t>
      </w:r>
      <w:r w:rsidR="00C3785B">
        <w:t xml:space="preserve"> </w:t>
      </w:r>
      <w:r w:rsidRPr="007D67D4" w:rsidR="00C3785B">
        <w:rPr>
          <w:i/>
          <w:iCs/>
        </w:rPr>
        <w:t>W</w:t>
      </w:r>
      <w:r w:rsidRPr="007D67D4" w:rsidR="568F2CB0">
        <w:rPr>
          <w:i/>
          <w:iCs/>
        </w:rPr>
        <w:t>aivers</w:t>
      </w:r>
      <w:r w:rsidR="568F2CB0">
        <w:t xml:space="preserve"> to the end of this Public Notice.</w:t>
      </w:r>
    </w:p>
  </w:footnote>
  <w:footnote w:id="4">
    <w:p w:rsidR="00336E0A" w:rsidRPr="004F4139" w:rsidP="568F2CB0" w14:paraId="3ED8ABBE" w14:textId="5DE6EA04">
      <w:pPr>
        <w:suppressAutoHyphens/>
        <w:spacing w:after="120"/>
      </w:pPr>
      <w:r w:rsidRPr="568F2CB0">
        <w:rPr>
          <w:rStyle w:val="FootnoteReference"/>
          <w:sz w:val="20"/>
        </w:rPr>
        <w:footnoteRef/>
      </w:r>
      <w:r w:rsidRPr="568F2CB0" w:rsidR="568F2CB0">
        <w:rPr>
          <w:sz w:val="20"/>
        </w:rPr>
        <w:t xml:space="preserve"> </w:t>
      </w:r>
      <w:r w:rsidRPr="568F2CB0" w:rsidR="568F2CB0">
        <w:rPr>
          <w:i/>
          <w:iCs/>
          <w:sz w:val="20"/>
        </w:rPr>
        <w:t>Use of the 5.850-5.925 GHz Band</w:t>
      </w:r>
      <w:r w:rsidRPr="568F2CB0" w:rsidR="568F2CB0">
        <w:rPr>
          <w:sz w:val="20"/>
        </w:rPr>
        <w:t xml:space="preserve">, ET Docket No. 19-138, First Report and Order, Further Notice of Proposed Rulemaking, and Order of Proposed Modification, 35 FCC </w:t>
      </w:r>
      <w:r w:rsidRPr="568F2CB0" w:rsidR="568F2CB0">
        <w:rPr>
          <w:sz w:val="20"/>
        </w:rPr>
        <w:t>Rcd</w:t>
      </w:r>
      <w:r w:rsidRPr="568F2CB0" w:rsidR="568F2CB0">
        <w:rPr>
          <w:sz w:val="20"/>
        </w:rPr>
        <w:t xml:space="preserve"> 13440, 13464-65, para. 55 (2020) (</w:t>
      </w:r>
      <w:bookmarkStart w:id="1" w:name="_Hlk77756336"/>
      <w:bookmarkStart w:id="2" w:name="_Hlk78971414"/>
      <w:r w:rsidRPr="568F2CB0" w:rsidR="568F2CB0">
        <w:rPr>
          <w:i/>
          <w:iCs/>
          <w:sz w:val="20"/>
        </w:rPr>
        <w:t>5.9 GHz First Report and Order</w:t>
      </w:r>
      <w:bookmarkEnd w:id="1"/>
      <w:bookmarkEnd w:id="2"/>
      <w:r w:rsidRPr="568F2CB0" w:rsidR="568F2CB0">
        <w:rPr>
          <w:sz w:val="20"/>
        </w:rPr>
        <w:t>)</w:t>
      </w:r>
      <w:r w:rsidRPr="0080405E" w:rsidR="568F2CB0">
        <w:t>.</w:t>
      </w:r>
    </w:p>
  </w:footnote>
  <w:footnote w:id="5">
    <w:p w:rsidR="00853341" w:rsidRPr="00853341" w14:paraId="124AAFF5" w14:textId="002E2572">
      <w:pPr>
        <w:pStyle w:val="FootnoteText"/>
      </w:pPr>
      <w:r>
        <w:rPr>
          <w:rStyle w:val="FootnoteReference"/>
        </w:rPr>
        <w:footnoteRef/>
      </w:r>
      <w:r>
        <w:t xml:space="preserve"> </w:t>
      </w:r>
      <w:r w:rsidRPr="00853341">
        <w:rPr>
          <w:i/>
          <w:iCs/>
        </w:rPr>
        <w:t>Wireless Telecommunications Bureau and Public Safety and Homeland Security Bureau Provide Guidance for Waiver Process to Permit Intelligent Transportation System Licensees to Use C-V2X Technology in the 5.895-5.925 GHz Band</w:t>
      </w:r>
      <w:r>
        <w:rPr>
          <w:i/>
          <w:iCs/>
        </w:rPr>
        <w:t xml:space="preserve">, </w:t>
      </w:r>
      <w:r>
        <w:t>Public Notice</w:t>
      </w:r>
      <w:r w:rsidR="00B57DAD">
        <w:t>, DA 21-962</w:t>
      </w:r>
      <w:r w:rsidR="00CC479B">
        <w:t xml:space="preserve"> </w:t>
      </w:r>
      <w:r w:rsidR="00A0403F">
        <w:t>(</w:t>
      </w:r>
      <w:r w:rsidR="00CC479B">
        <w:t>WTB, PSHSB</w:t>
      </w:r>
      <w:r w:rsidR="00B063AD">
        <w:t xml:space="preserve"> </w:t>
      </w:r>
      <w:r w:rsidR="00DD2677">
        <w:t>rel. Aug. 6, 2021</w:t>
      </w:r>
      <w:r w:rsidR="00A0403F">
        <w:t>)</w:t>
      </w:r>
      <w:r w:rsidR="00B063AD">
        <w:t xml:space="preserve"> </w:t>
      </w:r>
      <w:r w:rsidR="009C3E49">
        <w:t>(</w:t>
      </w:r>
      <w:r w:rsidRPr="009C3E49" w:rsidR="009C3E49">
        <w:rPr>
          <w:i/>
          <w:iCs/>
        </w:rPr>
        <w:t>Guidance PN</w:t>
      </w:r>
      <w:r w:rsidR="009C3E49">
        <w:t>)</w:t>
      </w:r>
      <w:r w:rsidR="00A0403F">
        <w:t>.</w:t>
      </w:r>
      <w:r w:rsidR="00F87E05">
        <w:t xml:space="preserve">  </w:t>
      </w:r>
      <w:r w:rsidRPr="007D67D4" w:rsidR="00F87E05">
        <w:rPr>
          <w:i/>
          <w:iCs/>
        </w:rPr>
        <w:t>See also</w:t>
      </w:r>
      <w:r w:rsidR="00F87E05">
        <w:t>,</w:t>
      </w:r>
      <w:r w:rsidRPr="00F87E05" w:rsidR="00F87E05">
        <w:rPr>
          <w:i/>
          <w:iCs/>
        </w:rPr>
        <w:t xml:space="preserve"> </w:t>
      </w:r>
      <w:r w:rsidRPr="568F2CB0" w:rsidR="00F87E05">
        <w:rPr>
          <w:i/>
          <w:iCs/>
        </w:rPr>
        <w:t>5.9 GHz First Report and Order</w:t>
      </w:r>
      <w:r w:rsidR="00F87E05">
        <w:t xml:space="preserve"> at 13464-65, para. 55.  </w:t>
      </w:r>
    </w:p>
  </w:footnote>
  <w:footnote w:id="6">
    <w:p w:rsidR="00D32CA8" w:rsidRPr="004F4139" w:rsidP="00D32CA8" w14:paraId="1F0541CE" w14:textId="77777777">
      <w:pPr>
        <w:pStyle w:val="FootnoteText"/>
      </w:pPr>
      <w:r w:rsidRPr="004F4139">
        <w:rPr>
          <w:rStyle w:val="FootnoteReference"/>
          <w:sz w:val="20"/>
        </w:rPr>
        <w:footnoteRef/>
      </w:r>
      <w:r w:rsidRPr="004F4139">
        <w:t xml:space="preserve"> </w:t>
      </w:r>
      <w:r w:rsidRPr="004F4139">
        <w:rPr>
          <w:i/>
          <w:iCs/>
        </w:rPr>
        <w:t>5.9 GHz First Report and Order</w:t>
      </w:r>
      <w:r w:rsidRPr="004F4139">
        <w:t>, 35 FCC at 13464-65, para. 55.</w:t>
      </w:r>
    </w:p>
  </w:footnote>
  <w:footnote w:id="7">
    <w:p w:rsidR="000D2591" w:rsidP="000D2591" w14:paraId="474A8BA0" w14:textId="77777777">
      <w:pPr>
        <w:pStyle w:val="FootnoteText"/>
      </w:pPr>
      <w:r>
        <w:rPr>
          <w:rStyle w:val="FootnoteReference"/>
        </w:rPr>
        <w:footnoteRef/>
      </w:r>
      <w:r>
        <w:t xml:space="preserve"> DSRC uses short-range wireless communication links to facilitate information transfer between appropriately equipped vehicles and appropriately equipped roadside systems (“vehicle to infrastructure” or “V2I”) and between appropriately equipped vehicles (“vehicle to vehicle” or “V2V”).  </w:t>
      </w:r>
      <w:r>
        <w:rPr>
          <w:i/>
        </w:rPr>
        <w:t xml:space="preserve">See </w:t>
      </w:r>
      <w:r>
        <w:rPr>
          <w:i/>
          <w:iCs/>
        </w:rPr>
        <w:t>Revision of Part 15 of the Commission’s Rules to Permit Unlicensed National Information Infrastructure (U-NII) Devices in the 5 GHz Band</w:t>
      </w:r>
      <w:r>
        <w:rPr>
          <w:iCs/>
        </w:rPr>
        <w:t xml:space="preserve">, </w:t>
      </w:r>
      <w:r>
        <w:t xml:space="preserve">ET Docket No. 13-49, </w:t>
      </w:r>
      <w:r>
        <w:rPr>
          <w:iCs/>
        </w:rPr>
        <w:t>Notice of Proposed Rulemaking</w:t>
      </w:r>
      <w:r>
        <w:t xml:space="preserve">, 28 FCC </w:t>
      </w:r>
      <w:r>
        <w:t>Rcd</w:t>
      </w:r>
      <w:r>
        <w:t xml:space="preserve"> 1769, 1797-98, paras. 92-93 (2013) (</w:t>
      </w:r>
      <w:r>
        <w:rPr>
          <w:i/>
        </w:rPr>
        <w:t>NPRM</w:t>
      </w:r>
      <w:r>
        <w:t xml:space="preserve">).  </w:t>
      </w:r>
    </w:p>
  </w:footnote>
  <w:footnote w:id="8">
    <w:p w:rsidR="003E11B4" w:rsidRPr="003E11B4" w14:paraId="2D455235" w14:textId="30262CB7">
      <w:pPr>
        <w:pStyle w:val="FootnoteText"/>
      </w:pPr>
      <w:r>
        <w:rPr>
          <w:rStyle w:val="FootnoteReference"/>
        </w:rPr>
        <w:footnoteRef/>
      </w:r>
      <w:r>
        <w:t xml:space="preserve"> </w:t>
      </w:r>
      <w:r>
        <w:rPr>
          <w:i/>
          <w:iCs/>
        </w:rPr>
        <w:t xml:space="preserve">Guidance PN </w:t>
      </w:r>
      <w:r>
        <w:t>at 2</w:t>
      </w:r>
      <w:r w:rsidR="001520EE">
        <w:t xml:space="preserve"> (internal citations omitted)</w:t>
      </w:r>
      <w:r>
        <w:t>.</w:t>
      </w:r>
    </w:p>
  </w:footnote>
  <w:footnote w:id="9">
    <w:p w:rsidR="00D17703" w:rsidRPr="00D17703" w14:paraId="72EE3F95" w14:textId="6868A1FD">
      <w:pPr>
        <w:pStyle w:val="FootnoteText"/>
      </w:pPr>
      <w:r>
        <w:rPr>
          <w:rStyle w:val="FootnoteReference"/>
        </w:rPr>
        <w:footnoteRef/>
      </w:r>
      <w:r w:rsidR="568F2CB0">
        <w:t xml:space="preserve"> </w:t>
      </w:r>
      <w:r w:rsidRPr="568F2CB0" w:rsidR="568F2CB0">
        <w:rPr>
          <w:i/>
          <w:iCs/>
        </w:rPr>
        <w:t xml:space="preserve">Id. </w:t>
      </w:r>
      <w:r w:rsidR="568F2CB0">
        <w:t>at 2-3, n.10.</w:t>
      </w:r>
    </w:p>
  </w:footnote>
  <w:footnote w:id="10">
    <w:p w:rsidR="0023173E" w:rsidP="0023173E" w14:paraId="07E06370" w14:textId="1D7D7F83">
      <w:pPr>
        <w:pStyle w:val="FootnoteText"/>
      </w:pPr>
      <w:r>
        <w:rPr>
          <w:rStyle w:val="FootnoteReference"/>
        </w:rPr>
        <w:footnoteRef/>
      </w:r>
      <w:r>
        <w:t xml:space="preserve"> </w:t>
      </w:r>
      <w:r w:rsidR="00897979">
        <w:rPr>
          <w:i/>
          <w:iCs/>
        </w:rPr>
        <w:t>Id.</w:t>
      </w:r>
      <w:r>
        <w:t xml:space="preserve"> at 3, note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549C" w14:paraId="28CFCA96" w14:textId="71068DCE">
    <w:pPr>
      <w:tabs>
        <w:tab w:val="center" w:pos="4680"/>
        <w:tab w:val="right" w:pos="9360"/>
      </w:tabs>
    </w:pPr>
    <w:r>
      <w:rPr>
        <w:b/>
      </w:rPr>
      <w:tab/>
      <w:t>Federal Communications Commission</w:t>
    </w:r>
    <w:r>
      <w:rPr>
        <w:b/>
      </w:rPr>
      <w:tab/>
    </w:r>
    <w:r w:rsidR="00D335AB">
      <w:rPr>
        <w:b/>
      </w:rPr>
      <w:t>DA 22-</w:t>
    </w:r>
    <w:r w:rsidR="0038438E">
      <w:rPr>
        <w:b/>
      </w:rPr>
      <w:t>617</w:t>
    </w:r>
  </w:p>
  <w:p w:rsidR="0055549C" w14:paraId="469BB50F" w14:textId="59C7D0A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55549C" w14:paraId="5E7DCEB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549C" w14:paraId="4831E551" w14:textId="66C34988">
    <w:pPr>
      <w:pStyle w:val="Header"/>
    </w:pPr>
    <w:r>
      <w:rPr>
        <w:noProof/>
        <w:snapToGrid/>
      </w:rPr>
      <w:drawing>
        <wp:inline distT="0" distB="0" distL="0" distR="0">
          <wp:extent cx="5953125"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3125"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39A2503"/>
    <w:multiLevelType w:val="hybridMultilevel"/>
    <w:tmpl w:val="542C84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BAF2352"/>
    <w:multiLevelType w:val="hybridMultilevel"/>
    <w:tmpl w:val="6D6087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990"/>
        </w:tabs>
        <w:ind w:left="-9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7F"/>
    <w:rsid w:val="000115A0"/>
    <w:rsid w:val="000120E0"/>
    <w:rsid w:val="000122B7"/>
    <w:rsid w:val="00014894"/>
    <w:rsid w:val="00014C7D"/>
    <w:rsid w:val="00022534"/>
    <w:rsid w:val="0002738A"/>
    <w:rsid w:val="00030EBF"/>
    <w:rsid w:val="00031938"/>
    <w:rsid w:val="00035F39"/>
    <w:rsid w:val="00044123"/>
    <w:rsid w:val="000475EB"/>
    <w:rsid w:val="00047B78"/>
    <w:rsid w:val="00050ABC"/>
    <w:rsid w:val="0005122F"/>
    <w:rsid w:val="00051C51"/>
    <w:rsid w:val="0005409D"/>
    <w:rsid w:val="00054525"/>
    <w:rsid w:val="00055037"/>
    <w:rsid w:val="00060D43"/>
    <w:rsid w:val="00060DE5"/>
    <w:rsid w:val="000612A7"/>
    <w:rsid w:val="000616C9"/>
    <w:rsid w:val="00070801"/>
    <w:rsid w:val="00070ED4"/>
    <w:rsid w:val="0007194A"/>
    <w:rsid w:val="00072189"/>
    <w:rsid w:val="00074BBE"/>
    <w:rsid w:val="00076067"/>
    <w:rsid w:val="000772E0"/>
    <w:rsid w:val="000853B0"/>
    <w:rsid w:val="00097560"/>
    <w:rsid w:val="000B19FA"/>
    <w:rsid w:val="000B3EE3"/>
    <w:rsid w:val="000B5467"/>
    <w:rsid w:val="000B5953"/>
    <w:rsid w:val="000B6935"/>
    <w:rsid w:val="000B73A2"/>
    <w:rsid w:val="000C0101"/>
    <w:rsid w:val="000C0332"/>
    <w:rsid w:val="000C1260"/>
    <w:rsid w:val="000C5E13"/>
    <w:rsid w:val="000C7832"/>
    <w:rsid w:val="000D2591"/>
    <w:rsid w:val="000D31BF"/>
    <w:rsid w:val="000D33BD"/>
    <w:rsid w:val="000D4803"/>
    <w:rsid w:val="000E5198"/>
    <w:rsid w:val="000E7A87"/>
    <w:rsid w:val="000F1730"/>
    <w:rsid w:val="001002E1"/>
    <w:rsid w:val="00101DBA"/>
    <w:rsid w:val="00102FA2"/>
    <w:rsid w:val="001066E0"/>
    <w:rsid w:val="001129EE"/>
    <w:rsid w:val="00114DF0"/>
    <w:rsid w:val="00115002"/>
    <w:rsid w:val="0011743D"/>
    <w:rsid w:val="001217A0"/>
    <w:rsid w:val="001232A6"/>
    <w:rsid w:val="001269A9"/>
    <w:rsid w:val="00130AE3"/>
    <w:rsid w:val="001310E8"/>
    <w:rsid w:val="00131D57"/>
    <w:rsid w:val="00132099"/>
    <w:rsid w:val="00133084"/>
    <w:rsid w:val="00141D62"/>
    <w:rsid w:val="001520EE"/>
    <w:rsid w:val="0015498B"/>
    <w:rsid w:val="00157046"/>
    <w:rsid w:val="00161610"/>
    <w:rsid w:val="00161831"/>
    <w:rsid w:val="001643AA"/>
    <w:rsid w:val="001670FB"/>
    <w:rsid w:val="00171D4E"/>
    <w:rsid w:val="00173FE7"/>
    <w:rsid w:val="00183382"/>
    <w:rsid w:val="0018705F"/>
    <w:rsid w:val="00191386"/>
    <w:rsid w:val="00191FEC"/>
    <w:rsid w:val="00195532"/>
    <w:rsid w:val="001A02A6"/>
    <w:rsid w:val="001A08AC"/>
    <w:rsid w:val="001A68AA"/>
    <w:rsid w:val="001A7754"/>
    <w:rsid w:val="001B116C"/>
    <w:rsid w:val="001B4E20"/>
    <w:rsid w:val="001C516B"/>
    <w:rsid w:val="001C58EF"/>
    <w:rsid w:val="001D541E"/>
    <w:rsid w:val="001D5DE4"/>
    <w:rsid w:val="001E08D1"/>
    <w:rsid w:val="001E0ADB"/>
    <w:rsid w:val="001E4FE6"/>
    <w:rsid w:val="001E5582"/>
    <w:rsid w:val="001E7376"/>
    <w:rsid w:val="001F1CC4"/>
    <w:rsid w:val="001F594A"/>
    <w:rsid w:val="001F5E79"/>
    <w:rsid w:val="001F5F9E"/>
    <w:rsid w:val="001F6FED"/>
    <w:rsid w:val="00200343"/>
    <w:rsid w:val="00201CE0"/>
    <w:rsid w:val="00204922"/>
    <w:rsid w:val="00206770"/>
    <w:rsid w:val="00210107"/>
    <w:rsid w:val="00214BBF"/>
    <w:rsid w:val="00216294"/>
    <w:rsid w:val="0021699A"/>
    <w:rsid w:val="00217D82"/>
    <w:rsid w:val="00220740"/>
    <w:rsid w:val="00220906"/>
    <w:rsid w:val="00220B6E"/>
    <w:rsid w:val="0022528F"/>
    <w:rsid w:val="00227B66"/>
    <w:rsid w:val="0023173E"/>
    <w:rsid w:val="00235782"/>
    <w:rsid w:val="002415ED"/>
    <w:rsid w:val="00241BD3"/>
    <w:rsid w:val="00242CF9"/>
    <w:rsid w:val="0024678F"/>
    <w:rsid w:val="00261842"/>
    <w:rsid w:val="00263C44"/>
    <w:rsid w:val="00264BB4"/>
    <w:rsid w:val="002716E4"/>
    <w:rsid w:val="00276D9D"/>
    <w:rsid w:val="00276FAD"/>
    <w:rsid w:val="002807EE"/>
    <w:rsid w:val="002816AB"/>
    <w:rsid w:val="00282330"/>
    <w:rsid w:val="002836AB"/>
    <w:rsid w:val="00283E44"/>
    <w:rsid w:val="00287F72"/>
    <w:rsid w:val="002902B8"/>
    <w:rsid w:val="00296C75"/>
    <w:rsid w:val="002A2FF9"/>
    <w:rsid w:val="002A3E10"/>
    <w:rsid w:val="002A6F82"/>
    <w:rsid w:val="002A78D6"/>
    <w:rsid w:val="002B2187"/>
    <w:rsid w:val="002B36B8"/>
    <w:rsid w:val="002B60CC"/>
    <w:rsid w:val="002B61E9"/>
    <w:rsid w:val="002C3A13"/>
    <w:rsid w:val="002C5945"/>
    <w:rsid w:val="002D15B6"/>
    <w:rsid w:val="002E08A0"/>
    <w:rsid w:val="002E481A"/>
    <w:rsid w:val="002E498E"/>
    <w:rsid w:val="002E5CFB"/>
    <w:rsid w:val="002E7D3C"/>
    <w:rsid w:val="002F5602"/>
    <w:rsid w:val="002F5FFB"/>
    <w:rsid w:val="002F6694"/>
    <w:rsid w:val="002F70F2"/>
    <w:rsid w:val="002F7C6B"/>
    <w:rsid w:val="002F7CAB"/>
    <w:rsid w:val="00300111"/>
    <w:rsid w:val="003022A7"/>
    <w:rsid w:val="00304455"/>
    <w:rsid w:val="003049C4"/>
    <w:rsid w:val="00305C07"/>
    <w:rsid w:val="00306B40"/>
    <w:rsid w:val="00307CEB"/>
    <w:rsid w:val="0031196A"/>
    <w:rsid w:val="003121A4"/>
    <w:rsid w:val="003150FC"/>
    <w:rsid w:val="00315191"/>
    <w:rsid w:val="00315D6F"/>
    <w:rsid w:val="00320A6F"/>
    <w:rsid w:val="00322749"/>
    <w:rsid w:val="003274AC"/>
    <w:rsid w:val="00336E0A"/>
    <w:rsid w:val="003370A3"/>
    <w:rsid w:val="00340044"/>
    <w:rsid w:val="0034218E"/>
    <w:rsid w:val="003425B3"/>
    <w:rsid w:val="0034467E"/>
    <w:rsid w:val="00347FE8"/>
    <w:rsid w:val="00350049"/>
    <w:rsid w:val="00350730"/>
    <w:rsid w:val="00350832"/>
    <w:rsid w:val="003512CF"/>
    <w:rsid w:val="003514DC"/>
    <w:rsid w:val="0035259F"/>
    <w:rsid w:val="00360392"/>
    <w:rsid w:val="003620D2"/>
    <w:rsid w:val="00362F66"/>
    <w:rsid w:val="0036728C"/>
    <w:rsid w:val="00375BB5"/>
    <w:rsid w:val="00376BC5"/>
    <w:rsid w:val="00380560"/>
    <w:rsid w:val="00383783"/>
    <w:rsid w:val="0038438E"/>
    <w:rsid w:val="0039163D"/>
    <w:rsid w:val="003922E7"/>
    <w:rsid w:val="00392B9E"/>
    <w:rsid w:val="00393C8E"/>
    <w:rsid w:val="00396208"/>
    <w:rsid w:val="00397AA7"/>
    <w:rsid w:val="003A005D"/>
    <w:rsid w:val="003A4AE3"/>
    <w:rsid w:val="003A6642"/>
    <w:rsid w:val="003A6BF4"/>
    <w:rsid w:val="003B62D6"/>
    <w:rsid w:val="003C1973"/>
    <w:rsid w:val="003C2F9F"/>
    <w:rsid w:val="003C324A"/>
    <w:rsid w:val="003C544F"/>
    <w:rsid w:val="003D0229"/>
    <w:rsid w:val="003D0D8C"/>
    <w:rsid w:val="003D1287"/>
    <w:rsid w:val="003D461F"/>
    <w:rsid w:val="003D57DA"/>
    <w:rsid w:val="003D6508"/>
    <w:rsid w:val="003D799F"/>
    <w:rsid w:val="003E05EA"/>
    <w:rsid w:val="003E11B4"/>
    <w:rsid w:val="003E4E4F"/>
    <w:rsid w:val="003F2433"/>
    <w:rsid w:val="003F33F3"/>
    <w:rsid w:val="003F52F1"/>
    <w:rsid w:val="003F7173"/>
    <w:rsid w:val="00404B6F"/>
    <w:rsid w:val="00405D31"/>
    <w:rsid w:val="00414BEA"/>
    <w:rsid w:val="0041505D"/>
    <w:rsid w:val="004157F7"/>
    <w:rsid w:val="00415AED"/>
    <w:rsid w:val="00416DF8"/>
    <w:rsid w:val="00421E40"/>
    <w:rsid w:val="0042306C"/>
    <w:rsid w:val="004257E5"/>
    <w:rsid w:val="00430A46"/>
    <w:rsid w:val="004319CE"/>
    <w:rsid w:val="004326F6"/>
    <w:rsid w:val="00434DCF"/>
    <w:rsid w:val="00436253"/>
    <w:rsid w:val="00437339"/>
    <w:rsid w:val="00443ED1"/>
    <w:rsid w:val="004459DF"/>
    <w:rsid w:val="0044628D"/>
    <w:rsid w:val="004476E4"/>
    <w:rsid w:val="004516BD"/>
    <w:rsid w:val="004525B7"/>
    <w:rsid w:val="0045478A"/>
    <w:rsid w:val="00454D01"/>
    <w:rsid w:val="00456670"/>
    <w:rsid w:val="00463A55"/>
    <w:rsid w:val="00466BEA"/>
    <w:rsid w:val="0047077D"/>
    <w:rsid w:val="00470D59"/>
    <w:rsid w:val="0047792B"/>
    <w:rsid w:val="0048046F"/>
    <w:rsid w:val="004831E4"/>
    <w:rsid w:val="00485A8E"/>
    <w:rsid w:val="004865C6"/>
    <w:rsid w:val="00487A49"/>
    <w:rsid w:val="004950E0"/>
    <w:rsid w:val="004952B1"/>
    <w:rsid w:val="00495BAD"/>
    <w:rsid w:val="00495C2F"/>
    <w:rsid w:val="004A0614"/>
    <w:rsid w:val="004A20B9"/>
    <w:rsid w:val="004A4D3D"/>
    <w:rsid w:val="004B49C1"/>
    <w:rsid w:val="004B4D9C"/>
    <w:rsid w:val="004C0693"/>
    <w:rsid w:val="004D2A16"/>
    <w:rsid w:val="004D4BA0"/>
    <w:rsid w:val="004D5D10"/>
    <w:rsid w:val="004D674B"/>
    <w:rsid w:val="004E185D"/>
    <w:rsid w:val="004E6038"/>
    <w:rsid w:val="004E73E5"/>
    <w:rsid w:val="004F04A1"/>
    <w:rsid w:val="004F086B"/>
    <w:rsid w:val="004F23F4"/>
    <w:rsid w:val="004F4139"/>
    <w:rsid w:val="004F43F4"/>
    <w:rsid w:val="004F4EB9"/>
    <w:rsid w:val="005000AE"/>
    <w:rsid w:val="0050131B"/>
    <w:rsid w:val="00501E68"/>
    <w:rsid w:val="00502DE9"/>
    <w:rsid w:val="0051368F"/>
    <w:rsid w:val="00514756"/>
    <w:rsid w:val="00527123"/>
    <w:rsid w:val="00532372"/>
    <w:rsid w:val="00533527"/>
    <w:rsid w:val="0053461C"/>
    <w:rsid w:val="00534A30"/>
    <w:rsid w:val="00540848"/>
    <w:rsid w:val="005410BE"/>
    <w:rsid w:val="00543404"/>
    <w:rsid w:val="005502A3"/>
    <w:rsid w:val="005509D7"/>
    <w:rsid w:val="00553F63"/>
    <w:rsid w:val="005552CD"/>
    <w:rsid w:val="0055549C"/>
    <w:rsid w:val="00561071"/>
    <w:rsid w:val="00562D38"/>
    <w:rsid w:val="005641E6"/>
    <w:rsid w:val="00565C7C"/>
    <w:rsid w:val="00575AD4"/>
    <w:rsid w:val="005773B4"/>
    <w:rsid w:val="0057767C"/>
    <w:rsid w:val="005777E1"/>
    <w:rsid w:val="00584446"/>
    <w:rsid w:val="00585D26"/>
    <w:rsid w:val="00592264"/>
    <w:rsid w:val="0059641A"/>
    <w:rsid w:val="00596D14"/>
    <w:rsid w:val="00597FDF"/>
    <w:rsid w:val="005A2F9E"/>
    <w:rsid w:val="005A327E"/>
    <w:rsid w:val="005A373C"/>
    <w:rsid w:val="005A3BD1"/>
    <w:rsid w:val="005A5C70"/>
    <w:rsid w:val="005B0130"/>
    <w:rsid w:val="005B2EE8"/>
    <w:rsid w:val="005B36F5"/>
    <w:rsid w:val="005B449F"/>
    <w:rsid w:val="005B6F64"/>
    <w:rsid w:val="005C17E4"/>
    <w:rsid w:val="005C246B"/>
    <w:rsid w:val="005D04CB"/>
    <w:rsid w:val="005D35B0"/>
    <w:rsid w:val="005D70F6"/>
    <w:rsid w:val="005D7F59"/>
    <w:rsid w:val="005E0025"/>
    <w:rsid w:val="005E29F0"/>
    <w:rsid w:val="005E4984"/>
    <w:rsid w:val="005E73B3"/>
    <w:rsid w:val="005F006F"/>
    <w:rsid w:val="005F7E4C"/>
    <w:rsid w:val="00600EAF"/>
    <w:rsid w:val="0060133D"/>
    <w:rsid w:val="006032C3"/>
    <w:rsid w:val="006046D5"/>
    <w:rsid w:val="006046DE"/>
    <w:rsid w:val="006127A6"/>
    <w:rsid w:val="0061502C"/>
    <w:rsid w:val="00617848"/>
    <w:rsid w:val="00623848"/>
    <w:rsid w:val="0062478A"/>
    <w:rsid w:val="006269ED"/>
    <w:rsid w:val="00626A39"/>
    <w:rsid w:val="006309EA"/>
    <w:rsid w:val="00631341"/>
    <w:rsid w:val="00631500"/>
    <w:rsid w:val="00631EE7"/>
    <w:rsid w:val="0063215C"/>
    <w:rsid w:val="006333B8"/>
    <w:rsid w:val="00633B8B"/>
    <w:rsid w:val="0063587A"/>
    <w:rsid w:val="00636F05"/>
    <w:rsid w:val="00637BA8"/>
    <w:rsid w:val="00641137"/>
    <w:rsid w:val="00641C1F"/>
    <w:rsid w:val="0064299F"/>
    <w:rsid w:val="00646A0F"/>
    <w:rsid w:val="00646FD1"/>
    <w:rsid w:val="00652550"/>
    <w:rsid w:val="00654E9A"/>
    <w:rsid w:val="006602C5"/>
    <w:rsid w:val="00663BD9"/>
    <w:rsid w:val="00663C7C"/>
    <w:rsid w:val="00665C50"/>
    <w:rsid w:val="00666A9E"/>
    <w:rsid w:val="00667DE7"/>
    <w:rsid w:val="006700E4"/>
    <w:rsid w:val="0067347A"/>
    <w:rsid w:val="00674969"/>
    <w:rsid w:val="0067742B"/>
    <w:rsid w:val="00680DF8"/>
    <w:rsid w:val="00684AC3"/>
    <w:rsid w:val="006913F5"/>
    <w:rsid w:val="00691ECF"/>
    <w:rsid w:val="00692F76"/>
    <w:rsid w:val="00693A64"/>
    <w:rsid w:val="00694F2F"/>
    <w:rsid w:val="006A505E"/>
    <w:rsid w:val="006A5F5F"/>
    <w:rsid w:val="006B36AE"/>
    <w:rsid w:val="006B386E"/>
    <w:rsid w:val="006B6D3E"/>
    <w:rsid w:val="006C1B3B"/>
    <w:rsid w:val="006D293A"/>
    <w:rsid w:val="006D5B2D"/>
    <w:rsid w:val="006D5E31"/>
    <w:rsid w:val="006E4E50"/>
    <w:rsid w:val="006F4ABE"/>
    <w:rsid w:val="006F4B97"/>
    <w:rsid w:val="006F6A28"/>
    <w:rsid w:val="006F7172"/>
    <w:rsid w:val="00700D26"/>
    <w:rsid w:val="007043E4"/>
    <w:rsid w:val="00706E35"/>
    <w:rsid w:val="007076EE"/>
    <w:rsid w:val="00711A0A"/>
    <w:rsid w:val="00713AA8"/>
    <w:rsid w:val="00715128"/>
    <w:rsid w:val="007172FE"/>
    <w:rsid w:val="00720D18"/>
    <w:rsid w:val="00723D12"/>
    <w:rsid w:val="00733410"/>
    <w:rsid w:val="007350D3"/>
    <w:rsid w:val="0074016F"/>
    <w:rsid w:val="00740A0F"/>
    <w:rsid w:val="00741498"/>
    <w:rsid w:val="00741BE3"/>
    <w:rsid w:val="0074312D"/>
    <w:rsid w:val="00743410"/>
    <w:rsid w:val="007465AB"/>
    <w:rsid w:val="00746FEC"/>
    <w:rsid w:val="00747C7C"/>
    <w:rsid w:val="00751FB7"/>
    <w:rsid w:val="0075396D"/>
    <w:rsid w:val="0075589C"/>
    <w:rsid w:val="00764CD1"/>
    <w:rsid w:val="00770EDD"/>
    <w:rsid w:val="00772F66"/>
    <w:rsid w:val="007746F3"/>
    <w:rsid w:val="007753C1"/>
    <w:rsid w:val="007760E0"/>
    <w:rsid w:val="00776835"/>
    <w:rsid w:val="00781E5F"/>
    <w:rsid w:val="00785592"/>
    <w:rsid w:val="007877E0"/>
    <w:rsid w:val="007916C7"/>
    <w:rsid w:val="0079317C"/>
    <w:rsid w:val="0079626A"/>
    <w:rsid w:val="007A2EE4"/>
    <w:rsid w:val="007A31FD"/>
    <w:rsid w:val="007A5A82"/>
    <w:rsid w:val="007A616F"/>
    <w:rsid w:val="007A7AE9"/>
    <w:rsid w:val="007B00F3"/>
    <w:rsid w:val="007B17FA"/>
    <w:rsid w:val="007B1B43"/>
    <w:rsid w:val="007B2508"/>
    <w:rsid w:val="007B3018"/>
    <w:rsid w:val="007B59D6"/>
    <w:rsid w:val="007B6243"/>
    <w:rsid w:val="007B6A52"/>
    <w:rsid w:val="007C09C2"/>
    <w:rsid w:val="007C4620"/>
    <w:rsid w:val="007D2309"/>
    <w:rsid w:val="007D3133"/>
    <w:rsid w:val="007D5695"/>
    <w:rsid w:val="007D67D4"/>
    <w:rsid w:val="007D745A"/>
    <w:rsid w:val="007E0412"/>
    <w:rsid w:val="007E05DB"/>
    <w:rsid w:val="007E2981"/>
    <w:rsid w:val="007F4178"/>
    <w:rsid w:val="00801EDC"/>
    <w:rsid w:val="0080405E"/>
    <w:rsid w:val="00820F7C"/>
    <w:rsid w:val="00822BA0"/>
    <w:rsid w:val="008340A4"/>
    <w:rsid w:val="008346F8"/>
    <w:rsid w:val="008377EB"/>
    <w:rsid w:val="00837ED0"/>
    <w:rsid w:val="00841EEE"/>
    <w:rsid w:val="008438A8"/>
    <w:rsid w:val="00847246"/>
    <w:rsid w:val="00851EE9"/>
    <w:rsid w:val="008523E6"/>
    <w:rsid w:val="00853341"/>
    <w:rsid w:val="00855199"/>
    <w:rsid w:val="008619F6"/>
    <w:rsid w:val="008676AE"/>
    <w:rsid w:val="00871813"/>
    <w:rsid w:val="00872D4B"/>
    <w:rsid w:val="0087343E"/>
    <w:rsid w:val="00887503"/>
    <w:rsid w:val="00887F72"/>
    <w:rsid w:val="00890F9D"/>
    <w:rsid w:val="00891C49"/>
    <w:rsid w:val="008922A6"/>
    <w:rsid w:val="00897979"/>
    <w:rsid w:val="00897A49"/>
    <w:rsid w:val="008A7A68"/>
    <w:rsid w:val="008B18C5"/>
    <w:rsid w:val="008B5815"/>
    <w:rsid w:val="008B6385"/>
    <w:rsid w:val="008B683A"/>
    <w:rsid w:val="008C1ACC"/>
    <w:rsid w:val="008C463D"/>
    <w:rsid w:val="008C4CD1"/>
    <w:rsid w:val="008C6521"/>
    <w:rsid w:val="008D03B1"/>
    <w:rsid w:val="008D2509"/>
    <w:rsid w:val="008D6177"/>
    <w:rsid w:val="008E22E0"/>
    <w:rsid w:val="008E2EB5"/>
    <w:rsid w:val="008E520C"/>
    <w:rsid w:val="008E6935"/>
    <w:rsid w:val="008F2825"/>
    <w:rsid w:val="008F4B11"/>
    <w:rsid w:val="00905475"/>
    <w:rsid w:val="009073D2"/>
    <w:rsid w:val="00907473"/>
    <w:rsid w:val="00912539"/>
    <w:rsid w:val="00914D1D"/>
    <w:rsid w:val="0091584C"/>
    <w:rsid w:val="0093593F"/>
    <w:rsid w:val="00936149"/>
    <w:rsid w:val="00937577"/>
    <w:rsid w:val="009375A8"/>
    <w:rsid w:val="00937E3A"/>
    <w:rsid w:val="0094061F"/>
    <w:rsid w:val="00941640"/>
    <w:rsid w:val="00944045"/>
    <w:rsid w:val="009546F5"/>
    <w:rsid w:val="00956622"/>
    <w:rsid w:val="009569C3"/>
    <w:rsid w:val="009647A5"/>
    <w:rsid w:val="00965402"/>
    <w:rsid w:val="00965DC5"/>
    <w:rsid w:val="00970EFC"/>
    <w:rsid w:val="009722C4"/>
    <w:rsid w:val="009729B5"/>
    <w:rsid w:val="009811D3"/>
    <w:rsid w:val="00984D07"/>
    <w:rsid w:val="00985261"/>
    <w:rsid w:val="00987A2E"/>
    <w:rsid w:val="00987ADA"/>
    <w:rsid w:val="00987EBC"/>
    <w:rsid w:val="00991B75"/>
    <w:rsid w:val="00992130"/>
    <w:rsid w:val="00993BF9"/>
    <w:rsid w:val="00994DF8"/>
    <w:rsid w:val="009A3B64"/>
    <w:rsid w:val="009A452F"/>
    <w:rsid w:val="009A45C6"/>
    <w:rsid w:val="009B4D3A"/>
    <w:rsid w:val="009B5198"/>
    <w:rsid w:val="009B605A"/>
    <w:rsid w:val="009C291F"/>
    <w:rsid w:val="009C2AA6"/>
    <w:rsid w:val="009C2AB9"/>
    <w:rsid w:val="009C3D6D"/>
    <w:rsid w:val="009C3E49"/>
    <w:rsid w:val="009C43BB"/>
    <w:rsid w:val="009C5D2E"/>
    <w:rsid w:val="009C6AC1"/>
    <w:rsid w:val="009D201E"/>
    <w:rsid w:val="009D3E29"/>
    <w:rsid w:val="009D405C"/>
    <w:rsid w:val="009E0BF8"/>
    <w:rsid w:val="009E1B4B"/>
    <w:rsid w:val="009E4AE1"/>
    <w:rsid w:val="009E5FA3"/>
    <w:rsid w:val="009F595E"/>
    <w:rsid w:val="009F771E"/>
    <w:rsid w:val="00A029B7"/>
    <w:rsid w:val="00A0329F"/>
    <w:rsid w:val="00A0403F"/>
    <w:rsid w:val="00A043BA"/>
    <w:rsid w:val="00A0442B"/>
    <w:rsid w:val="00A04706"/>
    <w:rsid w:val="00A04D31"/>
    <w:rsid w:val="00A119F1"/>
    <w:rsid w:val="00A12E22"/>
    <w:rsid w:val="00A14775"/>
    <w:rsid w:val="00A14EC7"/>
    <w:rsid w:val="00A17D71"/>
    <w:rsid w:val="00A21811"/>
    <w:rsid w:val="00A22A2C"/>
    <w:rsid w:val="00A23F42"/>
    <w:rsid w:val="00A27CC1"/>
    <w:rsid w:val="00A31ECD"/>
    <w:rsid w:val="00A37F60"/>
    <w:rsid w:val="00A46240"/>
    <w:rsid w:val="00A46C76"/>
    <w:rsid w:val="00A46F54"/>
    <w:rsid w:val="00A47036"/>
    <w:rsid w:val="00A50410"/>
    <w:rsid w:val="00A50A3C"/>
    <w:rsid w:val="00A50B1C"/>
    <w:rsid w:val="00A51B79"/>
    <w:rsid w:val="00A54DB8"/>
    <w:rsid w:val="00A55E6E"/>
    <w:rsid w:val="00A60C63"/>
    <w:rsid w:val="00A707C3"/>
    <w:rsid w:val="00A72E07"/>
    <w:rsid w:val="00A732C9"/>
    <w:rsid w:val="00A7567E"/>
    <w:rsid w:val="00A77F67"/>
    <w:rsid w:val="00A80484"/>
    <w:rsid w:val="00A81F8E"/>
    <w:rsid w:val="00A83868"/>
    <w:rsid w:val="00A86604"/>
    <w:rsid w:val="00A87215"/>
    <w:rsid w:val="00A87B29"/>
    <w:rsid w:val="00A87FC2"/>
    <w:rsid w:val="00A90971"/>
    <w:rsid w:val="00A91761"/>
    <w:rsid w:val="00A91F57"/>
    <w:rsid w:val="00A94676"/>
    <w:rsid w:val="00A94D26"/>
    <w:rsid w:val="00A94E56"/>
    <w:rsid w:val="00A97FA5"/>
    <w:rsid w:val="00AA0721"/>
    <w:rsid w:val="00AA4258"/>
    <w:rsid w:val="00AA4DF3"/>
    <w:rsid w:val="00AA5D67"/>
    <w:rsid w:val="00AA7AA0"/>
    <w:rsid w:val="00AB22DB"/>
    <w:rsid w:val="00AB5201"/>
    <w:rsid w:val="00AB6D97"/>
    <w:rsid w:val="00AB7D1A"/>
    <w:rsid w:val="00AC611E"/>
    <w:rsid w:val="00AC689B"/>
    <w:rsid w:val="00AD5439"/>
    <w:rsid w:val="00AD76DE"/>
    <w:rsid w:val="00AE094F"/>
    <w:rsid w:val="00AE1553"/>
    <w:rsid w:val="00AE1575"/>
    <w:rsid w:val="00AE235B"/>
    <w:rsid w:val="00AE4B12"/>
    <w:rsid w:val="00AE4FB0"/>
    <w:rsid w:val="00AE7DB2"/>
    <w:rsid w:val="00AF144B"/>
    <w:rsid w:val="00B01B5A"/>
    <w:rsid w:val="00B01D1F"/>
    <w:rsid w:val="00B0562B"/>
    <w:rsid w:val="00B056D1"/>
    <w:rsid w:val="00B063AD"/>
    <w:rsid w:val="00B07A59"/>
    <w:rsid w:val="00B12BA6"/>
    <w:rsid w:val="00B1643F"/>
    <w:rsid w:val="00B2182D"/>
    <w:rsid w:val="00B22AD8"/>
    <w:rsid w:val="00B23F44"/>
    <w:rsid w:val="00B25FF0"/>
    <w:rsid w:val="00B27517"/>
    <w:rsid w:val="00B3105F"/>
    <w:rsid w:val="00B35525"/>
    <w:rsid w:val="00B35611"/>
    <w:rsid w:val="00B35674"/>
    <w:rsid w:val="00B4272D"/>
    <w:rsid w:val="00B443B5"/>
    <w:rsid w:val="00B477FC"/>
    <w:rsid w:val="00B57DAD"/>
    <w:rsid w:val="00B70939"/>
    <w:rsid w:val="00B70F48"/>
    <w:rsid w:val="00B9242A"/>
    <w:rsid w:val="00B93098"/>
    <w:rsid w:val="00B94B36"/>
    <w:rsid w:val="00BB2E60"/>
    <w:rsid w:val="00BB326E"/>
    <w:rsid w:val="00BB6B38"/>
    <w:rsid w:val="00BC1B23"/>
    <w:rsid w:val="00BC1CC3"/>
    <w:rsid w:val="00BC21B7"/>
    <w:rsid w:val="00BC5A0C"/>
    <w:rsid w:val="00BC63C1"/>
    <w:rsid w:val="00BD3578"/>
    <w:rsid w:val="00BD71C9"/>
    <w:rsid w:val="00BD78EA"/>
    <w:rsid w:val="00BE075B"/>
    <w:rsid w:val="00BE0B74"/>
    <w:rsid w:val="00BE31ED"/>
    <w:rsid w:val="00BE358E"/>
    <w:rsid w:val="00BE66A5"/>
    <w:rsid w:val="00BE7494"/>
    <w:rsid w:val="00BF1B9A"/>
    <w:rsid w:val="00BF44BC"/>
    <w:rsid w:val="00BF5761"/>
    <w:rsid w:val="00BF5897"/>
    <w:rsid w:val="00C04345"/>
    <w:rsid w:val="00C10946"/>
    <w:rsid w:val="00C15D73"/>
    <w:rsid w:val="00C17C58"/>
    <w:rsid w:val="00C228F9"/>
    <w:rsid w:val="00C22A7A"/>
    <w:rsid w:val="00C3185D"/>
    <w:rsid w:val="00C318C4"/>
    <w:rsid w:val="00C319CD"/>
    <w:rsid w:val="00C3785B"/>
    <w:rsid w:val="00C41A1C"/>
    <w:rsid w:val="00C4290B"/>
    <w:rsid w:val="00C47FA9"/>
    <w:rsid w:val="00C51148"/>
    <w:rsid w:val="00C53D37"/>
    <w:rsid w:val="00C601E0"/>
    <w:rsid w:val="00C61F17"/>
    <w:rsid w:val="00C6216F"/>
    <w:rsid w:val="00C64147"/>
    <w:rsid w:val="00C641C0"/>
    <w:rsid w:val="00C67AE9"/>
    <w:rsid w:val="00C7141F"/>
    <w:rsid w:val="00C741B9"/>
    <w:rsid w:val="00C75D4A"/>
    <w:rsid w:val="00C80D15"/>
    <w:rsid w:val="00C81A0E"/>
    <w:rsid w:val="00C96969"/>
    <w:rsid w:val="00CA10C7"/>
    <w:rsid w:val="00CA2B05"/>
    <w:rsid w:val="00CB0C13"/>
    <w:rsid w:val="00CB2888"/>
    <w:rsid w:val="00CB29CE"/>
    <w:rsid w:val="00CB378A"/>
    <w:rsid w:val="00CB41FC"/>
    <w:rsid w:val="00CB7F34"/>
    <w:rsid w:val="00CC479B"/>
    <w:rsid w:val="00CC6147"/>
    <w:rsid w:val="00CD02CD"/>
    <w:rsid w:val="00CD0F82"/>
    <w:rsid w:val="00CE1B70"/>
    <w:rsid w:val="00CE3885"/>
    <w:rsid w:val="00CE7E6F"/>
    <w:rsid w:val="00CF0C17"/>
    <w:rsid w:val="00CF2168"/>
    <w:rsid w:val="00CF3ED7"/>
    <w:rsid w:val="00D10E0E"/>
    <w:rsid w:val="00D12BBC"/>
    <w:rsid w:val="00D14779"/>
    <w:rsid w:val="00D154FA"/>
    <w:rsid w:val="00D155CB"/>
    <w:rsid w:val="00D156B0"/>
    <w:rsid w:val="00D16367"/>
    <w:rsid w:val="00D165DE"/>
    <w:rsid w:val="00D17703"/>
    <w:rsid w:val="00D24979"/>
    <w:rsid w:val="00D3011B"/>
    <w:rsid w:val="00D32CA8"/>
    <w:rsid w:val="00D335AB"/>
    <w:rsid w:val="00D37AD8"/>
    <w:rsid w:val="00D55535"/>
    <w:rsid w:val="00D56F05"/>
    <w:rsid w:val="00D6096D"/>
    <w:rsid w:val="00D6105A"/>
    <w:rsid w:val="00D70587"/>
    <w:rsid w:val="00D74121"/>
    <w:rsid w:val="00D81B87"/>
    <w:rsid w:val="00D84A65"/>
    <w:rsid w:val="00D859E7"/>
    <w:rsid w:val="00D956DF"/>
    <w:rsid w:val="00D95CA1"/>
    <w:rsid w:val="00DA6834"/>
    <w:rsid w:val="00DB4630"/>
    <w:rsid w:val="00DB572C"/>
    <w:rsid w:val="00DC106A"/>
    <w:rsid w:val="00DC268D"/>
    <w:rsid w:val="00DC54C8"/>
    <w:rsid w:val="00DC7843"/>
    <w:rsid w:val="00DD0041"/>
    <w:rsid w:val="00DD2677"/>
    <w:rsid w:val="00DD3E27"/>
    <w:rsid w:val="00DD4D34"/>
    <w:rsid w:val="00DD64C9"/>
    <w:rsid w:val="00DE582A"/>
    <w:rsid w:val="00DE5ABC"/>
    <w:rsid w:val="00DF1275"/>
    <w:rsid w:val="00E02180"/>
    <w:rsid w:val="00E02363"/>
    <w:rsid w:val="00E025EC"/>
    <w:rsid w:val="00E032A8"/>
    <w:rsid w:val="00E03414"/>
    <w:rsid w:val="00E03515"/>
    <w:rsid w:val="00E152F7"/>
    <w:rsid w:val="00E15336"/>
    <w:rsid w:val="00E247BD"/>
    <w:rsid w:val="00E307CA"/>
    <w:rsid w:val="00E31206"/>
    <w:rsid w:val="00E32320"/>
    <w:rsid w:val="00E32FC2"/>
    <w:rsid w:val="00E34624"/>
    <w:rsid w:val="00E366A0"/>
    <w:rsid w:val="00E372F2"/>
    <w:rsid w:val="00E42DCA"/>
    <w:rsid w:val="00E430D3"/>
    <w:rsid w:val="00E4391E"/>
    <w:rsid w:val="00E43E0E"/>
    <w:rsid w:val="00E471EC"/>
    <w:rsid w:val="00E47618"/>
    <w:rsid w:val="00E518E9"/>
    <w:rsid w:val="00E52080"/>
    <w:rsid w:val="00E52C03"/>
    <w:rsid w:val="00E57711"/>
    <w:rsid w:val="00E61266"/>
    <w:rsid w:val="00E652FD"/>
    <w:rsid w:val="00E717F0"/>
    <w:rsid w:val="00E71F5C"/>
    <w:rsid w:val="00E77405"/>
    <w:rsid w:val="00E77B1B"/>
    <w:rsid w:val="00E77E2D"/>
    <w:rsid w:val="00E832CE"/>
    <w:rsid w:val="00E84B9B"/>
    <w:rsid w:val="00E84EB3"/>
    <w:rsid w:val="00E87D15"/>
    <w:rsid w:val="00E93800"/>
    <w:rsid w:val="00EA1F38"/>
    <w:rsid w:val="00EA2CD1"/>
    <w:rsid w:val="00EA3548"/>
    <w:rsid w:val="00EA6EEA"/>
    <w:rsid w:val="00EB0D65"/>
    <w:rsid w:val="00EB3963"/>
    <w:rsid w:val="00EC0138"/>
    <w:rsid w:val="00EC211B"/>
    <w:rsid w:val="00EC232E"/>
    <w:rsid w:val="00EC2A59"/>
    <w:rsid w:val="00EC432D"/>
    <w:rsid w:val="00EC5B0F"/>
    <w:rsid w:val="00ED03D6"/>
    <w:rsid w:val="00ED323B"/>
    <w:rsid w:val="00ED3280"/>
    <w:rsid w:val="00ED408F"/>
    <w:rsid w:val="00EE14BC"/>
    <w:rsid w:val="00EE6EDE"/>
    <w:rsid w:val="00EE713C"/>
    <w:rsid w:val="00EE7AEC"/>
    <w:rsid w:val="00EF092C"/>
    <w:rsid w:val="00EF1AA0"/>
    <w:rsid w:val="00EF548C"/>
    <w:rsid w:val="00EF60FC"/>
    <w:rsid w:val="00F048DC"/>
    <w:rsid w:val="00F15A28"/>
    <w:rsid w:val="00F2035E"/>
    <w:rsid w:val="00F23D49"/>
    <w:rsid w:val="00F25E04"/>
    <w:rsid w:val="00F27146"/>
    <w:rsid w:val="00F33006"/>
    <w:rsid w:val="00F33C8E"/>
    <w:rsid w:val="00F41C98"/>
    <w:rsid w:val="00F4472B"/>
    <w:rsid w:val="00F44EBE"/>
    <w:rsid w:val="00F4772B"/>
    <w:rsid w:val="00F5349D"/>
    <w:rsid w:val="00F53728"/>
    <w:rsid w:val="00F538D5"/>
    <w:rsid w:val="00F54F56"/>
    <w:rsid w:val="00F5560A"/>
    <w:rsid w:val="00F5743C"/>
    <w:rsid w:val="00F5AFFE"/>
    <w:rsid w:val="00F60989"/>
    <w:rsid w:val="00F612EA"/>
    <w:rsid w:val="00F62AE1"/>
    <w:rsid w:val="00F66146"/>
    <w:rsid w:val="00F66A64"/>
    <w:rsid w:val="00F7076B"/>
    <w:rsid w:val="00F709A5"/>
    <w:rsid w:val="00F76C6A"/>
    <w:rsid w:val="00F77074"/>
    <w:rsid w:val="00F77C95"/>
    <w:rsid w:val="00F80A39"/>
    <w:rsid w:val="00F81048"/>
    <w:rsid w:val="00F82BCE"/>
    <w:rsid w:val="00F8399F"/>
    <w:rsid w:val="00F83F7F"/>
    <w:rsid w:val="00F86950"/>
    <w:rsid w:val="00F86D06"/>
    <w:rsid w:val="00F87E05"/>
    <w:rsid w:val="00F91A4C"/>
    <w:rsid w:val="00F972B9"/>
    <w:rsid w:val="00FA4C87"/>
    <w:rsid w:val="00FA5E93"/>
    <w:rsid w:val="00FA7520"/>
    <w:rsid w:val="00FB0222"/>
    <w:rsid w:val="00FB0CD9"/>
    <w:rsid w:val="00FC1402"/>
    <w:rsid w:val="00FC43BE"/>
    <w:rsid w:val="00FC5C71"/>
    <w:rsid w:val="00FC634A"/>
    <w:rsid w:val="00FC7B88"/>
    <w:rsid w:val="00FE0B75"/>
    <w:rsid w:val="00FE2DB3"/>
    <w:rsid w:val="00FE4860"/>
    <w:rsid w:val="00FE7451"/>
    <w:rsid w:val="00FE7FA7"/>
    <w:rsid w:val="00FF205E"/>
    <w:rsid w:val="00FF2AD6"/>
    <w:rsid w:val="00FF3CD5"/>
    <w:rsid w:val="00FF4D6C"/>
    <w:rsid w:val="00FF5705"/>
    <w:rsid w:val="03B1176F"/>
    <w:rsid w:val="05E8E05E"/>
    <w:rsid w:val="10AB39F5"/>
    <w:rsid w:val="119E195D"/>
    <w:rsid w:val="1A201B3E"/>
    <w:rsid w:val="2213BC47"/>
    <w:rsid w:val="23C76B7D"/>
    <w:rsid w:val="25110822"/>
    <w:rsid w:val="28D83D1B"/>
    <w:rsid w:val="2DF59B5D"/>
    <w:rsid w:val="3710E3E8"/>
    <w:rsid w:val="3D21E377"/>
    <w:rsid w:val="41F8D431"/>
    <w:rsid w:val="489D197E"/>
    <w:rsid w:val="4CB1CB72"/>
    <w:rsid w:val="4E8C3A27"/>
    <w:rsid w:val="50C8079E"/>
    <w:rsid w:val="5598CA14"/>
    <w:rsid w:val="568F2CB0"/>
    <w:rsid w:val="5EA29069"/>
    <w:rsid w:val="60926781"/>
    <w:rsid w:val="63E48F36"/>
    <w:rsid w:val="671CB5FD"/>
    <w:rsid w:val="6909FBBF"/>
    <w:rsid w:val="69578EEC"/>
    <w:rsid w:val="6A420D6E"/>
    <w:rsid w:val="6FA3008B"/>
    <w:rsid w:val="76B93B7C"/>
    <w:rsid w:val="7D3E3D1E"/>
    <w:rsid w:val="7F543D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B701287"/>
  <w15:chartTrackingRefBased/>
  <w15:docId w15:val="{83D41F98-AE78-4DCE-BC86-BB206F2C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styleId="CommentReference">
    <w:name w:val="annotation reference"/>
    <w:uiPriority w:val="99"/>
    <w:semiHidden/>
    <w:unhideWhenUsed/>
    <w:rsid w:val="004950E0"/>
    <w:rPr>
      <w:sz w:val="16"/>
      <w:szCs w:val="16"/>
    </w:rPr>
  </w:style>
  <w:style w:type="paragraph" w:styleId="CommentText">
    <w:name w:val="annotation text"/>
    <w:basedOn w:val="Normal"/>
    <w:link w:val="CommentTextChar"/>
    <w:uiPriority w:val="99"/>
    <w:unhideWhenUsed/>
    <w:rsid w:val="004950E0"/>
    <w:rPr>
      <w:sz w:val="20"/>
    </w:rPr>
  </w:style>
  <w:style w:type="character" w:customStyle="1" w:styleId="CommentTextChar">
    <w:name w:val="Comment Text Char"/>
    <w:link w:val="CommentText"/>
    <w:uiPriority w:val="99"/>
    <w:rsid w:val="004950E0"/>
    <w:rPr>
      <w:snapToGrid w:val="0"/>
      <w:kern w:val="28"/>
    </w:rPr>
  </w:style>
  <w:style w:type="paragraph" w:styleId="CommentSubject">
    <w:name w:val="annotation subject"/>
    <w:basedOn w:val="CommentText"/>
    <w:next w:val="CommentText"/>
    <w:link w:val="CommentSubjectChar"/>
    <w:uiPriority w:val="99"/>
    <w:semiHidden/>
    <w:unhideWhenUsed/>
    <w:rsid w:val="004950E0"/>
    <w:rPr>
      <w:b/>
      <w:bCs/>
    </w:rPr>
  </w:style>
  <w:style w:type="character" w:customStyle="1" w:styleId="CommentSubjectChar">
    <w:name w:val="Comment Subject Char"/>
    <w:link w:val="CommentSubject"/>
    <w:uiPriority w:val="99"/>
    <w:semiHidden/>
    <w:rsid w:val="004950E0"/>
    <w:rPr>
      <w:b/>
      <w:bCs/>
      <w:snapToGrid w:val="0"/>
      <w:kern w:val="28"/>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336E0A"/>
  </w:style>
  <w:style w:type="character" w:customStyle="1" w:styleId="ParaNumChar">
    <w:name w:val="ParaNum Char"/>
    <w:link w:val="ParaNum"/>
    <w:rsid w:val="00336E0A"/>
    <w:rPr>
      <w:snapToGrid w:val="0"/>
      <w:kern w:val="28"/>
      <w:sz w:val="22"/>
    </w:rPr>
  </w:style>
  <w:style w:type="character" w:customStyle="1" w:styleId="UnresolvedMention">
    <w:name w:val="Unresolved Mention"/>
    <w:basedOn w:val="DefaultParagraphFont"/>
    <w:uiPriority w:val="99"/>
    <w:rsid w:val="00F048DC"/>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17D71"/>
    <w:rPr>
      <w:snapToGrid w:val="0"/>
      <w:kern w:val="28"/>
      <w:sz w:val="22"/>
    </w:rPr>
  </w:style>
  <w:style w:type="character" w:styleId="FollowedHyperlink">
    <w:name w:val="FollowedHyperlink"/>
    <w:basedOn w:val="DefaultParagraphFont"/>
    <w:uiPriority w:val="99"/>
    <w:semiHidden/>
    <w:unhideWhenUsed/>
    <w:rsid w:val="008B6385"/>
    <w:rPr>
      <w:color w:val="954F72" w:themeColor="followedHyperlink"/>
      <w:u w:val="single"/>
    </w:rPr>
  </w:style>
  <w:style w:type="paragraph" w:styleId="ListParagraph">
    <w:name w:val="List Paragraph"/>
    <w:basedOn w:val="Normal"/>
    <w:uiPriority w:val="34"/>
    <w:qFormat/>
    <w:rsid w:val="00774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Roberto.Mussenden@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ireless2.fcc.gov/UlsEntry/attachments/attachmentViewRD.jsp;ATTACHMENTS=n11rv1dGLFqTJyRt8Dh7JDXtr1rwy3fKLTPvhjLtglhFpQTDyQrV!560130442!1071318750?applType=search&amp;fileKey=824024548&amp;attachmentKey=21437925&amp;attachmentInd=applAttach" TargetMode="External" /><Relationship Id="rId2" Type="http://schemas.openxmlformats.org/officeDocument/2006/relationships/hyperlink" Target="https://wireless2.fcc.gov/UlsEntry/attachments/attachmentViewRD.jsp?applType=search&amp;fileKey=488583324&amp;attachmentKey=21298366&amp;attachmentInd=applAttach" TargetMode="External" /><Relationship Id="rId3" Type="http://schemas.openxmlformats.org/officeDocument/2006/relationships/hyperlink" Target="https://wireless2.fcc.gov/UlsEntry/attachments/attachmentViewRD.jsp?applType=search&amp;fileKey=699457663&amp;attachmentKey=21490180&amp;attachmentInd=applAttach" TargetMode="External" /><Relationship Id="rId4" Type="http://schemas.openxmlformats.org/officeDocument/2006/relationships/hyperlink" Target="https://wireless2.fcc.gov/UlsEntry/attachments/attachmentViewRD.jsp;ATTACHMENTS=8T6wvP6cNSKjHVnXfkhyB6RyWQyvjBvwpQKcGdSjCVtkpy8gzF7K!560130442!1071318750?applType=search&amp;fileKey=470416313&amp;attachmentKey=21488488&amp;attachmentInd=applAttach"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