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B12CD" w:rsidP="001B12CD" w14:paraId="0B5A7DA5" w14:textId="77777777">
      <w:pPr>
        <w:jc w:val="center"/>
        <w:rPr>
          <w:b/>
        </w:rPr>
      </w:pPr>
      <w:r w:rsidRPr="0070224F">
        <w:rPr>
          <w:rFonts w:ascii="Times New Roman Bold" w:hAnsi="Times New Roman Bold"/>
          <w:b/>
          <w:szCs w:val="22"/>
        </w:rPr>
        <w:t>Before</w:t>
      </w:r>
      <w:r>
        <w:rPr>
          <w:b/>
        </w:rPr>
        <w:t xml:space="preserve"> the</w:t>
      </w:r>
    </w:p>
    <w:p w:rsidR="001B12CD" w:rsidP="001B12CD" w14:paraId="2992E481" w14:textId="77777777">
      <w:pPr>
        <w:pStyle w:val="StyleBoldCentered"/>
      </w:pPr>
      <w:r>
        <w:t>F</w:t>
      </w:r>
      <w:r>
        <w:rPr>
          <w:caps w:val="0"/>
        </w:rPr>
        <w:t>ederal Communications Commission</w:t>
      </w:r>
    </w:p>
    <w:p w:rsidR="001B12CD" w:rsidP="001B12CD" w14:paraId="0355003C" w14:textId="77777777">
      <w:pPr>
        <w:pStyle w:val="StyleBoldCentered"/>
      </w:pPr>
      <w:r>
        <w:rPr>
          <w:caps w:val="0"/>
        </w:rPr>
        <w:t>Washington, D.C. 20554</w:t>
      </w:r>
    </w:p>
    <w:p w:rsidR="001B12CD" w:rsidP="001B12CD" w14:paraId="07CAE9D1" w14:textId="77777777"/>
    <w:tbl>
      <w:tblPr>
        <w:tblW w:w="0" w:type="auto"/>
        <w:tblLayout w:type="fixed"/>
        <w:tblLook w:val="0000"/>
      </w:tblPr>
      <w:tblGrid>
        <w:gridCol w:w="4698"/>
        <w:gridCol w:w="630"/>
        <w:gridCol w:w="4248"/>
      </w:tblGrid>
      <w:tr w14:paraId="601F9E4C" w14:textId="77777777" w:rsidTr="001C4B3D">
        <w:tblPrEx>
          <w:tblW w:w="0" w:type="auto"/>
          <w:tblLayout w:type="fixed"/>
          <w:tblLook w:val="0000"/>
        </w:tblPrEx>
        <w:tc>
          <w:tcPr>
            <w:tcW w:w="4698" w:type="dxa"/>
          </w:tcPr>
          <w:p w:rsidR="001B12CD" w:rsidP="001C4B3D" w14:paraId="0E78A981" w14:textId="77777777">
            <w:pPr>
              <w:tabs>
                <w:tab w:val="center" w:pos="4680"/>
              </w:tabs>
              <w:suppressAutoHyphens/>
              <w:rPr>
                <w:spacing w:val="-2"/>
              </w:rPr>
            </w:pPr>
            <w:r>
              <w:rPr>
                <w:spacing w:val="-2"/>
              </w:rPr>
              <w:t>In the Matter of</w:t>
            </w:r>
          </w:p>
          <w:p w:rsidR="001B12CD" w:rsidP="001C4B3D" w14:paraId="460B84A4" w14:textId="0E743B5E">
            <w:pPr>
              <w:tabs>
                <w:tab w:val="center" w:pos="4680"/>
              </w:tabs>
              <w:suppressAutoHyphens/>
              <w:rPr>
                <w:spacing w:val="-2"/>
                <w:szCs w:val="22"/>
              </w:rPr>
            </w:pPr>
          </w:p>
          <w:p w:rsidR="001B12CD" w:rsidP="00B76171" w14:paraId="02FA452F" w14:textId="0FC643F6">
            <w:pPr>
              <w:tabs>
                <w:tab w:val="center" w:pos="4680"/>
              </w:tabs>
              <w:suppressAutoHyphens/>
              <w:rPr>
                <w:szCs w:val="22"/>
              </w:rPr>
            </w:pPr>
            <w:r>
              <w:rPr>
                <w:szCs w:val="22"/>
              </w:rPr>
              <w:t>Cellco</w:t>
            </w:r>
            <w:r>
              <w:rPr>
                <w:szCs w:val="22"/>
              </w:rPr>
              <w:t xml:space="preserve"> Partnership D/B/A Verizon Wireless</w:t>
            </w:r>
          </w:p>
          <w:p w:rsidR="00B76171" w:rsidP="00B76171" w14:paraId="4429FC13" w14:textId="19A41992">
            <w:pPr>
              <w:tabs>
                <w:tab w:val="center" w:pos="4680"/>
              </w:tabs>
              <w:suppressAutoHyphens/>
              <w:rPr>
                <w:szCs w:val="22"/>
              </w:rPr>
            </w:pPr>
          </w:p>
          <w:p w:rsidR="001B12CD" w:rsidRPr="005F023B" w:rsidP="001C4B3D" w14:paraId="563CC55C" w14:textId="77777777">
            <w:pPr>
              <w:pStyle w:val="TOAHeading"/>
              <w:tabs>
                <w:tab w:val="center" w:pos="4680"/>
                <w:tab w:val="clear" w:pos="9360"/>
              </w:tabs>
              <w:rPr>
                <w:szCs w:val="22"/>
              </w:rPr>
            </w:pPr>
            <w:bookmarkStart w:id="0" w:name="_Hlk80105060"/>
            <w:r>
              <w:rPr>
                <w:szCs w:val="22"/>
              </w:rPr>
              <w:t xml:space="preserve">Informal </w:t>
            </w:r>
            <w:r w:rsidRPr="005F023B">
              <w:rPr>
                <w:szCs w:val="22"/>
              </w:rPr>
              <w:t xml:space="preserve">Complaint Regarding </w:t>
            </w:r>
          </w:p>
          <w:p w:rsidR="001B12CD" w:rsidRPr="005F023B" w:rsidP="001C4B3D" w14:paraId="746C377B" w14:textId="77777777">
            <w:pPr>
              <w:pStyle w:val="TOAHeading"/>
              <w:tabs>
                <w:tab w:val="center" w:pos="4680"/>
                <w:tab w:val="clear" w:pos="9360"/>
              </w:tabs>
              <w:rPr>
                <w:szCs w:val="22"/>
              </w:rPr>
            </w:pPr>
            <w:r w:rsidRPr="005F023B">
              <w:rPr>
                <w:szCs w:val="22"/>
              </w:rPr>
              <w:t>Access to Telecommunications Services</w:t>
            </w:r>
          </w:p>
          <w:bookmarkEnd w:id="0"/>
          <w:p w:rsidR="001B12CD" w:rsidRPr="007115F7" w:rsidP="001C4B3D" w14:paraId="76997173" w14:textId="77777777">
            <w:pPr>
              <w:tabs>
                <w:tab w:val="center" w:pos="4680"/>
              </w:tabs>
              <w:suppressAutoHyphens/>
              <w:rPr>
                <w:spacing w:val="-2"/>
              </w:rPr>
            </w:pPr>
          </w:p>
        </w:tc>
        <w:tc>
          <w:tcPr>
            <w:tcW w:w="630" w:type="dxa"/>
          </w:tcPr>
          <w:p w:rsidR="001B12CD" w:rsidP="001C4B3D" w14:paraId="77A24E12" w14:textId="77777777">
            <w:pPr>
              <w:tabs>
                <w:tab w:val="center" w:pos="4680"/>
              </w:tabs>
              <w:suppressAutoHyphens/>
              <w:rPr>
                <w:b/>
                <w:spacing w:val="-2"/>
              </w:rPr>
            </w:pPr>
            <w:r>
              <w:rPr>
                <w:b/>
                <w:spacing w:val="-2"/>
              </w:rPr>
              <w:t>)</w:t>
            </w:r>
          </w:p>
          <w:p w:rsidR="001B12CD" w:rsidP="001C4B3D" w14:paraId="289A0E23" w14:textId="77777777">
            <w:pPr>
              <w:tabs>
                <w:tab w:val="center" w:pos="4680"/>
              </w:tabs>
              <w:suppressAutoHyphens/>
              <w:rPr>
                <w:b/>
                <w:spacing w:val="-2"/>
              </w:rPr>
            </w:pPr>
            <w:r>
              <w:rPr>
                <w:b/>
                <w:spacing w:val="-2"/>
              </w:rPr>
              <w:t>)</w:t>
            </w:r>
          </w:p>
          <w:p w:rsidR="001B12CD" w:rsidP="001C4B3D" w14:paraId="391D2976" w14:textId="77777777">
            <w:pPr>
              <w:tabs>
                <w:tab w:val="center" w:pos="4680"/>
              </w:tabs>
              <w:suppressAutoHyphens/>
              <w:rPr>
                <w:b/>
                <w:spacing w:val="-2"/>
              </w:rPr>
            </w:pPr>
            <w:r>
              <w:rPr>
                <w:b/>
                <w:spacing w:val="-2"/>
              </w:rPr>
              <w:t>)</w:t>
            </w:r>
          </w:p>
          <w:p w:rsidR="001B12CD" w:rsidP="001C4B3D" w14:paraId="2ECC580E" w14:textId="77777777">
            <w:pPr>
              <w:tabs>
                <w:tab w:val="center" w:pos="4680"/>
              </w:tabs>
              <w:suppressAutoHyphens/>
              <w:rPr>
                <w:b/>
                <w:spacing w:val="-2"/>
              </w:rPr>
            </w:pPr>
            <w:r>
              <w:rPr>
                <w:b/>
                <w:spacing w:val="-2"/>
              </w:rPr>
              <w:t>)</w:t>
            </w:r>
          </w:p>
          <w:p w:rsidR="001B12CD" w:rsidP="001C4B3D" w14:paraId="705ACFCC" w14:textId="77777777">
            <w:pPr>
              <w:tabs>
                <w:tab w:val="center" w:pos="4680"/>
              </w:tabs>
              <w:suppressAutoHyphens/>
              <w:rPr>
                <w:b/>
                <w:spacing w:val="-2"/>
              </w:rPr>
            </w:pPr>
            <w:r>
              <w:rPr>
                <w:b/>
                <w:spacing w:val="-2"/>
              </w:rPr>
              <w:t>)</w:t>
            </w:r>
          </w:p>
          <w:p w:rsidR="001B12CD" w:rsidP="001C4B3D" w14:paraId="66E2C695" w14:textId="77777777">
            <w:pPr>
              <w:tabs>
                <w:tab w:val="center" w:pos="4680"/>
              </w:tabs>
              <w:suppressAutoHyphens/>
              <w:rPr>
                <w:b/>
                <w:spacing w:val="-2"/>
              </w:rPr>
            </w:pPr>
            <w:r>
              <w:rPr>
                <w:b/>
                <w:spacing w:val="-2"/>
              </w:rPr>
              <w:t>)</w:t>
            </w:r>
          </w:p>
          <w:p w:rsidR="001B12CD" w:rsidP="00F84927" w14:paraId="1BC2E99D" w14:textId="64B39DDD">
            <w:pPr>
              <w:tabs>
                <w:tab w:val="center" w:pos="4680"/>
              </w:tabs>
              <w:suppressAutoHyphens/>
              <w:rPr>
                <w:spacing w:val="-2"/>
              </w:rPr>
            </w:pPr>
            <w:r>
              <w:rPr>
                <w:b/>
                <w:spacing w:val="-2"/>
              </w:rPr>
              <w:t>)</w:t>
            </w:r>
          </w:p>
        </w:tc>
        <w:tc>
          <w:tcPr>
            <w:tcW w:w="4248" w:type="dxa"/>
          </w:tcPr>
          <w:p w:rsidR="001B12CD" w:rsidRPr="00EB6E41" w:rsidP="001C4B3D" w14:paraId="1F88E249" w14:textId="77777777">
            <w:pPr>
              <w:tabs>
                <w:tab w:val="center" w:pos="4680"/>
              </w:tabs>
              <w:suppressAutoHyphens/>
              <w:rPr>
                <w:spacing w:val="-2"/>
              </w:rPr>
            </w:pPr>
          </w:p>
          <w:p w:rsidR="001B12CD" w:rsidRPr="00EB6E41" w:rsidP="001C4B3D" w14:paraId="615DD17A" w14:textId="77777777">
            <w:pPr>
              <w:pStyle w:val="TOAHeading"/>
              <w:tabs>
                <w:tab w:val="center" w:pos="4680"/>
                <w:tab w:val="clear" w:pos="9360"/>
              </w:tabs>
              <w:rPr>
                <w:spacing w:val="-2"/>
              </w:rPr>
            </w:pPr>
          </w:p>
          <w:p w:rsidR="001B12CD" w:rsidRPr="00EB6E41" w:rsidP="00977309" w14:paraId="397888A9" w14:textId="53AE6A64">
            <w:pPr>
              <w:rPr>
                <w:spacing w:val="-2"/>
              </w:rPr>
            </w:pPr>
            <w:bookmarkStart w:id="1" w:name="_Hlk102658155"/>
            <w:r w:rsidRPr="00EB6E41">
              <w:rPr>
                <w:szCs w:val="22"/>
              </w:rPr>
              <w:t>File No.  EB-TCD-</w:t>
            </w:r>
            <w:r w:rsidRPr="00EB6E41" w:rsidR="00EB6E41">
              <w:rPr>
                <w:szCs w:val="22"/>
              </w:rPr>
              <w:t>21-00033100</w:t>
            </w:r>
            <w:bookmarkEnd w:id="1"/>
          </w:p>
        </w:tc>
      </w:tr>
    </w:tbl>
    <w:p w:rsidR="001B12CD" w:rsidP="001B12CD" w14:paraId="3808C0D2" w14:textId="77777777"/>
    <w:p w:rsidR="001B12CD" w:rsidP="001B12CD" w14:paraId="42DA11C1" w14:textId="77777777">
      <w:pPr>
        <w:pStyle w:val="StyleBoldCentered"/>
      </w:pPr>
      <w:r>
        <w:t>Order</w:t>
      </w:r>
    </w:p>
    <w:p w:rsidR="001B12CD" w:rsidP="001B12CD" w14:paraId="42E7EE4F" w14:textId="77777777">
      <w:pPr>
        <w:tabs>
          <w:tab w:val="left" w:pos="-720"/>
        </w:tabs>
        <w:suppressAutoHyphens/>
        <w:spacing w:line="227" w:lineRule="auto"/>
        <w:rPr>
          <w:spacing w:val="-2"/>
        </w:rPr>
      </w:pPr>
    </w:p>
    <w:p w:rsidR="001B12CD" w:rsidP="001B12CD" w14:paraId="56AE1454" w14:textId="2375B277">
      <w:pPr>
        <w:tabs>
          <w:tab w:val="left" w:pos="720"/>
          <w:tab w:val="right" w:pos="9360"/>
        </w:tabs>
        <w:suppressAutoHyphens/>
        <w:spacing w:line="227" w:lineRule="auto"/>
        <w:rPr>
          <w:spacing w:val="-2"/>
        </w:rPr>
      </w:pPr>
      <w:r>
        <w:rPr>
          <w:b/>
          <w:spacing w:val="-2"/>
        </w:rPr>
        <w:t xml:space="preserve">Adopted:  </w:t>
      </w:r>
      <w:r w:rsidR="00624E46">
        <w:rPr>
          <w:b/>
          <w:spacing w:val="-2"/>
          <w:szCs w:val="22"/>
        </w:rPr>
        <w:t>June 9</w:t>
      </w:r>
      <w:r w:rsidR="00CC3532">
        <w:rPr>
          <w:b/>
          <w:spacing w:val="-2"/>
          <w:szCs w:val="22"/>
        </w:rPr>
        <w:t>, 202</w:t>
      </w:r>
      <w:r w:rsidR="003B5A58">
        <w:rPr>
          <w:b/>
          <w:spacing w:val="-2"/>
          <w:szCs w:val="22"/>
        </w:rPr>
        <w:t>2</w:t>
      </w:r>
      <w:r>
        <w:rPr>
          <w:b/>
          <w:spacing w:val="-2"/>
        </w:rPr>
        <w:tab/>
        <w:t xml:space="preserve">Released:  </w:t>
      </w:r>
      <w:r w:rsidR="00624E46">
        <w:rPr>
          <w:b/>
          <w:spacing w:val="-2"/>
          <w:szCs w:val="22"/>
        </w:rPr>
        <w:t xml:space="preserve">June 9, </w:t>
      </w:r>
      <w:r w:rsidR="00CC3532">
        <w:rPr>
          <w:b/>
          <w:spacing w:val="-2"/>
          <w:szCs w:val="22"/>
        </w:rPr>
        <w:t>202</w:t>
      </w:r>
      <w:r w:rsidR="003B5A58">
        <w:rPr>
          <w:b/>
          <w:spacing w:val="-2"/>
          <w:szCs w:val="22"/>
        </w:rPr>
        <w:t>2</w:t>
      </w:r>
    </w:p>
    <w:p w:rsidR="001B12CD" w:rsidP="001B12CD" w14:paraId="6F4ECD3A" w14:textId="77777777"/>
    <w:p w:rsidR="001B12CD" w:rsidRPr="00853D72" w:rsidP="001B12CD" w14:paraId="3D242DCB" w14:textId="75313EB6">
      <w:pPr>
        <w:rPr>
          <w:spacing w:val="-2"/>
          <w:szCs w:val="22"/>
        </w:rPr>
      </w:pPr>
      <w:r w:rsidRPr="00853D72">
        <w:rPr>
          <w:szCs w:val="22"/>
        </w:rPr>
        <w:t xml:space="preserve">By the </w:t>
      </w:r>
      <w:r w:rsidR="0075031B">
        <w:rPr>
          <w:szCs w:val="22"/>
        </w:rPr>
        <w:t xml:space="preserve">Acting </w:t>
      </w:r>
      <w:r w:rsidRPr="00771BAE" w:rsidR="00317929">
        <w:rPr>
          <w:spacing w:val="-2"/>
          <w:szCs w:val="22"/>
        </w:rPr>
        <w:t>Chief</w:t>
      </w:r>
      <w:r w:rsidR="006768A7">
        <w:rPr>
          <w:spacing w:val="-2"/>
          <w:szCs w:val="22"/>
        </w:rPr>
        <w:t>, Enforcement Bureau</w:t>
      </w:r>
      <w:r w:rsidRPr="00771BAE">
        <w:rPr>
          <w:spacing w:val="-2"/>
          <w:szCs w:val="22"/>
        </w:rPr>
        <w:t>:</w:t>
      </w:r>
    </w:p>
    <w:p w:rsidR="001B12CD" w:rsidRPr="00853D72" w:rsidP="001B12CD" w14:paraId="2FFDAB2D" w14:textId="77777777">
      <w:pPr>
        <w:rPr>
          <w:spacing w:val="-2"/>
          <w:szCs w:val="22"/>
        </w:rPr>
      </w:pPr>
    </w:p>
    <w:p w:rsidR="001B12CD" w:rsidRPr="00853D72" w:rsidP="001B12CD" w14:paraId="319C9C70" w14:textId="77777777">
      <w:pPr>
        <w:pStyle w:val="Heading1"/>
        <w:widowControl/>
        <w:rPr>
          <w:rFonts w:ascii="Times New Roman" w:hAnsi="Times New Roman"/>
          <w:snapToGrid/>
          <w:szCs w:val="22"/>
        </w:rPr>
      </w:pPr>
      <w:bookmarkStart w:id="2" w:name="_Hlk72229550"/>
      <w:r w:rsidRPr="00853D72">
        <w:rPr>
          <w:rFonts w:ascii="Times New Roman" w:hAnsi="Times New Roman"/>
          <w:snapToGrid/>
          <w:szCs w:val="22"/>
        </w:rPr>
        <w:t>Introduction</w:t>
      </w:r>
    </w:p>
    <w:p w:rsidR="001B12CD" w:rsidRPr="00BD072C" w:rsidP="00EB6E41" w14:paraId="602A4C47" w14:textId="2D75AB74">
      <w:pPr>
        <w:pStyle w:val="ParaNum"/>
        <w:widowControl/>
        <w:rPr>
          <w:snapToGrid/>
          <w:kern w:val="0"/>
          <w:szCs w:val="22"/>
        </w:rPr>
      </w:pPr>
      <w:r w:rsidRPr="00BD072C">
        <w:rPr>
          <w:szCs w:val="22"/>
        </w:rPr>
        <w:t xml:space="preserve">In this Order, we consider an informal complaint </w:t>
      </w:r>
      <w:r w:rsidR="009D1C7A">
        <w:rPr>
          <w:szCs w:val="22"/>
        </w:rPr>
        <w:t xml:space="preserve">filed pursuant to section 14.34 of the </w:t>
      </w:r>
      <w:r w:rsidR="00DB7903">
        <w:rPr>
          <w:szCs w:val="22"/>
        </w:rPr>
        <w:t xml:space="preserve">Federal Communications </w:t>
      </w:r>
      <w:r w:rsidR="009D1C7A">
        <w:rPr>
          <w:szCs w:val="22"/>
        </w:rPr>
        <w:t>Commi</w:t>
      </w:r>
      <w:r w:rsidR="002B59D6">
        <w:rPr>
          <w:szCs w:val="22"/>
        </w:rPr>
        <w:t>s</w:t>
      </w:r>
      <w:r w:rsidR="009D1C7A">
        <w:rPr>
          <w:szCs w:val="22"/>
        </w:rPr>
        <w:t>sion’s rules</w:t>
      </w:r>
      <w:r w:rsidR="002B59D6">
        <w:rPr>
          <w:szCs w:val="22"/>
        </w:rPr>
        <w:t xml:space="preserve"> (Rules)</w:t>
      </w:r>
      <w:r w:rsidR="009D1C7A">
        <w:rPr>
          <w:szCs w:val="22"/>
        </w:rPr>
        <w:t xml:space="preserve">, </w:t>
      </w:r>
      <w:r w:rsidRPr="00BD072C">
        <w:rPr>
          <w:szCs w:val="22"/>
        </w:rPr>
        <w:t xml:space="preserve">alleging that </w:t>
      </w:r>
      <w:r w:rsidRPr="00BD072C" w:rsidR="00EB6E41">
        <w:rPr>
          <w:szCs w:val="22"/>
        </w:rPr>
        <w:t>Cellco</w:t>
      </w:r>
      <w:r w:rsidRPr="00BD072C" w:rsidR="00EB6E41">
        <w:rPr>
          <w:szCs w:val="22"/>
        </w:rPr>
        <w:t xml:space="preserve"> Partnership </w:t>
      </w:r>
      <w:r w:rsidR="00E918F2">
        <w:rPr>
          <w:szCs w:val="22"/>
        </w:rPr>
        <w:t>d</w:t>
      </w:r>
      <w:r w:rsidRPr="00BD072C" w:rsidR="00EB6E41">
        <w:rPr>
          <w:szCs w:val="22"/>
        </w:rPr>
        <w:t>/</w:t>
      </w:r>
      <w:r w:rsidR="00E918F2">
        <w:rPr>
          <w:szCs w:val="22"/>
        </w:rPr>
        <w:t>b</w:t>
      </w:r>
      <w:r w:rsidRPr="00BD072C" w:rsidR="00EB6E41">
        <w:rPr>
          <w:szCs w:val="22"/>
        </w:rPr>
        <w:t>/</w:t>
      </w:r>
      <w:r w:rsidR="00E918F2">
        <w:rPr>
          <w:szCs w:val="22"/>
        </w:rPr>
        <w:t>a</w:t>
      </w:r>
      <w:r w:rsidRPr="00BD072C" w:rsidR="00EB6E41">
        <w:rPr>
          <w:szCs w:val="22"/>
        </w:rPr>
        <w:t xml:space="preserve"> Verizon Wireless (Verizon</w:t>
      </w:r>
      <w:r w:rsidR="009334A1">
        <w:rPr>
          <w:szCs w:val="22"/>
        </w:rPr>
        <w:t xml:space="preserve"> or </w:t>
      </w:r>
      <w:r w:rsidR="0095417C">
        <w:rPr>
          <w:szCs w:val="22"/>
        </w:rPr>
        <w:t>Company</w:t>
      </w:r>
      <w:r w:rsidRPr="00BD072C" w:rsidR="00EB6E41">
        <w:rPr>
          <w:szCs w:val="22"/>
        </w:rPr>
        <w:t>)</w:t>
      </w:r>
      <w:r w:rsidRPr="00BD072C" w:rsidR="007903CD">
        <w:rPr>
          <w:szCs w:val="22"/>
        </w:rPr>
        <w:t xml:space="preserve"> </w:t>
      </w:r>
      <w:r w:rsidRPr="00BD072C">
        <w:rPr>
          <w:szCs w:val="22"/>
        </w:rPr>
        <w:t xml:space="preserve">failed to comply with </w:t>
      </w:r>
      <w:r w:rsidRPr="00BD072C" w:rsidR="00BD072C">
        <w:rPr>
          <w:szCs w:val="22"/>
        </w:rPr>
        <w:t>section 255 of the Communications Act</w:t>
      </w:r>
      <w:r w:rsidR="00FC61B6">
        <w:rPr>
          <w:szCs w:val="22"/>
        </w:rPr>
        <w:t xml:space="preserve"> of 1934</w:t>
      </w:r>
      <w:r w:rsidRPr="00BD072C" w:rsidR="00BD072C">
        <w:rPr>
          <w:szCs w:val="22"/>
        </w:rPr>
        <w:t xml:space="preserve">, as amended (the Act), and </w:t>
      </w:r>
      <w:r w:rsidR="00404727">
        <w:rPr>
          <w:szCs w:val="22"/>
        </w:rPr>
        <w:t>part</w:t>
      </w:r>
      <w:r w:rsidR="007E4EC0">
        <w:rPr>
          <w:szCs w:val="22"/>
        </w:rPr>
        <w:t xml:space="preserve"> </w:t>
      </w:r>
      <w:r w:rsidR="008427C7">
        <w:rPr>
          <w:szCs w:val="22"/>
        </w:rPr>
        <w:t>7</w:t>
      </w:r>
      <w:r w:rsidRPr="00BD072C" w:rsidR="00630483">
        <w:rPr>
          <w:szCs w:val="22"/>
        </w:rPr>
        <w:t xml:space="preserve"> of the </w:t>
      </w:r>
      <w:r w:rsidR="002B59D6">
        <w:rPr>
          <w:szCs w:val="22"/>
        </w:rPr>
        <w:t>R</w:t>
      </w:r>
      <w:r w:rsidRPr="00BD072C" w:rsidR="00630483">
        <w:rPr>
          <w:szCs w:val="22"/>
        </w:rPr>
        <w:t>ules</w:t>
      </w:r>
      <w:r w:rsidRPr="00BD072C">
        <w:rPr>
          <w:szCs w:val="22"/>
        </w:rPr>
        <w:t>.</w:t>
      </w:r>
      <w:r>
        <w:rPr>
          <w:rStyle w:val="FootnoteReference"/>
          <w:szCs w:val="22"/>
        </w:rPr>
        <w:footnoteReference w:id="3"/>
      </w:r>
      <w:r w:rsidRPr="00BD072C">
        <w:rPr>
          <w:szCs w:val="22"/>
        </w:rPr>
        <w:t xml:space="preserve"> </w:t>
      </w:r>
      <w:r w:rsidR="00D13ABA">
        <w:rPr>
          <w:szCs w:val="22"/>
        </w:rPr>
        <w:t xml:space="preserve"> </w:t>
      </w:r>
    </w:p>
    <w:p w:rsidR="001B12CD" w:rsidRPr="005E0881" w:rsidP="001B12CD" w14:paraId="51BD2698" w14:textId="42527CAA">
      <w:pPr>
        <w:pStyle w:val="ParaNum"/>
        <w:widowControl/>
        <w:rPr>
          <w:snapToGrid/>
          <w:kern w:val="0"/>
          <w:szCs w:val="22"/>
        </w:rPr>
      </w:pPr>
      <w:r w:rsidRPr="000322E9">
        <w:rPr>
          <w:color w:val="010101"/>
          <w:szCs w:val="22"/>
        </w:rPr>
        <w:t xml:space="preserve">Verizon failed to </w:t>
      </w:r>
      <w:r w:rsidRPr="000322E9" w:rsidR="00547F19">
        <w:rPr>
          <w:color w:val="010101"/>
          <w:szCs w:val="22"/>
        </w:rPr>
        <w:t>meet its burden of pro</w:t>
      </w:r>
      <w:r w:rsidRPr="000322E9" w:rsidR="005A43A4">
        <w:rPr>
          <w:color w:val="010101"/>
          <w:szCs w:val="22"/>
        </w:rPr>
        <w:t xml:space="preserve">of and thus did not establish </w:t>
      </w:r>
      <w:r w:rsidRPr="000322E9" w:rsidR="00547F19">
        <w:rPr>
          <w:color w:val="010101"/>
          <w:szCs w:val="22"/>
        </w:rPr>
        <w:t xml:space="preserve">that its Premium Visual Voicemail service is accessible or that accessibility is not </w:t>
      </w:r>
      <w:r w:rsidRPr="000322E9" w:rsidR="00176A5A">
        <w:rPr>
          <w:color w:val="010101"/>
          <w:szCs w:val="22"/>
        </w:rPr>
        <w:t xml:space="preserve">readily </w:t>
      </w:r>
      <w:r w:rsidRPr="000322E9" w:rsidR="00547F19">
        <w:rPr>
          <w:color w:val="010101"/>
          <w:szCs w:val="22"/>
        </w:rPr>
        <w:t>achievable.</w:t>
      </w:r>
      <w:r>
        <w:rPr>
          <w:rStyle w:val="FootnoteReference"/>
          <w:szCs w:val="22"/>
        </w:rPr>
        <w:footnoteReference w:id="4"/>
      </w:r>
      <w:r w:rsidRPr="000322E9">
        <w:rPr>
          <w:color w:val="010101"/>
          <w:szCs w:val="22"/>
        </w:rPr>
        <w:t xml:space="preserve">  </w:t>
      </w:r>
      <w:r w:rsidRPr="000322E9" w:rsidR="007C3F4A">
        <w:rPr>
          <w:color w:val="010101"/>
          <w:szCs w:val="22"/>
        </w:rPr>
        <w:t>We therefore grant the complaint.</w:t>
      </w:r>
    </w:p>
    <w:bookmarkEnd w:id="2"/>
    <w:p w:rsidR="001B12CD" w:rsidRPr="00853D72" w:rsidP="001B12CD" w14:paraId="607E7726" w14:textId="77777777">
      <w:pPr>
        <w:pStyle w:val="Heading1"/>
        <w:widowControl/>
        <w:rPr>
          <w:rFonts w:ascii="Times New Roman" w:hAnsi="Times New Roman"/>
          <w:szCs w:val="22"/>
        </w:rPr>
      </w:pPr>
      <w:r w:rsidRPr="00853D72">
        <w:rPr>
          <w:rFonts w:ascii="Times New Roman" w:hAnsi="Times New Roman"/>
          <w:szCs w:val="22"/>
        </w:rPr>
        <w:t xml:space="preserve">Background  </w:t>
      </w:r>
    </w:p>
    <w:p w:rsidR="001B12CD" w:rsidRPr="00853D72" w:rsidP="0070082F" w14:paraId="6EADD627" w14:textId="77777777">
      <w:pPr>
        <w:pStyle w:val="Heading2"/>
      </w:pPr>
      <w:r w:rsidRPr="00853D72">
        <w:t>Legal Background</w:t>
      </w:r>
    </w:p>
    <w:p w:rsidR="001B12CD" w:rsidRPr="001B01A9" w:rsidP="001B01A9" w14:paraId="20F7F4DE" w14:textId="670C7196">
      <w:pPr>
        <w:pStyle w:val="ParaNum"/>
        <w:widowControl/>
        <w:rPr>
          <w:szCs w:val="22"/>
        </w:rPr>
      </w:pPr>
      <w:r w:rsidRPr="001B01A9">
        <w:rPr>
          <w:szCs w:val="22"/>
        </w:rPr>
        <w:t xml:space="preserve">Section 255 of the Act promotes accessibility to telecommunications services </w:t>
      </w:r>
      <w:r w:rsidRPr="001B01A9" w:rsidR="00E9626D">
        <w:rPr>
          <w:szCs w:val="22"/>
        </w:rPr>
        <w:t>for</w:t>
      </w:r>
      <w:r w:rsidRPr="001B01A9">
        <w:rPr>
          <w:szCs w:val="22"/>
        </w:rPr>
        <w:t xml:space="preserve"> individuals with disabilities.</w:t>
      </w:r>
      <w:r>
        <w:rPr>
          <w:rStyle w:val="FootnoteReference"/>
          <w:szCs w:val="22"/>
        </w:rPr>
        <w:footnoteReference w:id="5"/>
      </w:r>
      <w:r w:rsidRPr="001B01A9">
        <w:rPr>
          <w:szCs w:val="22"/>
        </w:rPr>
        <w:t xml:space="preserve"> </w:t>
      </w:r>
      <w:r w:rsidRPr="001B01A9" w:rsidR="00BE4D07">
        <w:rPr>
          <w:szCs w:val="22"/>
        </w:rPr>
        <w:t xml:space="preserve"> </w:t>
      </w:r>
      <w:bookmarkStart w:id="4" w:name="_Hlk95467792"/>
      <w:r w:rsidRPr="001B01A9" w:rsidR="00ED37AF">
        <w:rPr>
          <w:szCs w:val="22"/>
        </w:rPr>
        <w:t>Part 7 of the R</w:t>
      </w:r>
      <w:r w:rsidRPr="001B01A9" w:rsidR="001226C8">
        <w:rPr>
          <w:szCs w:val="22"/>
        </w:rPr>
        <w:t>ules implement</w:t>
      </w:r>
      <w:r w:rsidRPr="001B01A9" w:rsidR="00E9626D">
        <w:rPr>
          <w:szCs w:val="22"/>
        </w:rPr>
        <w:t>s</w:t>
      </w:r>
      <w:r w:rsidRPr="001B01A9" w:rsidR="001226C8">
        <w:rPr>
          <w:szCs w:val="22"/>
        </w:rPr>
        <w:t xml:space="preserve"> section 255 of the Act by requiring </w:t>
      </w:r>
      <w:r w:rsidRPr="001B01A9" w:rsidR="00A42674">
        <w:rPr>
          <w:szCs w:val="22"/>
        </w:rPr>
        <w:t>manufacturers and</w:t>
      </w:r>
      <w:r w:rsidRPr="001B01A9" w:rsidR="001226C8">
        <w:rPr>
          <w:szCs w:val="22"/>
        </w:rPr>
        <w:t xml:space="preserve"> service providers to make </w:t>
      </w:r>
      <w:r w:rsidRPr="001B01A9" w:rsidR="00E9626D">
        <w:rPr>
          <w:szCs w:val="22"/>
        </w:rPr>
        <w:t>telecommunications</w:t>
      </w:r>
      <w:r w:rsidRPr="001B01A9" w:rsidR="001226C8">
        <w:rPr>
          <w:szCs w:val="22"/>
        </w:rPr>
        <w:t xml:space="preserve"> services and equipment accessible to persons with disabilities</w:t>
      </w:r>
      <w:r w:rsidRPr="001B01A9" w:rsidR="00ED37AF">
        <w:rPr>
          <w:szCs w:val="22"/>
        </w:rPr>
        <w:t>,</w:t>
      </w:r>
      <w:r w:rsidRPr="001B01A9" w:rsidR="001226C8">
        <w:rPr>
          <w:szCs w:val="22"/>
        </w:rPr>
        <w:t xml:space="preserve"> if “readily achievable.”</w:t>
      </w:r>
      <w:r w:rsidRPr="001B01A9" w:rsidR="00B75E90">
        <w:rPr>
          <w:rStyle w:val="FootnoteReference"/>
          <w:szCs w:val="22"/>
        </w:rPr>
        <w:t xml:space="preserve"> </w:t>
      </w:r>
      <w:r>
        <w:rPr>
          <w:rStyle w:val="FootnoteReference"/>
          <w:szCs w:val="22"/>
        </w:rPr>
        <w:footnoteReference w:id="6"/>
      </w:r>
      <w:r w:rsidRPr="001B01A9" w:rsidR="00B75E90">
        <w:rPr>
          <w:szCs w:val="22"/>
        </w:rPr>
        <w:t xml:space="preserve"> </w:t>
      </w:r>
      <w:r w:rsidRPr="001B01A9" w:rsidR="001226C8">
        <w:rPr>
          <w:szCs w:val="22"/>
        </w:rPr>
        <w:t xml:space="preserve"> </w:t>
      </w:r>
      <w:bookmarkEnd w:id="4"/>
      <w:r w:rsidRPr="001B01A9" w:rsidR="00BE4D07">
        <w:rPr>
          <w:szCs w:val="22"/>
        </w:rPr>
        <w:t>In 2010, Congress amended the Act by passing the Twenty-First Century Video Accessibility Act (CVAA)</w:t>
      </w:r>
      <w:r w:rsidRPr="001B01A9" w:rsidR="007D3E0F">
        <w:rPr>
          <w:szCs w:val="22"/>
        </w:rPr>
        <w:t>.</w:t>
      </w:r>
      <w:r>
        <w:rPr>
          <w:rStyle w:val="FootnoteReference"/>
          <w:sz w:val="22"/>
          <w:szCs w:val="22"/>
        </w:rPr>
        <w:footnoteReference w:id="7"/>
      </w:r>
      <w:r w:rsidRPr="001B01A9" w:rsidR="007D3E0F">
        <w:rPr>
          <w:szCs w:val="22"/>
        </w:rPr>
        <w:t xml:space="preserve">  I</w:t>
      </w:r>
      <w:r w:rsidRPr="001B01A9" w:rsidR="00687F9F">
        <w:rPr>
          <w:szCs w:val="22"/>
        </w:rPr>
        <w:t>n addition to expanding</w:t>
      </w:r>
      <w:r w:rsidRPr="001B01A9" w:rsidR="00BE4D07">
        <w:rPr>
          <w:szCs w:val="22"/>
        </w:rPr>
        <w:t xml:space="preserve"> access</w:t>
      </w:r>
      <w:r w:rsidRPr="001B01A9" w:rsidR="00687F9F">
        <w:rPr>
          <w:szCs w:val="22"/>
        </w:rPr>
        <w:t xml:space="preserve"> requirements </w:t>
      </w:r>
      <w:r w:rsidRPr="001B01A9" w:rsidR="00687F9F">
        <w:rPr>
          <w:szCs w:val="22"/>
        </w:rPr>
        <w:t xml:space="preserve">for </w:t>
      </w:r>
      <w:r w:rsidRPr="001B01A9" w:rsidR="007D3E0F">
        <w:rPr>
          <w:szCs w:val="22"/>
        </w:rPr>
        <w:t>a</w:t>
      </w:r>
      <w:r w:rsidRPr="001B01A9" w:rsidR="00BE4D07">
        <w:rPr>
          <w:szCs w:val="22"/>
        </w:rPr>
        <w:t xml:space="preserve">dvanced </w:t>
      </w:r>
      <w:r w:rsidRPr="001B01A9" w:rsidR="007D3E0F">
        <w:rPr>
          <w:szCs w:val="22"/>
        </w:rPr>
        <w:t>c</w:t>
      </w:r>
      <w:r w:rsidRPr="001B01A9" w:rsidR="00BE4D07">
        <w:rPr>
          <w:szCs w:val="22"/>
        </w:rPr>
        <w:t xml:space="preserve">ommunications </w:t>
      </w:r>
      <w:r w:rsidRPr="001B01A9" w:rsidR="007D3E0F">
        <w:rPr>
          <w:szCs w:val="22"/>
        </w:rPr>
        <w:t>s</w:t>
      </w:r>
      <w:r w:rsidRPr="001B01A9" w:rsidR="00BE4D07">
        <w:rPr>
          <w:szCs w:val="22"/>
        </w:rPr>
        <w:t>ervices</w:t>
      </w:r>
      <w:r w:rsidRPr="001B01A9" w:rsidR="00687F9F">
        <w:rPr>
          <w:szCs w:val="22"/>
        </w:rPr>
        <w:t xml:space="preserve">, </w:t>
      </w:r>
      <w:r w:rsidRPr="001B01A9" w:rsidR="007D3E0F">
        <w:rPr>
          <w:szCs w:val="22"/>
        </w:rPr>
        <w:t xml:space="preserve">the CVAA </w:t>
      </w:r>
      <w:r w:rsidRPr="001B01A9" w:rsidR="004B537B">
        <w:rPr>
          <w:szCs w:val="22"/>
        </w:rPr>
        <w:t xml:space="preserve">included </w:t>
      </w:r>
      <w:r w:rsidRPr="001B01A9" w:rsidR="005B598B">
        <w:rPr>
          <w:szCs w:val="22"/>
        </w:rPr>
        <w:t xml:space="preserve">new </w:t>
      </w:r>
      <w:r w:rsidRPr="001B01A9" w:rsidR="00B75E90">
        <w:rPr>
          <w:szCs w:val="22"/>
        </w:rPr>
        <w:t xml:space="preserve">requirements to support </w:t>
      </w:r>
      <w:r w:rsidRPr="001B01A9" w:rsidR="005B598B">
        <w:rPr>
          <w:szCs w:val="22"/>
        </w:rPr>
        <w:t xml:space="preserve">enforcement </w:t>
      </w:r>
      <w:r w:rsidRPr="001B01A9" w:rsidR="004B537B">
        <w:rPr>
          <w:szCs w:val="22"/>
        </w:rPr>
        <w:t>of</w:t>
      </w:r>
      <w:r w:rsidRPr="001B01A9" w:rsidR="00B75E90">
        <w:rPr>
          <w:szCs w:val="22"/>
        </w:rPr>
        <w:t xml:space="preserve"> </w:t>
      </w:r>
      <w:r w:rsidRPr="001B01A9" w:rsidR="006C150D">
        <w:rPr>
          <w:szCs w:val="22"/>
        </w:rPr>
        <w:t>accessibility obligations</w:t>
      </w:r>
      <w:r w:rsidRPr="001B01A9" w:rsidR="005B598B">
        <w:rPr>
          <w:szCs w:val="22"/>
        </w:rPr>
        <w:t>.</w:t>
      </w:r>
      <w:r>
        <w:rPr>
          <w:rStyle w:val="FootnoteReference"/>
          <w:szCs w:val="22"/>
        </w:rPr>
        <w:footnoteReference w:id="8"/>
      </w:r>
      <w:r w:rsidRPr="001B01A9" w:rsidR="005B598B">
        <w:rPr>
          <w:szCs w:val="22"/>
        </w:rPr>
        <w:t xml:space="preserve"> </w:t>
      </w:r>
      <w:r w:rsidRPr="001B01A9" w:rsidR="006A1F15">
        <w:rPr>
          <w:szCs w:val="22"/>
        </w:rPr>
        <w:t xml:space="preserve"> </w:t>
      </w:r>
      <w:r w:rsidRPr="001B01A9" w:rsidR="00AE0FEF">
        <w:rPr>
          <w:szCs w:val="22"/>
        </w:rPr>
        <w:t>Section 717 of the Act require</w:t>
      </w:r>
      <w:r w:rsidRPr="001B01A9" w:rsidR="00B75E90">
        <w:rPr>
          <w:szCs w:val="22"/>
        </w:rPr>
        <w:t>d</w:t>
      </w:r>
      <w:r w:rsidRPr="001B01A9" w:rsidR="00AE0FEF">
        <w:rPr>
          <w:szCs w:val="22"/>
        </w:rPr>
        <w:t xml:space="preserve"> the Commission to adopt rules that facilitate the filing </w:t>
      </w:r>
      <w:r w:rsidRPr="001B01A9" w:rsidR="00400409">
        <w:rPr>
          <w:szCs w:val="22"/>
        </w:rPr>
        <w:t xml:space="preserve">and disposition </w:t>
      </w:r>
      <w:r w:rsidRPr="001B01A9" w:rsidR="00AE0FEF">
        <w:rPr>
          <w:szCs w:val="22"/>
        </w:rPr>
        <w:t xml:space="preserve">of formal and informal complaints alleging non-compliance with </w:t>
      </w:r>
      <w:r w:rsidRPr="001B01A9" w:rsidR="0089593F">
        <w:rPr>
          <w:szCs w:val="22"/>
        </w:rPr>
        <w:t>s</w:t>
      </w:r>
      <w:r w:rsidRPr="001B01A9" w:rsidR="00AE0FEF">
        <w:rPr>
          <w:szCs w:val="22"/>
        </w:rPr>
        <w:t>ection</w:t>
      </w:r>
      <w:r w:rsidRPr="001B01A9" w:rsidR="008864DA">
        <w:rPr>
          <w:szCs w:val="22"/>
        </w:rPr>
        <w:t>s</w:t>
      </w:r>
      <w:r w:rsidRPr="001B01A9" w:rsidR="00AE0FEF">
        <w:rPr>
          <w:szCs w:val="22"/>
        </w:rPr>
        <w:t xml:space="preserve"> 255</w:t>
      </w:r>
      <w:r w:rsidRPr="001B01A9" w:rsidR="00673BBB">
        <w:rPr>
          <w:szCs w:val="22"/>
        </w:rPr>
        <w:t xml:space="preserve"> and</w:t>
      </w:r>
      <w:r w:rsidRPr="001B01A9" w:rsidR="00AE0FEF">
        <w:rPr>
          <w:szCs w:val="22"/>
        </w:rPr>
        <w:t xml:space="preserve"> 716</w:t>
      </w:r>
      <w:r w:rsidRPr="001B01A9" w:rsidR="00673BBB">
        <w:rPr>
          <w:szCs w:val="22"/>
        </w:rPr>
        <w:t>.</w:t>
      </w:r>
      <w:r>
        <w:rPr>
          <w:rStyle w:val="FootnoteReference"/>
          <w:szCs w:val="22"/>
        </w:rPr>
        <w:footnoteReference w:id="9"/>
      </w:r>
      <w:r w:rsidRPr="001B01A9" w:rsidR="00AE0FEF">
        <w:rPr>
          <w:szCs w:val="22"/>
        </w:rPr>
        <w:t xml:space="preserve"> </w:t>
      </w:r>
      <w:r w:rsidRPr="001B01A9" w:rsidR="005B598B">
        <w:rPr>
          <w:szCs w:val="22"/>
        </w:rPr>
        <w:t xml:space="preserve"> The Commission implemented these</w:t>
      </w:r>
      <w:r w:rsidRPr="001B01A9" w:rsidR="00687F9F">
        <w:rPr>
          <w:szCs w:val="22"/>
        </w:rPr>
        <w:t xml:space="preserve"> enforcement</w:t>
      </w:r>
      <w:r w:rsidRPr="001B01A9" w:rsidR="005B598B">
        <w:rPr>
          <w:szCs w:val="22"/>
        </w:rPr>
        <w:t xml:space="preserve"> requirements in </w:t>
      </w:r>
      <w:r w:rsidRPr="001B01A9" w:rsidR="00BB53F4">
        <w:rPr>
          <w:szCs w:val="22"/>
        </w:rPr>
        <w:t xml:space="preserve">part </w:t>
      </w:r>
      <w:r w:rsidRPr="001B01A9" w:rsidR="005B598B">
        <w:rPr>
          <w:szCs w:val="22"/>
        </w:rPr>
        <w:t xml:space="preserve">14 of </w:t>
      </w:r>
      <w:r w:rsidRPr="001B01A9" w:rsidR="00400409">
        <w:rPr>
          <w:szCs w:val="22"/>
        </w:rPr>
        <w:t>the</w:t>
      </w:r>
      <w:r w:rsidRPr="001B01A9" w:rsidR="005B598B">
        <w:rPr>
          <w:szCs w:val="22"/>
        </w:rPr>
        <w:t xml:space="preserve"> </w:t>
      </w:r>
      <w:r w:rsidRPr="001B01A9" w:rsidR="001E205B">
        <w:rPr>
          <w:szCs w:val="22"/>
        </w:rPr>
        <w:t>R</w:t>
      </w:r>
      <w:r w:rsidRPr="001B01A9" w:rsidR="005B598B">
        <w:rPr>
          <w:szCs w:val="22"/>
        </w:rPr>
        <w:t>ules.</w:t>
      </w:r>
      <w:r>
        <w:rPr>
          <w:rStyle w:val="FootnoteReference"/>
          <w:szCs w:val="22"/>
        </w:rPr>
        <w:footnoteReference w:id="10"/>
      </w:r>
      <w:r w:rsidRPr="001B01A9" w:rsidR="005B598B">
        <w:rPr>
          <w:szCs w:val="22"/>
        </w:rPr>
        <w:t xml:space="preserve">  </w:t>
      </w:r>
    </w:p>
    <w:p w:rsidR="00B121AA" w:rsidP="0072636C" w14:paraId="7A77F978" w14:textId="2C3CE82A">
      <w:pPr>
        <w:pStyle w:val="ParaNum"/>
        <w:widowControl/>
      </w:pPr>
      <w:bookmarkStart w:id="5" w:name="1_B"/>
      <w:bookmarkStart w:id="6" w:name="1_C"/>
      <w:bookmarkStart w:id="7" w:name="1_D"/>
      <w:bookmarkEnd w:id="5"/>
      <w:bookmarkEnd w:id="6"/>
      <w:bookmarkEnd w:id="7"/>
      <w:r>
        <w:t xml:space="preserve">Consumers can file a Request for Dispute Assistance (RDA) with the Commission if they believe a manufacturer or service provider is violating </w:t>
      </w:r>
      <w:r w:rsidR="0072636C">
        <w:t>section 255, 716, or 718, or the applicable Commission rules.</w:t>
      </w:r>
      <w:r>
        <w:rPr>
          <w:rStyle w:val="FootnoteReference"/>
        </w:rPr>
        <w:footnoteReference w:id="11"/>
      </w:r>
      <w:r w:rsidR="0072636C">
        <w:t xml:space="preserve">  Commission staff will forward the RDA to the relevant manufacturer or service provider, and assist the parties in reaching a settlement.</w:t>
      </w:r>
      <w:r>
        <w:rPr>
          <w:rStyle w:val="FootnoteReference"/>
        </w:rPr>
        <w:footnoteReference w:id="12"/>
      </w:r>
      <w:r w:rsidR="0072636C">
        <w:t xml:space="preserve">  If the matter is not resolved within thirty days, the requester may file an informal complaint with the Commission.</w:t>
      </w:r>
      <w:r>
        <w:rPr>
          <w:rStyle w:val="FootnoteReference"/>
        </w:rPr>
        <w:footnoteReference w:id="13"/>
      </w:r>
      <w:r w:rsidR="0072636C">
        <w:t xml:space="preserve">  </w:t>
      </w:r>
      <w:r w:rsidRPr="4BEF337B" w:rsidR="00CC4E59">
        <w:t>Pursuant to section 14.37</w:t>
      </w:r>
      <w:r w:rsidRPr="4BEF337B" w:rsidR="00A42674">
        <w:t xml:space="preserve"> of the Rules</w:t>
      </w:r>
      <w:r w:rsidRPr="4BEF337B" w:rsidR="00CC4E59">
        <w:t>, the Commission will investigate the allegations in any informal complaint</w:t>
      </w:r>
      <w:r w:rsidRPr="4BEF337B" w:rsidR="00BF5429">
        <w:t xml:space="preserve">.  If the </w:t>
      </w:r>
      <w:r w:rsidRPr="4BEF337B" w:rsidR="004B537B">
        <w:t>parties</w:t>
      </w:r>
      <w:r w:rsidRPr="4BEF337B" w:rsidR="00BF5429">
        <w:t xml:space="preserve"> do not settle</w:t>
      </w:r>
      <w:r w:rsidRPr="0072636C" w:rsidR="005A270E">
        <w:rPr>
          <w:szCs w:val="22"/>
        </w:rPr>
        <w:t>,</w:t>
      </w:r>
      <w:r w:rsidRPr="0072636C" w:rsidR="00CC4E59">
        <w:rPr>
          <w:szCs w:val="22"/>
        </w:rPr>
        <w:t xml:space="preserve"> </w:t>
      </w:r>
      <w:r w:rsidRPr="4BEF337B" w:rsidR="004B537B">
        <w:t>then the Commission has</w:t>
      </w:r>
      <w:r w:rsidRPr="4BEF337B" w:rsidR="00CC4E59">
        <w:t xml:space="preserve"> 180 days </w:t>
      </w:r>
      <w:r w:rsidRPr="4BEF337B" w:rsidR="00C03A9F">
        <w:t>after</w:t>
      </w:r>
      <w:r w:rsidRPr="0072636C" w:rsidR="00C03A9F">
        <w:rPr>
          <w:szCs w:val="22"/>
        </w:rPr>
        <w:t xml:space="preserve"> </w:t>
      </w:r>
      <w:r w:rsidRPr="4BEF337B" w:rsidR="00C526BE">
        <w:t xml:space="preserve">the </w:t>
      </w:r>
      <w:r w:rsidRPr="4BEF337B" w:rsidR="00CC4E59">
        <w:t>complaint</w:t>
      </w:r>
      <w:r w:rsidR="00D01A6D">
        <w:t xml:space="preserve"> is filed</w:t>
      </w:r>
      <w:r w:rsidRPr="4BEF337B" w:rsidR="004B537B">
        <w:t xml:space="preserve"> to</w:t>
      </w:r>
      <w:r w:rsidRPr="4BEF337B" w:rsidR="00CC4E59">
        <w:t xml:space="preserve"> issue an order </w:t>
      </w:r>
      <w:r w:rsidRPr="4BEF337B" w:rsidR="00400409">
        <w:t>determin</w:t>
      </w:r>
      <w:r w:rsidRPr="4BEF337B" w:rsidR="003E728A">
        <w:t xml:space="preserve">ing </w:t>
      </w:r>
      <w:r w:rsidRPr="4BEF337B" w:rsidR="00CC4E59">
        <w:t xml:space="preserve">whether the manufacturer or service provider violated the relevant statutory provision or </w:t>
      </w:r>
      <w:r w:rsidRPr="4BEF337B" w:rsidR="003E728A">
        <w:t>R</w:t>
      </w:r>
      <w:r w:rsidRPr="4BEF337B" w:rsidR="00CC4E59">
        <w:t>ule</w:t>
      </w:r>
      <w:r w:rsidRPr="4BEF337B" w:rsidR="005A270E">
        <w:t xml:space="preserve"> and </w:t>
      </w:r>
      <w:r w:rsidRPr="4BEF337B" w:rsidR="004B537B">
        <w:t xml:space="preserve">specifying </w:t>
      </w:r>
      <w:r w:rsidRPr="4BEF337B" w:rsidR="005A270E">
        <w:t>th</w:t>
      </w:r>
      <w:r w:rsidRPr="4BEF337B" w:rsidR="00B51D5A">
        <w:t xml:space="preserve">e </w:t>
      </w:r>
      <w:r w:rsidRPr="4BEF337B" w:rsidR="00CC4E59">
        <w:t xml:space="preserve">basis </w:t>
      </w:r>
      <w:r w:rsidRPr="4BEF337B" w:rsidR="00B51D5A">
        <w:t>for the determination.</w:t>
      </w:r>
      <w:r>
        <w:rPr>
          <w:rStyle w:val="FootnoteReference"/>
        </w:rPr>
        <w:footnoteReference w:id="14"/>
      </w:r>
      <w:r w:rsidRPr="4BEF337B" w:rsidR="00CC4E59">
        <w:t xml:space="preserve">  If the Commission determines that there has been a violation, it may in such order, or in a subsequent order, (1) direct the manufacturer or service provider to bring the service, or in the case of a manufacturer, the next generation of the equipment or device, into compliance within a reasonable period of time, and (2) take other enforcement action that the Commission deems appropriate.</w:t>
      </w:r>
      <w:r>
        <w:rPr>
          <w:rStyle w:val="FootnoteReference"/>
        </w:rPr>
        <w:footnoteReference w:id="15"/>
      </w:r>
      <w:r w:rsidRPr="0072636C" w:rsidR="00CC4E59">
        <w:rPr>
          <w:szCs w:val="22"/>
        </w:rPr>
        <w:t xml:space="preserve">  </w:t>
      </w:r>
      <w:r w:rsidRPr="0072636C" w:rsidR="0003501C">
        <w:rPr>
          <w:szCs w:val="22"/>
        </w:rPr>
        <w:t>Section 14.37(c) of the R</w:t>
      </w:r>
      <w:r w:rsidRPr="4BEF337B" w:rsidR="004B537B">
        <w:t>ules provide</w:t>
      </w:r>
      <w:r w:rsidR="00BA1335">
        <w:t>s</w:t>
      </w:r>
      <w:r w:rsidRPr="4BEF337B" w:rsidR="004B537B">
        <w:t xml:space="preserve"> an opportunity </w:t>
      </w:r>
      <w:r w:rsidR="0003501C">
        <w:t xml:space="preserve">for the manufacturer or service provider </w:t>
      </w:r>
      <w:r w:rsidRPr="4BEF337B" w:rsidR="004B537B">
        <w:t>to comment on the proposed remedial action before such action becomes final.</w:t>
      </w:r>
      <w:r>
        <w:rPr>
          <w:rStyle w:val="FootnoteReference"/>
        </w:rPr>
        <w:footnoteReference w:id="16"/>
      </w:r>
      <w:r w:rsidRPr="0072636C" w:rsidR="004B537B">
        <w:rPr>
          <w:szCs w:val="22"/>
        </w:rPr>
        <w:t xml:space="preserve">  </w:t>
      </w:r>
      <w:r w:rsidRPr="4BEF337B" w:rsidR="00CC4E59">
        <w:t>The Commission recognized that it had “considerable discretion to tailor sanctions or remedies to the individual circumstances of a particular violation</w:t>
      </w:r>
      <w:r w:rsidRPr="0072636C" w:rsidR="004B537B">
        <w:rPr>
          <w:szCs w:val="22"/>
        </w:rPr>
        <w:t xml:space="preserve"> . . . .</w:t>
      </w:r>
      <w:r w:rsidRPr="0072636C" w:rsidR="00CC4E59">
        <w:rPr>
          <w:szCs w:val="22"/>
        </w:rPr>
        <w:t>”</w:t>
      </w:r>
      <w:r>
        <w:rPr>
          <w:rStyle w:val="FootnoteReference"/>
        </w:rPr>
        <w:footnoteReference w:id="17"/>
      </w:r>
      <w:r w:rsidRPr="0072636C" w:rsidR="00CC4E59">
        <w:rPr>
          <w:szCs w:val="22"/>
        </w:rPr>
        <w:t xml:space="preserve">   </w:t>
      </w:r>
    </w:p>
    <w:p w:rsidR="00305196" w:rsidP="001B12CD" w14:paraId="3598F150" w14:textId="2CA0EBCE">
      <w:pPr>
        <w:pStyle w:val="ParaNum"/>
        <w:widowControl/>
        <w:rPr>
          <w:szCs w:val="22"/>
        </w:rPr>
      </w:pPr>
      <w:r>
        <w:t>In establishing the informal complaint rules, the Commission adopted a simple mechanism for individuals to submit accessibility complaints.</w:t>
      </w:r>
      <w:r>
        <w:rPr>
          <w:rStyle w:val="FootnoteReference"/>
        </w:rPr>
        <w:footnoteReference w:id="18"/>
      </w:r>
      <w:r>
        <w:t xml:space="preserve">  </w:t>
      </w:r>
      <w:bookmarkStart w:id="9" w:name="_Hlk105613924"/>
      <w:r>
        <w:t>The Commission imposed minimum requirements for filing informal complaints,</w:t>
      </w:r>
      <w:r>
        <w:rPr>
          <w:rStyle w:val="FootnoteReference"/>
        </w:rPr>
        <w:footnoteReference w:id="19"/>
      </w:r>
      <w:r>
        <w:t xml:space="preserve"> and did not require complainants to provide documentation </w:t>
      </w:r>
      <w:bookmarkEnd w:id="9"/>
      <w:r>
        <w:t>or analysis of the accessibility issues in the complaint.</w:t>
      </w:r>
      <w:r>
        <w:rPr>
          <w:rStyle w:val="FootnoteReference"/>
        </w:rPr>
        <w:footnoteReference w:id="20"/>
      </w:r>
      <w:r>
        <w:t xml:space="preserve">  </w:t>
      </w:r>
      <w:r w:rsidR="00133D12">
        <w:rPr>
          <w:szCs w:val="22"/>
        </w:rPr>
        <w:t>Section</w:t>
      </w:r>
      <w:r w:rsidRPr="00B7092E" w:rsidR="00133D12">
        <w:rPr>
          <w:szCs w:val="22"/>
        </w:rPr>
        <w:t xml:space="preserve"> </w:t>
      </w:r>
      <w:r w:rsidRPr="00B7092E">
        <w:rPr>
          <w:szCs w:val="22"/>
        </w:rPr>
        <w:t xml:space="preserve">14.34(b) sets forth the requisite elements </w:t>
      </w:r>
      <w:r w:rsidRPr="00B7092E">
        <w:rPr>
          <w:szCs w:val="22"/>
        </w:rPr>
        <w:t>of an informal complaint.  At a minimum, the complaint must contain (1) contact information for both the complainant and the manufacturer or service provider</w:t>
      </w:r>
      <w:r w:rsidR="00B07CC8">
        <w:rPr>
          <w:szCs w:val="22"/>
        </w:rPr>
        <w:t>;</w:t>
      </w:r>
      <w:r w:rsidRPr="00B7092E">
        <w:rPr>
          <w:szCs w:val="22"/>
        </w:rPr>
        <w:t xml:space="preserve"> (2) a statement of facts explaining why the complainant contends that the defendant manufacturer or provider is in violation of </w:t>
      </w:r>
      <w:r w:rsidR="008864DA">
        <w:rPr>
          <w:szCs w:val="22"/>
        </w:rPr>
        <w:t>s</w:t>
      </w:r>
      <w:r w:rsidRPr="00B7092E">
        <w:rPr>
          <w:szCs w:val="22"/>
        </w:rPr>
        <w:t>ections 255, 716, or 718, and the relief requested</w:t>
      </w:r>
      <w:r w:rsidR="00B07CC8">
        <w:rPr>
          <w:szCs w:val="22"/>
        </w:rPr>
        <w:t>;</w:t>
      </w:r>
      <w:r w:rsidRPr="00B7092E">
        <w:rPr>
          <w:szCs w:val="22"/>
        </w:rPr>
        <w:t xml:space="preserve"> (3) the date or dates on which the complainant either purchased, acquired, or used (or attempted to purchase, acquire, or use) the equipment or service about which the complaint is being made</w:t>
      </w:r>
      <w:r w:rsidR="00B07CC8">
        <w:rPr>
          <w:szCs w:val="22"/>
        </w:rPr>
        <w:t>;</w:t>
      </w:r>
      <w:r w:rsidRPr="00B7092E">
        <w:rPr>
          <w:szCs w:val="22"/>
        </w:rPr>
        <w:t xml:space="preserve"> (4) a certification that the complainant submitted a Request for Dispute Assistance </w:t>
      </w:r>
      <w:r w:rsidR="00553748">
        <w:rPr>
          <w:szCs w:val="22"/>
        </w:rPr>
        <w:t xml:space="preserve">(RDA) </w:t>
      </w:r>
      <w:r w:rsidRPr="00B7092E">
        <w:rPr>
          <w:szCs w:val="22"/>
        </w:rPr>
        <w:t xml:space="preserve">at least thirty days before </w:t>
      </w:r>
      <w:r w:rsidR="00023DC1">
        <w:rPr>
          <w:szCs w:val="22"/>
        </w:rPr>
        <w:t xml:space="preserve">it filed </w:t>
      </w:r>
      <w:r w:rsidRPr="00B7092E">
        <w:rPr>
          <w:szCs w:val="22"/>
        </w:rPr>
        <w:t>the complaint; (5) the complainant’s preferred method of response</w:t>
      </w:r>
      <w:r w:rsidR="00023DC1">
        <w:rPr>
          <w:szCs w:val="22"/>
        </w:rPr>
        <w:t xml:space="preserve"> to the complaint</w:t>
      </w:r>
      <w:r w:rsidRPr="00B7092E">
        <w:rPr>
          <w:szCs w:val="22"/>
        </w:rPr>
        <w:t>; and (6) any other information that is required by the Commission’s accessibility complaint form.</w:t>
      </w:r>
      <w:r>
        <w:rPr>
          <w:rStyle w:val="FootnoteReference"/>
          <w:szCs w:val="22"/>
        </w:rPr>
        <w:footnoteReference w:id="21"/>
      </w:r>
      <w:r w:rsidRPr="00B7092E">
        <w:rPr>
          <w:szCs w:val="22"/>
        </w:rPr>
        <w:t xml:space="preserve">  </w:t>
      </w:r>
    </w:p>
    <w:p w:rsidR="00982E56" w:rsidRPr="00982E56" w:rsidP="00C43A04" w14:paraId="4E29E2BE" w14:textId="001C27A2">
      <w:pPr>
        <w:pStyle w:val="ParaNum"/>
      </w:pPr>
      <w:r>
        <w:t xml:space="preserve">Once the complaint establishes a </w:t>
      </w:r>
      <w:r w:rsidRPr="00133D12">
        <w:rPr>
          <w:i/>
          <w:iCs/>
        </w:rPr>
        <w:t>prima faci</w:t>
      </w:r>
      <w:r w:rsidR="00E8075D">
        <w:rPr>
          <w:i/>
          <w:iCs/>
        </w:rPr>
        <w:t>e</w:t>
      </w:r>
      <w:r>
        <w:t xml:space="preserve"> case</w:t>
      </w:r>
      <w:r w:rsidR="00133D12">
        <w:t xml:space="preserve"> by </w:t>
      </w:r>
      <w:r w:rsidR="00C53396">
        <w:t xml:space="preserve">including the elements identified in section 14.34(b), </w:t>
      </w:r>
      <w:r>
        <w:t xml:space="preserve">the burden of proof shifts to the </w:t>
      </w:r>
      <w:r w:rsidR="00034093">
        <w:t xml:space="preserve">manufacturer or </w:t>
      </w:r>
      <w:r>
        <w:t>service provider to prove that the product or service is accessible, or if not accessible, that accessib</w:t>
      </w:r>
      <w:r w:rsidR="0011229E">
        <w:t>ility</w:t>
      </w:r>
      <w:r>
        <w:t xml:space="preserve"> is not readily achievable.</w:t>
      </w:r>
      <w:r>
        <w:rPr>
          <w:rStyle w:val="FootnoteReference"/>
        </w:rPr>
        <w:footnoteReference w:id="22"/>
      </w:r>
      <w:r>
        <w:t xml:space="preserve">  </w:t>
      </w:r>
      <w:r w:rsidR="001A4938">
        <w:t>In establishing this requirement, t</w:t>
      </w:r>
      <w:r w:rsidR="006768A7">
        <w:t>he Commission determined that m</w:t>
      </w:r>
      <w:r w:rsidR="00C97417">
        <w:t>anufacturers and service providers are in the best position to provide Commission staff with the documentation necessary to demonstrate compliance.</w:t>
      </w:r>
      <w:r>
        <w:rPr>
          <w:rStyle w:val="FootnoteReference"/>
        </w:rPr>
        <w:footnoteReference w:id="23"/>
      </w:r>
      <w:r w:rsidR="00C97417">
        <w:t xml:space="preserve">  </w:t>
      </w:r>
      <w:r w:rsidR="00D01A6D">
        <w:t>Manufacturers and service providers</w:t>
      </w:r>
      <w:r w:rsidR="00C97417">
        <w:t xml:space="preserve"> are required to </w:t>
      </w:r>
      <w:r w:rsidR="002D2D77">
        <w:t>create records of their efforts to implement the CVAA’s accessibility and usability requirements and maintain th</w:t>
      </w:r>
      <w:r w:rsidR="00C97417">
        <w:t>o</w:t>
      </w:r>
      <w:r w:rsidR="002D2D77">
        <w:t>se records for at least two years after the service or product is no longer offered</w:t>
      </w:r>
      <w:r w:rsidR="00B17C99">
        <w:t>.</w:t>
      </w:r>
      <w:r>
        <w:rPr>
          <w:rStyle w:val="FootnoteReference"/>
        </w:rPr>
        <w:footnoteReference w:id="24"/>
      </w:r>
      <w:r w:rsidR="00E86A4E">
        <w:t xml:space="preserve"> </w:t>
      </w:r>
      <w:r w:rsidR="00B17C99">
        <w:rPr>
          <w:szCs w:val="22"/>
        </w:rPr>
        <w:t xml:space="preserve"> </w:t>
      </w:r>
      <w:r w:rsidR="0015694E">
        <w:t>T</w:t>
      </w:r>
      <w:r w:rsidRPr="4BEF337B" w:rsidR="00C55BB6">
        <w:t xml:space="preserve">he </w:t>
      </w:r>
      <w:r w:rsidR="0003501C">
        <w:t>Rule</w:t>
      </w:r>
      <w:r w:rsidRPr="4BEF337B" w:rsidR="00C55BB6">
        <w:t xml:space="preserve">s require </w:t>
      </w:r>
      <w:r w:rsidRPr="4BEF337B" w:rsidR="00D85B79">
        <w:t xml:space="preserve">manufacturers and service providers to submit </w:t>
      </w:r>
      <w:r w:rsidRPr="4BEF337B" w:rsidR="00C55BB6">
        <w:t xml:space="preserve">records </w:t>
      </w:r>
      <w:r w:rsidRPr="4BEF337B" w:rsidR="0015694E">
        <w:t xml:space="preserve">documenting </w:t>
      </w:r>
      <w:r w:rsidRPr="4BEF337B" w:rsidR="0007600E">
        <w:t>their</w:t>
      </w:r>
      <w:r w:rsidRPr="4BEF337B" w:rsidR="0015694E">
        <w:t xml:space="preserve"> efforts to make a product accessible and usable to support its claims of compliance or demonstrating that it was not readily achievable to make a product accessible</w:t>
      </w:r>
      <w:r w:rsidR="0007600E">
        <w:rPr>
          <w:szCs w:val="22"/>
        </w:rPr>
        <w:t>.</w:t>
      </w:r>
      <w:r>
        <w:rPr>
          <w:rStyle w:val="FootnoteReference"/>
        </w:rPr>
        <w:footnoteReference w:id="25"/>
      </w:r>
      <w:r w:rsidR="002D2D77">
        <w:t xml:space="preserve">  </w:t>
      </w:r>
      <w:r w:rsidR="0007600E">
        <w:t>C</w:t>
      </w:r>
      <w:r w:rsidRPr="00735225" w:rsidR="0007600E">
        <w:t>onclusory and unsupported claims are insufficient to carry this burden</w:t>
      </w:r>
      <w:r w:rsidRPr="00B17C99" w:rsidR="0007600E">
        <w:rPr>
          <w:b/>
          <w:bCs/>
        </w:rPr>
        <w:t xml:space="preserve"> </w:t>
      </w:r>
      <w:r w:rsidRPr="00735225" w:rsidR="0007600E">
        <w:t>of proof</w:t>
      </w:r>
      <w:r w:rsidR="001554C9">
        <w:t>; a manufacturer or service provider must be able to demonstrate its efforts through its records</w:t>
      </w:r>
      <w:r w:rsidR="0007600E">
        <w:t>.</w:t>
      </w:r>
      <w:r>
        <w:rPr>
          <w:rStyle w:val="FootnoteReference"/>
        </w:rPr>
        <w:footnoteReference w:id="26"/>
      </w:r>
      <w:r w:rsidR="0007600E">
        <w:t xml:space="preserve">  </w:t>
      </w:r>
      <w:r w:rsidR="00D97F19">
        <w:t>Further, w</w:t>
      </w:r>
      <w:r w:rsidR="00CC4E59">
        <w:t xml:space="preserve">hen </w:t>
      </w:r>
      <w:r w:rsidRPr="00982E56">
        <w:t xml:space="preserve">a manufacturer or service provider raises </w:t>
      </w:r>
      <w:r w:rsidR="00CC4E59">
        <w:t>a</w:t>
      </w:r>
      <w:r w:rsidRPr="00982E56">
        <w:t xml:space="preserve"> defense that it was not readily achievable to make its product or service accessible, the </w:t>
      </w:r>
      <w:r w:rsidR="00B6000A">
        <w:t>C</w:t>
      </w:r>
      <w:r w:rsidR="0095417C">
        <w:t>ompany</w:t>
      </w:r>
      <w:r w:rsidRPr="00982E56">
        <w:t xml:space="preserve"> must provide all documents supporting this conclusion.</w:t>
      </w:r>
      <w:r>
        <w:rPr>
          <w:rStyle w:val="FootnoteReference"/>
        </w:rPr>
        <w:footnoteReference w:id="27"/>
      </w:r>
      <w:r w:rsidRPr="00982E56">
        <w:t xml:space="preserve"> </w:t>
      </w:r>
    </w:p>
    <w:p w:rsidR="001B12CD" w:rsidRPr="00853D72" w:rsidP="0070082F" w14:paraId="481179EE" w14:textId="77777777">
      <w:pPr>
        <w:pStyle w:val="Heading2"/>
      </w:pPr>
      <w:r w:rsidRPr="00853D72">
        <w:t>Factual Background</w:t>
      </w:r>
    </w:p>
    <w:p w:rsidR="00CF599C" w:rsidRPr="00CF599C" w:rsidP="00CF599C" w14:paraId="3E632DA5" w14:textId="72C8ED2D">
      <w:pPr>
        <w:pStyle w:val="ParaNum"/>
        <w:rPr>
          <w:rFonts w:asciiTheme="majorBidi" w:hAnsiTheme="majorBidi" w:cstheme="majorBidi"/>
          <w:szCs w:val="22"/>
        </w:rPr>
      </w:pPr>
      <w:r w:rsidRPr="00507EBC">
        <w:t>Verizon</w:t>
      </w:r>
      <w:r w:rsidRPr="00507EBC" w:rsidR="009F7147">
        <w:t>, a telecommunications service prov</w:t>
      </w:r>
      <w:r w:rsidRPr="00E922DE" w:rsidR="009F7147">
        <w:t>ider,</w:t>
      </w:r>
      <w:r w:rsidRPr="00E922DE">
        <w:t xml:space="preserve"> offers </w:t>
      </w:r>
      <w:r w:rsidR="00DE3EC0">
        <w:t>Premium Visual Voicemail</w:t>
      </w:r>
      <w:r w:rsidR="004470A2">
        <w:t xml:space="preserve"> as</w:t>
      </w:r>
      <w:r w:rsidR="00043890">
        <w:t xml:space="preserve"> </w:t>
      </w:r>
      <w:r w:rsidRPr="00E922DE">
        <w:t>a</w:t>
      </w:r>
      <w:r w:rsidRPr="00E922DE" w:rsidR="009F7147">
        <w:t xml:space="preserve"> </w:t>
      </w:r>
      <w:r w:rsidRPr="00E922DE">
        <w:t xml:space="preserve">service that transcribes </w:t>
      </w:r>
      <w:r w:rsidRPr="00E922DE" w:rsidR="00023DC1">
        <w:t xml:space="preserve">into text </w:t>
      </w:r>
      <w:r w:rsidR="00023DC1">
        <w:t>t</w:t>
      </w:r>
      <w:r w:rsidRPr="00E922DE">
        <w:t>he first 45 seconds of audio voicemail messages</w:t>
      </w:r>
      <w:r w:rsidR="00151448">
        <w:t>.</w:t>
      </w:r>
      <w:r>
        <w:rPr>
          <w:rStyle w:val="FootnoteReference"/>
          <w:rFonts w:cstheme="majorBidi"/>
          <w:sz w:val="22"/>
          <w:szCs w:val="22"/>
        </w:rPr>
        <w:footnoteReference w:id="28"/>
      </w:r>
      <w:r w:rsidRPr="00507EBC">
        <w:t xml:space="preserve">  </w:t>
      </w:r>
      <w:r w:rsidRPr="00CF599C">
        <w:rPr>
          <w:rFonts w:asciiTheme="majorBidi" w:hAnsiTheme="majorBidi" w:cstheme="majorBidi"/>
          <w:szCs w:val="22"/>
        </w:rPr>
        <w:t xml:space="preserve">On December 14, 2021, Mr. </w:t>
      </w:r>
      <w:r>
        <w:rPr>
          <w:rFonts w:asciiTheme="majorBidi" w:hAnsiTheme="majorBidi" w:cstheme="majorBidi"/>
          <w:szCs w:val="22"/>
        </w:rPr>
        <w:t xml:space="preserve">Juan “Sophia” </w:t>
      </w:r>
      <w:r w:rsidRPr="00CF599C">
        <w:rPr>
          <w:rFonts w:asciiTheme="majorBidi" w:hAnsiTheme="majorBidi" w:cstheme="majorBidi"/>
          <w:szCs w:val="22"/>
        </w:rPr>
        <w:t xml:space="preserve">De Anda </w:t>
      </w:r>
      <w:r w:rsidR="00F63936">
        <w:rPr>
          <w:rFonts w:asciiTheme="majorBidi" w:hAnsiTheme="majorBidi" w:cstheme="majorBidi"/>
          <w:szCs w:val="22"/>
        </w:rPr>
        <w:t xml:space="preserve">(Mr. De Anda) </w:t>
      </w:r>
      <w:r w:rsidRPr="00CF599C">
        <w:rPr>
          <w:rFonts w:asciiTheme="majorBidi" w:hAnsiTheme="majorBidi" w:cstheme="majorBidi"/>
          <w:szCs w:val="22"/>
        </w:rPr>
        <w:t>filed an informal complaint (Complaint) with the Commission’s Enforcement Bureau</w:t>
      </w:r>
      <w:r w:rsidR="00D01A6D">
        <w:rPr>
          <w:rFonts w:asciiTheme="majorBidi" w:hAnsiTheme="majorBidi" w:cstheme="majorBidi"/>
          <w:szCs w:val="22"/>
        </w:rPr>
        <w:t>,</w:t>
      </w:r>
      <w:r w:rsidRPr="00CF599C">
        <w:rPr>
          <w:rFonts w:asciiTheme="majorBidi" w:hAnsiTheme="majorBidi" w:cstheme="majorBidi"/>
          <w:szCs w:val="22"/>
        </w:rPr>
        <w:t xml:space="preserve"> alleging violations of section 255 of the Act and part 7 of the Rules.  In his Complaint, Mr. De Anda </w:t>
      </w:r>
      <w:r w:rsidR="0003501C">
        <w:rPr>
          <w:rFonts w:asciiTheme="majorBidi" w:hAnsiTheme="majorBidi" w:cstheme="majorBidi"/>
          <w:szCs w:val="22"/>
        </w:rPr>
        <w:t xml:space="preserve">described his hearing impairment, explained that he needed </w:t>
      </w:r>
      <w:r w:rsidR="00C460D5">
        <w:rPr>
          <w:rFonts w:asciiTheme="majorBidi" w:hAnsiTheme="majorBidi" w:cstheme="majorBidi"/>
          <w:szCs w:val="22"/>
        </w:rPr>
        <w:t xml:space="preserve">the </w:t>
      </w:r>
      <w:r w:rsidR="0003501C">
        <w:rPr>
          <w:rFonts w:asciiTheme="majorBidi" w:hAnsiTheme="majorBidi" w:cstheme="majorBidi"/>
          <w:szCs w:val="22"/>
        </w:rPr>
        <w:t xml:space="preserve">Premium Visual Voicemail </w:t>
      </w:r>
      <w:r w:rsidR="00C460D5">
        <w:rPr>
          <w:rFonts w:asciiTheme="majorBidi" w:hAnsiTheme="majorBidi" w:cstheme="majorBidi"/>
          <w:szCs w:val="22"/>
        </w:rPr>
        <w:t xml:space="preserve">service </w:t>
      </w:r>
      <w:r w:rsidR="0003501C">
        <w:rPr>
          <w:rFonts w:asciiTheme="majorBidi" w:hAnsiTheme="majorBidi" w:cstheme="majorBidi"/>
          <w:szCs w:val="22"/>
        </w:rPr>
        <w:t xml:space="preserve">to have accessible voicemail, and </w:t>
      </w:r>
      <w:r w:rsidRPr="00CF599C">
        <w:rPr>
          <w:rFonts w:asciiTheme="majorBidi" w:hAnsiTheme="majorBidi" w:cstheme="majorBidi"/>
          <w:szCs w:val="22"/>
        </w:rPr>
        <w:t xml:space="preserve">summarized his experience with Premium </w:t>
      </w:r>
      <w:r w:rsidRPr="00CF599C">
        <w:rPr>
          <w:rFonts w:asciiTheme="majorBidi" w:hAnsiTheme="majorBidi" w:cstheme="majorBidi"/>
          <w:szCs w:val="22"/>
        </w:rPr>
        <w:t>Visual Voicemail and attempts to resolve the issue with Verizon.</w:t>
      </w:r>
      <w:r>
        <w:rPr>
          <w:rStyle w:val="FootnoteReference"/>
          <w:rFonts w:cstheme="majorBidi"/>
          <w:szCs w:val="22"/>
        </w:rPr>
        <w:footnoteReference w:id="29"/>
      </w:r>
      <w:r w:rsidRPr="00CF599C">
        <w:rPr>
          <w:rFonts w:asciiTheme="majorBidi" w:hAnsiTheme="majorBidi" w:cstheme="majorBidi"/>
          <w:szCs w:val="22"/>
        </w:rPr>
        <w:t xml:space="preserve">  He requested that the Commission direct Verizon to fix its Premium Visual Voicemail </w:t>
      </w:r>
      <w:r w:rsidR="00C460D5">
        <w:rPr>
          <w:rFonts w:asciiTheme="majorBidi" w:hAnsiTheme="majorBidi" w:cstheme="majorBidi"/>
          <w:szCs w:val="22"/>
        </w:rPr>
        <w:t xml:space="preserve">service </w:t>
      </w:r>
      <w:r w:rsidRPr="00CF599C">
        <w:rPr>
          <w:rFonts w:asciiTheme="majorBidi" w:hAnsiTheme="majorBidi" w:cstheme="majorBidi"/>
          <w:szCs w:val="22"/>
        </w:rPr>
        <w:t>so that it work</w:t>
      </w:r>
      <w:r w:rsidR="00C460D5">
        <w:rPr>
          <w:rFonts w:asciiTheme="majorBidi" w:hAnsiTheme="majorBidi" w:cstheme="majorBidi"/>
          <w:szCs w:val="22"/>
        </w:rPr>
        <w:t>ed</w:t>
      </w:r>
      <w:r w:rsidRPr="00CF599C">
        <w:rPr>
          <w:rFonts w:asciiTheme="majorBidi" w:hAnsiTheme="majorBidi" w:cstheme="majorBidi"/>
          <w:szCs w:val="22"/>
        </w:rPr>
        <w:t xml:space="preserve"> on all Samsung phones.</w:t>
      </w:r>
      <w:r>
        <w:rPr>
          <w:rStyle w:val="FootnoteReference"/>
          <w:rFonts w:cstheme="majorBidi"/>
          <w:szCs w:val="22"/>
        </w:rPr>
        <w:footnoteReference w:id="30"/>
      </w:r>
      <w:r w:rsidRPr="00CF599C">
        <w:rPr>
          <w:rFonts w:asciiTheme="majorBidi" w:hAnsiTheme="majorBidi" w:cstheme="majorBidi"/>
          <w:szCs w:val="22"/>
        </w:rPr>
        <w:t xml:space="preserve">   </w:t>
      </w:r>
    </w:p>
    <w:p w:rsidR="00DF1FF5" w:rsidRPr="00507EBC" w:rsidP="00E922DE" w14:paraId="74E0D75B" w14:textId="26278F53">
      <w:pPr>
        <w:pStyle w:val="ParaNum"/>
        <w:widowControl/>
        <w:rPr>
          <w:rFonts w:asciiTheme="majorBidi" w:hAnsiTheme="majorBidi" w:cstheme="majorBidi"/>
          <w:sz w:val="24"/>
          <w:szCs w:val="24"/>
        </w:rPr>
      </w:pPr>
      <w:r>
        <w:t xml:space="preserve">Mr. </w:t>
      </w:r>
      <w:r w:rsidRPr="000B1091">
        <w:t>De Anda</w:t>
      </w:r>
      <w:r>
        <w:t xml:space="preserve"> state</w:t>
      </w:r>
      <w:r w:rsidR="008731DE">
        <w:t>d</w:t>
      </w:r>
      <w:r>
        <w:t xml:space="preserve"> that </w:t>
      </w:r>
      <w:r w:rsidR="00223DFE">
        <w:t>in December 2019</w:t>
      </w:r>
      <w:r w:rsidR="004470A2">
        <w:t>,</w:t>
      </w:r>
      <w:r w:rsidR="00223DFE">
        <w:t xml:space="preserve"> he purchased a Samsung Galaxy S-10 5G </w:t>
      </w:r>
      <w:r w:rsidR="00F63936">
        <w:t xml:space="preserve">phone </w:t>
      </w:r>
      <w:r w:rsidRPr="00E20476" w:rsidR="00B6000A">
        <w:t>for $1,300 at Best Buy,</w:t>
      </w:r>
      <w:r w:rsidR="00B6000A">
        <w:t xml:space="preserve"> </w:t>
      </w:r>
      <w:r w:rsidR="00223DFE">
        <w:t xml:space="preserve">and </w:t>
      </w:r>
      <w:r w:rsidR="00D64C73">
        <w:t xml:space="preserve">paid $2.99 per month for </w:t>
      </w:r>
      <w:r w:rsidR="00E160D2">
        <w:t>Verizon</w:t>
      </w:r>
      <w:r w:rsidR="00DA71CB">
        <w:t>’s</w:t>
      </w:r>
      <w:r w:rsidR="00E160D2">
        <w:t xml:space="preserve"> </w:t>
      </w:r>
      <w:r w:rsidR="00DE3EC0">
        <w:t>Premium Visual Voicemail</w:t>
      </w:r>
      <w:r w:rsidR="00E160D2">
        <w:t xml:space="preserve"> </w:t>
      </w:r>
      <w:r w:rsidR="00C460D5">
        <w:t xml:space="preserve">service </w:t>
      </w:r>
      <w:r w:rsidR="004C7E98">
        <w:t>to read voicemails sent to him</w:t>
      </w:r>
      <w:r w:rsidR="00223DFE">
        <w:t>.</w:t>
      </w:r>
      <w:r>
        <w:rPr>
          <w:rStyle w:val="FootnoteReference"/>
        </w:rPr>
        <w:footnoteReference w:id="31"/>
      </w:r>
      <w:r w:rsidR="004C7E98">
        <w:t xml:space="preserve"> </w:t>
      </w:r>
      <w:r w:rsidR="00D64C73">
        <w:t xml:space="preserve"> </w:t>
      </w:r>
      <w:r w:rsidR="00C3352E">
        <w:t xml:space="preserve">Mr. De Anda </w:t>
      </w:r>
      <w:r w:rsidR="000C54E0">
        <w:t>claim</w:t>
      </w:r>
      <w:r w:rsidR="008731DE">
        <w:t>ed</w:t>
      </w:r>
      <w:r w:rsidR="00C3352E">
        <w:t xml:space="preserve"> that </w:t>
      </w:r>
      <w:r w:rsidR="00DE3EC0">
        <w:t>Premium Visual Voicemail</w:t>
      </w:r>
      <w:r w:rsidR="00C460D5">
        <w:t xml:space="preserve"> service</w:t>
      </w:r>
      <w:r w:rsidR="00C3352E">
        <w:t xml:space="preserve"> </w:t>
      </w:r>
      <w:r w:rsidR="00AF1E81">
        <w:t xml:space="preserve">stopped working </w:t>
      </w:r>
      <w:r w:rsidR="000C54E0">
        <w:t xml:space="preserve">on his phone </w:t>
      </w:r>
      <w:r w:rsidR="00AF1E81">
        <w:t xml:space="preserve">after </w:t>
      </w:r>
      <w:r w:rsidR="00C3352E">
        <w:t>a few months.</w:t>
      </w:r>
      <w:r>
        <w:rPr>
          <w:rStyle w:val="FootnoteReference"/>
        </w:rPr>
        <w:footnoteReference w:id="32"/>
      </w:r>
      <w:r w:rsidR="00C3352E">
        <w:t xml:space="preserve">  </w:t>
      </w:r>
      <w:r w:rsidR="00CC62E3">
        <w:t xml:space="preserve">Mr. De Anda </w:t>
      </w:r>
      <w:r w:rsidR="00023DC1">
        <w:t>assert</w:t>
      </w:r>
      <w:r w:rsidR="008731DE">
        <w:t>ed</w:t>
      </w:r>
      <w:r w:rsidR="00023DC1">
        <w:t xml:space="preserve"> that he </w:t>
      </w:r>
      <w:r w:rsidR="00CC62E3">
        <w:t>contacted Verizon numerous times in an attempt to resolve the problem</w:t>
      </w:r>
      <w:r w:rsidR="00507EBC">
        <w:t>.</w:t>
      </w:r>
      <w:r w:rsidR="00CC62E3">
        <w:t xml:space="preserve"> </w:t>
      </w:r>
      <w:r w:rsidR="004470A2">
        <w:t xml:space="preserve"> </w:t>
      </w:r>
      <w:r w:rsidR="004622DE">
        <w:t xml:space="preserve">Verizon </w:t>
      </w:r>
      <w:r w:rsidR="00507EBC">
        <w:t xml:space="preserve">eventually </w:t>
      </w:r>
      <w:r w:rsidR="004622DE">
        <w:t>provided Mr. De Anda with a refurbished Galaxy S-10 phone</w:t>
      </w:r>
      <w:r w:rsidR="000C54E0">
        <w:t xml:space="preserve">.  </w:t>
      </w:r>
      <w:r w:rsidR="00507EBC">
        <w:t xml:space="preserve">However, even with the </w:t>
      </w:r>
      <w:r w:rsidR="002746ED">
        <w:t xml:space="preserve">refurbished </w:t>
      </w:r>
      <w:r w:rsidR="00507EBC">
        <w:t>phone</w:t>
      </w:r>
      <w:r w:rsidR="001B72FD">
        <w:t>,</w:t>
      </w:r>
      <w:r w:rsidR="00507EBC">
        <w:t xml:space="preserve"> </w:t>
      </w:r>
      <w:r w:rsidR="004622DE">
        <w:t xml:space="preserve">Mr. De Anda continued to get an error message whenever he tried to use </w:t>
      </w:r>
      <w:r w:rsidR="00C460D5">
        <w:t xml:space="preserve">the </w:t>
      </w:r>
      <w:r w:rsidR="00DE3EC0">
        <w:t>Premium Visual Voicemail</w:t>
      </w:r>
      <w:r w:rsidR="00C460D5">
        <w:t xml:space="preserve"> service</w:t>
      </w:r>
      <w:r w:rsidR="004622DE">
        <w:t>.</w:t>
      </w:r>
      <w:r>
        <w:rPr>
          <w:rStyle w:val="FootnoteReference"/>
        </w:rPr>
        <w:footnoteReference w:id="33"/>
      </w:r>
      <w:r w:rsidR="009950F6">
        <w:t xml:space="preserve"> </w:t>
      </w:r>
      <w:r w:rsidR="004622DE">
        <w:t xml:space="preserve"> </w:t>
      </w:r>
      <w:r w:rsidR="00507EBC">
        <w:t xml:space="preserve">After working with Mr. De Anda to </w:t>
      </w:r>
      <w:r w:rsidR="00D01A6D">
        <w:t xml:space="preserve">try to </w:t>
      </w:r>
      <w:r w:rsidR="00507EBC">
        <w:t xml:space="preserve">resolve the problem, </w:t>
      </w:r>
      <w:r w:rsidR="00C745C8">
        <w:t xml:space="preserve">Verizon advised him that the problem </w:t>
      </w:r>
      <w:r w:rsidR="000C54E0">
        <w:t xml:space="preserve">was </w:t>
      </w:r>
      <w:r w:rsidR="00223DD0">
        <w:t xml:space="preserve">with </w:t>
      </w:r>
      <w:r w:rsidR="00C745C8">
        <w:t>the phone rather than Verizon’s service</w:t>
      </w:r>
      <w:r w:rsidR="00507EBC">
        <w:t>.  Nonetheless</w:t>
      </w:r>
      <w:r w:rsidR="00C745C8">
        <w:t xml:space="preserve">, </w:t>
      </w:r>
      <w:r w:rsidR="00507EBC">
        <w:t xml:space="preserve">Verizon </w:t>
      </w:r>
      <w:r w:rsidR="00C745C8">
        <w:t xml:space="preserve">issued </w:t>
      </w:r>
      <w:r w:rsidR="00507EBC">
        <w:t xml:space="preserve">Mr. De Anda </w:t>
      </w:r>
      <w:r w:rsidR="00C745C8">
        <w:t xml:space="preserve">a credit for </w:t>
      </w:r>
      <w:r w:rsidR="00507EBC">
        <w:t xml:space="preserve">the </w:t>
      </w:r>
      <w:r w:rsidR="00C745C8">
        <w:t>14</w:t>
      </w:r>
      <w:r w:rsidR="004470A2">
        <w:t>-</w:t>
      </w:r>
      <w:r w:rsidR="00C745C8">
        <w:t>month</w:t>
      </w:r>
      <w:r w:rsidR="003425F9">
        <w:t xml:space="preserve"> period</w:t>
      </w:r>
      <w:r w:rsidR="00C745C8">
        <w:t xml:space="preserve"> </w:t>
      </w:r>
      <w:r w:rsidR="003425F9">
        <w:t>that</w:t>
      </w:r>
      <w:r w:rsidR="00507EBC">
        <w:t xml:space="preserve"> he was unable to use </w:t>
      </w:r>
      <w:r w:rsidR="004470A2">
        <w:t xml:space="preserve">the </w:t>
      </w:r>
      <w:r w:rsidR="00DE3EC0">
        <w:t>Premium Visual Voicemail</w:t>
      </w:r>
      <w:r w:rsidR="004470A2">
        <w:t xml:space="preserve"> service</w:t>
      </w:r>
      <w:r w:rsidR="00C745C8">
        <w:t>.</w:t>
      </w:r>
      <w:r>
        <w:rPr>
          <w:rStyle w:val="FootnoteReference"/>
        </w:rPr>
        <w:footnoteReference w:id="34"/>
      </w:r>
      <w:r w:rsidR="00C745C8">
        <w:t xml:space="preserve"> </w:t>
      </w:r>
      <w:r w:rsidR="004622DE">
        <w:t xml:space="preserve"> </w:t>
      </w:r>
      <w:r w:rsidR="004470A2">
        <w:t xml:space="preserve">On August 31, 2021, </w:t>
      </w:r>
      <w:r>
        <w:t>Mr. De Anda filed a</w:t>
      </w:r>
      <w:r w:rsidR="00553748">
        <w:t>n</w:t>
      </w:r>
      <w:r>
        <w:t xml:space="preserve"> RDA</w:t>
      </w:r>
      <w:r w:rsidR="003253B2">
        <w:t xml:space="preserve"> </w:t>
      </w:r>
      <w:r>
        <w:t xml:space="preserve">with the </w:t>
      </w:r>
      <w:r w:rsidR="00DB7903">
        <w:t xml:space="preserve">Commission’s </w:t>
      </w:r>
      <w:r>
        <w:t>Consumer and Government</w:t>
      </w:r>
      <w:r w:rsidR="0003404E">
        <w:t>al</w:t>
      </w:r>
      <w:r>
        <w:t xml:space="preserve"> Affairs Bureau</w:t>
      </w:r>
      <w:r w:rsidRPr="00DF1FF5">
        <w:t>.</w:t>
      </w:r>
      <w:r>
        <w:rPr>
          <w:sz w:val="20"/>
          <w:vertAlign w:val="superscript"/>
        </w:rPr>
        <w:footnoteReference w:id="35"/>
      </w:r>
      <w:r w:rsidRPr="00DF1FF5">
        <w:t xml:space="preserve">  </w:t>
      </w:r>
      <w:r w:rsidR="003253B2">
        <w:t>Mr. De Anda and Verizon</w:t>
      </w:r>
      <w:r w:rsidRPr="00DF1FF5">
        <w:t xml:space="preserve"> were unable to reach </w:t>
      </w:r>
      <w:r w:rsidR="00D67DD0">
        <w:t>a</w:t>
      </w:r>
      <w:r w:rsidR="003425F9">
        <w:t xml:space="preserve"> mutually acceptable resolution</w:t>
      </w:r>
      <w:r w:rsidRPr="00DF1FF5">
        <w:t xml:space="preserve"> during the RDA process.</w:t>
      </w:r>
    </w:p>
    <w:p w:rsidR="00D52E77" w:rsidP="001B12CD" w14:paraId="5EE724CD" w14:textId="74785F95">
      <w:pPr>
        <w:pStyle w:val="ParaNum"/>
        <w:widowControl/>
        <w:rPr>
          <w:szCs w:val="22"/>
        </w:rPr>
      </w:pPr>
      <w:r>
        <w:rPr>
          <w:szCs w:val="22"/>
        </w:rPr>
        <w:t xml:space="preserve">In </w:t>
      </w:r>
      <w:r w:rsidR="001C44E4">
        <w:rPr>
          <w:szCs w:val="22"/>
        </w:rPr>
        <w:t xml:space="preserve">Verizon’s </w:t>
      </w:r>
      <w:r>
        <w:rPr>
          <w:szCs w:val="22"/>
        </w:rPr>
        <w:t>answer</w:t>
      </w:r>
      <w:r w:rsidR="00FA7C7F">
        <w:rPr>
          <w:szCs w:val="22"/>
        </w:rPr>
        <w:t xml:space="preserve"> (Answer)</w:t>
      </w:r>
      <w:r>
        <w:rPr>
          <w:szCs w:val="22"/>
        </w:rPr>
        <w:t xml:space="preserve"> to the </w:t>
      </w:r>
      <w:r w:rsidR="003253B2">
        <w:rPr>
          <w:szCs w:val="22"/>
        </w:rPr>
        <w:t>C</w:t>
      </w:r>
      <w:r>
        <w:rPr>
          <w:szCs w:val="22"/>
        </w:rPr>
        <w:t xml:space="preserve">omplaint, </w:t>
      </w:r>
      <w:r w:rsidR="001C44E4">
        <w:rPr>
          <w:szCs w:val="22"/>
        </w:rPr>
        <w:t xml:space="preserve">the </w:t>
      </w:r>
      <w:r w:rsidR="0095417C">
        <w:rPr>
          <w:szCs w:val="22"/>
        </w:rPr>
        <w:t>Company</w:t>
      </w:r>
      <w:r w:rsidR="001C44E4">
        <w:rPr>
          <w:szCs w:val="22"/>
        </w:rPr>
        <w:t xml:space="preserve"> </w:t>
      </w:r>
      <w:r>
        <w:rPr>
          <w:szCs w:val="22"/>
        </w:rPr>
        <w:t>ma</w:t>
      </w:r>
      <w:r w:rsidR="001D46C0">
        <w:rPr>
          <w:szCs w:val="22"/>
        </w:rPr>
        <w:t>de</w:t>
      </w:r>
      <w:r>
        <w:rPr>
          <w:szCs w:val="22"/>
        </w:rPr>
        <w:t xml:space="preserve"> three alternative arguments.  First, Verizon maintain</w:t>
      </w:r>
      <w:r w:rsidR="001D46C0">
        <w:rPr>
          <w:szCs w:val="22"/>
        </w:rPr>
        <w:t>ed</w:t>
      </w:r>
      <w:r>
        <w:rPr>
          <w:szCs w:val="22"/>
        </w:rPr>
        <w:t xml:space="preserve"> </w:t>
      </w:r>
      <w:r w:rsidR="00E922DE">
        <w:rPr>
          <w:szCs w:val="22"/>
        </w:rPr>
        <w:t xml:space="preserve">that </w:t>
      </w:r>
      <w:r>
        <w:rPr>
          <w:szCs w:val="22"/>
        </w:rPr>
        <w:t xml:space="preserve">Mr. De Anda failed to make a </w:t>
      </w:r>
      <w:r w:rsidRPr="00D52E77">
        <w:rPr>
          <w:i/>
          <w:iCs/>
          <w:szCs w:val="22"/>
        </w:rPr>
        <w:t>prima faci</w:t>
      </w:r>
      <w:r w:rsidR="00E8075D">
        <w:rPr>
          <w:i/>
          <w:iCs/>
          <w:szCs w:val="22"/>
        </w:rPr>
        <w:t>e</w:t>
      </w:r>
      <w:r>
        <w:rPr>
          <w:szCs w:val="22"/>
        </w:rPr>
        <w:t xml:space="preserve"> case, as required under </w:t>
      </w:r>
      <w:r w:rsidR="00157FD6">
        <w:rPr>
          <w:szCs w:val="22"/>
        </w:rPr>
        <w:t xml:space="preserve">section </w:t>
      </w:r>
      <w:r>
        <w:rPr>
          <w:szCs w:val="22"/>
        </w:rPr>
        <w:t>14.36.</w:t>
      </w:r>
      <w:r>
        <w:rPr>
          <w:rStyle w:val="FootnoteReference"/>
          <w:szCs w:val="22"/>
        </w:rPr>
        <w:footnoteReference w:id="36"/>
      </w:r>
      <w:r>
        <w:rPr>
          <w:szCs w:val="22"/>
        </w:rPr>
        <w:t xml:space="preserve">  According to Verizon, </w:t>
      </w:r>
      <w:r w:rsidR="000221D7">
        <w:rPr>
          <w:szCs w:val="22"/>
        </w:rPr>
        <w:t xml:space="preserve">Mr. De Anda’s </w:t>
      </w:r>
      <w:bookmarkStart w:id="13" w:name="_Hlk97712771"/>
      <w:r w:rsidR="00DE6ABF">
        <w:rPr>
          <w:szCs w:val="22"/>
        </w:rPr>
        <w:t>C</w:t>
      </w:r>
      <w:r w:rsidR="000221D7">
        <w:rPr>
          <w:szCs w:val="22"/>
        </w:rPr>
        <w:t xml:space="preserve">omplaint </w:t>
      </w:r>
      <w:bookmarkStart w:id="14" w:name="_Hlk102732055"/>
      <w:r w:rsidR="000221D7">
        <w:rPr>
          <w:szCs w:val="22"/>
        </w:rPr>
        <w:t>d</w:t>
      </w:r>
      <w:r w:rsidR="001D46C0">
        <w:rPr>
          <w:szCs w:val="22"/>
        </w:rPr>
        <w:t>id</w:t>
      </w:r>
      <w:r w:rsidR="000221D7">
        <w:rPr>
          <w:szCs w:val="22"/>
        </w:rPr>
        <w:t xml:space="preserve"> not allege that </w:t>
      </w:r>
      <w:r w:rsidR="00223DD0">
        <w:rPr>
          <w:szCs w:val="22"/>
        </w:rPr>
        <w:t xml:space="preserve">the </w:t>
      </w:r>
      <w:r w:rsidR="00DE3EC0">
        <w:rPr>
          <w:szCs w:val="22"/>
        </w:rPr>
        <w:t>Premium Visual Voicemail</w:t>
      </w:r>
      <w:r w:rsidR="000221D7">
        <w:rPr>
          <w:szCs w:val="22"/>
        </w:rPr>
        <w:t xml:space="preserve"> </w:t>
      </w:r>
      <w:r w:rsidR="00223DD0">
        <w:rPr>
          <w:szCs w:val="22"/>
        </w:rPr>
        <w:t xml:space="preserve">service </w:t>
      </w:r>
      <w:r w:rsidR="001D46C0">
        <w:rPr>
          <w:szCs w:val="22"/>
        </w:rPr>
        <w:t>wa</w:t>
      </w:r>
      <w:r w:rsidR="000221D7">
        <w:rPr>
          <w:szCs w:val="22"/>
        </w:rPr>
        <w:t>s not accessible or usable</w:t>
      </w:r>
      <w:bookmarkEnd w:id="13"/>
      <w:bookmarkEnd w:id="14"/>
      <w:r w:rsidR="000221D7">
        <w:rPr>
          <w:szCs w:val="22"/>
        </w:rPr>
        <w:t xml:space="preserve">, or that </w:t>
      </w:r>
      <w:r w:rsidR="00E01310">
        <w:rPr>
          <w:szCs w:val="22"/>
        </w:rPr>
        <w:t xml:space="preserve">Verizon’s </w:t>
      </w:r>
      <w:r w:rsidR="000221D7">
        <w:rPr>
          <w:szCs w:val="22"/>
        </w:rPr>
        <w:t xml:space="preserve">documentation and technical support </w:t>
      </w:r>
      <w:r w:rsidR="001D46C0">
        <w:rPr>
          <w:szCs w:val="22"/>
        </w:rPr>
        <w:t>we</w:t>
      </w:r>
      <w:r w:rsidR="000221D7">
        <w:rPr>
          <w:szCs w:val="22"/>
        </w:rPr>
        <w:t>re not accessible.</w:t>
      </w:r>
      <w:r>
        <w:rPr>
          <w:rStyle w:val="FootnoteReference"/>
          <w:szCs w:val="22"/>
        </w:rPr>
        <w:footnoteReference w:id="37"/>
      </w:r>
      <w:r w:rsidR="000221D7">
        <w:rPr>
          <w:szCs w:val="22"/>
        </w:rPr>
        <w:t xml:space="preserve">  Thus, Verizon maintain</w:t>
      </w:r>
      <w:r w:rsidR="001D46C0">
        <w:rPr>
          <w:szCs w:val="22"/>
        </w:rPr>
        <w:t>ed</w:t>
      </w:r>
      <w:r w:rsidR="00D01A6D">
        <w:rPr>
          <w:szCs w:val="22"/>
        </w:rPr>
        <w:t>,</w:t>
      </w:r>
      <w:r w:rsidR="000221D7">
        <w:rPr>
          <w:szCs w:val="22"/>
        </w:rPr>
        <w:t xml:space="preserve"> it </w:t>
      </w:r>
      <w:r w:rsidR="001D46C0">
        <w:rPr>
          <w:szCs w:val="22"/>
        </w:rPr>
        <w:t>wa</w:t>
      </w:r>
      <w:r w:rsidR="000221D7">
        <w:rPr>
          <w:szCs w:val="22"/>
        </w:rPr>
        <w:t xml:space="preserve">s not “relevant or necessary” for </w:t>
      </w:r>
      <w:r w:rsidR="00E01310">
        <w:rPr>
          <w:szCs w:val="22"/>
        </w:rPr>
        <w:t xml:space="preserve">the </w:t>
      </w:r>
      <w:r w:rsidR="0095417C">
        <w:rPr>
          <w:szCs w:val="22"/>
        </w:rPr>
        <w:t>Company</w:t>
      </w:r>
      <w:r w:rsidR="000221D7">
        <w:rPr>
          <w:szCs w:val="22"/>
        </w:rPr>
        <w:t xml:space="preserve"> to review the accessibility or design aspects of the service “that lie outside of the specific allegations here</w:t>
      </w:r>
      <w:r w:rsidR="002609E6">
        <w:rPr>
          <w:szCs w:val="22"/>
        </w:rPr>
        <w:t xml:space="preserve">” because, in Verizon’s view, the Complaint failed to establish a </w:t>
      </w:r>
      <w:r w:rsidRPr="00BA1335" w:rsidR="002609E6">
        <w:rPr>
          <w:i/>
          <w:iCs/>
          <w:szCs w:val="22"/>
        </w:rPr>
        <w:t>prima facie</w:t>
      </w:r>
      <w:r w:rsidR="002609E6">
        <w:rPr>
          <w:szCs w:val="22"/>
        </w:rPr>
        <w:t xml:space="preserve"> violation.</w:t>
      </w:r>
      <w:r>
        <w:rPr>
          <w:rStyle w:val="FootnoteReference"/>
          <w:szCs w:val="22"/>
        </w:rPr>
        <w:footnoteReference w:id="38"/>
      </w:r>
    </w:p>
    <w:p w:rsidR="00E01310" w:rsidP="001B12CD" w14:paraId="0E866889" w14:textId="19B5A4E4">
      <w:pPr>
        <w:pStyle w:val="ParaNum"/>
        <w:widowControl/>
        <w:rPr>
          <w:szCs w:val="22"/>
        </w:rPr>
      </w:pPr>
      <w:r>
        <w:rPr>
          <w:szCs w:val="22"/>
        </w:rPr>
        <w:t xml:space="preserve">Verizon’s second argument </w:t>
      </w:r>
      <w:r w:rsidR="00B7354D">
        <w:rPr>
          <w:szCs w:val="22"/>
        </w:rPr>
        <w:t>wa</w:t>
      </w:r>
      <w:r>
        <w:rPr>
          <w:szCs w:val="22"/>
        </w:rPr>
        <w:t xml:space="preserve">s that </w:t>
      </w:r>
      <w:r w:rsidR="00A3250C">
        <w:rPr>
          <w:szCs w:val="22"/>
        </w:rPr>
        <w:t xml:space="preserve">its </w:t>
      </w:r>
      <w:r w:rsidR="008908FF">
        <w:rPr>
          <w:szCs w:val="22"/>
        </w:rPr>
        <w:t xml:space="preserve">Premium </w:t>
      </w:r>
      <w:r w:rsidR="00DE3EC0">
        <w:rPr>
          <w:szCs w:val="22"/>
        </w:rPr>
        <w:t>Visual Voicemail</w:t>
      </w:r>
      <w:r w:rsidR="00223DD0">
        <w:rPr>
          <w:szCs w:val="22"/>
        </w:rPr>
        <w:t xml:space="preserve"> service</w:t>
      </w:r>
      <w:r>
        <w:rPr>
          <w:szCs w:val="22"/>
        </w:rPr>
        <w:t xml:space="preserve"> </w:t>
      </w:r>
      <w:r w:rsidR="00B7354D">
        <w:rPr>
          <w:szCs w:val="22"/>
        </w:rPr>
        <w:t>wa</w:t>
      </w:r>
      <w:r>
        <w:rPr>
          <w:szCs w:val="22"/>
        </w:rPr>
        <w:t xml:space="preserve">s accessible.  </w:t>
      </w:r>
      <w:r w:rsidR="00867C60">
        <w:rPr>
          <w:szCs w:val="22"/>
        </w:rPr>
        <w:t>Verizon argue</w:t>
      </w:r>
      <w:r w:rsidR="00B7354D">
        <w:rPr>
          <w:szCs w:val="22"/>
        </w:rPr>
        <w:t>d</w:t>
      </w:r>
      <w:r w:rsidR="00867C60">
        <w:rPr>
          <w:szCs w:val="22"/>
        </w:rPr>
        <w:t xml:space="preserve"> that Mr. De Anda “only alleges a discrete issue with De Anda’s own device and service,” and maintain</w:t>
      </w:r>
      <w:r w:rsidR="00B7354D">
        <w:rPr>
          <w:szCs w:val="22"/>
        </w:rPr>
        <w:t>ed</w:t>
      </w:r>
      <w:r w:rsidR="00867C60">
        <w:rPr>
          <w:szCs w:val="22"/>
        </w:rPr>
        <w:t xml:space="preserve"> that his issue “was not attributable to a problem with Verizon’s network or system.”</w:t>
      </w:r>
      <w:r>
        <w:rPr>
          <w:rStyle w:val="FootnoteReference"/>
          <w:szCs w:val="22"/>
        </w:rPr>
        <w:footnoteReference w:id="39"/>
      </w:r>
      <w:r w:rsidR="008C598D">
        <w:rPr>
          <w:szCs w:val="22"/>
        </w:rPr>
        <w:t xml:space="preserve">  </w:t>
      </w:r>
      <w:r w:rsidR="00867C60">
        <w:rPr>
          <w:szCs w:val="22"/>
        </w:rPr>
        <w:t>Verizon</w:t>
      </w:r>
      <w:r w:rsidR="00A3250C">
        <w:rPr>
          <w:szCs w:val="22"/>
        </w:rPr>
        <w:t xml:space="preserve"> support</w:t>
      </w:r>
      <w:r w:rsidR="007F5A57">
        <w:rPr>
          <w:szCs w:val="22"/>
        </w:rPr>
        <w:t>ed</w:t>
      </w:r>
      <w:r w:rsidR="00A3250C">
        <w:rPr>
          <w:szCs w:val="22"/>
        </w:rPr>
        <w:t xml:space="preserve"> its claim that Mr. De Anda</w:t>
      </w:r>
      <w:r w:rsidR="00867C60">
        <w:rPr>
          <w:szCs w:val="22"/>
        </w:rPr>
        <w:t xml:space="preserve">’s </w:t>
      </w:r>
      <w:r w:rsidR="00A3250C">
        <w:rPr>
          <w:szCs w:val="22"/>
        </w:rPr>
        <w:t>problem was isolated to his device by pointing out</w:t>
      </w:r>
      <w:r w:rsidR="008C1AE9">
        <w:rPr>
          <w:szCs w:val="22"/>
        </w:rPr>
        <w:t>, among other things,</w:t>
      </w:r>
      <w:r w:rsidR="00A3250C">
        <w:rPr>
          <w:szCs w:val="22"/>
        </w:rPr>
        <w:t xml:space="preserve"> that </w:t>
      </w:r>
      <w:r w:rsidR="00DE3EC0">
        <w:rPr>
          <w:szCs w:val="22"/>
        </w:rPr>
        <w:t>Premium Visual Voicemail</w:t>
      </w:r>
      <w:r w:rsidR="0019633E">
        <w:rPr>
          <w:szCs w:val="22"/>
        </w:rPr>
        <w:t xml:space="preserve"> service</w:t>
      </w:r>
      <w:r w:rsidR="00A3250C">
        <w:rPr>
          <w:szCs w:val="22"/>
        </w:rPr>
        <w:t xml:space="preserve"> worked </w:t>
      </w:r>
      <w:r w:rsidR="00191028">
        <w:rPr>
          <w:szCs w:val="22"/>
        </w:rPr>
        <w:t xml:space="preserve">for </w:t>
      </w:r>
      <w:r w:rsidR="00867C60">
        <w:rPr>
          <w:szCs w:val="22"/>
        </w:rPr>
        <w:t>millions of other Verizon customers.</w:t>
      </w:r>
      <w:r>
        <w:rPr>
          <w:rStyle w:val="FootnoteReference"/>
          <w:szCs w:val="22"/>
        </w:rPr>
        <w:footnoteReference w:id="40"/>
      </w:r>
    </w:p>
    <w:p w:rsidR="00D52E77" w:rsidRPr="00262FF1" w:rsidP="00BF36F7" w14:paraId="5491B227" w14:textId="2AD5F12B">
      <w:pPr>
        <w:pStyle w:val="ParaNum"/>
        <w:widowControl/>
        <w:rPr>
          <w:szCs w:val="22"/>
        </w:rPr>
      </w:pPr>
      <w:r w:rsidRPr="00262FF1">
        <w:rPr>
          <w:szCs w:val="22"/>
        </w:rPr>
        <w:t>Finally, Verizon argue</w:t>
      </w:r>
      <w:r w:rsidRPr="00262FF1" w:rsidR="00B7354D">
        <w:rPr>
          <w:szCs w:val="22"/>
        </w:rPr>
        <w:t>d</w:t>
      </w:r>
      <w:r w:rsidRPr="00262FF1">
        <w:rPr>
          <w:szCs w:val="22"/>
        </w:rPr>
        <w:t xml:space="preserve"> that</w:t>
      </w:r>
      <w:r w:rsidRPr="00262FF1" w:rsidR="00D01A6D">
        <w:rPr>
          <w:szCs w:val="22"/>
        </w:rPr>
        <w:t>, even</w:t>
      </w:r>
      <w:r w:rsidRPr="00262FF1">
        <w:rPr>
          <w:szCs w:val="22"/>
        </w:rPr>
        <w:t xml:space="preserve"> </w:t>
      </w:r>
      <w:r w:rsidRPr="00262FF1" w:rsidR="00446EBD">
        <w:rPr>
          <w:szCs w:val="22"/>
        </w:rPr>
        <w:t xml:space="preserve">if </w:t>
      </w:r>
      <w:r w:rsidRPr="00262FF1" w:rsidR="00A3250C">
        <w:rPr>
          <w:szCs w:val="22"/>
        </w:rPr>
        <w:t>Mr. De Anda</w:t>
      </w:r>
      <w:r w:rsidRPr="00262FF1" w:rsidR="00446EBD">
        <w:rPr>
          <w:szCs w:val="22"/>
        </w:rPr>
        <w:t xml:space="preserve"> established a </w:t>
      </w:r>
      <w:r w:rsidRPr="00262FF1" w:rsidR="00446EBD">
        <w:rPr>
          <w:i/>
          <w:iCs/>
          <w:szCs w:val="22"/>
        </w:rPr>
        <w:t>prima faci</w:t>
      </w:r>
      <w:r w:rsidRPr="00262FF1" w:rsidR="00E8075D">
        <w:rPr>
          <w:i/>
          <w:iCs/>
          <w:szCs w:val="22"/>
        </w:rPr>
        <w:t>e</w:t>
      </w:r>
      <w:r w:rsidRPr="00262FF1" w:rsidR="00446EBD">
        <w:rPr>
          <w:szCs w:val="22"/>
        </w:rPr>
        <w:t xml:space="preserve"> case, and </w:t>
      </w:r>
      <w:r w:rsidRPr="00262FF1" w:rsidR="00D01A6D">
        <w:rPr>
          <w:szCs w:val="22"/>
        </w:rPr>
        <w:t xml:space="preserve">even </w:t>
      </w:r>
      <w:r w:rsidRPr="00262FF1">
        <w:rPr>
          <w:szCs w:val="22"/>
        </w:rPr>
        <w:t xml:space="preserve">if </w:t>
      </w:r>
      <w:r w:rsidRPr="00262FF1" w:rsidR="00D01A6D">
        <w:rPr>
          <w:szCs w:val="22"/>
        </w:rPr>
        <w:t>Verizon’s</w:t>
      </w:r>
      <w:r w:rsidRPr="00262FF1">
        <w:rPr>
          <w:szCs w:val="22"/>
        </w:rPr>
        <w:t xml:space="preserve"> </w:t>
      </w:r>
      <w:r w:rsidRPr="00262FF1" w:rsidR="00DE3EC0">
        <w:rPr>
          <w:szCs w:val="22"/>
        </w:rPr>
        <w:t>Premium Visual Voicemail</w:t>
      </w:r>
      <w:r w:rsidR="00216E47">
        <w:rPr>
          <w:szCs w:val="22"/>
        </w:rPr>
        <w:t xml:space="preserve"> service</w:t>
      </w:r>
      <w:r w:rsidRPr="00262FF1">
        <w:rPr>
          <w:szCs w:val="22"/>
        </w:rPr>
        <w:t xml:space="preserve"> </w:t>
      </w:r>
      <w:r w:rsidRPr="00262FF1" w:rsidR="00B7354D">
        <w:rPr>
          <w:szCs w:val="22"/>
        </w:rPr>
        <w:t>wa</w:t>
      </w:r>
      <w:r w:rsidRPr="00262FF1">
        <w:rPr>
          <w:szCs w:val="22"/>
        </w:rPr>
        <w:t xml:space="preserve">s not accessible, then accessibility </w:t>
      </w:r>
      <w:r w:rsidRPr="00262FF1" w:rsidR="00B7354D">
        <w:rPr>
          <w:szCs w:val="22"/>
        </w:rPr>
        <w:t>wa</w:t>
      </w:r>
      <w:r w:rsidRPr="00262FF1">
        <w:rPr>
          <w:szCs w:val="22"/>
        </w:rPr>
        <w:t>s not readily achievable without further cooperation from the complainant.</w:t>
      </w:r>
      <w:r>
        <w:rPr>
          <w:rStyle w:val="FootnoteReference"/>
          <w:szCs w:val="22"/>
        </w:rPr>
        <w:footnoteReference w:id="41"/>
      </w:r>
      <w:r w:rsidRPr="00262FF1">
        <w:rPr>
          <w:szCs w:val="22"/>
        </w:rPr>
        <w:t xml:space="preserve">  </w:t>
      </w:r>
      <w:r w:rsidRPr="00262FF1" w:rsidR="00632D97">
        <w:rPr>
          <w:szCs w:val="22"/>
        </w:rPr>
        <w:t xml:space="preserve">Verizon </w:t>
      </w:r>
      <w:r w:rsidRPr="00262FF1" w:rsidR="00DF119C">
        <w:rPr>
          <w:szCs w:val="22"/>
        </w:rPr>
        <w:t xml:space="preserve">stated </w:t>
      </w:r>
      <w:r w:rsidRPr="00262FF1" w:rsidR="00632D97">
        <w:rPr>
          <w:szCs w:val="22"/>
        </w:rPr>
        <w:t>that it ha</w:t>
      </w:r>
      <w:r w:rsidRPr="00262FF1" w:rsidR="007F5A57">
        <w:rPr>
          <w:szCs w:val="22"/>
        </w:rPr>
        <w:t>d</w:t>
      </w:r>
      <w:r w:rsidRPr="00262FF1" w:rsidR="00632D97">
        <w:rPr>
          <w:szCs w:val="22"/>
        </w:rPr>
        <w:t xml:space="preserve"> “developed a series of steps that could be taken, working with the customer, to address both of these likely causes” of Mr. De And</w:t>
      </w:r>
      <w:r w:rsidRPr="00262FF1" w:rsidR="00D802F2">
        <w:rPr>
          <w:szCs w:val="22"/>
        </w:rPr>
        <w:t>a</w:t>
      </w:r>
      <w:r w:rsidRPr="00262FF1" w:rsidR="00632D97">
        <w:rPr>
          <w:szCs w:val="22"/>
        </w:rPr>
        <w:t>’s issue.</w:t>
      </w:r>
      <w:r>
        <w:rPr>
          <w:rStyle w:val="FootnoteReference"/>
          <w:szCs w:val="22"/>
        </w:rPr>
        <w:footnoteReference w:id="42"/>
      </w:r>
      <w:r w:rsidRPr="00262FF1" w:rsidR="00632D97">
        <w:rPr>
          <w:szCs w:val="22"/>
        </w:rPr>
        <w:t xml:space="preserve">  Verizon </w:t>
      </w:r>
      <w:r w:rsidRPr="00262FF1" w:rsidR="00DF119C">
        <w:rPr>
          <w:szCs w:val="22"/>
        </w:rPr>
        <w:t xml:space="preserve">stated </w:t>
      </w:r>
      <w:r w:rsidRPr="00262FF1" w:rsidR="00632D97">
        <w:rPr>
          <w:szCs w:val="22"/>
        </w:rPr>
        <w:t>that</w:t>
      </w:r>
      <w:r w:rsidRPr="00262FF1" w:rsidR="008D5AD6">
        <w:rPr>
          <w:szCs w:val="22"/>
        </w:rPr>
        <w:t>, a</w:t>
      </w:r>
      <w:r w:rsidRPr="00262FF1" w:rsidR="00A27FEF">
        <w:rPr>
          <w:szCs w:val="22"/>
        </w:rPr>
        <w:t>fter a certain</w:t>
      </w:r>
      <w:r w:rsidRPr="00262FF1" w:rsidR="008D5AD6">
        <w:rPr>
          <w:szCs w:val="22"/>
        </w:rPr>
        <w:t xml:space="preserve"> point,</w:t>
      </w:r>
      <w:r w:rsidRPr="00262FF1" w:rsidR="00A27FEF">
        <w:rPr>
          <w:szCs w:val="22"/>
        </w:rPr>
        <w:t xml:space="preserve"> </w:t>
      </w:r>
      <w:r w:rsidRPr="00262FF1" w:rsidR="00DF119C">
        <w:rPr>
          <w:szCs w:val="22"/>
        </w:rPr>
        <w:t>Mr. De Anda no longer want</w:t>
      </w:r>
      <w:r w:rsidRPr="00262FF1" w:rsidR="007F5A57">
        <w:rPr>
          <w:szCs w:val="22"/>
        </w:rPr>
        <w:t>ed</w:t>
      </w:r>
      <w:r w:rsidRPr="00262FF1" w:rsidR="00DF119C">
        <w:rPr>
          <w:szCs w:val="22"/>
        </w:rPr>
        <w:t xml:space="preserve"> to work with Verizon on this matter</w:t>
      </w:r>
      <w:r w:rsidR="00216E47">
        <w:rPr>
          <w:szCs w:val="22"/>
        </w:rPr>
        <w:t>;</w:t>
      </w:r>
      <w:r w:rsidRPr="00262FF1" w:rsidR="00DF119C">
        <w:rPr>
          <w:szCs w:val="22"/>
        </w:rPr>
        <w:t xml:space="preserve"> and t</w:t>
      </w:r>
      <w:r w:rsidRPr="00262FF1" w:rsidR="00632D97">
        <w:rPr>
          <w:szCs w:val="22"/>
        </w:rPr>
        <w:t xml:space="preserve">hus, the </w:t>
      </w:r>
      <w:r w:rsidRPr="00262FF1" w:rsidR="0095417C">
        <w:rPr>
          <w:szCs w:val="22"/>
        </w:rPr>
        <w:t>Company</w:t>
      </w:r>
      <w:r w:rsidRPr="00262FF1" w:rsidR="00632D97">
        <w:rPr>
          <w:szCs w:val="22"/>
        </w:rPr>
        <w:t xml:space="preserve"> </w:t>
      </w:r>
      <w:r w:rsidRPr="00262FF1" w:rsidR="007F5A57">
        <w:rPr>
          <w:szCs w:val="22"/>
        </w:rPr>
        <w:t>wa</w:t>
      </w:r>
      <w:r w:rsidRPr="00262FF1" w:rsidR="00DF119C">
        <w:rPr>
          <w:szCs w:val="22"/>
        </w:rPr>
        <w:t xml:space="preserve">s </w:t>
      </w:r>
      <w:r w:rsidRPr="00262FF1" w:rsidR="00632D97">
        <w:rPr>
          <w:szCs w:val="22"/>
        </w:rPr>
        <w:t xml:space="preserve">unable to </w:t>
      </w:r>
      <w:r w:rsidRPr="00262FF1" w:rsidR="00A27FEF">
        <w:rPr>
          <w:szCs w:val="22"/>
        </w:rPr>
        <w:t>keep trying</w:t>
      </w:r>
      <w:r w:rsidRPr="00262FF1" w:rsidR="008D5AD6">
        <w:rPr>
          <w:szCs w:val="22"/>
        </w:rPr>
        <w:t xml:space="preserve"> to </w:t>
      </w:r>
      <w:r w:rsidRPr="00262FF1" w:rsidR="00632D97">
        <w:rPr>
          <w:szCs w:val="22"/>
        </w:rPr>
        <w:t xml:space="preserve">resolve </w:t>
      </w:r>
      <w:r w:rsidRPr="00262FF1" w:rsidR="00DF119C">
        <w:rPr>
          <w:szCs w:val="22"/>
        </w:rPr>
        <w:t>t</w:t>
      </w:r>
      <w:r w:rsidRPr="00262FF1" w:rsidR="00632D97">
        <w:rPr>
          <w:szCs w:val="22"/>
        </w:rPr>
        <w:t>his issue</w:t>
      </w:r>
      <w:r w:rsidRPr="00262FF1" w:rsidR="008D5AD6">
        <w:rPr>
          <w:szCs w:val="22"/>
        </w:rPr>
        <w:t xml:space="preserve"> through the steps it had identified</w:t>
      </w:r>
      <w:r w:rsidRPr="00262FF1" w:rsidR="00632D97">
        <w:rPr>
          <w:szCs w:val="22"/>
        </w:rPr>
        <w:t>.</w:t>
      </w:r>
      <w:r>
        <w:rPr>
          <w:rStyle w:val="FootnoteReference"/>
          <w:szCs w:val="22"/>
        </w:rPr>
        <w:footnoteReference w:id="43"/>
      </w:r>
      <w:r w:rsidRPr="00262FF1" w:rsidR="00632D97">
        <w:rPr>
          <w:szCs w:val="22"/>
        </w:rPr>
        <w:t xml:space="preserve">  </w:t>
      </w:r>
    </w:p>
    <w:p w:rsidR="001B12CD" w:rsidRPr="00F90E31" w:rsidP="001B12CD" w14:paraId="596DC383" w14:textId="77777777">
      <w:pPr>
        <w:pStyle w:val="Heading1"/>
        <w:widowControl/>
        <w:rPr>
          <w:rFonts w:ascii="Times New Roman" w:hAnsi="Times New Roman"/>
          <w:szCs w:val="22"/>
        </w:rPr>
      </w:pPr>
      <w:r w:rsidRPr="00F90E31">
        <w:rPr>
          <w:rFonts w:ascii="Times New Roman" w:hAnsi="Times New Roman"/>
          <w:szCs w:val="22"/>
        </w:rPr>
        <w:t xml:space="preserve">Discussion  </w:t>
      </w:r>
    </w:p>
    <w:p w:rsidR="00A773A8" w:rsidRPr="00F90E31" w:rsidP="00EC5B8B" w14:paraId="4108D6B8" w14:textId="470E7351">
      <w:pPr>
        <w:pStyle w:val="ParaNum"/>
      </w:pPr>
      <w:r w:rsidRPr="00F90E31">
        <w:t xml:space="preserve">We first address Verizon’s claim that </w:t>
      </w:r>
      <w:r w:rsidRPr="00F90E31" w:rsidR="00A33EAB">
        <w:t xml:space="preserve">Mr. De Anda’s </w:t>
      </w:r>
      <w:r w:rsidRPr="00F90E31" w:rsidR="002773C0">
        <w:t>C</w:t>
      </w:r>
      <w:r w:rsidRPr="00F90E31" w:rsidR="000A2D86">
        <w:t xml:space="preserve">omplaint </w:t>
      </w:r>
      <w:r w:rsidRPr="00F90E31">
        <w:t xml:space="preserve">did not </w:t>
      </w:r>
      <w:r w:rsidRPr="00F90E31" w:rsidR="00120E66">
        <w:t xml:space="preserve">make a </w:t>
      </w:r>
      <w:r w:rsidRPr="00967D80" w:rsidR="00120E66">
        <w:rPr>
          <w:i/>
          <w:iCs/>
        </w:rPr>
        <w:t>prima facie</w:t>
      </w:r>
      <w:r w:rsidRPr="00F90E31" w:rsidR="00120E66">
        <w:t xml:space="preserve"> case.</w:t>
      </w:r>
      <w:r w:rsidRPr="00F90E31" w:rsidR="00176729">
        <w:t xml:space="preserve">  </w:t>
      </w:r>
      <w:r w:rsidRPr="00F90E31">
        <w:t>Verizon allege</w:t>
      </w:r>
      <w:r w:rsidR="00763289">
        <w:t>d</w:t>
      </w:r>
      <w:r w:rsidRPr="00F90E31">
        <w:t xml:space="preserve"> that the Complaint </w:t>
      </w:r>
      <w:r w:rsidRPr="00F90E31" w:rsidR="0089312D">
        <w:t xml:space="preserve">did not make a </w:t>
      </w:r>
      <w:r w:rsidRPr="00967D80" w:rsidR="0089312D">
        <w:rPr>
          <w:i/>
          <w:iCs/>
        </w:rPr>
        <w:t>prima facie</w:t>
      </w:r>
      <w:r w:rsidRPr="00F90E31" w:rsidR="0089312D">
        <w:t xml:space="preserve"> case because </w:t>
      </w:r>
      <w:r w:rsidRPr="00F90E31" w:rsidR="00A70F25">
        <w:t>the Comp</w:t>
      </w:r>
      <w:r w:rsidR="00BA1335">
        <w:t>laint</w:t>
      </w:r>
      <w:r w:rsidRPr="00F90E31" w:rsidR="0089312D">
        <w:t xml:space="preserve"> </w:t>
      </w:r>
      <w:r w:rsidR="00967D80">
        <w:t xml:space="preserve">(1) </w:t>
      </w:r>
      <w:r w:rsidRPr="00F90E31">
        <w:t>failed to</w:t>
      </w:r>
      <w:r w:rsidRPr="00F90E31" w:rsidR="0089312D">
        <w:t xml:space="preserve"> </w:t>
      </w:r>
      <w:r w:rsidRPr="00F90E31">
        <w:t>provide a complete statement of the facts “explaining the circumstances surrounding the complaint</w:t>
      </w:r>
      <w:r w:rsidR="00B07CC8">
        <w:t>;</w:t>
      </w:r>
      <w:r w:rsidRPr="00F90E31">
        <w:t>”</w:t>
      </w:r>
      <w:r>
        <w:rPr>
          <w:rStyle w:val="FootnoteReference"/>
        </w:rPr>
        <w:footnoteReference w:id="44"/>
      </w:r>
      <w:r w:rsidRPr="00F90E31">
        <w:t xml:space="preserve"> </w:t>
      </w:r>
      <w:r w:rsidR="00967D80">
        <w:t xml:space="preserve">(2) did not </w:t>
      </w:r>
      <w:r w:rsidRPr="00967D80" w:rsidR="00967D80">
        <w:rPr>
          <w:szCs w:val="22"/>
        </w:rPr>
        <w:t>allege that Premium Visual Voicemail</w:t>
      </w:r>
      <w:r w:rsidR="00216E47">
        <w:rPr>
          <w:szCs w:val="22"/>
        </w:rPr>
        <w:t xml:space="preserve"> service</w:t>
      </w:r>
      <w:r w:rsidRPr="00967D80" w:rsidR="00967D80">
        <w:rPr>
          <w:szCs w:val="22"/>
        </w:rPr>
        <w:t xml:space="preserve"> was not accessible or usable</w:t>
      </w:r>
      <w:r w:rsidR="00B07CC8">
        <w:rPr>
          <w:szCs w:val="22"/>
        </w:rPr>
        <w:t>;</w:t>
      </w:r>
      <w:r w:rsidRPr="00967D80" w:rsidR="00967D80">
        <w:rPr>
          <w:szCs w:val="22"/>
        </w:rPr>
        <w:t xml:space="preserve"> and (3)</w:t>
      </w:r>
      <w:r w:rsidR="00967D80">
        <w:t xml:space="preserve"> </w:t>
      </w:r>
      <w:r w:rsidRPr="00F90E31">
        <w:t>d</w:t>
      </w:r>
      <w:r w:rsidR="00967D80">
        <w:t>id</w:t>
      </w:r>
      <w:r w:rsidRPr="00F90E31">
        <w:t xml:space="preserve"> not state or include any supporting documentation demonstrating that Verizon </w:t>
      </w:r>
      <w:r w:rsidR="00967D80">
        <w:t>wa</w:t>
      </w:r>
      <w:r w:rsidRPr="00F90E31">
        <w:t>s in violation of section</w:t>
      </w:r>
      <w:r w:rsidR="00216E47">
        <w:t>s</w:t>
      </w:r>
      <w:r w:rsidRPr="00F90E31">
        <w:t xml:space="preserve"> 255, 716, or 718 of the Act, nor the Rules</w:t>
      </w:r>
      <w:r w:rsidRPr="00F90E31" w:rsidR="00F90E31">
        <w:t>.</w:t>
      </w:r>
      <w:r w:rsidRPr="00F90E31" w:rsidR="00A105A0">
        <w:t xml:space="preserve"> </w:t>
      </w:r>
    </w:p>
    <w:p w:rsidR="00693FD2" w:rsidRPr="00693FD2" w:rsidP="00351663" w14:paraId="21A7276A" w14:textId="2FC176A6">
      <w:pPr>
        <w:pStyle w:val="ParaNum"/>
        <w:rPr>
          <w:szCs w:val="22"/>
        </w:rPr>
      </w:pPr>
      <w:r w:rsidRPr="000322E9">
        <w:t xml:space="preserve">Section 14.34(b) </w:t>
      </w:r>
      <w:r w:rsidRPr="000322E9" w:rsidR="00AB185B">
        <w:t xml:space="preserve">of the Rules </w:t>
      </w:r>
      <w:r w:rsidRPr="000322E9">
        <w:t>establishes the information that must be included in an informal complaint.</w:t>
      </w:r>
      <w:r>
        <w:rPr>
          <w:rStyle w:val="FootnoteReference"/>
        </w:rPr>
        <w:footnoteReference w:id="45"/>
      </w:r>
      <w:r w:rsidRPr="000322E9">
        <w:t xml:space="preserve"> </w:t>
      </w:r>
      <w:r w:rsidRPr="000322E9" w:rsidR="00A70F25">
        <w:t xml:space="preserve"> </w:t>
      </w:r>
      <w:r w:rsidRPr="000322E9" w:rsidR="00A105A0">
        <w:t xml:space="preserve">The Complaint contained all of the </w:t>
      </w:r>
      <w:r w:rsidRPr="000322E9" w:rsidR="000F6617">
        <w:t xml:space="preserve">required </w:t>
      </w:r>
      <w:r w:rsidRPr="000322E9" w:rsidR="00A105A0">
        <w:t>information</w:t>
      </w:r>
      <w:r w:rsidRPr="000322E9" w:rsidR="00AB185B">
        <w:t xml:space="preserve">.  </w:t>
      </w:r>
      <w:r w:rsidRPr="000322E9" w:rsidR="00CC412D">
        <w:t xml:space="preserve">In the Complaint, </w:t>
      </w:r>
      <w:r w:rsidRPr="000322E9" w:rsidR="000F6617">
        <w:t>Mr. De Anda</w:t>
      </w:r>
      <w:r w:rsidRPr="000322E9" w:rsidR="00D17B49">
        <w:t xml:space="preserve"> </w:t>
      </w:r>
      <w:r w:rsidRPr="000322E9" w:rsidR="004020D7">
        <w:t>stated that he ha</w:t>
      </w:r>
      <w:r w:rsidRPr="000322E9" w:rsidR="007779C3">
        <w:t>d</w:t>
      </w:r>
      <w:r w:rsidRPr="000322E9" w:rsidR="004020D7">
        <w:t xml:space="preserve"> a right to “accessible voicemail under section 255 and 47 CFR Part 7</w:t>
      </w:r>
      <w:r w:rsidRPr="000322E9" w:rsidR="005E0881">
        <w:t>.</w:t>
      </w:r>
      <w:r>
        <w:rPr>
          <w:rStyle w:val="FootnoteReference"/>
        </w:rPr>
        <w:footnoteReference w:id="46"/>
      </w:r>
      <w:r w:rsidRPr="000322E9" w:rsidR="005E0881">
        <w:t xml:space="preserve">  He also </w:t>
      </w:r>
      <w:r w:rsidRPr="000322E9" w:rsidR="000322E9">
        <w:t>stated</w:t>
      </w:r>
      <w:r w:rsidRPr="000322E9" w:rsidR="004020D7">
        <w:t xml:space="preserve"> that “a few months after” he bought the Samsung device, “visual voicemail stopped working</w:t>
      </w:r>
      <w:r w:rsidRPr="000322E9" w:rsidR="000322E9">
        <w:t>,</w:t>
      </w:r>
      <w:r w:rsidRPr="000322E9" w:rsidR="004020D7">
        <w:t>”</w:t>
      </w:r>
      <w:r w:rsidRPr="000322E9" w:rsidR="00915F2B">
        <w:t xml:space="preserve"> and that </w:t>
      </w:r>
      <w:r w:rsidRPr="000322E9" w:rsidR="00267FE5">
        <w:t>“</w:t>
      </w:r>
      <w:r w:rsidRPr="000322E9" w:rsidR="00915F2B">
        <w:t xml:space="preserve">visual voicemail does </w:t>
      </w:r>
      <w:r w:rsidRPr="000322E9" w:rsidR="00267FE5">
        <w:t xml:space="preserve">not </w:t>
      </w:r>
      <w:r w:rsidRPr="000322E9" w:rsidR="00915F2B">
        <w:t>work</w:t>
      </w:r>
      <w:r w:rsidRPr="000322E9" w:rsidR="00267FE5">
        <w:t>”</w:t>
      </w:r>
      <w:r w:rsidRPr="000322E9" w:rsidR="00915F2B">
        <w:t xml:space="preserve"> on the </w:t>
      </w:r>
      <w:r w:rsidR="002746ED">
        <w:t>refurbished</w:t>
      </w:r>
      <w:r w:rsidRPr="000322E9" w:rsidR="002746ED">
        <w:t xml:space="preserve"> </w:t>
      </w:r>
      <w:r w:rsidRPr="000322E9" w:rsidR="00915F2B">
        <w:t>phone that Verizon provided</w:t>
      </w:r>
      <w:r w:rsidRPr="000322E9" w:rsidR="008E4F0F">
        <w:t>.</w:t>
      </w:r>
      <w:r>
        <w:rPr>
          <w:rStyle w:val="FootnoteReference"/>
        </w:rPr>
        <w:footnoteReference w:id="47"/>
      </w:r>
      <w:r w:rsidR="004020D7">
        <w:t xml:space="preserve">  </w:t>
      </w:r>
      <w:r w:rsidR="00CC412D">
        <w:t xml:space="preserve"> Mr. De Anda </w:t>
      </w:r>
      <w:r w:rsidRPr="00F90E31" w:rsidR="00D17B49">
        <w:t>provided</w:t>
      </w:r>
      <w:r w:rsidRPr="00F90E31" w:rsidR="00AB185B">
        <w:t xml:space="preserve"> a detailed description of</w:t>
      </w:r>
      <w:r w:rsidR="00AB185B">
        <w:t xml:space="preserve"> the circumstances that led </w:t>
      </w:r>
      <w:r w:rsidR="00AF1F8E">
        <w:t xml:space="preserve">to </w:t>
      </w:r>
      <w:r w:rsidR="000F6617">
        <w:t>his</w:t>
      </w:r>
      <w:r>
        <w:t xml:space="preserve"> allegations</w:t>
      </w:r>
      <w:r w:rsidR="00AF1F8E">
        <w:t xml:space="preserve"> that Verizon’s Premium Visual Voicemail service was not accessible</w:t>
      </w:r>
      <w:r w:rsidR="00D17B49">
        <w:t>, in violation of section 255 of the Act</w:t>
      </w:r>
      <w:r w:rsidR="0089312D">
        <w:t>.  The Complaint described when the problem started, Mr. De Anda’s efforts to get the issue resolved, Verizon</w:t>
      </w:r>
      <w:r w:rsidR="007779C3">
        <w:t xml:space="preserve">’s </w:t>
      </w:r>
      <w:r w:rsidR="0089312D">
        <w:t xml:space="preserve"> </w:t>
      </w:r>
      <w:r w:rsidR="007779C3">
        <w:t xml:space="preserve">conclusion </w:t>
      </w:r>
      <w:r w:rsidR="000F6617">
        <w:t>that</w:t>
      </w:r>
      <w:r w:rsidR="0089312D">
        <w:t xml:space="preserve"> the source of the problem</w:t>
      </w:r>
      <w:r w:rsidR="000F6617">
        <w:t xml:space="preserve"> was </w:t>
      </w:r>
      <w:r w:rsidR="00627B8B">
        <w:t>Mr. De Anda’s</w:t>
      </w:r>
      <w:r w:rsidR="000F6617">
        <w:t xml:space="preserve"> device, and that he was unable to resolve the problem to his satisfaction through the RDA process</w:t>
      </w:r>
      <w:r w:rsidR="0089312D">
        <w:t xml:space="preserve">.  </w:t>
      </w:r>
      <w:r w:rsidR="001669F7">
        <w:t xml:space="preserve">In its </w:t>
      </w:r>
      <w:r w:rsidR="00C5575D">
        <w:t>Answer, Verizon stated its understanding that the problem had been resolved</w:t>
      </w:r>
      <w:r w:rsidR="00627B8B">
        <w:t>.</w:t>
      </w:r>
      <w:r>
        <w:rPr>
          <w:rStyle w:val="FootnoteReference"/>
        </w:rPr>
        <w:footnoteReference w:id="48"/>
      </w:r>
      <w:r w:rsidR="00C5575D">
        <w:t xml:space="preserve"> </w:t>
      </w:r>
      <w:r w:rsidR="00216E47">
        <w:t xml:space="preserve"> </w:t>
      </w:r>
      <w:r w:rsidR="0089312D">
        <w:t>Mr. De Anda</w:t>
      </w:r>
      <w:r w:rsidR="00627B8B">
        <w:t>, however,</w:t>
      </w:r>
      <w:r w:rsidR="0051083A">
        <w:t xml:space="preserve"> state</w:t>
      </w:r>
      <w:r w:rsidR="00763289">
        <w:t>d</w:t>
      </w:r>
      <w:r w:rsidR="0051083A">
        <w:t xml:space="preserve"> that</w:t>
      </w:r>
      <w:r w:rsidR="0089312D">
        <w:t xml:space="preserve"> he continue</w:t>
      </w:r>
      <w:r w:rsidR="00216E47">
        <w:t>d</w:t>
      </w:r>
      <w:r w:rsidR="0089312D">
        <w:t xml:space="preserve"> to be unable to use the </w:t>
      </w:r>
      <w:r w:rsidR="00216E47">
        <w:t xml:space="preserve">Premium Visual Voicemail </w:t>
      </w:r>
      <w:r w:rsidR="0089312D">
        <w:t>service.</w:t>
      </w:r>
      <w:r>
        <w:rPr>
          <w:rStyle w:val="FootnoteReference"/>
        </w:rPr>
        <w:footnoteReference w:id="49"/>
      </w:r>
      <w:r w:rsidR="00995D47">
        <w:t xml:space="preserve">  </w:t>
      </w:r>
    </w:p>
    <w:p w:rsidR="000A2D86" w:rsidRPr="005B1969" w:rsidP="00EC5B8B" w14:paraId="70FAF812" w14:textId="484A473C">
      <w:pPr>
        <w:pStyle w:val="ParaNum"/>
        <w:rPr>
          <w:szCs w:val="22"/>
        </w:rPr>
      </w:pPr>
      <w:r>
        <w:t>Verizon</w:t>
      </w:r>
      <w:r w:rsidR="00AF1F8E">
        <w:t xml:space="preserve"> </w:t>
      </w:r>
      <w:r w:rsidR="00995D47">
        <w:t xml:space="preserve">also </w:t>
      </w:r>
      <w:r w:rsidR="00AF1F8E">
        <w:t xml:space="preserve">failed to explain </w:t>
      </w:r>
      <w:r w:rsidR="00287F75">
        <w:t xml:space="preserve">its argument that </w:t>
      </w:r>
      <w:r w:rsidRPr="00BE1A24" w:rsidR="00995D47">
        <w:rPr>
          <w:rStyle w:val="cf01"/>
          <w:rFonts w:ascii="Times New Roman" w:hAnsi="Times New Roman" w:cs="Times New Roman"/>
          <w:sz w:val="22"/>
          <w:szCs w:val="22"/>
        </w:rPr>
        <w:t xml:space="preserve">a complainant is legally required to provide information </w:t>
      </w:r>
      <w:r w:rsidR="00287F75">
        <w:rPr>
          <w:rStyle w:val="cf01"/>
          <w:rFonts w:ascii="Times New Roman" w:hAnsi="Times New Roman" w:cs="Times New Roman"/>
          <w:sz w:val="22"/>
          <w:szCs w:val="22"/>
        </w:rPr>
        <w:t xml:space="preserve">or documentation </w:t>
      </w:r>
      <w:r w:rsidRPr="00BE1A24" w:rsidR="00995D47">
        <w:rPr>
          <w:rStyle w:val="cf01"/>
          <w:rFonts w:ascii="Times New Roman" w:hAnsi="Times New Roman" w:cs="Times New Roman"/>
          <w:sz w:val="22"/>
          <w:szCs w:val="22"/>
        </w:rPr>
        <w:t xml:space="preserve">beyond what is specified in </w:t>
      </w:r>
      <w:r w:rsidR="00287F75">
        <w:rPr>
          <w:rStyle w:val="cf01"/>
          <w:rFonts w:ascii="Times New Roman" w:hAnsi="Times New Roman" w:cs="Times New Roman"/>
          <w:sz w:val="22"/>
          <w:szCs w:val="22"/>
        </w:rPr>
        <w:t>S</w:t>
      </w:r>
      <w:r w:rsidRPr="00BE1A24" w:rsidR="00995D47">
        <w:rPr>
          <w:rStyle w:val="cf01"/>
          <w:rFonts w:ascii="Times New Roman" w:hAnsi="Times New Roman" w:cs="Times New Roman"/>
          <w:sz w:val="22"/>
          <w:szCs w:val="22"/>
        </w:rPr>
        <w:t xml:space="preserve">ection 14.34(b) in order establish a </w:t>
      </w:r>
      <w:r w:rsidRPr="00BE1A24" w:rsidR="00995D47">
        <w:rPr>
          <w:rStyle w:val="cf11"/>
          <w:rFonts w:ascii="Times New Roman" w:hAnsi="Times New Roman" w:cs="Times New Roman"/>
          <w:sz w:val="22"/>
          <w:szCs w:val="22"/>
        </w:rPr>
        <w:t xml:space="preserve">prima facie </w:t>
      </w:r>
      <w:r w:rsidRPr="00BE1A24" w:rsidR="00995D47">
        <w:rPr>
          <w:rStyle w:val="cf01"/>
          <w:rFonts w:ascii="Times New Roman" w:hAnsi="Times New Roman" w:cs="Times New Roman"/>
          <w:sz w:val="22"/>
          <w:szCs w:val="22"/>
        </w:rPr>
        <w:t xml:space="preserve">case, nor did Verizon attempt to explain why such a result would be consistent with </w:t>
      </w:r>
      <w:r w:rsidR="00AF60AF">
        <w:rPr>
          <w:rStyle w:val="cf01"/>
          <w:rFonts w:ascii="Times New Roman" w:hAnsi="Times New Roman" w:cs="Times New Roman"/>
          <w:sz w:val="22"/>
          <w:szCs w:val="22"/>
        </w:rPr>
        <w:t>s</w:t>
      </w:r>
      <w:r w:rsidR="00287F75">
        <w:rPr>
          <w:rStyle w:val="cf01"/>
          <w:rFonts w:ascii="Times New Roman" w:hAnsi="Times New Roman" w:cs="Times New Roman"/>
          <w:sz w:val="22"/>
          <w:szCs w:val="22"/>
        </w:rPr>
        <w:t xml:space="preserve">ections </w:t>
      </w:r>
      <w:r w:rsidRPr="00BE1A24" w:rsidR="00995D47">
        <w:rPr>
          <w:rStyle w:val="cf01"/>
          <w:rFonts w:ascii="Times New Roman" w:hAnsi="Times New Roman" w:cs="Times New Roman"/>
          <w:sz w:val="22"/>
          <w:szCs w:val="22"/>
        </w:rPr>
        <w:t>14.34 and 14.36</w:t>
      </w:r>
      <w:r w:rsidR="00287F75">
        <w:rPr>
          <w:rStyle w:val="cf01"/>
          <w:rFonts w:ascii="Times New Roman" w:hAnsi="Times New Roman" w:cs="Times New Roman"/>
          <w:sz w:val="22"/>
          <w:szCs w:val="22"/>
        </w:rPr>
        <w:t xml:space="preserve"> of the Rules.  Neither</w:t>
      </w:r>
      <w:r w:rsidR="00995D47">
        <w:rPr>
          <w:rStyle w:val="cf01"/>
        </w:rPr>
        <w:t xml:space="preserve"> </w:t>
      </w:r>
      <w:r w:rsidR="00AF1F8E">
        <w:t xml:space="preserve">the Commission’s rules </w:t>
      </w:r>
      <w:r w:rsidR="00287F75">
        <w:t xml:space="preserve">or relevant </w:t>
      </w:r>
      <w:r w:rsidR="00AF1F8E">
        <w:t xml:space="preserve">orders required Mr. De Anda to support his complaint with additional documentation or to make additional arguments to establish a </w:t>
      </w:r>
      <w:r w:rsidRPr="005B1969" w:rsidR="00AF1F8E">
        <w:rPr>
          <w:i/>
          <w:iCs/>
        </w:rPr>
        <w:t>prima facie</w:t>
      </w:r>
      <w:r w:rsidR="00AF1F8E">
        <w:t xml:space="preserve"> case</w:t>
      </w:r>
      <w:r w:rsidR="00287F75">
        <w:t xml:space="preserve">.  </w:t>
      </w:r>
      <w:r w:rsidR="005B1969">
        <w:t>Therefore, we</w:t>
      </w:r>
      <w:r w:rsidR="00F246D1">
        <w:t xml:space="preserve"> find </w:t>
      </w:r>
      <w:r w:rsidR="00A105A0">
        <w:t>that</w:t>
      </w:r>
      <w:r w:rsidR="00F246D1">
        <w:t xml:space="preserve"> </w:t>
      </w:r>
      <w:r w:rsidR="004E19D0">
        <w:t>the</w:t>
      </w:r>
      <w:r w:rsidR="00F246D1">
        <w:t xml:space="preserve"> Complaint </w:t>
      </w:r>
      <w:r w:rsidR="00E8075D">
        <w:t xml:space="preserve">included </w:t>
      </w:r>
      <w:r w:rsidR="00F246D1">
        <w:t xml:space="preserve">all of the </w:t>
      </w:r>
      <w:r w:rsidR="00AF60AF">
        <w:t xml:space="preserve">necessary </w:t>
      </w:r>
      <w:r w:rsidR="004E19D0">
        <w:t>i</w:t>
      </w:r>
      <w:r w:rsidR="00E8075D">
        <w:t>nformation</w:t>
      </w:r>
      <w:r w:rsidR="00C24226">
        <w:t xml:space="preserve"> </w:t>
      </w:r>
      <w:r w:rsidR="004E19D0">
        <w:t xml:space="preserve">required </w:t>
      </w:r>
      <w:r w:rsidR="00C24226">
        <w:t xml:space="preserve">under </w:t>
      </w:r>
      <w:r w:rsidR="00AF60AF">
        <w:t>s</w:t>
      </w:r>
      <w:r w:rsidR="00C24226">
        <w:t>ection 14.34(b)</w:t>
      </w:r>
      <w:r w:rsidR="005B1969">
        <w:t xml:space="preserve"> of the Rules</w:t>
      </w:r>
      <w:r w:rsidR="00E8075D">
        <w:t>.</w:t>
      </w:r>
      <w:r>
        <w:rPr>
          <w:rStyle w:val="FootnoteReference"/>
        </w:rPr>
        <w:footnoteReference w:id="50"/>
      </w:r>
      <w:r w:rsidR="00176729">
        <w:t xml:space="preserve">  </w:t>
      </w:r>
      <w:r w:rsidR="005B1969">
        <w:t xml:space="preserve">As a result, </w:t>
      </w:r>
      <w:r w:rsidR="00CE0794">
        <w:t xml:space="preserve">we find that </w:t>
      </w:r>
      <w:r w:rsidR="00176729">
        <w:t>Mr. De Anda</w:t>
      </w:r>
      <w:r w:rsidR="00351663">
        <w:t xml:space="preserve"> </w:t>
      </w:r>
      <w:r w:rsidRPr="005B1969">
        <w:rPr>
          <w:szCs w:val="22"/>
        </w:rPr>
        <w:t xml:space="preserve">established a </w:t>
      </w:r>
      <w:r w:rsidRPr="005B1969">
        <w:rPr>
          <w:i/>
          <w:iCs/>
          <w:szCs w:val="22"/>
        </w:rPr>
        <w:t>prima faci</w:t>
      </w:r>
      <w:r w:rsidRPr="005B1969" w:rsidR="00E8075D">
        <w:rPr>
          <w:i/>
          <w:iCs/>
          <w:szCs w:val="22"/>
        </w:rPr>
        <w:t>e</w:t>
      </w:r>
      <w:r w:rsidRPr="005B1969">
        <w:rPr>
          <w:szCs w:val="22"/>
        </w:rPr>
        <w:t xml:space="preserve"> case that Verizon’s </w:t>
      </w:r>
      <w:r w:rsidRPr="005B1969" w:rsidR="00544FB7">
        <w:rPr>
          <w:szCs w:val="22"/>
        </w:rPr>
        <w:t xml:space="preserve">Premium </w:t>
      </w:r>
      <w:r w:rsidRPr="005B1969">
        <w:rPr>
          <w:szCs w:val="22"/>
        </w:rPr>
        <w:t>Visual Voicemail was not accessible</w:t>
      </w:r>
      <w:r w:rsidRPr="005B1969" w:rsidR="008C5DAD">
        <w:rPr>
          <w:szCs w:val="22"/>
        </w:rPr>
        <w:t>.</w:t>
      </w:r>
      <w:r w:rsidRPr="005B1969" w:rsidR="007C73E7">
        <w:rPr>
          <w:szCs w:val="22"/>
        </w:rPr>
        <w:t xml:space="preserve">  </w:t>
      </w:r>
    </w:p>
    <w:p w:rsidR="00FA1BB4" w:rsidP="00EC5B8B" w14:paraId="234E1B7F" w14:textId="3CD3BB20">
      <w:pPr>
        <w:pStyle w:val="ParaNum"/>
      </w:pPr>
      <w:r>
        <w:t xml:space="preserve">Once Mr. De Anda established a </w:t>
      </w:r>
      <w:r w:rsidRPr="00FA1BB4">
        <w:rPr>
          <w:i/>
          <w:iCs/>
        </w:rPr>
        <w:t>prima facie</w:t>
      </w:r>
      <w:r>
        <w:t xml:space="preserve"> case, the burden of proof shifted to Verizon to demonstrate that its </w:t>
      </w:r>
      <w:r w:rsidR="00DE3EC0">
        <w:t>Premium Visual Voicemail</w:t>
      </w:r>
      <w:r w:rsidR="00AF60AF">
        <w:t xml:space="preserve"> service</w:t>
      </w:r>
      <w:r>
        <w:t xml:space="preserve"> </w:t>
      </w:r>
      <w:r w:rsidR="00B04857">
        <w:t>wa</w:t>
      </w:r>
      <w:r>
        <w:t>s accessible</w:t>
      </w:r>
      <w:r w:rsidR="00B04857">
        <w:t>,</w:t>
      </w:r>
      <w:r>
        <w:t xml:space="preserve"> or if not accessible, </w:t>
      </w:r>
      <w:r w:rsidR="00D01A6D">
        <w:t xml:space="preserve">that </w:t>
      </w:r>
      <w:r>
        <w:t>it was not readily achievable to make the service accessible.</w:t>
      </w:r>
      <w:r>
        <w:rPr>
          <w:rStyle w:val="FootnoteReference"/>
        </w:rPr>
        <w:footnoteReference w:id="51"/>
      </w:r>
      <w:r>
        <w:t xml:space="preserve">  </w:t>
      </w:r>
      <w:r w:rsidR="00AC13E0">
        <w:t xml:space="preserve">Verizon first argued that the Premium Visual Voicemail </w:t>
      </w:r>
      <w:r w:rsidR="00AF60AF">
        <w:t>s</w:t>
      </w:r>
      <w:r w:rsidR="00AC13E0">
        <w:t xml:space="preserve">ervices </w:t>
      </w:r>
      <w:r w:rsidR="00AF60AF">
        <w:t>were</w:t>
      </w:r>
      <w:r w:rsidR="00AC13E0">
        <w:t xml:space="preserve"> accessible</w:t>
      </w:r>
      <w:r w:rsidR="009203A9">
        <w:t xml:space="preserve"> and usable</w:t>
      </w:r>
      <w:r w:rsidR="00AC13E0">
        <w:t>.</w:t>
      </w:r>
      <w:r>
        <w:rPr>
          <w:rStyle w:val="FootnoteReference"/>
        </w:rPr>
        <w:footnoteReference w:id="52"/>
      </w:r>
      <w:r w:rsidR="00AC13E0">
        <w:t xml:space="preserve">  </w:t>
      </w:r>
      <w:r>
        <w:t>Alternative</w:t>
      </w:r>
      <w:r w:rsidR="00D73B3E">
        <w:t>ly,</w:t>
      </w:r>
      <w:r>
        <w:t xml:space="preserve"> the </w:t>
      </w:r>
      <w:r w:rsidR="0095417C">
        <w:t>Company</w:t>
      </w:r>
      <w:r>
        <w:t xml:space="preserve"> argue</w:t>
      </w:r>
      <w:r w:rsidR="00BF2280">
        <w:t>d</w:t>
      </w:r>
      <w:r>
        <w:t xml:space="preserve"> that if the Premium</w:t>
      </w:r>
      <w:r w:rsidR="00D73B3E">
        <w:t xml:space="preserve"> </w:t>
      </w:r>
      <w:r>
        <w:t xml:space="preserve">Visual Voicemail service </w:t>
      </w:r>
      <w:r w:rsidR="00AF60AF">
        <w:t>was</w:t>
      </w:r>
      <w:r>
        <w:t xml:space="preserve"> found not to be accessible, it </w:t>
      </w:r>
      <w:r w:rsidR="00BF2280">
        <w:t>wa</w:t>
      </w:r>
      <w:r>
        <w:t xml:space="preserve">s not readily achievable to </w:t>
      </w:r>
      <w:r w:rsidR="00D73B3E">
        <w:t>make the service accessible without the cooperation of Mr. De Anda.</w:t>
      </w:r>
      <w:r>
        <w:rPr>
          <w:rStyle w:val="FootnoteReference"/>
        </w:rPr>
        <w:footnoteReference w:id="53"/>
      </w:r>
    </w:p>
    <w:p w:rsidR="000D7CB6" w:rsidRPr="000D7CB6" w:rsidP="000D7CB6" w14:paraId="70F41080" w14:textId="2B9B5989">
      <w:pPr>
        <w:pStyle w:val="ParaNum"/>
      </w:pPr>
      <w:r>
        <w:t>To support its argument</w:t>
      </w:r>
      <w:r w:rsidR="00D73B3E">
        <w:t xml:space="preserve"> that Premium Visual Voicemail service is accessible,</w:t>
      </w:r>
      <w:r>
        <w:t xml:space="preserve"> Verizon claim</w:t>
      </w:r>
      <w:r w:rsidR="00627877">
        <w:t>ed</w:t>
      </w:r>
      <w:r>
        <w:t xml:space="preserve"> that the service worked on millions of other customers’ devices, that </w:t>
      </w:r>
      <w:r w:rsidR="00D01A6D">
        <w:t>Mr.</w:t>
      </w:r>
      <w:r>
        <w:t xml:space="preserve"> De Anda</w:t>
      </w:r>
      <w:r w:rsidR="00D01A6D">
        <w:t>’s</w:t>
      </w:r>
      <w:r>
        <w:t xml:space="preserve"> problem </w:t>
      </w:r>
      <w:r w:rsidR="00627877">
        <w:t>wa</w:t>
      </w:r>
      <w:r>
        <w:t xml:space="preserve">s a discrete issue with his </w:t>
      </w:r>
      <w:r w:rsidR="00D22919">
        <w:t xml:space="preserve">Samsung </w:t>
      </w:r>
      <w:r>
        <w:t>device</w:t>
      </w:r>
      <w:r w:rsidR="00D73B3E">
        <w:t>,</w:t>
      </w:r>
      <w:r>
        <w:t xml:space="preserve"> and that the problem </w:t>
      </w:r>
      <w:r w:rsidR="00627877">
        <w:t>wa</w:t>
      </w:r>
      <w:r>
        <w:t>s not</w:t>
      </w:r>
      <w:r w:rsidR="00FA1BB4">
        <w:t xml:space="preserve"> </w:t>
      </w:r>
      <w:r>
        <w:t>attribut</w:t>
      </w:r>
      <w:r w:rsidR="00FA1BB4">
        <w:t xml:space="preserve">able to Verizon’s networks and services.  </w:t>
      </w:r>
      <w:r>
        <w:t>T</w:t>
      </w:r>
      <w:r w:rsidRPr="000D7CB6">
        <w:t xml:space="preserve">he </w:t>
      </w:r>
      <w:r w:rsidR="0095417C">
        <w:t>Company</w:t>
      </w:r>
      <w:r w:rsidRPr="000D7CB6">
        <w:t xml:space="preserve"> provided no evidence to substantiate its conclusory statements that its service was accessible, despite </w:t>
      </w:r>
      <w:r w:rsidR="00BC7F0F">
        <w:t xml:space="preserve">bearing the </w:t>
      </w:r>
      <w:r w:rsidR="00EC5EDF">
        <w:t>burden of proof.</w:t>
      </w:r>
      <w:r>
        <w:rPr>
          <w:rStyle w:val="FootnoteReference"/>
        </w:rPr>
        <w:footnoteReference w:id="54"/>
      </w:r>
      <w:r>
        <w:t xml:space="preserve">  </w:t>
      </w:r>
      <w:r w:rsidRPr="000D7CB6">
        <w:t xml:space="preserve">   </w:t>
      </w:r>
    </w:p>
    <w:p w:rsidR="008D5AD6" w:rsidRPr="008D5AD6" w:rsidP="008D5AD6" w14:paraId="3BA523A5" w14:textId="296C614B">
      <w:pPr>
        <w:pStyle w:val="ParaNum"/>
      </w:pPr>
      <w:r w:rsidRPr="008D5AD6">
        <w:t xml:space="preserve">Verizon’s arguments have additional flaws.  First, although Verizon claimed that “millions of other customers” were able to use the Premium Visual Voicemail service, the </w:t>
      </w:r>
      <w:r w:rsidR="0095417C">
        <w:t>Company</w:t>
      </w:r>
      <w:r w:rsidRPr="008D5AD6">
        <w:t xml:space="preserve"> did not support this claim by providing any data on the number of users</w:t>
      </w:r>
      <w:r w:rsidR="008E62C4">
        <w:t>, types of devices used,</w:t>
      </w:r>
      <w:r w:rsidRPr="008D5AD6">
        <w:t xml:space="preserve"> </w:t>
      </w:r>
      <w:r w:rsidR="00A27FEF">
        <w:t>or when</w:t>
      </w:r>
      <w:r w:rsidR="002C3978">
        <w:t xml:space="preserve"> such customers used the service.</w:t>
      </w:r>
      <w:r w:rsidRPr="008D5AD6">
        <w:t>  Nor did Verizon offer insight or data into whether the customers who purportedly used its Premium Visual Voicemail service were persons with disabilities.  Second, the Rules do not require a complainant to assert or demonstrate that the service is inaccessible to anyone other than the complainant.</w:t>
      </w:r>
      <w:r>
        <w:rPr>
          <w:rStyle w:val="FootnoteReference"/>
        </w:rPr>
        <w:footnoteReference w:id="55"/>
      </w:r>
      <w:r w:rsidRPr="008D5AD6">
        <w:t xml:space="preserve">  Third, the </w:t>
      </w:r>
      <w:r w:rsidR="0095417C">
        <w:t>Company</w:t>
      </w:r>
      <w:r w:rsidRPr="008D5AD6">
        <w:t xml:space="preserve"> provided no evidence demonstrating that Premium Visual Voicemail</w:t>
      </w:r>
      <w:r w:rsidR="0055513F">
        <w:t xml:space="preserve"> service</w:t>
      </w:r>
      <w:r w:rsidRPr="008D5AD6">
        <w:t xml:space="preserve"> had been tested on </w:t>
      </w:r>
      <w:r w:rsidR="00D5459F">
        <w:t xml:space="preserve">all </w:t>
      </w:r>
      <w:r w:rsidRPr="008D5AD6">
        <w:t>Samsung devices, or on other manufacturers’ devices, and was accessible.</w:t>
      </w:r>
      <w:r>
        <w:rPr>
          <w:rStyle w:val="FootnoteReference"/>
        </w:rPr>
        <w:footnoteReference w:id="56"/>
      </w:r>
      <w:r w:rsidRPr="008D5AD6">
        <w:t xml:space="preserve">  Fourth, Verizon did not provide any evidence demonstrating that the </w:t>
      </w:r>
      <w:r w:rsidR="0095417C">
        <w:t>Company</w:t>
      </w:r>
      <w:r w:rsidRPr="008D5AD6">
        <w:t xml:space="preserve"> had analyzed Mr. De Anda’s service or isolated the cause of any service issues.  Finally, Verizon argued that Mr. De Anda’s problem did not stem from a problem with its networks or systems, </w:t>
      </w:r>
      <w:r w:rsidR="00A27FEF">
        <w:t xml:space="preserve">but even if that were true, that does not demonstrate that </w:t>
      </w:r>
      <w:r w:rsidRPr="008D5AD6">
        <w:t xml:space="preserve">the </w:t>
      </w:r>
      <w:r w:rsidR="0095417C">
        <w:t>Company</w:t>
      </w:r>
      <w:r w:rsidRPr="008D5AD6">
        <w:t xml:space="preserve"> </w:t>
      </w:r>
      <w:r w:rsidR="00A27FEF">
        <w:t>met its obligation to make</w:t>
      </w:r>
      <w:r w:rsidRPr="008D5AD6">
        <w:t xml:space="preserve"> the </w:t>
      </w:r>
      <w:r w:rsidR="00EB73A7">
        <w:t>Premium Visual V</w:t>
      </w:r>
      <w:r w:rsidRPr="008D5AD6">
        <w:t>oicemail service accessible</w:t>
      </w:r>
      <w:r w:rsidR="004022A4">
        <w:t>;</w:t>
      </w:r>
      <w:r w:rsidR="000C7337">
        <w:t xml:space="preserve"> there could be accessibility issues independent of the networks or systems</w:t>
      </w:r>
      <w:r w:rsidRPr="008D5AD6">
        <w:t>.</w:t>
      </w:r>
      <w:r w:rsidR="00A27FEF">
        <w:t xml:space="preserve">  </w:t>
      </w:r>
      <w:r w:rsidRPr="00AC0102" w:rsidR="00A27FEF">
        <w:t xml:space="preserve">For example, </w:t>
      </w:r>
      <w:r w:rsidR="007D1E6F">
        <w:t xml:space="preserve">if </w:t>
      </w:r>
      <w:r w:rsidR="004022A4">
        <w:t xml:space="preserve">evidence were to show that </w:t>
      </w:r>
      <w:r w:rsidR="007D1E6F">
        <w:t>Premium Visual Voicemail</w:t>
      </w:r>
      <w:r w:rsidR="004022A4">
        <w:t xml:space="preserve"> service customers could not access the service when using</w:t>
      </w:r>
      <w:r w:rsidR="007D1E6F">
        <w:t xml:space="preserve"> a virtual private network (VPN), then </w:t>
      </w:r>
      <w:r w:rsidR="004022A4">
        <w:t>we might nonetheless find that the service is inaccessible, regardless of</w:t>
      </w:r>
      <w:r w:rsidR="007D1E6F">
        <w:t xml:space="preserve"> whether there are problems with Verizon's networks or systems</w:t>
      </w:r>
      <w:r w:rsidR="004022A4">
        <w:t>.</w:t>
      </w:r>
      <w:r w:rsidR="007D1E6F">
        <w:t xml:space="preserve"> </w:t>
      </w:r>
    </w:p>
    <w:p w:rsidR="000D7CB6" w:rsidRPr="000D7CB6" w:rsidP="00984665" w14:paraId="084998D9" w14:textId="67526D03">
      <w:pPr>
        <w:pStyle w:val="ParaNum"/>
        <w:widowControl/>
      </w:pPr>
      <w:r>
        <w:rPr>
          <w:szCs w:val="22"/>
        </w:rPr>
        <w:t>Verizon</w:t>
      </w:r>
      <w:r w:rsidRPr="002F7C30" w:rsidR="002F7C30">
        <w:t xml:space="preserve"> </w:t>
      </w:r>
      <w:r w:rsidR="002F7C30">
        <w:t>raised the defense that accessibility was not readily achievable, but it did not provide the requisite information and evidence to support this defense.</w:t>
      </w:r>
      <w:r>
        <w:rPr>
          <w:rStyle w:val="FootnoteReference"/>
        </w:rPr>
        <w:footnoteReference w:id="57"/>
      </w:r>
      <w:r w:rsidR="002F7C30">
        <w:t xml:space="preserve">  Verizon d</w:t>
      </w:r>
      <w:r>
        <w:rPr>
          <w:szCs w:val="22"/>
        </w:rPr>
        <w:t>id not</w:t>
      </w:r>
      <w:r w:rsidR="002F7C30">
        <w:rPr>
          <w:szCs w:val="22"/>
        </w:rPr>
        <w:t>, for example,</w:t>
      </w:r>
      <w:r>
        <w:rPr>
          <w:szCs w:val="22"/>
        </w:rPr>
        <w:t xml:space="preserve"> </w:t>
      </w:r>
      <w:r w:rsidR="00775C24">
        <w:t>pro</w:t>
      </w:r>
      <w:r w:rsidR="002F7C30">
        <w:t>vide</w:t>
      </w:r>
      <w:r w:rsidR="00775C24">
        <w:t xml:space="preserve"> </w:t>
      </w:r>
      <w:r>
        <w:t xml:space="preserve">any </w:t>
      </w:r>
      <w:r w:rsidR="00775C24">
        <w:t xml:space="preserve">documents </w:t>
      </w:r>
      <w:r w:rsidR="002F7C30">
        <w:t xml:space="preserve">supporting its conclusion that it was not achievable to make </w:t>
      </w:r>
      <w:r w:rsidR="00DE3EC0">
        <w:t>Premium Visual Voicemail</w:t>
      </w:r>
      <w:r w:rsidR="002F7C30">
        <w:t xml:space="preserve"> </w:t>
      </w:r>
      <w:r w:rsidR="00D5459F">
        <w:t xml:space="preserve">service </w:t>
      </w:r>
      <w:r w:rsidR="002F7C30">
        <w:t>accessible</w:t>
      </w:r>
      <w:r>
        <w:t xml:space="preserve"> without Mr. De Anda’s further cooperation</w:t>
      </w:r>
      <w:r w:rsidR="0003037A">
        <w:t>.</w:t>
      </w:r>
      <w:r>
        <w:rPr>
          <w:rStyle w:val="FootnoteReference"/>
        </w:rPr>
        <w:footnoteReference w:id="58"/>
      </w:r>
      <w:r w:rsidR="0003037A">
        <w:t xml:space="preserve"> </w:t>
      </w:r>
      <w:r w:rsidR="00675176">
        <w:t xml:space="preserve"> </w:t>
      </w:r>
      <w:r w:rsidRPr="000D7CB6">
        <w:t xml:space="preserve">Verizon had numerous opportunities to provide evidence to support its claims and defenses, </w:t>
      </w:r>
      <w:r w:rsidR="00465E72">
        <w:t>but</w:t>
      </w:r>
      <w:r w:rsidRPr="000D7CB6">
        <w:t xml:space="preserve"> it failed to do so.</w:t>
      </w:r>
      <w:r>
        <w:rPr>
          <w:rStyle w:val="FootnoteReference"/>
        </w:rPr>
        <w:footnoteReference w:id="59"/>
      </w:r>
      <w:r w:rsidRPr="000D7CB6">
        <w:t xml:space="preserve">    </w:t>
      </w:r>
      <w:bookmarkStart w:id="15" w:name="_Hlk104457491"/>
    </w:p>
    <w:p w:rsidR="00FC0B94" w:rsidRPr="000322E9" w:rsidP="00075FB9" w14:paraId="09E4AE25" w14:textId="106AC41E">
      <w:pPr>
        <w:pStyle w:val="ParaNum"/>
      </w:pPr>
      <w:bookmarkStart w:id="16" w:name="_Hlk104459066"/>
      <w:r w:rsidRPr="000322E9">
        <w:t>We find that</w:t>
      </w:r>
      <w:r w:rsidRPr="000322E9" w:rsidR="003F6760">
        <w:t xml:space="preserve"> </w:t>
      </w:r>
      <w:r w:rsidR="002E43F6">
        <w:t>(</w:t>
      </w:r>
      <w:r w:rsidRPr="000322E9" w:rsidR="003F6760">
        <w:t xml:space="preserve">1) </w:t>
      </w:r>
      <w:r w:rsidRPr="000322E9" w:rsidR="003F6760">
        <w:rPr>
          <w:color w:val="010101"/>
          <w:szCs w:val="22"/>
        </w:rPr>
        <w:t xml:space="preserve">Mr. De Anda established a </w:t>
      </w:r>
      <w:r w:rsidRPr="000322E9" w:rsidR="003F6760">
        <w:rPr>
          <w:i/>
          <w:iCs/>
          <w:color w:val="010101"/>
          <w:szCs w:val="22"/>
        </w:rPr>
        <w:t>prima facie</w:t>
      </w:r>
      <w:r w:rsidRPr="000322E9" w:rsidR="003F6760">
        <w:rPr>
          <w:color w:val="010101"/>
          <w:szCs w:val="22"/>
        </w:rPr>
        <w:t xml:space="preserve"> case by meeting the informal complaint requirements set forth in Section 14.34 of the Rules</w:t>
      </w:r>
      <w:r w:rsidR="00B07CC8">
        <w:rPr>
          <w:color w:val="010101"/>
          <w:szCs w:val="22"/>
        </w:rPr>
        <w:t>;</w:t>
      </w:r>
      <w:r w:rsidRPr="000322E9" w:rsidR="003F6760">
        <w:rPr>
          <w:color w:val="010101"/>
          <w:szCs w:val="22"/>
        </w:rPr>
        <w:t xml:space="preserve"> and </w:t>
      </w:r>
      <w:r w:rsidR="002E43F6">
        <w:rPr>
          <w:color w:val="010101"/>
          <w:szCs w:val="22"/>
        </w:rPr>
        <w:t>(</w:t>
      </w:r>
      <w:r w:rsidRPr="000322E9" w:rsidR="003F6760">
        <w:rPr>
          <w:color w:val="010101"/>
          <w:szCs w:val="22"/>
        </w:rPr>
        <w:t xml:space="preserve">2) </w:t>
      </w:r>
      <w:r w:rsidRPr="000322E9" w:rsidR="004C0FAE">
        <w:rPr>
          <w:color w:val="010101"/>
          <w:szCs w:val="22"/>
        </w:rPr>
        <w:t xml:space="preserve">Verizon </w:t>
      </w:r>
      <w:r w:rsidRPr="000322E9" w:rsidR="00444572">
        <w:rPr>
          <w:color w:val="010101"/>
          <w:szCs w:val="22"/>
        </w:rPr>
        <w:t xml:space="preserve">failed to </w:t>
      </w:r>
      <w:r w:rsidRPr="000322E9" w:rsidR="007A2A93">
        <w:rPr>
          <w:color w:val="010101"/>
          <w:szCs w:val="22"/>
        </w:rPr>
        <w:t xml:space="preserve">comply with its obligations under Section 14.36 (a)-(b) of the </w:t>
      </w:r>
      <w:r w:rsidRPr="000322E9" w:rsidR="00697176">
        <w:rPr>
          <w:color w:val="010101"/>
          <w:szCs w:val="22"/>
        </w:rPr>
        <w:t>R</w:t>
      </w:r>
      <w:r w:rsidRPr="000322E9" w:rsidR="007A2A93">
        <w:rPr>
          <w:color w:val="010101"/>
          <w:szCs w:val="22"/>
        </w:rPr>
        <w:t xml:space="preserve">ules to </w:t>
      </w:r>
      <w:r w:rsidRPr="000322E9" w:rsidR="00444572">
        <w:rPr>
          <w:color w:val="010101"/>
          <w:szCs w:val="22"/>
        </w:rPr>
        <w:t>meet its burden of proof.</w:t>
      </w:r>
      <w:r>
        <w:rPr>
          <w:rStyle w:val="FootnoteReference"/>
        </w:rPr>
        <w:footnoteReference w:id="60"/>
      </w:r>
      <w:r w:rsidRPr="000322E9" w:rsidR="00444572">
        <w:rPr>
          <w:color w:val="010101"/>
          <w:szCs w:val="22"/>
        </w:rPr>
        <w:t xml:space="preserve">  </w:t>
      </w:r>
      <w:r w:rsidRPr="000322E9" w:rsidR="00CD6854">
        <w:rPr>
          <w:color w:val="010101"/>
          <w:szCs w:val="22"/>
        </w:rPr>
        <w:t xml:space="preserve">As a result of failing to meet its burden of proof, </w:t>
      </w:r>
      <w:r w:rsidRPr="000322E9">
        <w:rPr>
          <w:color w:val="010101"/>
          <w:szCs w:val="22"/>
        </w:rPr>
        <w:t xml:space="preserve">Verizon failed to </w:t>
      </w:r>
      <w:r w:rsidRPr="000322E9" w:rsidR="00CD6854">
        <w:rPr>
          <w:color w:val="010101"/>
          <w:szCs w:val="22"/>
        </w:rPr>
        <w:t>d</w:t>
      </w:r>
      <w:r w:rsidRPr="000322E9">
        <w:t xml:space="preserve">emonstrate its </w:t>
      </w:r>
      <w:r w:rsidRPr="000322E9" w:rsidR="00CD6854">
        <w:t>compliance</w:t>
      </w:r>
      <w:r w:rsidRPr="000322E9">
        <w:t xml:space="preserve"> with section 255 of the Act and section 7.</w:t>
      </w:r>
      <w:r w:rsidRPr="000322E9" w:rsidR="0085512E">
        <w:t>5(b)</w:t>
      </w:r>
      <w:r w:rsidRPr="000322E9">
        <w:t xml:space="preserve"> of the </w:t>
      </w:r>
      <w:r w:rsidRPr="000322E9" w:rsidR="0085512E">
        <w:t>R</w:t>
      </w:r>
      <w:r w:rsidRPr="000322E9">
        <w:t xml:space="preserve">ules.  Thus, </w:t>
      </w:r>
      <w:r w:rsidRPr="000322E9" w:rsidR="00444572">
        <w:rPr>
          <w:color w:val="010101"/>
          <w:szCs w:val="22"/>
        </w:rPr>
        <w:t>the Complaint is granted</w:t>
      </w:r>
      <w:r w:rsidRPr="000322E9">
        <w:rPr>
          <w:color w:val="010101"/>
          <w:szCs w:val="22"/>
        </w:rPr>
        <w:t xml:space="preserve">.  </w:t>
      </w:r>
      <w:r w:rsidRPr="000322E9" w:rsidR="00444572">
        <w:rPr>
          <w:color w:val="010101"/>
          <w:szCs w:val="22"/>
        </w:rPr>
        <w:t xml:space="preserve"> </w:t>
      </w:r>
    </w:p>
    <w:p w:rsidR="00425661" w:rsidRPr="00E04AE8" w:rsidP="00075FB9" w14:paraId="3ADBED56" w14:textId="2D48E4C1">
      <w:pPr>
        <w:pStyle w:val="ParaNum"/>
      </w:pPr>
      <w:r>
        <w:rPr>
          <w:color w:val="010101"/>
          <w:szCs w:val="22"/>
        </w:rPr>
        <w:t>I</w:t>
      </w:r>
      <w:r w:rsidRPr="000322E9" w:rsidR="003E55BD">
        <w:rPr>
          <w:szCs w:val="22"/>
        </w:rPr>
        <w:t>f the Commission</w:t>
      </w:r>
      <w:r>
        <w:rPr>
          <w:szCs w:val="22"/>
        </w:rPr>
        <w:t>, or the Bureau acting on delegated authority,</w:t>
      </w:r>
      <w:r w:rsidRPr="000322E9" w:rsidR="003E55BD">
        <w:rPr>
          <w:szCs w:val="22"/>
        </w:rPr>
        <w:t xml:space="preserve"> determines that there has been a violation, it may in such order, </w:t>
      </w:r>
      <w:r w:rsidRPr="000322E9" w:rsidR="003E55BD">
        <w:rPr>
          <w:i/>
          <w:szCs w:val="22"/>
        </w:rPr>
        <w:t>or in a subsequent order</w:t>
      </w:r>
      <w:r w:rsidRPr="000322E9" w:rsidR="003E55BD">
        <w:rPr>
          <w:szCs w:val="22"/>
        </w:rPr>
        <w:t>, (1) direct the manufacturer or service provider to bring the service, or in the case of a manufacturer, the next generation of the equipment or device, into compliance within a reasonable period of time</w:t>
      </w:r>
      <w:r w:rsidR="00B07CC8">
        <w:rPr>
          <w:szCs w:val="22"/>
        </w:rPr>
        <w:t>;</w:t>
      </w:r>
      <w:r w:rsidRPr="000322E9" w:rsidR="003E55BD">
        <w:rPr>
          <w:szCs w:val="22"/>
        </w:rPr>
        <w:t xml:space="preserve"> and (2) take other enforcement action that the Commission deems</w:t>
      </w:r>
      <w:r w:rsidRPr="000322E9" w:rsidR="003E55BD">
        <w:rPr>
          <w:color w:val="010101"/>
          <w:szCs w:val="22"/>
        </w:rPr>
        <w:t xml:space="preserve"> </w:t>
      </w:r>
      <w:r w:rsidRPr="000322E9" w:rsidR="003E55BD">
        <w:rPr>
          <w:szCs w:val="22"/>
        </w:rPr>
        <w:t>appropriate.</w:t>
      </w:r>
      <w:r>
        <w:rPr>
          <w:rStyle w:val="FootnoteReference"/>
          <w:szCs w:val="22"/>
        </w:rPr>
        <w:footnoteReference w:id="61"/>
      </w:r>
      <w:r w:rsidRPr="000322E9" w:rsidR="003E55BD">
        <w:rPr>
          <w:szCs w:val="22"/>
        </w:rPr>
        <w:t xml:space="preserve">  </w:t>
      </w:r>
      <w:r w:rsidRPr="000322E9" w:rsidR="00CD6854">
        <w:rPr>
          <w:szCs w:val="22"/>
        </w:rPr>
        <w:t>W</w:t>
      </w:r>
      <w:r w:rsidRPr="000322E9" w:rsidR="003E55BD">
        <w:rPr>
          <w:szCs w:val="22"/>
        </w:rPr>
        <w:t>e find that it is appropriate to defer issuing a proposed remedy to a subsequent order.</w:t>
      </w:r>
    </w:p>
    <w:p w:rsidR="001B12CD" w:rsidRPr="00853D72" w:rsidP="000322E9" w14:paraId="4AB80547" w14:textId="61B3ECDC">
      <w:pPr>
        <w:pStyle w:val="Heading1"/>
        <w:rPr>
          <w:rFonts w:ascii="Times New Roman" w:hAnsi="Times New Roman"/>
          <w:szCs w:val="22"/>
        </w:rPr>
      </w:pPr>
      <w:bookmarkStart w:id="17" w:name="_Hlk77023691"/>
      <w:r w:rsidRPr="00853D72">
        <w:rPr>
          <w:rFonts w:ascii="Times New Roman" w:hAnsi="Times New Roman"/>
          <w:szCs w:val="22"/>
        </w:rPr>
        <w:t>Ordering Clauses</w:t>
      </w:r>
    </w:p>
    <w:p w:rsidR="001B12CD" w:rsidP="003B2651" w14:paraId="10AF4C50" w14:textId="35E852F0">
      <w:pPr>
        <w:pStyle w:val="ParaNum"/>
        <w:widowControl/>
        <w:rPr>
          <w:szCs w:val="22"/>
        </w:rPr>
      </w:pPr>
      <w:r w:rsidRPr="00853D72">
        <w:rPr>
          <w:szCs w:val="22"/>
        </w:rPr>
        <w:t xml:space="preserve">Accordingly, </w:t>
      </w:r>
      <w:r w:rsidRPr="00853D72">
        <w:rPr>
          <w:b/>
          <w:bCs/>
          <w:szCs w:val="22"/>
        </w:rPr>
        <w:t>IT IS ORDERED</w:t>
      </w:r>
      <w:r w:rsidRPr="00853D72">
        <w:rPr>
          <w:szCs w:val="22"/>
        </w:rPr>
        <w:t xml:space="preserve"> that, pursuant to section</w:t>
      </w:r>
      <w:r w:rsidR="00CD6854">
        <w:rPr>
          <w:szCs w:val="22"/>
        </w:rPr>
        <w:t>s 255 and</w:t>
      </w:r>
      <w:r w:rsidR="00DA544B">
        <w:rPr>
          <w:szCs w:val="22"/>
        </w:rPr>
        <w:t xml:space="preserve"> </w:t>
      </w:r>
      <w:r>
        <w:rPr>
          <w:szCs w:val="22"/>
        </w:rPr>
        <w:t>717</w:t>
      </w:r>
      <w:r w:rsidRPr="00853D72">
        <w:rPr>
          <w:szCs w:val="22"/>
        </w:rPr>
        <w:t xml:space="preserve"> of the Communications Act of 1934, as amended, 47 U.S.C. §</w:t>
      </w:r>
      <w:r w:rsidR="0085512E">
        <w:rPr>
          <w:szCs w:val="22"/>
        </w:rPr>
        <w:t>§ 255,</w:t>
      </w:r>
      <w:r w:rsidR="00862C0B">
        <w:rPr>
          <w:szCs w:val="22"/>
        </w:rPr>
        <w:t xml:space="preserve"> </w:t>
      </w:r>
      <w:r w:rsidRPr="00853D72">
        <w:rPr>
          <w:szCs w:val="22"/>
        </w:rPr>
        <w:t>618, and section</w:t>
      </w:r>
      <w:r w:rsidR="00697176">
        <w:rPr>
          <w:szCs w:val="22"/>
        </w:rPr>
        <w:t>s</w:t>
      </w:r>
      <w:r w:rsidRPr="00853D72">
        <w:rPr>
          <w:szCs w:val="22"/>
        </w:rPr>
        <w:t xml:space="preserve"> </w:t>
      </w:r>
      <w:r w:rsidR="00697176">
        <w:rPr>
          <w:szCs w:val="22"/>
        </w:rPr>
        <w:t>7.5(b)</w:t>
      </w:r>
      <w:r w:rsidR="00E04AE8">
        <w:rPr>
          <w:szCs w:val="22"/>
        </w:rPr>
        <w:t xml:space="preserve"> and</w:t>
      </w:r>
      <w:r w:rsidR="00697176">
        <w:rPr>
          <w:szCs w:val="22"/>
        </w:rPr>
        <w:t xml:space="preserve"> </w:t>
      </w:r>
      <w:r w:rsidRPr="00853D72">
        <w:rPr>
          <w:szCs w:val="22"/>
        </w:rPr>
        <w:t>14.37 of the Commission’s rules, 47 C.F.R. §</w:t>
      </w:r>
      <w:r w:rsidR="00E04AE8">
        <w:rPr>
          <w:szCs w:val="22"/>
        </w:rPr>
        <w:t>§ 7.5(b),</w:t>
      </w:r>
      <w:r w:rsidRPr="00853D72">
        <w:rPr>
          <w:szCs w:val="22"/>
        </w:rPr>
        <w:t xml:space="preserve"> 14.37, the </w:t>
      </w:r>
      <w:r w:rsidR="00DA544B">
        <w:rPr>
          <w:szCs w:val="22"/>
        </w:rPr>
        <w:t>C</w:t>
      </w:r>
      <w:r w:rsidRPr="00853D72">
        <w:rPr>
          <w:szCs w:val="22"/>
        </w:rPr>
        <w:t xml:space="preserve">omplaint filed against </w:t>
      </w:r>
      <w:r w:rsidR="003B2651">
        <w:rPr>
          <w:szCs w:val="22"/>
        </w:rPr>
        <w:t>Cellco</w:t>
      </w:r>
      <w:r w:rsidR="003B2651">
        <w:rPr>
          <w:szCs w:val="22"/>
        </w:rPr>
        <w:t xml:space="preserve"> Partnership D/B/A Verizon Wireless </w:t>
      </w:r>
      <w:r w:rsidRPr="00853D72">
        <w:rPr>
          <w:szCs w:val="22"/>
        </w:rPr>
        <w:t xml:space="preserve">LLC </w:t>
      </w:r>
      <w:r w:rsidRPr="000322E9">
        <w:rPr>
          <w:b/>
          <w:bCs/>
          <w:szCs w:val="22"/>
        </w:rPr>
        <w:t xml:space="preserve">IS </w:t>
      </w:r>
      <w:r w:rsidRPr="000322E9" w:rsidR="005E2F63">
        <w:rPr>
          <w:b/>
          <w:bCs/>
          <w:szCs w:val="22"/>
        </w:rPr>
        <w:t>GRANTED</w:t>
      </w:r>
      <w:r w:rsidR="005E2F63">
        <w:rPr>
          <w:szCs w:val="22"/>
        </w:rPr>
        <w:t xml:space="preserve"> </w:t>
      </w:r>
      <w:r w:rsidRPr="00853D72">
        <w:rPr>
          <w:szCs w:val="22"/>
        </w:rPr>
        <w:t>to the extent described herein.</w:t>
      </w:r>
    </w:p>
    <w:bookmarkEnd w:id="17"/>
    <w:p w:rsidR="00245FCE" w:rsidRPr="000322E9" w:rsidP="00F266B0" w14:paraId="5AF3F1A3" w14:textId="761A2E58">
      <w:pPr>
        <w:pStyle w:val="ParaNum"/>
        <w:widowControl/>
        <w:rPr>
          <w:b/>
          <w:bCs/>
          <w:szCs w:val="22"/>
        </w:rPr>
      </w:pPr>
      <w:r w:rsidRPr="000322E9">
        <w:rPr>
          <w:b/>
          <w:bCs/>
          <w:szCs w:val="22"/>
        </w:rPr>
        <w:t>IT IS FURTHER ORDERED</w:t>
      </w:r>
      <w:r w:rsidRPr="000322E9">
        <w:rPr>
          <w:szCs w:val="22"/>
        </w:rPr>
        <w:t xml:space="preserve"> that this Order is effective upon release.</w:t>
      </w:r>
      <w:bookmarkEnd w:id="15"/>
      <w:bookmarkEnd w:id="16"/>
    </w:p>
    <w:p w:rsidR="001B12CD" w:rsidP="007C2ED4" w14:paraId="20509E7B" w14:textId="466FBFE6">
      <w:pPr>
        <w:pStyle w:val="ParaNum"/>
        <w:keepNext/>
        <w:widowControl/>
        <w:rPr>
          <w:szCs w:val="22"/>
        </w:rPr>
      </w:pPr>
      <w:r w:rsidRPr="00853D72">
        <w:rPr>
          <w:b/>
          <w:bCs/>
          <w:szCs w:val="22"/>
        </w:rPr>
        <w:t xml:space="preserve">IT IS FURTHER ORDERED </w:t>
      </w:r>
      <w:r w:rsidRPr="00853D72">
        <w:rPr>
          <w:szCs w:val="22"/>
        </w:rPr>
        <w:t>that a copy of this Order be served</w:t>
      </w:r>
      <w:r>
        <w:rPr>
          <w:szCs w:val="22"/>
        </w:rPr>
        <w:t xml:space="preserve"> </w:t>
      </w:r>
      <w:r w:rsidRPr="001B12CD">
        <w:rPr>
          <w:color w:val="000000"/>
          <w:szCs w:val="22"/>
        </w:rPr>
        <w:t>sent by first class mail and certified mail, return receipt requested, to</w:t>
      </w:r>
      <w:r w:rsidR="003B2651">
        <w:rPr>
          <w:color w:val="000000"/>
          <w:szCs w:val="22"/>
        </w:rPr>
        <w:t xml:space="preserve"> </w:t>
      </w:r>
      <w:r w:rsidR="00827C13">
        <w:rPr>
          <w:color w:val="000000"/>
          <w:szCs w:val="22"/>
        </w:rPr>
        <w:t xml:space="preserve">Mr. Ian </w:t>
      </w:r>
      <w:r w:rsidR="00827C13">
        <w:rPr>
          <w:color w:val="000000"/>
          <w:szCs w:val="22"/>
        </w:rPr>
        <w:t>Dillner</w:t>
      </w:r>
      <w:r w:rsidR="00827C13">
        <w:rPr>
          <w:color w:val="000000"/>
          <w:szCs w:val="22"/>
        </w:rPr>
        <w:t xml:space="preserve">, Associate General Counsel, </w:t>
      </w:r>
      <w:r w:rsidR="00827C13">
        <w:rPr>
          <w:color w:val="000000"/>
          <w:szCs w:val="22"/>
        </w:rPr>
        <w:t>Cellco</w:t>
      </w:r>
      <w:r w:rsidR="00827C13">
        <w:rPr>
          <w:color w:val="000000"/>
          <w:szCs w:val="22"/>
        </w:rPr>
        <w:t xml:space="preserve"> Partnership D/B/A Verizon Wireless, 1300 I Street, N.W., Suite 500 East, Washington, DC 20005, </w:t>
      </w:r>
      <w:r w:rsidR="006E5441">
        <w:rPr>
          <w:color w:val="000000"/>
          <w:szCs w:val="22"/>
        </w:rPr>
        <w:t>and via e</w:t>
      </w:r>
      <w:r w:rsidR="00DE6ABF">
        <w:rPr>
          <w:color w:val="000000"/>
          <w:szCs w:val="22"/>
        </w:rPr>
        <w:t>-</w:t>
      </w:r>
      <w:r w:rsidR="006E5441">
        <w:rPr>
          <w:color w:val="000000"/>
          <w:szCs w:val="22"/>
        </w:rPr>
        <w:t xml:space="preserve">mail at </w:t>
      </w:r>
      <w:r w:rsidRPr="00827C13" w:rsidR="00827C13">
        <w:rPr>
          <w:color w:val="000000"/>
          <w:szCs w:val="22"/>
        </w:rPr>
        <w:t>ian.dillner@verizon.com</w:t>
      </w:r>
      <w:r w:rsidR="00827C13">
        <w:rPr>
          <w:color w:val="000000"/>
          <w:szCs w:val="22"/>
        </w:rPr>
        <w:t xml:space="preserve">.  </w:t>
      </w:r>
    </w:p>
    <w:p w:rsidR="001B12CD" w:rsidP="00264685" w14:paraId="5D209EE1" w14:textId="77777777">
      <w:pPr>
        <w:keepNext/>
      </w:pPr>
    </w:p>
    <w:p w:rsidR="001B12CD" w:rsidP="00264685" w14:paraId="477C1147" w14:textId="77777777">
      <w:pPr>
        <w:keepNext/>
      </w:pPr>
      <w:r>
        <w:tab/>
      </w:r>
      <w:r>
        <w:tab/>
      </w:r>
      <w:r>
        <w:tab/>
      </w:r>
      <w:r>
        <w:tab/>
      </w:r>
      <w:r>
        <w:tab/>
      </w:r>
      <w:r>
        <w:tab/>
        <w:t>FEDERAL COMMUNICATIONS COMMISSION</w:t>
      </w:r>
    </w:p>
    <w:p w:rsidR="001B12CD" w:rsidP="00264685" w14:paraId="7DAFAE13" w14:textId="77777777">
      <w:pPr>
        <w:keepNext/>
      </w:pPr>
    </w:p>
    <w:p w:rsidR="00DC0154" w:rsidP="00870EF8" w14:paraId="4F986677" w14:textId="1E3C584B">
      <w:pPr>
        <w:keepNext/>
      </w:pPr>
    </w:p>
    <w:p w:rsidR="00582697" w:rsidP="00870EF8" w14:paraId="0C13EE7F" w14:textId="77777777">
      <w:pPr>
        <w:keepNext/>
      </w:pPr>
    </w:p>
    <w:p w:rsidR="00412FC5" w:rsidRPr="001B12CD" w:rsidP="007C2ED4" w14:paraId="25709D4E" w14:textId="2C6B0FBF">
      <w:pPr>
        <w:keepNext/>
      </w:pPr>
      <w:r>
        <w:tab/>
      </w:r>
      <w:r>
        <w:tab/>
      </w:r>
      <w:r>
        <w:tab/>
      </w:r>
      <w:r>
        <w:tab/>
      </w:r>
      <w:r>
        <w:tab/>
      </w:r>
      <w:r>
        <w:tab/>
      </w:r>
      <w:r w:rsidR="00870EF8">
        <w:t xml:space="preserve">Loyaan </w:t>
      </w:r>
      <w:r w:rsidR="00DB6FF2">
        <w:t xml:space="preserve">A. </w:t>
      </w:r>
      <w:r w:rsidR="00870EF8">
        <w:t>Egal</w:t>
      </w:r>
      <w:r w:rsidR="00870EF8">
        <w:tab/>
      </w:r>
      <w:r w:rsidR="00870EF8">
        <w:tab/>
      </w:r>
      <w:r w:rsidR="00870EF8">
        <w:tab/>
      </w:r>
      <w:r w:rsidR="00870EF8">
        <w:tab/>
      </w:r>
      <w:r w:rsidR="00870EF8">
        <w:tab/>
      </w:r>
      <w:r w:rsidR="00870EF8">
        <w:tab/>
      </w:r>
      <w:r w:rsidR="00870EF8">
        <w:tab/>
      </w:r>
      <w:r w:rsidR="00870EF8">
        <w:tab/>
      </w:r>
      <w:r w:rsidR="00870EF8">
        <w:tab/>
      </w:r>
      <w:r w:rsidR="00870EF8">
        <w:tab/>
      </w:r>
      <w:r w:rsidR="00870EF8">
        <w:tab/>
      </w:r>
      <w:r w:rsidR="007E0C2D">
        <w:tab/>
      </w:r>
      <w:r w:rsidR="00870EF8">
        <w:t>Acting Chief</w:t>
      </w:r>
      <w:r w:rsidR="00870EF8">
        <w:tab/>
      </w:r>
      <w:r w:rsidR="00870EF8">
        <w:tab/>
      </w:r>
      <w:r w:rsidR="00870EF8">
        <w:tab/>
      </w:r>
      <w:r w:rsidR="00870EF8">
        <w:tab/>
      </w:r>
      <w:r w:rsidR="00870EF8">
        <w:tab/>
      </w:r>
      <w:r w:rsidR="00870EF8">
        <w:tab/>
      </w:r>
      <w:r w:rsidR="00870EF8">
        <w:tab/>
      </w:r>
      <w:r w:rsidR="00870EF8">
        <w:tab/>
      </w:r>
      <w:r w:rsidR="00870EF8">
        <w:tab/>
      </w:r>
      <w:r w:rsidR="00870EF8">
        <w:tab/>
      </w:r>
      <w:r w:rsidR="00870EF8">
        <w:tab/>
      </w:r>
      <w:r w:rsidR="00755070">
        <w:tab/>
      </w:r>
      <w:r w:rsidR="00870EF8">
        <w:t>Enforcement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6A5B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42BD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B12CD" w14:paraId="0FE421D1" w14:textId="77777777">
    <w:pPr>
      <w:pStyle w:val="Footer"/>
      <w:jc w:val="center"/>
    </w:pPr>
    <w:r>
      <w:fldChar w:fldCharType="begin"/>
    </w:r>
    <w:r>
      <w:instrText xml:space="preserve"> PAGE   \* MERGEFORMAT </w:instrText>
    </w:r>
    <w:r>
      <w:fldChar w:fldCharType="separate"/>
    </w:r>
    <w:r w:rsidR="00921F76">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5C26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0CDA" w14:paraId="3B182322" w14:textId="77777777">
      <w:r>
        <w:separator/>
      </w:r>
    </w:p>
  </w:footnote>
  <w:footnote w:type="continuationSeparator" w:id="1">
    <w:p w:rsidR="008D0CDA" w:rsidP="00C721AC" w14:paraId="709CFF78" w14:textId="77777777">
      <w:pPr>
        <w:spacing w:before="120"/>
        <w:rPr>
          <w:sz w:val="20"/>
        </w:rPr>
      </w:pPr>
      <w:r>
        <w:rPr>
          <w:sz w:val="20"/>
        </w:rPr>
        <w:t xml:space="preserve">(Continued from previous page)  </w:t>
      </w:r>
      <w:r>
        <w:rPr>
          <w:sz w:val="20"/>
        </w:rPr>
        <w:separator/>
      </w:r>
    </w:p>
  </w:footnote>
  <w:footnote w:type="continuationNotice" w:id="2">
    <w:p w:rsidR="008D0CDA" w:rsidP="00C721AC" w14:paraId="207E2928" w14:textId="77777777">
      <w:pPr>
        <w:jc w:val="right"/>
        <w:rPr>
          <w:sz w:val="20"/>
        </w:rPr>
      </w:pPr>
      <w:r>
        <w:rPr>
          <w:sz w:val="20"/>
        </w:rPr>
        <w:t>(continued….)</w:t>
      </w:r>
    </w:p>
  </w:footnote>
  <w:footnote w:id="3">
    <w:p w:rsidR="00FC61B6" w:rsidP="00321D8A" w14:paraId="252CE3E2" w14:textId="13A2B4D3">
      <w:pPr>
        <w:pStyle w:val="FootnoteText"/>
      </w:pPr>
      <w:r>
        <w:rPr>
          <w:rStyle w:val="FootnoteReference"/>
        </w:rPr>
        <w:footnoteRef/>
      </w:r>
      <w:r>
        <w:t xml:space="preserve"> </w:t>
      </w:r>
      <w:bookmarkStart w:id="3" w:name="_Hlk100129608"/>
      <w:r w:rsidRPr="00417CAA" w:rsidR="009D1C7A">
        <w:t>47 U.S.C. § 255</w:t>
      </w:r>
      <w:bookmarkEnd w:id="3"/>
      <w:r w:rsidRPr="00417CAA" w:rsidR="00AB1226">
        <w:t xml:space="preserve">; </w:t>
      </w:r>
      <w:r w:rsidRPr="00321D8A" w:rsidR="00AB1226">
        <w:t xml:space="preserve">47 CFR </w:t>
      </w:r>
      <w:r w:rsidRPr="00321D8A" w:rsidR="00AB1226">
        <w:rPr>
          <w:iCs/>
        </w:rPr>
        <w:t>§ 7</w:t>
      </w:r>
      <w:r w:rsidRPr="00321D8A" w:rsidR="00AB1226">
        <w:t>.</w:t>
      </w:r>
      <w:r w:rsidR="00321D8A">
        <w:t>1</w:t>
      </w:r>
      <w:r w:rsidR="009D1C7A">
        <w:rPr>
          <w:szCs w:val="22"/>
        </w:rPr>
        <w:t xml:space="preserve"> </w:t>
      </w:r>
      <w:r w:rsidRPr="00DB5DC3" w:rsidR="00321D8A">
        <w:rPr>
          <w:i/>
          <w:iCs/>
        </w:rPr>
        <w:t>et seq.</w:t>
      </w:r>
      <w:r w:rsidR="00321D8A">
        <w:rPr>
          <w:szCs w:val="22"/>
        </w:rPr>
        <w:t xml:space="preserve"> </w:t>
      </w:r>
    </w:p>
  </w:footnote>
  <w:footnote w:id="4">
    <w:p w:rsidR="00F2314F" w:rsidP="00F2314F" w14:paraId="1EEF8166" w14:textId="3FEF9D46">
      <w:pPr>
        <w:pStyle w:val="FootnoteText"/>
      </w:pPr>
      <w:r>
        <w:rPr>
          <w:rStyle w:val="FootnoteReference"/>
        </w:rPr>
        <w:footnoteRef/>
      </w:r>
      <w:r>
        <w:t xml:space="preserve"> 47 CFR § 14.36(a)</w:t>
      </w:r>
      <w:r w:rsidR="002B699E">
        <w:t>, (b)</w:t>
      </w:r>
      <w:r>
        <w:t xml:space="preserve">.  </w:t>
      </w:r>
    </w:p>
  </w:footnote>
  <w:footnote w:id="5">
    <w:p w:rsidR="00AB1226" w14:paraId="083790CA" w14:textId="434AB233">
      <w:pPr>
        <w:pStyle w:val="FootnoteText"/>
      </w:pPr>
      <w:r>
        <w:rPr>
          <w:rStyle w:val="FootnoteReference"/>
        </w:rPr>
        <w:footnoteRef/>
      </w:r>
      <w:r>
        <w:t xml:space="preserve"> </w:t>
      </w:r>
      <w:r>
        <w:rPr>
          <w:szCs w:val="22"/>
        </w:rPr>
        <w:t>47 U.S.C. § 255.</w:t>
      </w:r>
    </w:p>
  </w:footnote>
  <w:footnote w:id="6">
    <w:p w:rsidR="00DF0C6B" w:rsidRPr="00DF0C6B" w:rsidP="00DF0C6B" w14:paraId="3B27C298" w14:textId="7B161C73">
      <w:pPr>
        <w:pStyle w:val="FootnoteText"/>
        <w:rPr>
          <w:iCs/>
        </w:rPr>
      </w:pPr>
      <w:r w:rsidRPr="00DF0C6B">
        <w:rPr>
          <w:rStyle w:val="FootnoteReference"/>
        </w:rPr>
        <w:footnoteRef/>
      </w:r>
      <w:r w:rsidRPr="00DF0C6B">
        <w:t xml:space="preserve"> 47 CFR § 7</w:t>
      </w:r>
      <w:r w:rsidRPr="00DF0C6B" w:rsidR="00A2363B">
        <w:t>.5</w:t>
      </w:r>
      <w:r w:rsidRPr="00DF0C6B">
        <w:t>(b)(1).</w:t>
      </w:r>
      <w:r w:rsidRPr="00DF0C6B" w:rsidR="000D1BF8">
        <w:t xml:space="preserve">  See In the Matter of Implementation of Sections 255 and 251(A)(2) of the Communications Act of 1934, as Enacted by the Telecommunications Act of 1996, Access to Telecommunications Service, Telecommunications Equipment and Customer Premises Equipment by Persons with Disabilities, WT Docket No. 96-198, Report and Order and Further Notice of Inquiry, 16 FCC </w:t>
      </w:r>
      <w:r w:rsidRPr="00DF0C6B" w:rsidR="000D1BF8">
        <w:t>Rcd</w:t>
      </w:r>
      <w:r w:rsidRPr="00DF0C6B" w:rsidR="000D1BF8">
        <w:t xml:space="preserve"> 6417, 6461, para. 106 (1999) (Section 255 Report and Order).</w:t>
      </w:r>
    </w:p>
  </w:footnote>
  <w:footnote w:id="7">
    <w:p w:rsidR="007D3E0F" w:rsidP="00804B47" w14:paraId="00C27F68" w14:textId="5CDA37CF">
      <w:pPr>
        <w:pStyle w:val="FootnoteText"/>
      </w:pPr>
      <w:r w:rsidRPr="00DF0C6B">
        <w:rPr>
          <w:rStyle w:val="FootnoteReference"/>
        </w:rPr>
        <w:footnoteRef/>
      </w:r>
      <w:r w:rsidRPr="00DF0C6B">
        <w:rPr>
          <w:rStyle w:val="FootnoteReference"/>
        </w:rPr>
        <w:t xml:space="preserve"> </w:t>
      </w:r>
      <w:r w:rsidRPr="00DF0C6B">
        <w:t xml:space="preserve">Twenty-First Century Communications and Video Accessibility Act of 2010, Pub. L. No. 111-260, 124 Stat. 2751 (2010) (as codified in various sections of 47 U.S.C.) (CVAA).  The law was enacted on October 8, 2010.  </w:t>
      </w:r>
      <w:r w:rsidRPr="00DF0C6B">
        <w:rPr>
          <w:bCs/>
          <w:i/>
        </w:rPr>
        <w:t>See also</w:t>
      </w:r>
      <w:r w:rsidRPr="00DF0C6B">
        <w:rPr>
          <w:bCs/>
        </w:rPr>
        <w:t xml:space="preserve"> </w:t>
      </w:r>
      <w:r w:rsidRPr="00DF0C6B">
        <w:t>Amendment</w:t>
      </w:r>
      <w:r>
        <w:t xml:space="preserve"> of Twenty-First Century Communications and Video Accessibility Act of 2010, </w:t>
      </w:r>
      <w:r>
        <w:rPr>
          <w:bCs/>
        </w:rPr>
        <w:t xml:space="preserve">Pub. L. No. 111-265, </w:t>
      </w:r>
      <w:r>
        <w:t>124 Stat. 2795 (2010), also enacted on October 8, 2010, to make technical corrections to the Twenty-First Century Communications and Video Accessibility Act of 2010 and the amendments made by that Act</w:t>
      </w:r>
      <w:r>
        <w:rPr>
          <w:bCs/>
        </w:rPr>
        <w:t xml:space="preserve">.  </w:t>
      </w:r>
      <w:r>
        <w:t>Hereinafter, all references to the CVAA will be to the CVAA as codified in the Communications Act of 1934, as amended, unless otherwise indicated.</w:t>
      </w:r>
    </w:p>
  </w:footnote>
  <w:footnote w:id="8">
    <w:p w:rsidR="007D3E0F" w14:paraId="5C5777A2" w14:textId="3B3ACA44">
      <w:pPr>
        <w:pStyle w:val="FootnoteText"/>
      </w:pPr>
      <w:r>
        <w:rPr>
          <w:rStyle w:val="FootnoteReference"/>
        </w:rPr>
        <w:footnoteRef/>
      </w:r>
      <w:r>
        <w:t xml:space="preserve"> 47 U.S.C. § 717.</w:t>
      </w:r>
    </w:p>
  </w:footnote>
  <w:footnote w:id="9">
    <w:p w:rsidR="00AE0FEF" w:rsidP="00AE0FEF" w14:paraId="2789E87D" w14:textId="3FBF235D">
      <w:pPr>
        <w:pStyle w:val="FootnoteText"/>
      </w:pPr>
      <w:r>
        <w:rPr>
          <w:rStyle w:val="FootnoteReference"/>
        </w:rPr>
        <w:footnoteRef/>
      </w:r>
      <w:r>
        <w:t xml:space="preserve"> 47 U.S.C. § 618(a).  </w:t>
      </w:r>
      <w:r w:rsidR="0050662D">
        <w:t xml:space="preserve">Section 716 of the Act governs accessibility requirements for Advance Communications Services (ACS).  </w:t>
      </w:r>
      <w:r w:rsidRPr="00F97F05" w:rsidR="0050662D">
        <w:rPr>
          <w:i/>
          <w:iCs/>
        </w:rPr>
        <w:t>See</w:t>
      </w:r>
      <w:r w:rsidR="0050662D">
        <w:t xml:space="preserve"> 47 USC </w:t>
      </w:r>
      <w:r w:rsidR="00771388">
        <w:t>§</w:t>
      </w:r>
      <w:r w:rsidR="004A4C2B">
        <w:t xml:space="preserve"> </w:t>
      </w:r>
      <w:r w:rsidR="0050662D">
        <w:t>617.</w:t>
      </w:r>
      <w:r w:rsidR="00771388">
        <w:t xml:space="preserve">  </w:t>
      </w:r>
      <w:r w:rsidR="0050662D">
        <w:t xml:space="preserve">The complaint </w:t>
      </w:r>
      <w:r w:rsidR="00627B8B">
        <w:t xml:space="preserve">at issue in this case </w:t>
      </w:r>
      <w:r w:rsidR="00BE6C2C">
        <w:t>allege</w:t>
      </w:r>
      <w:r w:rsidR="00627B8B">
        <w:t>d</w:t>
      </w:r>
      <w:r w:rsidR="00BE6C2C">
        <w:t xml:space="preserve"> violation of section 255 </w:t>
      </w:r>
      <w:r w:rsidR="00627B8B">
        <w:t xml:space="preserve">of the </w:t>
      </w:r>
      <w:r w:rsidR="00BE6C2C">
        <w:t xml:space="preserve">Act based on </w:t>
      </w:r>
      <w:r w:rsidR="00627B8B">
        <w:t>the complainant’s</w:t>
      </w:r>
      <w:r w:rsidR="00BE6C2C">
        <w:t xml:space="preserve"> inability to access Verizon’s Premium Visual Voicemail service</w:t>
      </w:r>
      <w:r w:rsidR="00A10971">
        <w:t>.</w:t>
      </w:r>
      <w:r w:rsidR="0050662D">
        <w:t xml:space="preserve">  </w:t>
      </w:r>
      <w:r w:rsidR="004A4C2B">
        <w:t xml:space="preserve">Because </w:t>
      </w:r>
      <w:r w:rsidR="00627B8B">
        <w:t>the complaint did</w:t>
      </w:r>
      <w:r w:rsidR="00BE6C2C">
        <w:t xml:space="preserve"> not allege any violations related to an ACS</w:t>
      </w:r>
      <w:r w:rsidR="004A4C2B">
        <w:t>, this order contains no further discussion of section 716</w:t>
      </w:r>
      <w:r w:rsidR="00BE6C2C">
        <w:t xml:space="preserve"> of the Act</w:t>
      </w:r>
      <w:r w:rsidR="004A4C2B">
        <w:t>.</w:t>
      </w:r>
      <w:r w:rsidR="0050662D">
        <w:t xml:space="preserve">  </w:t>
      </w:r>
    </w:p>
  </w:footnote>
  <w:footnote w:id="10">
    <w:p w:rsidR="009726C0" w14:paraId="5709B537" w14:textId="161B658A">
      <w:pPr>
        <w:pStyle w:val="FootnoteText"/>
      </w:pPr>
      <w:r>
        <w:rPr>
          <w:rStyle w:val="FootnoteReference"/>
        </w:rPr>
        <w:footnoteRef/>
      </w:r>
      <w:r>
        <w:t xml:space="preserve"> </w:t>
      </w:r>
      <w:r w:rsidRPr="00060837" w:rsidR="009543AF">
        <w:rPr>
          <w:i/>
        </w:rPr>
        <w:t>Section 255 Report and Order</w:t>
      </w:r>
      <w:r w:rsidR="009543AF">
        <w:t>,</w:t>
      </w:r>
      <w:r w:rsidR="00D738EA">
        <w:t xml:space="preserve"> 16 FCC </w:t>
      </w:r>
      <w:r w:rsidR="00D738EA">
        <w:t>Rcd</w:t>
      </w:r>
      <w:r w:rsidR="00D738EA">
        <w:t xml:space="preserve"> at 6467-68,</w:t>
      </w:r>
      <w:r w:rsidR="009543AF">
        <w:t xml:space="preserve"> para</w:t>
      </w:r>
      <w:r w:rsidR="00417CAA">
        <w:t>s.</w:t>
      </w:r>
      <w:r w:rsidR="009543AF">
        <w:t xml:space="preserve"> 121-123</w:t>
      </w:r>
      <w:r w:rsidR="00C20FE5">
        <w:rPr>
          <w:i/>
          <w:iCs/>
        </w:rPr>
        <w:t>.</w:t>
      </w:r>
      <w:r w:rsidR="00321D8A">
        <w:rPr>
          <w:i/>
          <w:iCs/>
        </w:rPr>
        <w:t xml:space="preserve">  S</w:t>
      </w:r>
      <w:r w:rsidRPr="002E5ED7" w:rsidR="009543AF">
        <w:rPr>
          <w:i/>
          <w:iCs/>
        </w:rPr>
        <w:t>ee also</w:t>
      </w:r>
      <w:r w:rsidR="009543AF">
        <w:t xml:space="preserve"> </w:t>
      </w:r>
      <w:r w:rsidRPr="008D0B60" w:rsidR="00321D8A">
        <w:t>47 CFR § 14.3</w:t>
      </w:r>
      <w:r w:rsidR="00321D8A">
        <w:t xml:space="preserve">0 </w:t>
      </w:r>
      <w:r w:rsidRPr="00321D8A" w:rsidR="00321D8A">
        <w:rPr>
          <w:i/>
          <w:iCs/>
        </w:rPr>
        <w:t>et seq.</w:t>
      </w:r>
    </w:p>
  </w:footnote>
  <w:footnote w:id="11">
    <w:p w:rsidR="00F10E23" w14:paraId="4A099ED5" w14:textId="72A0526B">
      <w:pPr>
        <w:pStyle w:val="FootnoteText"/>
      </w:pPr>
      <w:r>
        <w:rPr>
          <w:rStyle w:val="FootnoteReference"/>
        </w:rPr>
        <w:footnoteRef/>
      </w:r>
      <w:r>
        <w:t xml:space="preserve"> </w:t>
      </w:r>
      <w:bookmarkStart w:id="8" w:name="_Hlk103000574"/>
      <w:r>
        <w:t>47 CFR § 14.32(a).</w:t>
      </w:r>
      <w:bookmarkEnd w:id="8"/>
    </w:p>
  </w:footnote>
  <w:footnote w:id="12">
    <w:p w:rsidR="00F10E23" w14:paraId="3AFED583" w14:textId="45C32E9E">
      <w:pPr>
        <w:pStyle w:val="FootnoteText"/>
      </w:pPr>
      <w:r>
        <w:rPr>
          <w:rStyle w:val="FootnoteReference"/>
        </w:rPr>
        <w:footnoteRef/>
      </w:r>
      <w:r>
        <w:t xml:space="preserve"> 47 CFR § 14.32(c), (d).</w:t>
      </w:r>
    </w:p>
  </w:footnote>
  <w:footnote w:id="13">
    <w:p w:rsidR="00F10E23" w14:paraId="02A0F6BA" w14:textId="5B350C09">
      <w:pPr>
        <w:pStyle w:val="FootnoteText"/>
      </w:pPr>
      <w:r>
        <w:rPr>
          <w:rStyle w:val="FootnoteReference"/>
        </w:rPr>
        <w:footnoteRef/>
      </w:r>
      <w:r>
        <w:t xml:space="preserve"> 47 CFR § 14.32(e).</w:t>
      </w:r>
    </w:p>
  </w:footnote>
  <w:footnote w:id="14">
    <w:p w:rsidR="00CC4E59" w:rsidP="00CC4E59" w14:paraId="74354A60" w14:textId="45EE72DC">
      <w:pPr>
        <w:pStyle w:val="FootnoteText"/>
      </w:pPr>
      <w:r>
        <w:rPr>
          <w:rStyle w:val="FootnoteReference"/>
        </w:rPr>
        <w:footnoteRef/>
      </w:r>
      <w:r>
        <w:t xml:space="preserve"> </w:t>
      </w:r>
      <w:r w:rsidRPr="008D0B60" w:rsidR="0083275C">
        <w:t>47 CFR § 14.3</w:t>
      </w:r>
      <w:r w:rsidR="0083275C">
        <w:t>7.</w:t>
      </w:r>
    </w:p>
  </w:footnote>
  <w:footnote w:id="15">
    <w:p w:rsidR="0028241F" w14:paraId="5998029B" w14:textId="4ED4DAC5">
      <w:pPr>
        <w:pStyle w:val="FootnoteText"/>
      </w:pPr>
      <w:r>
        <w:rPr>
          <w:rStyle w:val="FootnoteReference"/>
        </w:rPr>
        <w:footnoteRef/>
      </w:r>
      <w:r>
        <w:t xml:space="preserve"> </w:t>
      </w:r>
      <w:r w:rsidRPr="006F3768">
        <w:rPr>
          <w:i/>
          <w:iCs/>
        </w:rPr>
        <w:t>Id</w:t>
      </w:r>
      <w:r>
        <w:t>.</w:t>
      </w:r>
    </w:p>
  </w:footnote>
  <w:footnote w:id="16">
    <w:p w:rsidR="004B537B" w14:paraId="6731EC0E" w14:textId="26F2D8D8">
      <w:pPr>
        <w:pStyle w:val="FootnoteText"/>
      </w:pPr>
      <w:r>
        <w:rPr>
          <w:rStyle w:val="FootnoteReference"/>
        </w:rPr>
        <w:footnoteRef/>
      </w:r>
      <w:r>
        <w:t xml:space="preserve"> 47 CFR § 14.37(c).</w:t>
      </w:r>
    </w:p>
  </w:footnote>
  <w:footnote w:id="17">
    <w:p w:rsidR="0028241F" w14:paraId="00920E8B" w14:textId="5CDD6E22">
      <w:pPr>
        <w:pStyle w:val="FootnoteText"/>
      </w:pPr>
      <w:r>
        <w:rPr>
          <w:rStyle w:val="FootnoteReference"/>
        </w:rPr>
        <w:footnoteRef/>
      </w:r>
      <w:r>
        <w:t xml:space="preserve"> </w:t>
      </w:r>
      <w:r w:rsidRPr="00060837">
        <w:rPr>
          <w:i/>
        </w:rPr>
        <w:t>Section 255 Report and Order</w:t>
      </w:r>
      <w:r>
        <w:rPr>
          <w:iCs/>
        </w:rPr>
        <w:t>, 1</w:t>
      </w:r>
      <w:r>
        <w:t xml:space="preserve">6 FCC </w:t>
      </w:r>
      <w:r>
        <w:t>Rcd</w:t>
      </w:r>
      <w:r>
        <w:t xml:space="preserve"> at 6464, para. 11</w:t>
      </w:r>
      <w:r w:rsidR="0014363C">
        <w:t>5</w:t>
      </w:r>
      <w:r>
        <w:t>.</w:t>
      </w:r>
      <w:r w:rsidR="004B537B">
        <w:t xml:space="preserve">  </w:t>
      </w:r>
    </w:p>
  </w:footnote>
  <w:footnote w:id="18">
    <w:p w:rsidR="00D01A6D" w:rsidP="00D01A6D" w14:paraId="38CD5F14" w14:textId="0AB54DA5">
      <w:pPr>
        <w:pStyle w:val="FootnoteText"/>
      </w:pPr>
      <w:r>
        <w:rPr>
          <w:rStyle w:val="FootnoteReference"/>
        </w:rPr>
        <w:footnoteRef/>
      </w:r>
      <w:r>
        <w:t xml:space="preserve"> </w:t>
      </w:r>
      <w:r w:rsidRPr="00EA725A" w:rsidR="00EA725A">
        <w:rPr>
          <w:i/>
          <w:iCs/>
        </w:rPr>
        <w:t>Implementation of</w:t>
      </w:r>
      <w:r w:rsidR="00EA725A">
        <w:t xml:space="preserve"> </w:t>
      </w:r>
      <w:r w:rsidR="00EA725A">
        <w:rPr>
          <w:i/>
          <w:iCs/>
          <w:snapToGrid w:val="0"/>
        </w:rPr>
        <w:t>Sections 716 and 717 of the Communications Act of 1934, as Enacted by the Twenty-First Century Communications and Video Accessibility Act of 2010</w:t>
      </w:r>
      <w:r w:rsidR="00EA725A">
        <w:rPr>
          <w:snapToGrid w:val="0"/>
        </w:rPr>
        <w:t xml:space="preserve">, </w:t>
      </w:r>
      <w:r w:rsidR="00EA725A">
        <w:rPr>
          <w:snapToGrid w:val="0"/>
          <w:color w:val="000000"/>
          <w:spacing w:val="-2"/>
        </w:rPr>
        <w:t xml:space="preserve">CG Docket No. 10-213, </w:t>
      </w:r>
      <w:r w:rsidR="00EA725A">
        <w:rPr>
          <w:i/>
          <w:iCs/>
          <w:snapToGrid w:val="0"/>
        </w:rPr>
        <w:t>Amendments to the Commission's Rules Implementing Sections 255 and 251(a)(2) of the Communications Act of 1934, as Enacted by the Telecommunications Act of 1996</w:t>
      </w:r>
      <w:r w:rsidR="00EA725A">
        <w:rPr>
          <w:snapToGrid w:val="0"/>
        </w:rPr>
        <w:t xml:space="preserve">, </w:t>
      </w:r>
      <w:r w:rsidR="00EA725A">
        <w:rPr>
          <w:snapToGrid w:val="0"/>
          <w:spacing w:val="-2"/>
        </w:rPr>
        <w:t xml:space="preserve">WT Docket No. 96-198, </w:t>
      </w:r>
      <w:r w:rsidR="00EA725A">
        <w:rPr>
          <w:i/>
          <w:iCs/>
          <w:snapToGrid w:val="0"/>
        </w:rPr>
        <w:t>Accessible Mobile Phone Options for People who are Blind, Deaf-Blind, or Have Low Vision</w:t>
      </w:r>
      <w:r w:rsidR="00EA725A">
        <w:rPr>
          <w:snapToGrid w:val="0"/>
        </w:rPr>
        <w:t xml:space="preserve">, </w:t>
      </w:r>
      <w:r w:rsidR="00EA725A">
        <w:rPr>
          <w:snapToGrid w:val="0"/>
          <w:spacing w:val="-2"/>
        </w:rPr>
        <w:t>CG Docket No. 10-145</w:t>
      </w:r>
      <w:r w:rsidR="00EA725A">
        <w:rPr>
          <w:i/>
          <w:iCs/>
          <w:snapToGrid w:val="0"/>
          <w:spacing w:val="-2"/>
        </w:rPr>
        <w:t xml:space="preserve">, Report and Order and Further Noticed of Proposed Rulemaking, </w:t>
      </w:r>
      <w:r w:rsidR="00EA725A">
        <w:rPr>
          <w:snapToGrid w:val="0"/>
          <w:spacing w:val="-2"/>
        </w:rPr>
        <w:t xml:space="preserve">26 FCC </w:t>
      </w:r>
      <w:r w:rsidR="00EA725A">
        <w:rPr>
          <w:snapToGrid w:val="0"/>
          <w:spacing w:val="-2"/>
        </w:rPr>
        <w:t>Rcd</w:t>
      </w:r>
      <w:r w:rsidR="00EA725A">
        <w:rPr>
          <w:snapToGrid w:val="0"/>
          <w:spacing w:val="-2"/>
        </w:rPr>
        <w:t xml:space="preserve"> 14557, 14660-72, paras. 241-268 (2011) (</w:t>
      </w:r>
      <w:r w:rsidR="00EA725A">
        <w:rPr>
          <w:i/>
          <w:iCs/>
          <w:snapToGrid w:val="0"/>
          <w:spacing w:val="-2"/>
        </w:rPr>
        <w:t>2011 CVAA Implementation Order)</w:t>
      </w:r>
      <w:r w:rsidR="00EA725A">
        <w:rPr>
          <w:snapToGrid w:val="0"/>
          <w:spacing w:val="-2"/>
        </w:rPr>
        <w:t>.</w:t>
      </w:r>
    </w:p>
  </w:footnote>
  <w:footnote w:id="19">
    <w:p w:rsidR="00D01A6D" w:rsidP="00D01A6D" w14:paraId="39C566D2" w14:textId="36B575EF">
      <w:pPr>
        <w:pStyle w:val="FootnoteText"/>
      </w:pPr>
      <w:r>
        <w:rPr>
          <w:rStyle w:val="FootnoteReference"/>
        </w:rPr>
        <w:footnoteRef/>
      </w:r>
      <w:r>
        <w:t xml:space="preserve"> </w:t>
      </w:r>
      <w:r w:rsidR="002D3A36">
        <w:t xml:space="preserve">2011 CVAA </w:t>
      </w:r>
      <w:r w:rsidR="002D3A36">
        <w:rPr>
          <w:i/>
          <w:iCs/>
          <w:snapToGrid w:val="0"/>
          <w:spacing w:val="-2"/>
        </w:rPr>
        <w:t>Implementation Order,</w:t>
      </w:r>
      <w:r w:rsidR="002D3A36">
        <w:rPr>
          <w:snapToGrid w:val="0"/>
          <w:spacing w:val="-2"/>
        </w:rPr>
        <w:t xml:space="preserve"> 26 FCC </w:t>
      </w:r>
      <w:r w:rsidR="002D3A36">
        <w:rPr>
          <w:snapToGrid w:val="0"/>
          <w:spacing w:val="-2"/>
        </w:rPr>
        <w:t>Rcd</w:t>
      </w:r>
      <w:r w:rsidR="002D3A36">
        <w:rPr>
          <w:snapToGrid w:val="0"/>
          <w:spacing w:val="-2"/>
        </w:rPr>
        <w:t xml:space="preserve"> at 14661, para</w:t>
      </w:r>
      <w:r w:rsidR="005E5A9B">
        <w:rPr>
          <w:snapToGrid w:val="0"/>
          <w:spacing w:val="-2"/>
        </w:rPr>
        <w:t>.</w:t>
      </w:r>
      <w:r w:rsidR="002D3A36">
        <w:rPr>
          <w:snapToGrid w:val="0"/>
          <w:spacing w:val="-2"/>
        </w:rPr>
        <w:t xml:space="preserve"> 245.</w:t>
      </w:r>
    </w:p>
  </w:footnote>
  <w:footnote w:id="20">
    <w:p w:rsidR="00D01A6D" w:rsidP="00D01A6D" w14:paraId="650656FC" w14:textId="77777777">
      <w:pPr>
        <w:pStyle w:val="FootnoteText"/>
      </w:pPr>
      <w:r>
        <w:rPr>
          <w:rStyle w:val="FootnoteReference"/>
        </w:rPr>
        <w:footnoteRef/>
      </w:r>
      <w:r>
        <w:t xml:space="preserve"> “</w:t>
      </w:r>
      <w:r>
        <w:rPr>
          <w:szCs w:val="22"/>
        </w:rPr>
        <w:t xml:space="preserve">To require that a complaint include evidentiary documentation or analysis demonstrating a violation has occurred would place the complainant in the untenable position of being expected to conduct a complex achievability analysis without the benefit of the data necessary for such an analysis simply in order to initiate the informal complaint process.” </w:t>
      </w:r>
      <w:r w:rsidRPr="008F1674">
        <w:rPr>
          <w:i/>
          <w:iCs/>
        </w:rPr>
        <w:t xml:space="preserve"> </w:t>
      </w:r>
      <w:bookmarkStart w:id="10" w:name="_Hlk104192848"/>
      <w:r w:rsidRPr="008F1674">
        <w:rPr>
          <w:i/>
          <w:iCs/>
        </w:rPr>
        <w:t>2011 CVAA Implementation Order</w:t>
      </w:r>
      <w:r>
        <w:t xml:space="preserve">, </w:t>
      </w:r>
      <w:r>
        <w:rPr>
          <w:spacing w:val="-2"/>
        </w:rPr>
        <w:t xml:space="preserve">26 FCC </w:t>
      </w:r>
      <w:r>
        <w:rPr>
          <w:spacing w:val="-2"/>
        </w:rPr>
        <w:t>Rcd</w:t>
      </w:r>
      <w:r>
        <w:rPr>
          <w:spacing w:val="-2"/>
        </w:rPr>
        <w:t xml:space="preserve"> </w:t>
      </w:r>
      <w:r>
        <w:t xml:space="preserve">at 14664-65, para. 252.  </w:t>
      </w:r>
      <w:bookmarkEnd w:id="10"/>
    </w:p>
  </w:footnote>
  <w:footnote w:id="21">
    <w:p w:rsidR="00305196" w:rsidP="00305196" w14:paraId="0E60DA35" w14:textId="77777777">
      <w:pPr>
        <w:pStyle w:val="FootnoteText"/>
      </w:pPr>
      <w:r>
        <w:rPr>
          <w:rStyle w:val="FootnoteReference"/>
        </w:rPr>
        <w:footnoteRef/>
      </w:r>
      <w:r>
        <w:t xml:space="preserve"> </w:t>
      </w:r>
      <w:r w:rsidRPr="008D0B60">
        <w:t>47 CFR § 14.34(b)</w:t>
      </w:r>
      <w:r>
        <w:t xml:space="preserve">.  </w:t>
      </w:r>
    </w:p>
  </w:footnote>
  <w:footnote w:id="22">
    <w:p w:rsidR="00D65F63" w:rsidP="00D65F63" w14:paraId="44ADE4F8" w14:textId="2F1EF3B5">
      <w:pPr>
        <w:pStyle w:val="FootnoteText"/>
      </w:pPr>
      <w:r>
        <w:rPr>
          <w:rStyle w:val="FootnoteReference"/>
        </w:rPr>
        <w:footnoteRef/>
      </w:r>
      <w:r>
        <w:t xml:space="preserve"> </w:t>
      </w:r>
      <w:bookmarkStart w:id="11" w:name="_Hlk99974240"/>
      <w:r>
        <w:t>47 CFR § 14.36</w:t>
      </w:r>
      <w:r w:rsidR="00133D12">
        <w:t>(a)</w:t>
      </w:r>
      <w:r>
        <w:t xml:space="preserve">.  </w:t>
      </w:r>
      <w:bookmarkEnd w:id="11"/>
    </w:p>
  </w:footnote>
  <w:footnote w:id="23">
    <w:p w:rsidR="00C97417" w:rsidP="00C97417" w14:paraId="223B38CE" w14:textId="4FEAEF07">
      <w:pPr>
        <w:pStyle w:val="FootnoteText"/>
      </w:pPr>
      <w:r>
        <w:rPr>
          <w:rStyle w:val="FootnoteReference"/>
        </w:rPr>
        <w:footnoteRef/>
      </w:r>
      <w:r>
        <w:t xml:space="preserve"> 47 CFR § </w:t>
      </w:r>
      <w:r w:rsidRPr="009D7F38">
        <w:t>14.31(a).</w:t>
      </w:r>
      <w:r>
        <w:t xml:space="preserve">  </w:t>
      </w:r>
      <w:r w:rsidRPr="00067198">
        <w:rPr>
          <w:i/>
          <w:iCs/>
        </w:rPr>
        <w:t>See</w:t>
      </w:r>
      <w:r>
        <w:t xml:space="preserve"> </w:t>
      </w:r>
      <w:r w:rsidRPr="008F1674">
        <w:rPr>
          <w:i/>
          <w:iCs/>
        </w:rPr>
        <w:t>2011 CVAA Implementation Order</w:t>
      </w:r>
      <w:r>
        <w:t>,</w:t>
      </w:r>
      <w:r w:rsidR="008864DA">
        <w:t xml:space="preserve"> </w:t>
      </w:r>
      <w:r w:rsidR="008864DA">
        <w:rPr>
          <w:spacing w:val="-2"/>
        </w:rPr>
        <w:t xml:space="preserve">26 FCC </w:t>
      </w:r>
      <w:r w:rsidR="008864DA">
        <w:rPr>
          <w:spacing w:val="-2"/>
        </w:rPr>
        <w:t>Rcd</w:t>
      </w:r>
      <w:r w:rsidR="008864DA">
        <w:rPr>
          <w:spacing w:val="-2"/>
        </w:rPr>
        <w:t xml:space="preserve"> </w:t>
      </w:r>
      <w:r w:rsidR="008864DA">
        <w:t xml:space="preserve">at 14664-65, </w:t>
      </w:r>
      <w:r>
        <w:t xml:space="preserve"> para. 252</w:t>
      </w:r>
      <w:r w:rsidR="00EE202A">
        <w:t xml:space="preserve">. </w:t>
      </w:r>
      <w:r w:rsidR="004E0B2A">
        <w:t xml:space="preserve"> (</w:t>
      </w:r>
      <w:r>
        <w:t>“It is the covered entity that will have the information necessary to conduct such an analysis, not the complainant.”</w:t>
      </w:r>
      <w:r w:rsidR="004E0B2A">
        <w:t>)</w:t>
      </w:r>
    </w:p>
  </w:footnote>
  <w:footnote w:id="24">
    <w:p w:rsidR="00B17C99" w14:paraId="481CDB3C" w14:textId="1EA8EA7E">
      <w:pPr>
        <w:pStyle w:val="FootnoteText"/>
      </w:pPr>
      <w:r>
        <w:rPr>
          <w:rStyle w:val="FootnoteReference"/>
        </w:rPr>
        <w:footnoteRef/>
      </w:r>
      <w:r>
        <w:t xml:space="preserve"> </w:t>
      </w:r>
      <w:r w:rsidRPr="008D0B60" w:rsidR="008E6DCE">
        <w:t xml:space="preserve">47 CFR § </w:t>
      </w:r>
      <w:r w:rsidRPr="009D7F38" w:rsidR="008E6DCE">
        <w:t>14.31(a).</w:t>
      </w:r>
      <w:r w:rsidR="008E6DCE">
        <w:t xml:space="preserve">  </w:t>
      </w:r>
    </w:p>
  </w:footnote>
  <w:footnote w:id="25">
    <w:p w:rsidR="00013D8F" w14:paraId="1D1C6CD3" w14:textId="3F6E8295">
      <w:pPr>
        <w:pStyle w:val="FootnoteText"/>
      </w:pPr>
      <w:r>
        <w:rPr>
          <w:rStyle w:val="FootnoteReference"/>
        </w:rPr>
        <w:footnoteRef/>
      </w:r>
      <w:r>
        <w:t xml:space="preserve"> </w:t>
      </w:r>
      <w:r>
        <w:rPr>
          <w:szCs w:val="22"/>
        </w:rPr>
        <w:t>“</w:t>
      </w:r>
      <w:r w:rsidRPr="00B17C99">
        <w:rPr>
          <w:szCs w:val="22"/>
        </w:rPr>
        <w:t xml:space="preserve">To carry its burden of proof, a manufacturer or service provider must </w:t>
      </w:r>
      <w:r>
        <w:t>produce documents demonstrating its due diligence in exploring accessibility and achievability . . . throughout the design, development, testing, and deployment stages of a product or service.”  47 CFR § 14.36.</w:t>
      </w:r>
    </w:p>
  </w:footnote>
  <w:footnote w:id="26">
    <w:p w:rsidR="0007600E" w:rsidP="0007600E" w14:paraId="7E186B7E" w14:textId="77777777">
      <w:pPr>
        <w:pStyle w:val="FootnoteText"/>
        <w:spacing w:before="240"/>
      </w:pPr>
      <w:r>
        <w:rPr>
          <w:rStyle w:val="FootnoteReference"/>
        </w:rPr>
        <w:footnoteRef/>
      </w:r>
      <w:r>
        <w:t xml:space="preserve"> 47 CFR § 14.36(a).  </w:t>
      </w:r>
    </w:p>
  </w:footnote>
  <w:footnote w:id="27">
    <w:p w:rsidR="008E6DCE" w14:paraId="63D6E503" w14:textId="38D25619">
      <w:pPr>
        <w:pStyle w:val="FootnoteText"/>
      </w:pPr>
      <w:r>
        <w:rPr>
          <w:rStyle w:val="FootnoteReference"/>
        </w:rPr>
        <w:footnoteRef/>
      </w:r>
      <w:r>
        <w:t xml:space="preserve"> </w:t>
      </w:r>
      <w:r w:rsidR="00305ED1">
        <w:t xml:space="preserve">47 CFR § 14.36(b)(2).  </w:t>
      </w:r>
    </w:p>
  </w:footnote>
  <w:footnote w:id="28">
    <w:p w:rsidR="006C4478" w:rsidP="001B28EE" w14:paraId="396B03E3" w14:textId="0696E5F8">
      <w:pPr>
        <w:pStyle w:val="FootnoteText"/>
      </w:pPr>
      <w:r>
        <w:rPr>
          <w:rStyle w:val="FootnoteReference"/>
        </w:rPr>
        <w:footnoteRef/>
      </w:r>
      <w:r w:rsidR="00DF0C6B">
        <w:t xml:space="preserve">Answer to Informal Complaint from </w:t>
      </w:r>
      <w:r w:rsidR="00DF0C6B">
        <w:t>Cellco</w:t>
      </w:r>
      <w:r w:rsidR="00DF0C6B">
        <w:t xml:space="preserve"> Partnership D/B/A Verizon Wireless at 8</w:t>
      </w:r>
      <w:r w:rsidR="003E5750">
        <w:t xml:space="preserve"> </w:t>
      </w:r>
      <w:r w:rsidR="00DF0C6B">
        <w:t xml:space="preserve">(Jan. 18, 2022) (on file in EB-TCD-21-00033100)  (Answer).  The informal complaint uses the terms “voicemail,” ”Visual Voicemail,” “Voice Mail Premium,” and “Premium Visual Voicemail” interchangeably.  In this order, the term “Premium Visual Voicemail” is used to refer to Verizon’s service that the informal complaint alleged was not accessible. </w:t>
      </w:r>
    </w:p>
  </w:footnote>
  <w:footnote w:id="29">
    <w:p w:rsidR="0003501C" w14:paraId="2A75B65B" w14:textId="27348690">
      <w:pPr>
        <w:pStyle w:val="FootnoteText"/>
      </w:pPr>
      <w:r>
        <w:rPr>
          <w:rStyle w:val="FootnoteReference"/>
        </w:rPr>
        <w:footnoteRef/>
      </w:r>
      <w:r>
        <w:t xml:space="preserve"> </w:t>
      </w:r>
      <w:r w:rsidR="00F90E31">
        <w:t>Informal Complaint filed with the Enforcement Bureau by Mr. Juan “Sophia” De Anda on December 14, 2021</w:t>
      </w:r>
      <w:r w:rsidR="0003404E">
        <w:t>,</w:t>
      </w:r>
      <w:r w:rsidR="00F90E31">
        <w:t xml:space="preserve"> at 1 (on file in EB-TCD-21-000333100) (Complaint)</w:t>
      </w:r>
      <w:r w:rsidR="00C747A3">
        <w:t xml:space="preserve"> (</w:t>
      </w:r>
      <w:r w:rsidR="00F90E31">
        <w:t>“I am hearing impaired and rely on visual (text versions) voicemail so that I can read the voicemails that people leave me.”</w:t>
      </w:r>
      <w:r w:rsidR="00C747A3">
        <w:t>)</w:t>
      </w:r>
    </w:p>
  </w:footnote>
  <w:footnote w:id="30">
    <w:p w:rsidR="00F90E31" w:rsidRPr="006229C5" w14:paraId="187630E4" w14:textId="410533BA">
      <w:pPr>
        <w:pStyle w:val="FootnoteText"/>
      </w:pPr>
      <w:r>
        <w:rPr>
          <w:rStyle w:val="FootnoteReference"/>
        </w:rPr>
        <w:footnoteRef/>
      </w:r>
      <w:r>
        <w:t xml:space="preserve"> </w:t>
      </w:r>
      <w:r w:rsidRPr="00D309F8" w:rsidR="0003404E">
        <w:rPr>
          <w:i/>
          <w:iCs/>
        </w:rPr>
        <w:t>Id.</w:t>
      </w:r>
      <w:r w:rsidR="006229C5">
        <w:t xml:space="preserve"> at </w:t>
      </w:r>
      <w:r w:rsidR="00C747A3">
        <w:t>2</w:t>
      </w:r>
      <w:r w:rsidR="006229C5">
        <w:t>.</w:t>
      </w:r>
      <w:r w:rsidR="00C747A3">
        <w:t xml:space="preserve">  (“</w:t>
      </w:r>
      <w:r w:rsidRPr="00C26E97" w:rsidR="00C747A3">
        <w:rPr>
          <w:i/>
          <w:iCs/>
        </w:rPr>
        <w:t>Relief Requested</w:t>
      </w:r>
      <w:r w:rsidRPr="00C26E97" w:rsidR="00C747A3">
        <w:t>: I would like Verizon to fix their Visual Voicemail system so that it works on all Samsung phones, including my phone.</w:t>
      </w:r>
      <w:r w:rsidR="00C747A3">
        <w:t xml:space="preserve">”)  </w:t>
      </w:r>
    </w:p>
  </w:footnote>
  <w:footnote w:id="31">
    <w:p w:rsidR="00223DFE" w:rsidP="00DF0C6B" w14:paraId="11ACCFDC" w14:textId="079F09E8">
      <w:pPr>
        <w:pStyle w:val="FootnoteText"/>
      </w:pPr>
      <w:r>
        <w:rPr>
          <w:rStyle w:val="FootnoteReference"/>
        </w:rPr>
        <w:footnoteRef/>
      </w:r>
      <w:r>
        <w:t xml:space="preserve"> </w:t>
      </w:r>
      <w:r w:rsidRPr="00C71B11" w:rsidR="00C71B11">
        <w:rPr>
          <w:i/>
          <w:iCs/>
        </w:rPr>
        <w:t>Id</w:t>
      </w:r>
      <w:r w:rsidR="00C71B11">
        <w:t xml:space="preserve">. at 1.  </w:t>
      </w:r>
      <w:r w:rsidR="00AB61B0">
        <w:t xml:space="preserve">  </w:t>
      </w:r>
    </w:p>
  </w:footnote>
  <w:footnote w:id="32">
    <w:p w:rsidR="00C3352E" w14:paraId="5B40DF37" w14:textId="45D63CC6">
      <w:pPr>
        <w:pStyle w:val="FootnoteText"/>
      </w:pPr>
      <w:r>
        <w:rPr>
          <w:rStyle w:val="FootnoteReference"/>
        </w:rPr>
        <w:footnoteRef/>
      </w:r>
      <w:r>
        <w:t xml:space="preserve"> </w:t>
      </w:r>
      <w:r w:rsidRPr="00C71B11" w:rsidR="00C71B11">
        <w:rPr>
          <w:i/>
          <w:iCs/>
        </w:rPr>
        <w:t>Id</w:t>
      </w:r>
      <w:r w:rsidR="00C71B11">
        <w:t>.</w:t>
      </w:r>
    </w:p>
  </w:footnote>
  <w:footnote w:id="33">
    <w:p w:rsidR="009950F6" w14:paraId="085BA3E6" w14:textId="5EA4B81B">
      <w:pPr>
        <w:pStyle w:val="FootnoteText"/>
      </w:pPr>
      <w:r>
        <w:rPr>
          <w:rStyle w:val="FootnoteReference"/>
        </w:rPr>
        <w:footnoteRef/>
      </w:r>
      <w:r>
        <w:t xml:space="preserve"> </w:t>
      </w:r>
      <w:r w:rsidRPr="009950F6">
        <w:rPr>
          <w:i/>
          <w:iCs/>
        </w:rPr>
        <w:t>Id</w:t>
      </w:r>
      <w:r>
        <w:t>.</w:t>
      </w:r>
    </w:p>
  </w:footnote>
  <w:footnote w:id="34">
    <w:p w:rsidR="009950F6" w:rsidP="00E66A24" w14:paraId="7291E967" w14:textId="7F487349">
      <w:pPr>
        <w:pStyle w:val="FootnoteText"/>
      </w:pPr>
      <w:r>
        <w:rPr>
          <w:rStyle w:val="FootnoteReference"/>
        </w:rPr>
        <w:footnoteRef/>
      </w:r>
      <w:r>
        <w:t xml:space="preserve"> </w:t>
      </w:r>
      <w:r w:rsidR="00C41FC8">
        <w:t xml:space="preserve">Preliminary Response to Informal Complaint from Ian </w:t>
      </w:r>
      <w:r w:rsidR="00C41FC8">
        <w:t>Dil</w:t>
      </w:r>
      <w:r w:rsidR="00D42B6F">
        <w:t>l</w:t>
      </w:r>
      <w:r w:rsidR="00C41FC8">
        <w:t>ner</w:t>
      </w:r>
      <w:r w:rsidR="00C41FC8">
        <w:t>, counsel for Verizon Wireless, to Phillip Priesman, Telecommunications Consumers Division, FCC</w:t>
      </w:r>
      <w:r w:rsidR="00E66A24">
        <w:t xml:space="preserve"> Enforcement Bureau at De_Anda_0000138 (e-mail dated Nov. 11, 2021 from Verizon to Mr. De Anda) (Dec. 21, 2021) (on file in </w:t>
      </w:r>
      <w:r w:rsidRPr="00C41FC8" w:rsidR="00E66A24">
        <w:t>EB-TCD-21-00033100</w:t>
      </w:r>
      <w:r w:rsidR="00E66A24">
        <w:t xml:space="preserve">) (Preliminary Response). </w:t>
      </w:r>
    </w:p>
  </w:footnote>
  <w:footnote w:id="35">
    <w:p w:rsidR="00DF1FF5" w:rsidP="00DF1FF5" w14:paraId="39A2543A" w14:textId="69A4E488">
      <w:pPr>
        <w:pStyle w:val="FootnoteText"/>
      </w:pPr>
      <w:r>
        <w:rPr>
          <w:rStyle w:val="FootnoteReference"/>
        </w:rPr>
        <w:footnoteRef/>
      </w:r>
      <w:r>
        <w:t xml:space="preserve"> </w:t>
      </w:r>
      <w:bookmarkStart w:id="12" w:name="_Hlk99447360"/>
      <w:r>
        <w:t>47 CFR § 14.32</w:t>
      </w:r>
      <w:bookmarkEnd w:id="12"/>
      <w:r w:rsidR="00D67DD0">
        <w:t>, 14.34(b)(5)</w:t>
      </w:r>
      <w:r w:rsidRPr="009E3BD1">
        <w:rPr>
          <w:bCs/>
          <w:color w:val="000000"/>
          <w:lang w:val="en"/>
        </w:rPr>
        <w:t xml:space="preserve">; </w:t>
      </w:r>
      <w:r w:rsidRPr="009E3BD1">
        <w:rPr>
          <w:bCs/>
          <w:i/>
          <w:iCs/>
          <w:color w:val="000000"/>
          <w:lang w:val="en"/>
        </w:rPr>
        <w:t xml:space="preserve">see also </w:t>
      </w:r>
      <w:r w:rsidRPr="009E3BD1">
        <w:rPr>
          <w:bCs/>
          <w:color w:val="000000"/>
          <w:lang w:val="en"/>
        </w:rPr>
        <w:t xml:space="preserve">Request for Dispute Assistance Form </w:t>
      </w:r>
      <w:r w:rsidRPr="00D67DD0">
        <w:rPr>
          <w:bCs/>
          <w:color w:val="000000"/>
          <w:lang w:val="en"/>
        </w:rPr>
        <w:t xml:space="preserve">(filed </w:t>
      </w:r>
      <w:r w:rsidRPr="00D67DD0" w:rsidR="00D67DD0">
        <w:rPr>
          <w:bCs/>
          <w:color w:val="000000"/>
          <w:lang w:val="en"/>
        </w:rPr>
        <w:t>August 31, 2021</w:t>
      </w:r>
      <w:r w:rsidRPr="00D67DD0">
        <w:rPr>
          <w:bCs/>
          <w:color w:val="000000"/>
          <w:lang w:val="en"/>
        </w:rPr>
        <w:t>)</w:t>
      </w:r>
      <w:r w:rsidRPr="00D67DD0">
        <w:rPr>
          <w:bCs/>
        </w:rPr>
        <w:t>.</w:t>
      </w:r>
      <w:r>
        <w:t xml:space="preserve"> </w:t>
      </w:r>
    </w:p>
  </w:footnote>
  <w:footnote w:id="36">
    <w:p w:rsidR="00D52E77" w14:paraId="4989E90F" w14:textId="13BB5048">
      <w:pPr>
        <w:pStyle w:val="FootnoteText"/>
      </w:pPr>
      <w:r>
        <w:rPr>
          <w:rStyle w:val="FootnoteReference"/>
        </w:rPr>
        <w:footnoteRef/>
      </w:r>
      <w:r>
        <w:t xml:space="preserve"> </w:t>
      </w:r>
      <w:r w:rsidR="00E66A24">
        <w:t>Answer at 9</w:t>
      </w:r>
      <w:r w:rsidR="009B1399">
        <w:t>, n.27</w:t>
      </w:r>
      <w:r w:rsidR="00E66A24">
        <w:t xml:space="preserve"> </w:t>
      </w:r>
      <w:r>
        <w:t xml:space="preserve">(Jan. 18, 2022) </w:t>
      </w:r>
      <w:r w:rsidR="00E66A24">
        <w:t xml:space="preserve">(on file in </w:t>
      </w:r>
      <w:r w:rsidRPr="00C41FC8" w:rsidR="00E66A24">
        <w:t>EB-TCD-21-00033100</w:t>
      </w:r>
      <w:r w:rsidR="00E66A24">
        <w:t xml:space="preserve">) </w:t>
      </w:r>
      <w:r w:rsidR="00151CB8">
        <w:t xml:space="preserve"> (Answer)</w:t>
      </w:r>
      <w:r>
        <w:t xml:space="preserve">. </w:t>
      </w:r>
      <w:r w:rsidR="002E678C">
        <w:t xml:space="preserve"> </w:t>
      </w:r>
      <w:r w:rsidRPr="00FB66A1" w:rsidR="002E678C">
        <w:rPr>
          <w:i/>
          <w:iCs/>
        </w:rPr>
        <w:t>See also</w:t>
      </w:r>
      <w:r w:rsidR="002E678C">
        <w:t xml:space="preserve"> Answer at 14.</w:t>
      </w:r>
      <w:r>
        <w:t xml:space="preserve"> </w:t>
      </w:r>
      <w:r w:rsidR="00C41FC8">
        <w:t xml:space="preserve"> </w:t>
      </w:r>
    </w:p>
  </w:footnote>
  <w:footnote w:id="37">
    <w:p w:rsidR="000221D7" w14:paraId="52A79703" w14:textId="766CB998">
      <w:pPr>
        <w:pStyle w:val="FootnoteText"/>
      </w:pPr>
      <w:r>
        <w:rPr>
          <w:rStyle w:val="FootnoteReference"/>
        </w:rPr>
        <w:footnoteRef/>
      </w:r>
      <w:r>
        <w:t xml:space="preserve"> </w:t>
      </w:r>
      <w:r w:rsidRPr="000221D7">
        <w:rPr>
          <w:i/>
          <w:iCs/>
        </w:rPr>
        <w:t>Id</w:t>
      </w:r>
      <w:r>
        <w:t>.</w:t>
      </w:r>
    </w:p>
  </w:footnote>
  <w:footnote w:id="38">
    <w:p w:rsidR="000221D7" w14:paraId="5CB4BC4F" w14:textId="7F9E2FEC">
      <w:pPr>
        <w:pStyle w:val="FootnoteText"/>
      </w:pPr>
      <w:r>
        <w:rPr>
          <w:rStyle w:val="FootnoteReference"/>
        </w:rPr>
        <w:footnoteRef/>
      </w:r>
      <w:r>
        <w:t xml:space="preserve"> </w:t>
      </w:r>
      <w:r w:rsidRPr="000221D7">
        <w:rPr>
          <w:i/>
          <w:iCs/>
        </w:rPr>
        <w:t>Id</w:t>
      </w:r>
      <w:r>
        <w:t xml:space="preserve">. </w:t>
      </w:r>
      <w:r w:rsidR="00867C60">
        <w:t>a</w:t>
      </w:r>
      <w:r>
        <w:t xml:space="preserve">t n.27.  </w:t>
      </w:r>
    </w:p>
  </w:footnote>
  <w:footnote w:id="39">
    <w:p w:rsidR="00867C60" w14:paraId="2A6AAD13" w14:textId="7A69E6FF">
      <w:pPr>
        <w:pStyle w:val="FootnoteText"/>
      </w:pPr>
      <w:r>
        <w:rPr>
          <w:rStyle w:val="FootnoteReference"/>
        </w:rPr>
        <w:footnoteRef/>
      </w:r>
      <w:r>
        <w:t xml:space="preserve"> </w:t>
      </w:r>
      <w:r w:rsidRPr="00867C60">
        <w:rPr>
          <w:i/>
          <w:iCs/>
        </w:rPr>
        <w:t>Id</w:t>
      </w:r>
      <w:r>
        <w:t xml:space="preserve">. at 9.  </w:t>
      </w:r>
    </w:p>
  </w:footnote>
  <w:footnote w:id="40">
    <w:p w:rsidR="00867C60" w14:paraId="0E51D504" w14:textId="217507CF">
      <w:pPr>
        <w:pStyle w:val="FootnoteText"/>
      </w:pPr>
      <w:r>
        <w:rPr>
          <w:rStyle w:val="FootnoteReference"/>
        </w:rPr>
        <w:footnoteRef/>
      </w:r>
      <w:r>
        <w:t xml:space="preserve"> </w:t>
      </w:r>
      <w:r w:rsidRPr="00867C60">
        <w:rPr>
          <w:i/>
          <w:iCs/>
        </w:rPr>
        <w:t>Id</w:t>
      </w:r>
      <w:r>
        <w:t>.</w:t>
      </w:r>
    </w:p>
  </w:footnote>
  <w:footnote w:id="41">
    <w:p w:rsidR="00DF119C" w14:paraId="4FC3E030" w14:textId="50A84EC0">
      <w:pPr>
        <w:pStyle w:val="FootnoteText"/>
      </w:pPr>
      <w:r>
        <w:rPr>
          <w:rStyle w:val="FootnoteReference"/>
        </w:rPr>
        <w:footnoteRef/>
      </w:r>
      <w:r>
        <w:t xml:space="preserve"> </w:t>
      </w:r>
      <w:r w:rsidRPr="00DF119C">
        <w:rPr>
          <w:i/>
          <w:iCs/>
        </w:rPr>
        <w:t>Id</w:t>
      </w:r>
      <w:r>
        <w:t>. at 14.</w:t>
      </w:r>
    </w:p>
  </w:footnote>
  <w:footnote w:id="42">
    <w:p w:rsidR="00632D97" w14:paraId="1FC7DF3A" w14:textId="12CC3492">
      <w:pPr>
        <w:pStyle w:val="FootnoteText"/>
      </w:pPr>
      <w:r>
        <w:rPr>
          <w:rStyle w:val="FootnoteReference"/>
        </w:rPr>
        <w:footnoteRef/>
      </w:r>
      <w:r>
        <w:t xml:space="preserve"> </w:t>
      </w:r>
      <w:r w:rsidRPr="00632D97">
        <w:rPr>
          <w:i/>
          <w:iCs/>
        </w:rPr>
        <w:t>Id</w:t>
      </w:r>
      <w:r>
        <w:t xml:space="preserve">. at 6.  </w:t>
      </w:r>
    </w:p>
  </w:footnote>
  <w:footnote w:id="43">
    <w:p w:rsidR="00632D97" w14:paraId="0B46F8A7" w14:textId="0963FEF4">
      <w:pPr>
        <w:pStyle w:val="FootnoteText"/>
      </w:pPr>
      <w:r>
        <w:rPr>
          <w:rStyle w:val="FootnoteReference"/>
        </w:rPr>
        <w:footnoteRef/>
      </w:r>
      <w:r>
        <w:t xml:space="preserve"> </w:t>
      </w:r>
      <w:r w:rsidRPr="00632D97">
        <w:rPr>
          <w:i/>
          <w:iCs/>
        </w:rPr>
        <w:t>Id</w:t>
      </w:r>
      <w:r>
        <w:t xml:space="preserve">. </w:t>
      </w:r>
      <w:r w:rsidR="003C3F96">
        <w:t>at 6-7.</w:t>
      </w:r>
      <w:r>
        <w:t xml:space="preserve"> </w:t>
      </w:r>
      <w:r w:rsidR="008D5AD6">
        <w:t xml:space="preserve">Mr. De Anda filed his Complaint with the Commission in December, 2021, after spending </w:t>
      </w:r>
      <w:r w:rsidR="00AE1501">
        <w:t>more than a year</w:t>
      </w:r>
      <w:r w:rsidR="008D5AD6">
        <w:t xml:space="preserve"> trying to resolve this matter with Verizon.</w:t>
      </w:r>
      <w:r w:rsidR="009075AE">
        <w:t xml:space="preserve">  </w:t>
      </w:r>
      <w:r w:rsidRPr="00D309F8" w:rsidR="00AF60AF">
        <w:rPr>
          <w:i/>
          <w:iCs/>
        </w:rPr>
        <w:t>See</w:t>
      </w:r>
      <w:r w:rsidR="00AF60AF">
        <w:t xml:space="preserve"> </w:t>
      </w:r>
      <w:r w:rsidR="009075AE">
        <w:t xml:space="preserve">Complaint at 1.  </w:t>
      </w:r>
    </w:p>
  </w:footnote>
  <w:footnote w:id="44">
    <w:p w:rsidR="00FB66A1" w:rsidP="00262FF1" w14:paraId="4C90D792" w14:textId="5B711CBB">
      <w:pPr>
        <w:pStyle w:val="FootnoteText"/>
      </w:pPr>
      <w:r>
        <w:rPr>
          <w:rStyle w:val="FootnoteReference"/>
        </w:rPr>
        <w:footnoteRef/>
      </w:r>
      <w:r>
        <w:t xml:space="preserve"> </w:t>
      </w:r>
      <w:r w:rsidR="000D1DFF">
        <w:t>For example</w:t>
      </w:r>
      <w:r>
        <w:t>, Verizon claim</w:t>
      </w:r>
      <w:r w:rsidR="00760380">
        <w:t>ed</w:t>
      </w:r>
      <w:r>
        <w:t xml:space="preserve"> Mr. De Anda </w:t>
      </w:r>
      <w:r w:rsidRPr="000D1DFF">
        <w:t>was able to resolve his issue</w:t>
      </w:r>
      <w:r>
        <w:t xml:space="preserve"> by working with Samsung.  </w:t>
      </w:r>
      <w:r>
        <w:rPr>
          <w:i/>
          <w:iCs/>
        </w:rPr>
        <w:t>See</w:t>
      </w:r>
      <w:r>
        <w:t xml:space="preserve"> Answer at </w:t>
      </w:r>
      <w:r w:rsidR="000D1DFF">
        <w:t>6-7.  However, w</w:t>
      </w:r>
      <w:r>
        <w:t>e note that in his response to Verizon’s Answer, Mr. De Anda denie</w:t>
      </w:r>
      <w:r w:rsidR="009E038F">
        <w:t>d</w:t>
      </w:r>
      <w:r>
        <w:t xml:space="preserve"> that his problem was resolved by Samsung. </w:t>
      </w:r>
      <w:r w:rsidR="001C6E88">
        <w:t xml:space="preserve"> </w:t>
      </w:r>
      <w:r>
        <w:rPr>
          <w:i/>
          <w:iCs/>
        </w:rPr>
        <w:t>See</w:t>
      </w:r>
      <w:r>
        <w:t xml:space="preserve"> E-mail from Juan De</w:t>
      </w:r>
      <w:r w:rsidR="00BE7344">
        <w:t xml:space="preserve"> </w:t>
      </w:r>
      <w:r>
        <w:t>Anda to Phillip Priesman, Telecommunications Consumers Division, FCC Enforcement Bureau (Jan. 19, 2022, 10:02 EDT) (De</w:t>
      </w:r>
      <w:r w:rsidR="005B1969">
        <w:t xml:space="preserve"> </w:t>
      </w:r>
      <w:r>
        <w:t>Anda Response).</w:t>
      </w:r>
    </w:p>
  </w:footnote>
  <w:footnote w:id="45">
    <w:p w:rsidR="005E1872" w:rsidP="00262FF1" w14:paraId="79CD6FDA" w14:textId="2EFAA310">
      <w:pPr>
        <w:pStyle w:val="FootnoteText"/>
      </w:pPr>
      <w:r>
        <w:rPr>
          <w:rStyle w:val="FootnoteReference"/>
        </w:rPr>
        <w:footnoteRef/>
      </w:r>
      <w:r>
        <w:t xml:space="preserve"> 47 CFR § 14.34(b)</w:t>
      </w:r>
      <w:r w:rsidR="00EA16BE">
        <w:t xml:space="preserve">.  </w:t>
      </w:r>
      <w:r w:rsidRPr="00FD1974" w:rsidR="00EA16BE">
        <w:rPr>
          <w:i/>
          <w:iCs/>
        </w:rPr>
        <w:t>See also</w:t>
      </w:r>
      <w:r w:rsidR="00EA16BE">
        <w:t xml:space="preserve"> discussion at para. 5, </w:t>
      </w:r>
      <w:r w:rsidRPr="00FD1974" w:rsidR="00EA16BE">
        <w:rPr>
          <w:i/>
          <w:iCs/>
        </w:rPr>
        <w:t>supra</w:t>
      </w:r>
      <w:r>
        <w:t>.</w:t>
      </w:r>
    </w:p>
  </w:footnote>
  <w:footnote w:id="46">
    <w:p w:rsidR="004A14FD" w14:paraId="5331E555" w14:textId="5F3856EA">
      <w:pPr>
        <w:pStyle w:val="FootnoteText"/>
      </w:pPr>
      <w:r>
        <w:rPr>
          <w:rStyle w:val="FootnoteReference"/>
        </w:rPr>
        <w:footnoteRef/>
      </w:r>
      <w:r>
        <w:t xml:space="preserve"> </w:t>
      </w:r>
      <w:r w:rsidR="00295903">
        <w:t>Complaint at 1-2.</w:t>
      </w:r>
    </w:p>
  </w:footnote>
  <w:footnote w:id="47">
    <w:p w:rsidR="00267FE5" w14:paraId="76FEDE1F" w14:textId="0E9BBA1D">
      <w:pPr>
        <w:pStyle w:val="FootnoteText"/>
      </w:pPr>
      <w:r>
        <w:rPr>
          <w:rStyle w:val="FootnoteReference"/>
        </w:rPr>
        <w:footnoteRef/>
      </w:r>
      <w:r>
        <w:t xml:space="preserve"> </w:t>
      </w:r>
      <w:r w:rsidRPr="00295903" w:rsidR="00295903">
        <w:rPr>
          <w:i/>
          <w:iCs/>
        </w:rPr>
        <w:t>Id</w:t>
      </w:r>
      <w:r w:rsidR="00295903">
        <w:t>.</w:t>
      </w:r>
      <w:r>
        <w:t xml:space="preserve"> </w:t>
      </w:r>
    </w:p>
  </w:footnote>
  <w:footnote w:id="48">
    <w:p w:rsidR="00C5575D" w14:paraId="5FB901ED" w14:textId="726F75F6">
      <w:pPr>
        <w:pStyle w:val="FootnoteText"/>
      </w:pPr>
      <w:r>
        <w:rPr>
          <w:rStyle w:val="FootnoteReference"/>
        </w:rPr>
        <w:footnoteRef/>
      </w:r>
      <w:r>
        <w:t xml:space="preserve"> </w:t>
      </w:r>
      <w:r w:rsidR="004534F5">
        <w:t>Answer at 4.</w:t>
      </w:r>
    </w:p>
  </w:footnote>
  <w:footnote w:id="49">
    <w:p w:rsidR="0089312D" w14:paraId="156830D6" w14:textId="5630F50A">
      <w:pPr>
        <w:pStyle w:val="FootnoteText"/>
      </w:pPr>
      <w:r>
        <w:rPr>
          <w:rStyle w:val="FootnoteReference"/>
        </w:rPr>
        <w:footnoteRef/>
      </w:r>
      <w:r>
        <w:t xml:space="preserve"> </w:t>
      </w:r>
      <w:r w:rsidR="00407D61">
        <w:t>DeAnda</w:t>
      </w:r>
      <w:r w:rsidR="00407D61">
        <w:t xml:space="preserve"> Response at 1. </w:t>
      </w:r>
    </w:p>
  </w:footnote>
  <w:footnote w:id="50">
    <w:p w:rsidR="00C24226" w:rsidP="00407D61" w14:paraId="12AAB0A5" w14:textId="349BD138">
      <w:pPr>
        <w:pStyle w:val="FootnoteText"/>
      </w:pPr>
      <w:r w:rsidRPr="00C24226">
        <w:rPr>
          <w:rStyle w:val="FootnoteReference"/>
        </w:rPr>
        <w:footnoteRef/>
      </w:r>
      <w:r w:rsidRPr="00407D61">
        <w:t xml:space="preserve"> </w:t>
      </w:r>
      <w:r w:rsidRPr="00407D61">
        <w:rPr>
          <w:i/>
          <w:iCs/>
        </w:rPr>
        <w:t>2011 CVAA Implementation Order</w:t>
      </w:r>
      <w:r w:rsidRPr="00407D61">
        <w:t xml:space="preserve">, </w:t>
      </w:r>
      <w:r w:rsidRPr="00407D61">
        <w:rPr>
          <w:spacing w:val="-2"/>
        </w:rPr>
        <w:t xml:space="preserve">26 FCC </w:t>
      </w:r>
      <w:r w:rsidRPr="00407D61">
        <w:rPr>
          <w:spacing w:val="-2"/>
        </w:rPr>
        <w:t>Rcd</w:t>
      </w:r>
      <w:r w:rsidRPr="00407D61">
        <w:rPr>
          <w:spacing w:val="-2"/>
        </w:rPr>
        <w:t xml:space="preserve"> </w:t>
      </w:r>
      <w:r w:rsidRPr="00407D61">
        <w:t>at 14668-69, para</w:t>
      </w:r>
      <w:r w:rsidR="00DF1337">
        <w:t>s</w:t>
      </w:r>
      <w:r w:rsidRPr="00407D61">
        <w:t>. 2</w:t>
      </w:r>
      <w:r w:rsidR="00DF1337">
        <w:t>45-46</w:t>
      </w:r>
      <w:r w:rsidRPr="00407D61">
        <w:t xml:space="preserve">.  </w:t>
      </w:r>
      <w:r w:rsidR="00AE607A">
        <w:t>(</w:t>
      </w:r>
      <w:r w:rsidRPr="00407D61">
        <w:t xml:space="preserve">“We find the public interest would be served by adopting the minimum requirements identified by the Commission in the Accessibility NPRM for informal complaints. … Further, we believe that these requirements create a simple mechanism for parties to bring legitimate accessibility complaints before the Commission while deterring potential complainants from filing frivolous, incomplete, or inaccurate complaints.”)  </w:t>
      </w:r>
    </w:p>
  </w:footnote>
  <w:footnote w:id="51">
    <w:p w:rsidR="008700C2" w14:paraId="39BAB5B4" w14:textId="23E27F76">
      <w:pPr>
        <w:pStyle w:val="FootnoteText"/>
      </w:pPr>
      <w:r>
        <w:rPr>
          <w:rStyle w:val="FootnoteReference"/>
        </w:rPr>
        <w:footnoteRef/>
      </w:r>
      <w:r>
        <w:t xml:space="preserve"> </w:t>
      </w:r>
      <w:r w:rsidRPr="008700C2">
        <w:rPr>
          <w:i/>
          <w:iCs/>
        </w:rPr>
        <w:t>See</w:t>
      </w:r>
      <w:r>
        <w:t xml:space="preserve"> </w:t>
      </w:r>
      <w:r w:rsidRPr="00D309F8" w:rsidR="0055513F">
        <w:rPr>
          <w:i/>
          <w:iCs/>
        </w:rPr>
        <w:t>id.</w:t>
      </w:r>
      <w:r w:rsidR="0055513F">
        <w:t xml:space="preserve"> at</w:t>
      </w:r>
      <w:r w:rsidR="00BC7F0F">
        <w:t xml:space="preserve"> para. 258 (“</w:t>
      </w:r>
      <w:r w:rsidR="00BC7F0F">
        <w:rPr>
          <w:szCs w:val="22"/>
        </w:rPr>
        <w:t xml:space="preserve">Defendants must file complete answers, including supporting records and documentation, with the Commission within the 20-day time period specified by the Commission.”); </w:t>
      </w:r>
      <w:r>
        <w:t xml:space="preserve">47 CFR § 14.36(a).  </w:t>
      </w:r>
    </w:p>
  </w:footnote>
  <w:footnote w:id="52">
    <w:p w:rsidR="00D73B3E" w14:paraId="195DEB69" w14:textId="069D5E1C">
      <w:pPr>
        <w:pStyle w:val="FootnoteText"/>
      </w:pPr>
      <w:r>
        <w:rPr>
          <w:rStyle w:val="FootnoteReference"/>
        </w:rPr>
        <w:footnoteRef/>
      </w:r>
      <w:r>
        <w:t xml:space="preserve"> </w:t>
      </w:r>
      <w:r w:rsidR="00034780">
        <w:t xml:space="preserve">Answer at 9, n.27.  </w:t>
      </w:r>
    </w:p>
  </w:footnote>
  <w:footnote w:id="53">
    <w:p w:rsidR="00D73B3E" w14:paraId="573CCCA6" w14:textId="6BD99076">
      <w:pPr>
        <w:pStyle w:val="FootnoteText"/>
      </w:pPr>
      <w:r>
        <w:rPr>
          <w:rStyle w:val="FootnoteReference"/>
        </w:rPr>
        <w:footnoteRef/>
      </w:r>
      <w:r>
        <w:t xml:space="preserve"> </w:t>
      </w:r>
      <w:r w:rsidR="00292F11">
        <w:t xml:space="preserve">Answer at 14.  </w:t>
      </w:r>
    </w:p>
  </w:footnote>
  <w:footnote w:id="54">
    <w:p w:rsidR="000D7CB6" w:rsidP="000D7CB6" w14:paraId="040AFCD6" w14:textId="5E301D54">
      <w:pPr>
        <w:pStyle w:val="FootnoteText"/>
      </w:pPr>
      <w:r>
        <w:rPr>
          <w:rStyle w:val="FootnoteReference"/>
        </w:rPr>
        <w:footnoteRef/>
      </w:r>
      <w:r>
        <w:t xml:space="preserve"> Verizon stated that, “</w:t>
      </w:r>
      <w:r w:rsidRPr="002F3C12">
        <w:t xml:space="preserve">Because the complaint does not establish a </w:t>
      </w:r>
      <w:r w:rsidRPr="00AB7BA8">
        <w:rPr>
          <w:i/>
          <w:iCs/>
        </w:rPr>
        <w:t>prima facie</w:t>
      </w:r>
      <w:r w:rsidRPr="002F3C12">
        <w:t xml:space="preserve"> violation, it is not relevant or necessary for Verizon to review the accessibility design or other aspects of the service that lie outside of the specific allegations here.</w:t>
      </w:r>
      <w:r>
        <w:t xml:space="preserve"> . .”  </w:t>
      </w:r>
      <w:r w:rsidR="00292F11">
        <w:t>Answer at 9, n.27.</w:t>
      </w:r>
    </w:p>
  </w:footnote>
  <w:footnote w:id="55">
    <w:p w:rsidR="00696ABD" w14:paraId="61C5FB2C" w14:textId="60667DB3">
      <w:pPr>
        <w:pStyle w:val="FootnoteText"/>
      </w:pPr>
      <w:r>
        <w:rPr>
          <w:rStyle w:val="FootnoteReference"/>
        </w:rPr>
        <w:footnoteRef/>
      </w:r>
      <w:r>
        <w:t xml:space="preserve"> Verizon d</w:t>
      </w:r>
      <w:r w:rsidR="009E038F">
        <w:t>id</w:t>
      </w:r>
      <w:r>
        <w:t xml:space="preserve"> not offer any support for its assumption that the service had to have been inaccessible to people other than Mr. De Anda.</w:t>
      </w:r>
      <w:r w:rsidR="00233434">
        <w:t xml:space="preserve">  </w:t>
      </w:r>
    </w:p>
  </w:footnote>
  <w:footnote w:id="56">
    <w:p w:rsidR="00A27FEF" w14:paraId="05D06D7C" w14:textId="2BF1961F">
      <w:pPr>
        <w:pStyle w:val="FootnoteText"/>
      </w:pPr>
      <w:r>
        <w:rPr>
          <w:rStyle w:val="FootnoteReference"/>
        </w:rPr>
        <w:footnoteRef/>
      </w:r>
      <w:r>
        <w:t xml:space="preserve"> In fact, Verizon provided Mr. De Anda a </w:t>
      </w:r>
      <w:r w:rsidR="002746ED">
        <w:t xml:space="preserve">refurbished </w:t>
      </w:r>
      <w:r>
        <w:t xml:space="preserve">device, and its </w:t>
      </w:r>
      <w:r w:rsidR="0095417C">
        <w:t xml:space="preserve">Premium </w:t>
      </w:r>
      <w:r>
        <w:t>Visual Voicemail service still did not work.</w:t>
      </w:r>
    </w:p>
  </w:footnote>
  <w:footnote w:id="57">
    <w:p w:rsidR="002F7C30" w:rsidP="002F7C30" w14:paraId="200100A3" w14:textId="77777777">
      <w:pPr>
        <w:pStyle w:val="FootnoteText"/>
      </w:pPr>
      <w:r>
        <w:rPr>
          <w:rStyle w:val="FootnoteReference"/>
        </w:rPr>
        <w:footnoteRef/>
      </w:r>
      <w:r>
        <w:t xml:space="preserve"> 47 CFR § 14.36(b)(2).</w:t>
      </w:r>
    </w:p>
  </w:footnote>
  <w:footnote w:id="58">
    <w:p w:rsidR="00A37AF2" w14:paraId="15BFF565" w14:textId="6C36472A">
      <w:pPr>
        <w:pStyle w:val="FootnoteText"/>
      </w:pPr>
      <w:r>
        <w:rPr>
          <w:rStyle w:val="FootnoteReference"/>
        </w:rPr>
        <w:footnoteRef/>
      </w:r>
      <w:r>
        <w:t xml:space="preserve"> 47 CFR § 14.36(</w:t>
      </w:r>
      <w:r w:rsidR="002B699E">
        <w:t>b</w:t>
      </w:r>
      <w:r>
        <w:t>)</w:t>
      </w:r>
      <w:r w:rsidR="002B699E">
        <w:t>(2)(iv)</w:t>
      </w:r>
      <w:r>
        <w:t>.</w:t>
      </w:r>
    </w:p>
  </w:footnote>
  <w:footnote w:id="59">
    <w:p w:rsidR="00BE1A24" w14:paraId="417F5E9B" w14:textId="43409F1E">
      <w:pPr>
        <w:pStyle w:val="FootnoteText"/>
      </w:pPr>
      <w:r>
        <w:rPr>
          <w:rStyle w:val="FootnoteReference"/>
        </w:rPr>
        <w:footnoteRef/>
      </w:r>
      <w:r>
        <w:t xml:space="preserve"> </w:t>
      </w:r>
      <w:r w:rsidRPr="00157FD6">
        <w:t>In addition to its Answer, Verizon submitted a preliminary response to the Complaint, and initial and supplemental responses to the Commission’s Letter of Inquiry</w:t>
      </w:r>
      <w:r w:rsidR="009922DB">
        <w:t xml:space="preserve"> </w:t>
      </w:r>
      <w:r w:rsidRPr="00C75521" w:rsidR="009922DB">
        <w:rPr>
          <w:rFonts w:asciiTheme="majorBidi" w:hAnsiTheme="majorBidi" w:cstheme="majorBidi"/>
        </w:rPr>
        <w:t>(</w:t>
      </w:r>
      <w:r w:rsidR="009922DB">
        <w:t xml:space="preserve">Letter of Inquiry from Kristi Thompson, Chief, Telecommunications Consumers Division, FCC Enforcement Bureau, to </w:t>
      </w:r>
      <w:r w:rsidR="009922DB">
        <w:t>Cellco</w:t>
      </w:r>
      <w:r w:rsidR="009922DB">
        <w:t xml:space="preserve"> Partnership D/B/A Verizon Wireless (Feb. 2, 2022) (on file in EB-TCD-21-00033100 and EB-TCD-21-00033200).</w:t>
      </w:r>
      <w:r w:rsidRPr="00157FD6">
        <w:t xml:space="preserve">  </w:t>
      </w:r>
      <w:r w:rsidRPr="00157FD6">
        <w:rPr>
          <w:i/>
          <w:iCs/>
        </w:rPr>
        <w:t>See</w:t>
      </w:r>
      <w:r w:rsidRPr="00157FD6">
        <w:t xml:space="preserve"> Preliminary Response; e-mail from David </w:t>
      </w:r>
      <w:r w:rsidRPr="00157FD6">
        <w:t>Haga</w:t>
      </w:r>
      <w:r w:rsidRPr="00157FD6">
        <w:t>, Associate General Counsel, Verizon, to Phillip Priesman, Telecommunications Consumers Division,</w:t>
      </w:r>
      <w:r>
        <w:t xml:space="preserve"> </w:t>
      </w:r>
      <w:r w:rsidRPr="00157FD6">
        <w:t>FCC Enforcement Bureau, et al</w:t>
      </w:r>
      <w:r w:rsidR="00BD5A39">
        <w:t>.</w:t>
      </w:r>
      <w:r w:rsidRPr="00157FD6">
        <w:t xml:space="preserve"> (Feb. 17, 2022, 19:23 EDT) (on file in EB-TCD-21-00033100); e-mail from David </w:t>
      </w:r>
      <w:r w:rsidRPr="00157FD6">
        <w:t>Haga</w:t>
      </w:r>
      <w:r w:rsidRPr="00157FD6">
        <w:t>, Associate General Counsel, Verizon, to Phillip Priesman, Telecommunications Consumers Division, FCC Enforcement Bureau, et al</w:t>
      </w:r>
      <w:r w:rsidR="00BD5A39">
        <w:t>.</w:t>
      </w:r>
      <w:r w:rsidRPr="00157FD6">
        <w:t xml:space="preserve"> (Feb. 21, 2022; 14:56 EDT) (on file in EB-TCD-21-00033100).</w:t>
      </w:r>
    </w:p>
  </w:footnote>
  <w:footnote w:id="60">
    <w:p w:rsidR="00075FB9" w:rsidP="00075FB9" w14:paraId="2558000E" w14:textId="77777777">
      <w:pPr>
        <w:pStyle w:val="FootnoteText"/>
      </w:pPr>
      <w:r>
        <w:rPr>
          <w:rStyle w:val="FootnoteReference"/>
        </w:rPr>
        <w:footnoteRef/>
      </w:r>
      <w:r>
        <w:t xml:space="preserve"> 47 CFR § 14.36.    </w:t>
      </w:r>
    </w:p>
  </w:footnote>
  <w:footnote w:id="61">
    <w:p w:rsidR="003E55BD" w:rsidP="003E55BD" w14:paraId="2221F2C2" w14:textId="77777777">
      <w:pPr>
        <w:pStyle w:val="FootnoteText"/>
      </w:pPr>
      <w:r>
        <w:rPr>
          <w:rStyle w:val="FootnoteReference"/>
        </w:rPr>
        <w:footnoteRef/>
      </w:r>
      <w:r>
        <w:t xml:space="preserve"> </w:t>
      </w:r>
      <w:r w:rsidRPr="008D0B60">
        <w:t>47 CFR § 14.3</w:t>
      </w:r>
      <w:r>
        <w:t>7(b)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3A68" w:rsidRPr="002C2186" w:rsidP="002C2186" w14:paraId="30264CB2" w14:textId="4171AE4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22-622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C2186" w:rsidP="002C2186" w14:paraId="0997CC7B" w14:textId="511CEE09">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22-622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14C5B"/>
    <w:multiLevelType w:val="multilevel"/>
    <w:tmpl w:val="EC46CC0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2">
    <w:nsid w:val="0AE474F5"/>
    <w:multiLevelType w:val="hybridMultilevel"/>
    <w:tmpl w:val="5F8CF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4C6E4C"/>
    <w:multiLevelType w:val="multilevel"/>
    <w:tmpl w:val="6B8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67329D7"/>
    <w:multiLevelType w:val="hybridMultilevel"/>
    <w:tmpl w:val="F856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B980497"/>
    <w:multiLevelType w:val="multilevel"/>
    <w:tmpl w:val="A42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15D95"/>
    <w:multiLevelType w:val="multilevel"/>
    <w:tmpl w:val="DD8CF2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0">
    <w:nsid w:val="490A5A7E"/>
    <w:multiLevelType w:val="multilevel"/>
    <w:tmpl w:val="D61C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D5A22EF"/>
    <w:multiLevelType w:val="multilevel"/>
    <w:tmpl w:val="A3C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C562C4"/>
    <w:multiLevelType w:val="multilevel"/>
    <w:tmpl w:val="935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0D3A0F"/>
    <w:multiLevelType w:val="multilevel"/>
    <w:tmpl w:val="1F0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6"/>
  </w:num>
  <w:num w:numId="4">
    <w:abstractNumId w:val="11"/>
  </w:num>
  <w:num w:numId="5">
    <w:abstractNumId w:val="5"/>
  </w:num>
  <w:num w:numId="6">
    <w:abstractNumId w:val="0"/>
  </w:num>
  <w:num w:numId="7">
    <w:abstractNumId w:val="13"/>
    <w:lvlOverride w:ilvl="0">
      <w:startOverride w:val="1"/>
    </w:lvlOverride>
  </w:num>
  <w:num w:numId="8">
    <w:abstractNumId w:val="13"/>
  </w:num>
  <w:num w:numId="9">
    <w:abstractNumId w:val="13"/>
  </w:num>
  <w:num w:numId="10">
    <w:abstractNumId w:val="13"/>
  </w:num>
  <w:num w:numId="11">
    <w:abstractNumId w:val="13"/>
  </w:num>
  <w:num w:numId="12">
    <w:abstractNumId w:val="9"/>
  </w:num>
  <w:num w:numId="13">
    <w:abstractNumId w:val="14"/>
  </w:num>
  <w:num w:numId="14">
    <w:abstractNumId w:val="1"/>
  </w:num>
  <w:num w:numId="15">
    <w:abstractNumId w:val="15"/>
  </w:num>
  <w:num w:numId="16">
    <w:abstractNumId w:val="12"/>
  </w:num>
  <w:num w:numId="17">
    <w:abstractNumId w:val="8"/>
  </w:num>
  <w:num w:numId="18">
    <w:abstractNumId w:val="3"/>
  </w:num>
  <w:num w:numId="19">
    <w:abstractNumId w:val="10"/>
  </w:num>
  <w:num w:numId="20">
    <w:abstractNumId w:val="7"/>
  </w:num>
  <w:num w:numId="21">
    <w:abstractNumId w:val="2"/>
  </w:num>
  <w:num w:numId="22">
    <w:abstractNumId w:val="13"/>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D"/>
    <w:rsid w:val="00002E1F"/>
    <w:rsid w:val="000051AE"/>
    <w:rsid w:val="00005EBC"/>
    <w:rsid w:val="00005F35"/>
    <w:rsid w:val="000065D2"/>
    <w:rsid w:val="00013A6E"/>
    <w:rsid w:val="00013D8F"/>
    <w:rsid w:val="0001464C"/>
    <w:rsid w:val="00016637"/>
    <w:rsid w:val="0001796C"/>
    <w:rsid w:val="000221D7"/>
    <w:rsid w:val="00023DC1"/>
    <w:rsid w:val="00026F92"/>
    <w:rsid w:val="0003037A"/>
    <w:rsid w:val="00030589"/>
    <w:rsid w:val="000322E9"/>
    <w:rsid w:val="00032A13"/>
    <w:rsid w:val="0003342B"/>
    <w:rsid w:val="0003404E"/>
    <w:rsid w:val="00034093"/>
    <w:rsid w:val="00034780"/>
    <w:rsid w:val="0003501C"/>
    <w:rsid w:val="000355A1"/>
    <w:rsid w:val="00035D19"/>
    <w:rsid w:val="00035D73"/>
    <w:rsid w:val="00036039"/>
    <w:rsid w:val="00037F90"/>
    <w:rsid w:val="00043890"/>
    <w:rsid w:val="00046FB2"/>
    <w:rsid w:val="0005076B"/>
    <w:rsid w:val="00050D27"/>
    <w:rsid w:val="00051F6E"/>
    <w:rsid w:val="0005240F"/>
    <w:rsid w:val="0005612E"/>
    <w:rsid w:val="00057EFF"/>
    <w:rsid w:val="00060837"/>
    <w:rsid w:val="00062023"/>
    <w:rsid w:val="000629C7"/>
    <w:rsid w:val="00062F9F"/>
    <w:rsid w:val="00063E83"/>
    <w:rsid w:val="00067198"/>
    <w:rsid w:val="00067DD9"/>
    <w:rsid w:val="00075FB9"/>
    <w:rsid w:val="0007600E"/>
    <w:rsid w:val="00080345"/>
    <w:rsid w:val="000817E4"/>
    <w:rsid w:val="00083619"/>
    <w:rsid w:val="000844F2"/>
    <w:rsid w:val="0008490E"/>
    <w:rsid w:val="0008652F"/>
    <w:rsid w:val="000875BF"/>
    <w:rsid w:val="000900C5"/>
    <w:rsid w:val="00091245"/>
    <w:rsid w:val="000933AF"/>
    <w:rsid w:val="00095674"/>
    <w:rsid w:val="0009632D"/>
    <w:rsid w:val="00096D8C"/>
    <w:rsid w:val="00097D63"/>
    <w:rsid w:val="000A11EB"/>
    <w:rsid w:val="000A2D86"/>
    <w:rsid w:val="000B09E1"/>
    <w:rsid w:val="000B1091"/>
    <w:rsid w:val="000B3A64"/>
    <w:rsid w:val="000B3E2F"/>
    <w:rsid w:val="000B59A4"/>
    <w:rsid w:val="000B6324"/>
    <w:rsid w:val="000C021E"/>
    <w:rsid w:val="000C0B65"/>
    <w:rsid w:val="000C1663"/>
    <w:rsid w:val="000C2044"/>
    <w:rsid w:val="000C24FB"/>
    <w:rsid w:val="000C462F"/>
    <w:rsid w:val="000C54E0"/>
    <w:rsid w:val="000C628B"/>
    <w:rsid w:val="000C7337"/>
    <w:rsid w:val="000D1BF8"/>
    <w:rsid w:val="000D1DFF"/>
    <w:rsid w:val="000D4AE0"/>
    <w:rsid w:val="000D7CB6"/>
    <w:rsid w:val="000E05FE"/>
    <w:rsid w:val="000E28F8"/>
    <w:rsid w:val="000E3D42"/>
    <w:rsid w:val="000E4239"/>
    <w:rsid w:val="000E49A4"/>
    <w:rsid w:val="000E5E1C"/>
    <w:rsid w:val="000E693C"/>
    <w:rsid w:val="000E7200"/>
    <w:rsid w:val="000F0055"/>
    <w:rsid w:val="000F1EDB"/>
    <w:rsid w:val="000F48D9"/>
    <w:rsid w:val="000F650D"/>
    <w:rsid w:val="000F6617"/>
    <w:rsid w:val="0010272B"/>
    <w:rsid w:val="00103ECB"/>
    <w:rsid w:val="00105517"/>
    <w:rsid w:val="00107229"/>
    <w:rsid w:val="001115BA"/>
    <w:rsid w:val="0011229E"/>
    <w:rsid w:val="00115858"/>
    <w:rsid w:val="00120E66"/>
    <w:rsid w:val="001226C8"/>
    <w:rsid w:val="00122A92"/>
    <w:rsid w:val="00122BD5"/>
    <w:rsid w:val="00126A3C"/>
    <w:rsid w:val="00126EB9"/>
    <w:rsid w:val="00127D6C"/>
    <w:rsid w:val="00130CC7"/>
    <w:rsid w:val="00132356"/>
    <w:rsid w:val="001335BD"/>
    <w:rsid w:val="00133D12"/>
    <w:rsid w:val="00133F79"/>
    <w:rsid w:val="001350E0"/>
    <w:rsid w:val="0014363C"/>
    <w:rsid w:val="00143C29"/>
    <w:rsid w:val="00145894"/>
    <w:rsid w:val="00146217"/>
    <w:rsid w:val="00147C1D"/>
    <w:rsid w:val="00151448"/>
    <w:rsid w:val="00151CB8"/>
    <w:rsid w:val="00152C87"/>
    <w:rsid w:val="0015498D"/>
    <w:rsid w:val="001554C9"/>
    <w:rsid w:val="0015694E"/>
    <w:rsid w:val="00157FD6"/>
    <w:rsid w:val="0016242D"/>
    <w:rsid w:val="00163A22"/>
    <w:rsid w:val="001643E9"/>
    <w:rsid w:val="00164749"/>
    <w:rsid w:val="00165B83"/>
    <w:rsid w:val="00166690"/>
    <w:rsid w:val="001669F7"/>
    <w:rsid w:val="001677AE"/>
    <w:rsid w:val="001705F4"/>
    <w:rsid w:val="00170938"/>
    <w:rsid w:val="0017296F"/>
    <w:rsid w:val="00176729"/>
    <w:rsid w:val="00176A5A"/>
    <w:rsid w:val="00180077"/>
    <w:rsid w:val="001828A7"/>
    <w:rsid w:val="00184172"/>
    <w:rsid w:val="00186418"/>
    <w:rsid w:val="001865C1"/>
    <w:rsid w:val="00187116"/>
    <w:rsid w:val="001873D3"/>
    <w:rsid w:val="001879ED"/>
    <w:rsid w:val="00191028"/>
    <w:rsid w:val="00194A66"/>
    <w:rsid w:val="00194BA4"/>
    <w:rsid w:val="0019633E"/>
    <w:rsid w:val="001A012E"/>
    <w:rsid w:val="001A1F71"/>
    <w:rsid w:val="001A26A8"/>
    <w:rsid w:val="001A4938"/>
    <w:rsid w:val="001A523C"/>
    <w:rsid w:val="001B01A9"/>
    <w:rsid w:val="001B05E4"/>
    <w:rsid w:val="001B0D51"/>
    <w:rsid w:val="001B12CD"/>
    <w:rsid w:val="001B28EE"/>
    <w:rsid w:val="001B4E03"/>
    <w:rsid w:val="001B4EC6"/>
    <w:rsid w:val="001B6168"/>
    <w:rsid w:val="001B7287"/>
    <w:rsid w:val="001B72FD"/>
    <w:rsid w:val="001C0CA3"/>
    <w:rsid w:val="001C2CF8"/>
    <w:rsid w:val="001C44E4"/>
    <w:rsid w:val="001C4B3D"/>
    <w:rsid w:val="001C6E88"/>
    <w:rsid w:val="001C6F7F"/>
    <w:rsid w:val="001D01B5"/>
    <w:rsid w:val="001D0292"/>
    <w:rsid w:val="001D3FB9"/>
    <w:rsid w:val="001D46C0"/>
    <w:rsid w:val="001D5E20"/>
    <w:rsid w:val="001D688D"/>
    <w:rsid w:val="001D6BCF"/>
    <w:rsid w:val="001E01CA"/>
    <w:rsid w:val="001E205B"/>
    <w:rsid w:val="001E3718"/>
    <w:rsid w:val="001E502C"/>
    <w:rsid w:val="001E7EF1"/>
    <w:rsid w:val="001F2592"/>
    <w:rsid w:val="001F2B86"/>
    <w:rsid w:val="001F3D28"/>
    <w:rsid w:val="001F4D62"/>
    <w:rsid w:val="00204DC7"/>
    <w:rsid w:val="00207B1D"/>
    <w:rsid w:val="00210E7C"/>
    <w:rsid w:val="002119D7"/>
    <w:rsid w:val="002129BB"/>
    <w:rsid w:val="00216E47"/>
    <w:rsid w:val="00223DD0"/>
    <w:rsid w:val="00223DFE"/>
    <w:rsid w:val="00223EDC"/>
    <w:rsid w:val="0022498E"/>
    <w:rsid w:val="002308DE"/>
    <w:rsid w:val="002327D8"/>
    <w:rsid w:val="00233089"/>
    <w:rsid w:val="00233434"/>
    <w:rsid w:val="00234BCA"/>
    <w:rsid w:val="00240340"/>
    <w:rsid w:val="00240B8C"/>
    <w:rsid w:val="0024211B"/>
    <w:rsid w:val="002433EF"/>
    <w:rsid w:val="00244911"/>
    <w:rsid w:val="00245FCE"/>
    <w:rsid w:val="00256A62"/>
    <w:rsid w:val="002609E6"/>
    <w:rsid w:val="00262FF1"/>
    <w:rsid w:val="002631D0"/>
    <w:rsid w:val="00264685"/>
    <w:rsid w:val="00267FE5"/>
    <w:rsid w:val="002746ED"/>
    <w:rsid w:val="00275CF5"/>
    <w:rsid w:val="002773C0"/>
    <w:rsid w:val="0027757E"/>
    <w:rsid w:val="0028241F"/>
    <w:rsid w:val="0028301F"/>
    <w:rsid w:val="00284607"/>
    <w:rsid w:val="00285017"/>
    <w:rsid w:val="00287919"/>
    <w:rsid w:val="00287BC3"/>
    <w:rsid w:val="00287F75"/>
    <w:rsid w:val="002921B9"/>
    <w:rsid w:val="00292F11"/>
    <w:rsid w:val="00292FA1"/>
    <w:rsid w:val="00295903"/>
    <w:rsid w:val="00295C01"/>
    <w:rsid w:val="002A240C"/>
    <w:rsid w:val="002A2D2E"/>
    <w:rsid w:val="002B1D58"/>
    <w:rsid w:val="002B59D6"/>
    <w:rsid w:val="002B699E"/>
    <w:rsid w:val="002C00E8"/>
    <w:rsid w:val="002C0522"/>
    <w:rsid w:val="002C2186"/>
    <w:rsid w:val="002C3978"/>
    <w:rsid w:val="002C6CA6"/>
    <w:rsid w:val="002C7DE7"/>
    <w:rsid w:val="002D0093"/>
    <w:rsid w:val="002D1CDF"/>
    <w:rsid w:val="002D2D77"/>
    <w:rsid w:val="002D3A36"/>
    <w:rsid w:val="002D517D"/>
    <w:rsid w:val="002D5CB8"/>
    <w:rsid w:val="002D5E1A"/>
    <w:rsid w:val="002D756D"/>
    <w:rsid w:val="002E3B32"/>
    <w:rsid w:val="002E3B99"/>
    <w:rsid w:val="002E43F6"/>
    <w:rsid w:val="002E5ED7"/>
    <w:rsid w:val="002E6161"/>
    <w:rsid w:val="002E678C"/>
    <w:rsid w:val="002F2984"/>
    <w:rsid w:val="002F3379"/>
    <w:rsid w:val="002F3C12"/>
    <w:rsid w:val="002F49D4"/>
    <w:rsid w:val="002F4B0E"/>
    <w:rsid w:val="002F4DD9"/>
    <w:rsid w:val="002F7C30"/>
    <w:rsid w:val="00300B46"/>
    <w:rsid w:val="00300E1D"/>
    <w:rsid w:val="00301232"/>
    <w:rsid w:val="003047D1"/>
    <w:rsid w:val="00304CF3"/>
    <w:rsid w:val="00305196"/>
    <w:rsid w:val="00305ED1"/>
    <w:rsid w:val="00312BAC"/>
    <w:rsid w:val="00317547"/>
    <w:rsid w:val="00317929"/>
    <w:rsid w:val="00321844"/>
    <w:rsid w:val="00321D8A"/>
    <w:rsid w:val="00324790"/>
    <w:rsid w:val="003253B2"/>
    <w:rsid w:val="003301C5"/>
    <w:rsid w:val="00332D59"/>
    <w:rsid w:val="00333065"/>
    <w:rsid w:val="003331B0"/>
    <w:rsid w:val="00334350"/>
    <w:rsid w:val="003410F7"/>
    <w:rsid w:val="003422E0"/>
    <w:rsid w:val="003425F9"/>
    <w:rsid w:val="00343749"/>
    <w:rsid w:val="0034699B"/>
    <w:rsid w:val="0034778F"/>
    <w:rsid w:val="0035047F"/>
    <w:rsid w:val="003513AC"/>
    <w:rsid w:val="00351663"/>
    <w:rsid w:val="00353E21"/>
    <w:rsid w:val="00355105"/>
    <w:rsid w:val="00363241"/>
    <w:rsid w:val="00364CD9"/>
    <w:rsid w:val="003652B4"/>
    <w:rsid w:val="003660ED"/>
    <w:rsid w:val="00367CDD"/>
    <w:rsid w:val="003705AF"/>
    <w:rsid w:val="0037325E"/>
    <w:rsid w:val="00373EBE"/>
    <w:rsid w:val="00375E6D"/>
    <w:rsid w:val="00376F79"/>
    <w:rsid w:val="003806B1"/>
    <w:rsid w:val="00382C63"/>
    <w:rsid w:val="003915A3"/>
    <w:rsid w:val="00394CA9"/>
    <w:rsid w:val="003A3648"/>
    <w:rsid w:val="003B0550"/>
    <w:rsid w:val="003B0805"/>
    <w:rsid w:val="003B0F4B"/>
    <w:rsid w:val="003B2651"/>
    <w:rsid w:val="003B595B"/>
    <w:rsid w:val="003B5A58"/>
    <w:rsid w:val="003B694F"/>
    <w:rsid w:val="003B7893"/>
    <w:rsid w:val="003C3F96"/>
    <w:rsid w:val="003C70EB"/>
    <w:rsid w:val="003D0D10"/>
    <w:rsid w:val="003D335C"/>
    <w:rsid w:val="003E1346"/>
    <w:rsid w:val="003E2B58"/>
    <w:rsid w:val="003E2D53"/>
    <w:rsid w:val="003E2ECA"/>
    <w:rsid w:val="003E3C75"/>
    <w:rsid w:val="003E5231"/>
    <w:rsid w:val="003E55BD"/>
    <w:rsid w:val="003E5750"/>
    <w:rsid w:val="003E66AA"/>
    <w:rsid w:val="003E728A"/>
    <w:rsid w:val="003F171C"/>
    <w:rsid w:val="003F18FB"/>
    <w:rsid w:val="003F2E3C"/>
    <w:rsid w:val="003F606A"/>
    <w:rsid w:val="003F6760"/>
    <w:rsid w:val="00400409"/>
    <w:rsid w:val="004008AD"/>
    <w:rsid w:val="004009C0"/>
    <w:rsid w:val="004020D7"/>
    <w:rsid w:val="004022A4"/>
    <w:rsid w:val="00403A6E"/>
    <w:rsid w:val="00404727"/>
    <w:rsid w:val="00407D61"/>
    <w:rsid w:val="004113CD"/>
    <w:rsid w:val="0041140C"/>
    <w:rsid w:val="00412FC5"/>
    <w:rsid w:val="00417CAA"/>
    <w:rsid w:val="00422276"/>
    <w:rsid w:val="004238FF"/>
    <w:rsid w:val="004242F1"/>
    <w:rsid w:val="00425661"/>
    <w:rsid w:val="00426F8E"/>
    <w:rsid w:val="00431BFC"/>
    <w:rsid w:val="0043596D"/>
    <w:rsid w:val="0043767D"/>
    <w:rsid w:val="004413CE"/>
    <w:rsid w:val="00444572"/>
    <w:rsid w:val="00445A00"/>
    <w:rsid w:val="00446EBD"/>
    <w:rsid w:val="004470A2"/>
    <w:rsid w:val="0044790A"/>
    <w:rsid w:val="00450D85"/>
    <w:rsid w:val="00451B0F"/>
    <w:rsid w:val="004534F5"/>
    <w:rsid w:val="004607A2"/>
    <w:rsid w:val="004622DE"/>
    <w:rsid w:val="0046248E"/>
    <w:rsid w:val="00465E72"/>
    <w:rsid w:val="00467A33"/>
    <w:rsid w:val="00467A55"/>
    <w:rsid w:val="0047279F"/>
    <w:rsid w:val="00474228"/>
    <w:rsid w:val="00482F8F"/>
    <w:rsid w:val="004842FF"/>
    <w:rsid w:val="00485AC5"/>
    <w:rsid w:val="00486304"/>
    <w:rsid w:val="0049074E"/>
    <w:rsid w:val="004929DA"/>
    <w:rsid w:val="00494352"/>
    <w:rsid w:val="004969F2"/>
    <w:rsid w:val="004A0E91"/>
    <w:rsid w:val="004A14FD"/>
    <w:rsid w:val="004A1ED3"/>
    <w:rsid w:val="004A3C29"/>
    <w:rsid w:val="004A40E9"/>
    <w:rsid w:val="004A4C2B"/>
    <w:rsid w:val="004A70A5"/>
    <w:rsid w:val="004B00DB"/>
    <w:rsid w:val="004B537B"/>
    <w:rsid w:val="004C0FAE"/>
    <w:rsid w:val="004C2EE3"/>
    <w:rsid w:val="004C3F1E"/>
    <w:rsid w:val="004C48DA"/>
    <w:rsid w:val="004C510F"/>
    <w:rsid w:val="004C73D0"/>
    <w:rsid w:val="004C7E98"/>
    <w:rsid w:val="004D0BBC"/>
    <w:rsid w:val="004D0E3F"/>
    <w:rsid w:val="004D1A42"/>
    <w:rsid w:val="004D47C4"/>
    <w:rsid w:val="004E0B2A"/>
    <w:rsid w:val="004E0BB1"/>
    <w:rsid w:val="004E17D4"/>
    <w:rsid w:val="004E19D0"/>
    <w:rsid w:val="004E1E9F"/>
    <w:rsid w:val="004E1FD0"/>
    <w:rsid w:val="004E4A22"/>
    <w:rsid w:val="004E4D38"/>
    <w:rsid w:val="004E5E2D"/>
    <w:rsid w:val="004F10B1"/>
    <w:rsid w:val="004F2BC6"/>
    <w:rsid w:val="004F30F8"/>
    <w:rsid w:val="004F6173"/>
    <w:rsid w:val="004F61C5"/>
    <w:rsid w:val="00501B59"/>
    <w:rsid w:val="0050200A"/>
    <w:rsid w:val="0050662D"/>
    <w:rsid w:val="00507EBC"/>
    <w:rsid w:val="0051046B"/>
    <w:rsid w:val="0051083A"/>
    <w:rsid w:val="00511968"/>
    <w:rsid w:val="00513E29"/>
    <w:rsid w:val="00523B13"/>
    <w:rsid w:val="00523E60"/>
    <w:rsid w:val="005335FE"/>
    <w:rsid w:val="00536364"/>
    <w:rsid w:val="00540D35"/>
    <w:rsid w:val="005428D7"/>
    <w:rsid w:val="00544FB7"/>
    <w:rsid w:val="00547F19"/>
    <w:rsid w:val="00550CAE"/>
    <w:rsid w:val="005513FF"/>
    <w:rsid w:val="00553743"/>
    <w:rsid w:val="00553748"/>
    <w:rsid w:val="0055513F"/>
    <w:rsid w:val="0055614C"/>
    <w:rsid w:val="00556E3A"/>
    <w:rsid w:val="005577EA"/>
    <w:rsid w:val="00561643"/>
    <w:rsid w:val="00561ECA"/>
    <w:rsid w:val="00564195"/>
    <w:rsid w:val="005651E5"/>
    <w:rsid w:val="00566550"/>
    <w:rsid w:val="00566D06"/>
    <w:rsid w:val="005678CB"/>
    <w:rsid w:val="005704C2"/>
    <w:rsid w:val="00570ABE"/>
    <w:rsid w:val="00571E43"/>
    <w:rsid w:val="00577DB4"/>
    <w:rsid w:val="005814DC"/>
    <w:rsid w:val="00582697"/>
    <w:rsid w:val="0058400B"/>
    <w:rsid w:val="00590475"/>
    <w:rsid w:val="00590B77"/>
    <w:rsid w:val="00592F03"/>
    <w:rsid w:val="00594E9C"/>
    <w:rsid w:val="00596C0F"/>
    <w:rsid w:val="0059706F"/>
    <w:rsid w:val="005A0A58"/>
    <w:rsid w:val="005A0F33"/>
    <w:rsid w:val="005A1CB4"/>
    <w:rsid w:val="005A270E"/>
    <w:rsid w:val="005A36B0"/>
    <w:rsid w:val="005A43A4"/>
    <w:rsid w:val="005A556D"/>
    <w:rsid w:val="005A6200"/>
    <w:rsid w:val="005A66BB"/>
    <w:rsid w:val="005A68A0"/>
    <w:rsid w:val="005A76B1"/>
    <w:rsid w:val="005A7D96"/>
    <w:rsid w:val="005B1969"/>
    <w:rsid w:val="005B598B"/>
    <w:rsid w:val="005B6323"/>
    <w:rsid w:val="005C0554"/>
    <w:rsid w:val="005C0D62"/>
    <w:rsid w:val="005C1020"/>
    <w:rsid w:val="005C2688"/>
    <w:rsid w:val="005C7A43"/>
    <w:rsid w:val="005D02AE"/>
    <w:rsid w:val="005D0C4D"/>
    <w:rsid w:val="005D525A"/>
    <w:rsid w:val="005D7400"/>
    <w:rsid w:val="005E00F2"/>
    <w:rsid w:val="005E022E"/>
    <w:rsid w:val="005E0881"/>
    <w:rsid w:val="005E14C2"/>
    <w:rsid w:val="005E1872"/>
    <w:rsid w:val="005E2F63"/>
    <w:rsid w:val="005E3611"/>
    <w:rsid w:val="005E3C9B"/>
    <w:rsid w:val="005E4A0E"/>
    <w:rsid w:val="005E53BD"/>
    <w:rsid w:val="005E5A9B"/>
    <w:rsid w:val="005E6EDA"/>
    <w:rsid w:val="005E70FC"/>
    <w:rsid w:val="005F023B"/>
    <w:rsid w:val="005F0D08"/>
    <w:rsid w:val="005F52D9"/>
    <w:rsid w:val="005F695C"/>
    <w:rsid w:val="005F70F6"/>
    <w:rsid w:val="006017C7"/>
    <w:rsid w:val="00603231"/>
    <w:rsid w:val="0060482D"/>
    <w:rsid w:val="00606B32"/>
    <w:rsid w:val="00606E99"/>
    <w:rsid w:val="00607306"/>
    <w:rsid w:val="006077CB"/>
    <w:rsid w:val="00607BA5"/>
    <w:rsid w:val="0061180A"/>
    <w:rsid w:val="00611B2E"/>
    <w:rsid w:val="006132F4"/>
    <w:rsid w:val="006229C5"/>
    <w:rsid w:val="0062310F"/>
    <w:rsid w:val="006238DB"/>
    <w:rsid w:val="0062459F"/>
    <w:rsid w:val="00624E46"/>
    <w:rsid w:val="00626EB6"/>
    <w:rsid w:val="00627877"/>
    <w:rsid w:val="00627B8B"/>
    <w:rsid w:val="00630483"/>
    <w:rsid w:val="006305A1"/>
    <w:rsid w:val="0063098F"/>
    <w:rsid w:val="006320BF"/>
    <w:rsid w:val="00632D97"/>
    <w:rsid w:val="00633E03"/>
    <w:rsid w:val="006368E9"/>
    <w:rsid w:val="00637739"/>
    <w:rsid w:val="00637AA0"/>
    <w:rsid w:val="00640F97"/>
    <w:rsid w:val="006413A6"/>
    <w:rsid w:val="00641C7B"/>
    <w:rsid w:val="0064327C"/>
    <w:rsid w:val="006464AE"/>
    <w:rsid w:val="0065163B"/>
    <w:rsid w:val="0065195B"/>
    <w:rsid w:val="00653A11"/>
    <w:rsid w:val="00655D03"/>
    <w:rsid w:val="00655E4B"/>
    <w:rsid w:val="00656254"/>
    <w:rsid w:val="00656F14"/>
    <w:rsid w:val="00657CA0"/>
    <w:rsid w:val="0066012D"/>
    <w:rsid w:val="00660381"/>
    <w:rsid w:val="00660A95"/>
    <w:rsid w:val="006658E0"/>
    <w:rsid w:val="00666722"/>
    <w:rsid w:val="00666B47"/>
    <w:rsid w:val="00667BB8"/>
    <w:rsid w:val="00671F8A"/>
    <w:rsid w:val="00673BBB"/>
    <w:rsid w:val="00675176"/>
    <w:rsid w:val="0067576C"/>
    <w:rsid w:val="006768A7"/>
    <w:rsid w:val="00683388"/>
    <w:rsid w:val="00683F84"/>
    <w:rsid w:val="0068628A"/>
    <w:rsid w:val="00687F9F"/>
    <w:rsid w:val="00690F2A"/>
    <w:rsid w:val="006921F3"/>
    <w:rsid w:val="0069396F"/>
    <w:rsid w:val="00693E88"/>
    <w:rsid w:val="00693FD2"/>
    <w:rsid w:val="00696090"/>
    <w:rsid w:val="00696ABD"/>
    <w:rsid w:val="00697176"/>
    <w:rsid w:val="006A04D4"/>
    <w:rsid w:val="006A111D"/>
    <w:rsid w:val="006A12B8"/>
    <w:rsid w:val="006A1F15"/>
    <w:rsid w:val="006A226A"/>
    <w:rsid w:val="006A3D49"/>
    <w:rsid w:val="006A6217"/>
    <w:rsid w:val="006A6A81"/>
    <w:rsid w:val="006B40C7"/>
    <w:rsid w:val="006C150D"/>
    <w:rsid w:val="006C1AC4"/>
    <w:rsid w:val="006C4204"/>
    <w:rsid w:val="006C4478"/>
    <w:rsid w:val="006C7B4A"/>
    <w:rsid w:val="006D1F7F"/>
    <w:rsid w:val="006D4D2A"/>
    <w:rsid w:val="006D611D"/>
    <w:rsid w:val="006D72D0"/>
    <w:rsid w:val="006D79EF"/>
    <w:rsid w:val="006E38A2"/>
    <w:rsid w:val="006E3AED"/>
    <w:rsid w:val="006E485D"/>
    <w:rsid w:val="006E50B2"/>
    <w:rsid w:val="006E5441"/>
    <w:rsid w:val="006E7BDC"/>
    <w:rsid w:val="006E7D6F"/>
    <w:rsid w:val="006E7E41"/>
    <w:rsid w:val="006F05B9"/>
    <w:rsid w:val="006F0E50"/>
    <w:rsid w:val="006F3768"/>
    <w:rsid w:val="006F7393"/>
    <w:rsid w:val="0070082F"/>
    <w:rsid w:val="00700A83"/>
    <w:rsid w:val="00700ACA"/>
    <w:rsid w:val="00701E9D"/>
    <w:rsid w:val="00702054"/>
    <w:rsid w:val="0070224F"/>
    <w:rsid w:val="007035DA"/>
    <w:rsid w:val="00705BDF"/>
    <w:rsid w:val="007115F7"/>
    <w:rsid w:val="00711E82"/>
    <w:rsid w:val="0072045D"/>
    <w:rsid w:val="00720FCB"/>
    <w:rsid w:val="007218CF"/>
    <w:rsid w:val="00721EE9"/>
    <w:rsid w:val="0072636C"/>
    <w:rsid w:val="00735225"/>
    <w:rsid w:val="007361A8"/>
    <w:rsid w:val="00736ADF"/>
    <w:rsid w:val="00737D3E"/>
    <w:rsid w:val="007414C0"/>
    <w:rsid w:val="00747A84"/>
    <w:rsid w:val="0075031B"/>
    <w:rsid w:val="0075170D"/>
    <w:rsid w:val="00755070"/>
    <w:rsid w:val="00760380"/>
    <w:rsid w:val="00760CD3"/>
    <w:rsid w:val="00762329"/>
    <w:rsid w:val="00762696"/>
    <w:rsid w:val="00763289"/>
    <w:rsid w:val="00771388"/>
    <w:rsid w:val="00771BAE"/>
    <w:rsid w:val="00772077"/>
    <w:rsid w:val="00772F2A"/>
    <w:rsid w:val="00775C24"/>
    <w:rsid w:val="0077730D"/>
    <w:rsid w:val="007779C3"/>
    <w:rsid w:val="0078005C"/>
    <w:rsid w:val="007837EC"/>
    <w:rsid w:val="00784EC3"/>
    <w:rsid w:val="0078542B"/>
    <w:rsid w:val="00785689"/>
    <w:rsid w:val="00790256"/>
    <w:rsid w:val="007903CD"/>
    <w:rsid w:val="00794781"/>
    <w:rsid w:val="007954A1"/>
    <w:rsid w:val="00796B83"/>
    <w:rsid w:val="0079754B"/>
    <w:rsid w:val="007A0955"/>
    <w:rsid w:val="007A129A"/>
    <w:rsid w:val="007A1E6D"/>
    <w:rsid w:val="007A2A93"/>
    <w:rsid w:val="007A2AF6"/>
    <w:rsid w:val="007B0EB2"/>
    <w:rsid w:val="007B1EB6"/>
    <w:rsid w:val="007B21C3"/>
    <w:rsid w:val="007B767E"/>
    <w:rsid w:val="007C28A8"/>
    <w:rsid w:val="007C2ED4"/>
    <w:rsid w:val="007C3F4A"/>
    <w:rsid w:val="007C552B"/>
    <w:rsid w:val="007C73E7"/>
    <w:rsid w:val="007C776F"/>
    <w:rsid w:val="007D1419"/>
    <w:rsid w:val="007D1E6F"/>
    <w:rsid w:val="007D2FAD"/>
    <w:rsid w:val="007D3E0F"/>
    <w:rsid w:val="007D4AFB"/>
    <w:rsid w:val="007D50DB"/>
    <w:rsid w:val="007E060F"/>
    <w:rsid w:val="007E0C2D"/>
    <w:rsid w:val="007E2625"/>
    <w:rsid w:val="007E38DB"/>
    <w:rsid w:val="007E4EC0"/>
    <w:rsid w:val="007F04D3"/>
    <w:rsid w:val="007F1902"/>
    <w:rsid w:val="007F47C7"/>
    <w:rsid w:val="007F4CCA"/>
    <w:rsid w:val="007F5A57"/>
    <w:rsid w:val="007F6A68"/>
    <w:rsid w:val="007F7DED"/>
    <w:rsid w:val="00802F9E"/>
    <w:rsid w:val="00804B47"/>
    <w:rsid w:val="00805833"/>
    <w:rsid w:val="00806B6D"/>
    <w:rsid w:val="00810B6F"/>
    <w:rsid w:val="00811F17"/>
    <w:rsid w:val="00822CE0"/>
    <w:rsid w:val="00824068"/>
    <w:rsid w:val="00827C13"/>
    <w:rsid w:val="00827D52"/>
    <w:rsid w:val="0083142B"/>
    <w:rsid w:val="0083275C"/>
    <w:rsid w:val="00834D38"/>
    <w:rsid w:val="00836F46"/>
    <w:rsid w:val="008407E8"/>
    <w:rsid w:val="00841413"/>
    <w:rsid w:val="008415C9"/>
    <w:rsid w:val="00841AB1"/>
    <w:rsid w:val="00841F73"/>
    <w:rsid w:val="008427C7"/>
    <w:rsid w:val="008456D7"/>
    <w:rsid w:val="0084593E"/>
    <w:rsid w:val="00846765"/>
    <w:rsid w:val="00852384"/>
    <w:rsid w:val="00853D72"/>
    <w:rsid w:val="0085512E"/>
    <w:rsid w:val="008551D9"/>
    <w:rsid w:val="0085564F"/>
    <w:rsid w:val="00856592"/>
    <w:rsid w:val="00857284"/>
    <w:rsid w:val="00862C0B"/>
    <w:rsid w:val="00863409"/>
    <w:rsid w:val="00863667"/>
    <w:rsid w:val="0086411B"/>
    <w:rsid w:val="0086738A"/>
    <w:rsid w:val="00867C60"/>
    <w:rsid w:val="008700C2"/>
    <w:rsid w:val="00870EF8"/>
    <w:rsid w:val="008731DE"/>
    <w:rsid w:val="008756B8"/>
    <w:rsid w:val="008763A1"/>
    <w:rsid w:val="0088175C"/>
    <w:rsid w:val="00882AF5"/>
    <w:rsid w:val="00883093"/>
    <w:rsid w:val="008864DA"/>
    <w:rsid w:val="00886FC2"/>
    <w:rsid w:val="008908FF"/>
    <w:rsid w:val="00890B91"/>
    <w:rsid w:val="0089312D"/>
    <w:rsid w:val="0089593F"/>
    <w:rsid w:val="0089669E"/>
    <w:rsid w:val="008968FC"/>
    <w:rsid w:val="008A2831"/>
    <w:rsid w:val="008A2A11"/>
    <w:rsid w:val="008B0935"/>
    <w:rsid w:val="008B7AD7"/>
    <w:rsid w:val="008C1AE9"/>
    <w:rsid w:val="008C38FC"/>
    <w:rsid w:val="008C5698"/>
    <w:rsid w:val="008C598D"/>
    <w:rsid w:val="008C5DAD"/>
    <w:rsid w:val="008C68F1"/>
    <w:rsid w:val="008D073C"/>
    <w:rsid w:val="008D0B60"/>
    <w:rsid w:val="008D0CDA"/>
    <w:rsid w:val="008D11A3"/>
    <w:rsid w:val="008D2565"/>
    <w:rsid w:val="008D4752"/>
    <w:rsid w:val="008D4975"/>
    <w:rsid w:val="008D5AD6"/>
    <w:rsid w:val="008E00C4"/>
    <w:rsid w:val="008E0D28"/>
    <w:rsid w:val="008E4626"/>
    <w:rsid w:val="008E4F0F"/>
    <w:rsid w:val="008E54CF"/>
    <w:rsid w:val="008E6087"/>
    <w:rsid w:val="008E62C4"/>
    <w:rsid w:val="008E6950"/>
    <w:rsid w:val="008E6DCE"/>
    <w:rsid w:val="008F1674"/>
    <w:rsid w:val="008F2F27"/>
    <w:rsid w:val="00902D6C"/>
    <w:rsid w:val="009075AE"/>
    <w:rsid w:val="009075C9"/>
    <w:rsid w:val="009125C6"/>
    <w:rsid w:val="009136DF"/>
    <w:rsid w:val="00914B02"/>
    <w:rsid w:val="00915627"/>
    <w:rsid w:val="00915F2B"/>
    <w:rsid w:val="009203A9"/>
    <w:rsid w:val="00921803"/>
    <w:rsid w:val="00921C15"/>
    <w:rsid w:val="00921F76"/>
    <w:rsid w:val="009221E4"/>
    <w:rsid w:val="00925690"/>
    <w:rsid w:val="00926503"/>
    <w:rsid w:val="00930C08"/>
    <w:rsid w:val="0093110D"/>
    <w:rsid w:val="009313FB"/>
    <w:rsid w:val="009333D1"/>
    <w:rsid w:val="009334A1"/>
    <w:rsid w:val="00937457"/>
    <w:rsid w:val="00937900"/>
    <w:rsid w:val="00944BC9"/>
    <w:rsid w:val="00946553"/>
    <w:rsid w:val="00947A24"/>
    <w:rsid w:val="00950072"/>
    <w:rsid w:val="00951746"/>
    <w:rsid w:val="00954130"/>
    <w:rsid w:val="0095417C"/>
    <w:rsid w:val="009543AF"/>
    <w:rsid w:val="0095483B"/>
    <w:rsid w:val="00955880"/>
    <w:rsid w:val="00955C24"/>
    <w:rsid w:val="00956B35"/>
    <w:rsid w:val="0096167F"/>
    <w:rsid w:val="009629E8"/>
    <w:rsid w:val="00965A37"/>
    <w:rsid w:val="00965BAC"/>
    <w:rsid w:val="00965E99"/>
    <w:rsid w:val="00965F57"/>
    <w:rsid w:val="00967D80"/>
    <w:rsid w:val="00970146"/>
    <w:rsid w:val="009701AF"/>
    <w:rsid w:val="00970A06"/>
    <w:rsid w:val="009726C0"/>
    <w:rsid w:val="009726D8"/>
    <w:rsid w:val="009731BA"/>
    <w:rsid w:val="009749AB"/>
    <w:rsid w:val="00975F49"/>
    <w:rsid w:val="00977309"/>
    <w:rsid w:val="00982E56"/>
    <w:rsid w:val="00983A10"/>
    <w:rsid w:val="00984665"/>
    <w:rsid w:val="009855E3"/>
    <w:rsid w:val="00985B7E"/>
    <w:rsid w:val="009922DB"/>
    <w:rsid w:val="00993A9C"/>
    <w:rsid w:val="00994866"/>
    <w:rsid w:val="00994B3E"/>
    <w:rsid w:val="009950F6"/>
    <w:rsid w:val="00995A9A"/>
    <w:rsid w:val="00995D47"/>
    <w:rsid w:val="00996D4B"/>
    <w:rsid w:val="00997FF1"/>
    <w:rsid w:val="009A40A6"/>
    <w:rsid w:val="009A47B0"/>
    <w:rsid w:val="009A512C"/>
    <w:rsid w:val="009A7691"/>
    <w:rsid w:val="009B07B1"/>
    <w:rsid w:val="009B1399"/>
    <w:rsid w:val="009B25FE"/>
    <w:rsid w:val="009B7403"/>
    <w:rsid w:val="009C08F4"/>
    <w:rsid w:val="009C135E"/>
    <w:rsid w:val="009C2219"/>
    <w:rsid w:val="009C35B7"/>
    <w:rsid w:val="009C54DD"/>
    <w:rsid w:val="009D0042"/>
    <w:rsid w:val="009D00F0"/>
    <w:rsid w:val="009D1C7A"/>
    <w:rsid w:val="009D260B"/>
    <w:rsid w:val="009D2D60"/>
    <w:rsid w:val="009D31EA"/>
    <w:rsid w:val="009D4617"/>
    <w:rsid w:val="009D7308"/>
    <w:rsid w:val="009D7F38"/>
    <w:rsid w:val="009E038F"/>
    <w:rsid w:val="009E103E"/>
    <w:rsid w:val="009E18FC"/>
    <w:rsid w:val="009E31AD"/>
    <w:rsid w:val="009E3BD1"/>
    <w:rsid w:val="009E3EF3"/>
    <w:rsid w:val="009E4698"/>
    <w:rsid w:val="009E5457"/>
    <w:rsid w:val="009F12CD"/>
    <w:rsid w:val="009F3FAA"/>
    <w:rsid w:val="009F7147"/>
    <w:rsid w:val="009F76DB"/>
    <w:rsid w:val="00A00165"/>
    <w:rsid w:val="00A0267B"/>
    <w:rsid w:val="00A0637A"/>
    <w:rsid w:val="00A105A0"/>
    <w:rsid w:val="00A10694"/>
    <w:rsid w:val="00A10971"/>
    <w:rsid w:val="00A119DC"/>
    <w:rsid w:val="00A15B4B"/>
    <w:rsid w:val="00A21457"/>
    <w:rsid w:val="00A2363B"/>
    <w:rsid w:val="00A23F2D"/>
    <w:rsid w:val="00A27FEF"/>
    <w:rsid w:val="00A3250C"/>
    <w:rsid w:val="00A32C3B"/>
    <w:rsid w:val="00A33EAB"/>
    <w:rsid w:val="00A361B8"/>
    <w:rsid w:val="00A37AF2"/>
    <w:rsid w:val="00A42674"/>
    <w:rsid w:val="00A4401D"/>
    <w:rsid w:val="00A45F4F"/>
    <w:rsid w:val="00A4739C"/>
    <w:rsid w:val="00A5122D"/>
    <w:rsid w:val="00A51457"/>
    <w:rsid w:val="00A5296A"/>
    <w:rsid w:val="00A53C73"/>
    <w:rsid w:val="00A563F6"/>
    <w:rsid w:val="00A600A9"/>
    <w:rsid w:val="00A60207"/>
    <w:rsid w:val="00A60855"/>
    <w:rsid w:val="00A660FD"/>
    <w:rsid w:val="00A70F25"/>
    <w:rsid w:val="00A72C12"/>
    <w:rsid w:val="00A7609B"/>
    <w:rsid w:val="00A773A8"/>
    <w:rsid w:val="00A8423F"/>
    <w:rsid w:val="00A86345"/>
    <w:rsid w:val="00A9622E"/>
    <w:rsid w:val="00A97642"/>
    <w:rsid w:val="00AA27A0"/>
    <w:rsid w:val="00AA55B7"/>
    <w:rsid w:val="00AA5B9E"/>
    <w:rsid w:val="00AB1226"/>
    <w:rsid w:val="00AB185B"/>
    <w:rsid w:val="00AB2407"/>
    <w:rsid w:val="00AB394A"/>
    <w:rsid w:val="00AB48BB"/>
    <w:rsid w:val="00AB4C10"/>
    <w:rsid w:val="00AB53DF"/>
    <w:rsid w:val="00AB61B0"/>
    <w:rsid w:val="00AB7BA8"/>
    <w:rsid w:val="00AC0102"/>
    <w:rsid w:val="00AC13E0"/>
    <w:rsid w:val="00AC310E"/>
    <w:rsid w:val="00AC4988"/>
    <w:rsid w:val="00AC6A9E"/>
    <w:rsid w:val="00AD0055"/>
    <w:rsid w:val="00AD1E81"/>
    <w:rsid w:val="00AD4CAE"/>
    <w:rsid w:val="00AD5411"/>
    <w:rsid w:val="00AD714D"/>
    <w:rsid w:val="00AE0FEF"/>
    <w:rsid w:val="00AE1501"/>
    <w:rsid w:val="00AE607A"/>
    <w:rsid w:val="00AE6DC9"/>
    <w:rsid w:val="00AE7C49"/>
    <w:rsid w:val="00AF0CDE"/>
    <w:rsid w:val="00AF1E81"/>
    <w:rsid w:val="00AF1F8E"/>
    <w:rsid w:val="00AF2780"/>
    <w:rsid w:val="00AF2DC6"/>
    <w:rsid w:val="00AF2DCE"/>
    <w:rsid w:val="00AF4180"/>
    <w:rsid w:val="00AF5215"/>
    <w:rsid w:val="00AF60AF"/>
    <w:rsid w:val="00AF69DC"/>
    <w:rsid w:val="00AF70B1"/>
    <w:rsid w:val="00B01554"/>
    <w:rsid w:val="00B0250A"/>
    <w:rsid w:val="00B02D5E"/>
    <w:rsid w:val="00B04857"/>
    <w:rsid w:val="00B07014"/>
    <w:rsid w:val="00B07CC8"/>
    <w:rsid w:val="00B07DE5"/>
    <w:rsid w:val="00B07E5C"/>
    <w:rsid w:val="00B10E18"/>
    <w:rsid w:val="00B121AA"/>
    <w:rsid w:val="00B13E83"/>
    <w:rsid w:val="00B14D9D"/>
    <w:rsid w:val="00B15346"/>
    <w:rsid w:val="00B17C99"/>
    <w:rsid w:val="00B243E1"/>
    <w:rsid w:val="00B270FD"/>
    <w:rsid w:val="00B30D8E"/>
    <w:rsid w:val="00B33477"/>
    <w:rsid w:val="00B342CE"/>
    <w:rsid w:val="00B514F6"/>
    <w:rsid w:val="00B517A6"/>
    <w:rsid w:val="00B51D5A"/>
    <w:rsid w:val="00B51DBB"/>
    <w:rsid w:val="00B52601"/>
    <w:rsid w:val="00B6000A"/>
    <w:rsid w:val="00B604A3"/>
    <w:rsid w:val="00B67287"/>
    <w:rsid w:val="00B67967"/>
    <w:rsid w:val="00B7092E"/>
    <w:rsid w:val="00B72B84"/>
    <w:rsid w:val="00B7354D"/>
    <w:rsid w:val="00B75E90"/>
    <w:rsid w:val="00B76171"/>
    <w:rsid w:val="00B811F7"/>
    <w:rsid w:val="00B8479F"/>
    <w:rsid w:val="00B850AD"/>
    <w:rsid w:val="00B94159"/>
    <w:rsid w:val="00B9474D"/>
    <w:rsid w:val="00B94921"/>
    <w:rsid w:val="00B97D4A"/>
    <w:rsid w:val="00BA1335"/>
    <w:rsid w:val="00BA5D8F"/>
    <w:rsid w:val="00BA5DC6"/>
    <w:rsid w:val="00BA6196"/>
    <w:rsid w:val="00BA65D9"/>
    <w:rsid w:val="00BA7598"/>
    <w:rsid w:val="00BB1E9F"/>
    <w:rsid w:val="00BB264A"/>
    <w:rsid w:val="00BB39F7"/>
    <w:rsid w:val="00BB3BAE"/>
    <w:rsid w:val="00BB53F4"/>
    <w:rsid w:val="00BC0096"/>
    <w:rsid w:val="00BC19B8"/>
    <w:rsid w:val="00BC55CA"/>
    <w:rsid w:val="00BC5AED"/>
    <w:rsid w:val="00BC6D8C"/>
    <w:rsid w:val="00BC7F0F"/>
    <w:rsid w:val="00BD045B"/>
    <w:rsid w:val="00BD072C"/>
    <w:rsid w:val="00BD320E"/>
    <w:rsid w:val="00BD3733"/>
    <w:rsid w:val="00BD5A39"/>
    <w:rsid w:val="00BD5E02"/>
    <w:rsid w:val="00BD7574"/>
    <w:rsid w:val="00BD7F98"/>
    <w:rsid w:val="00BE1084"/>
    <w:rsid w:val="00BE1812"/>
    <w:rsid w:val="00BE1A24"/>
    <w:rsid w:val="00BE2C42"/>
    <w:rsid w:val="00BE3628"/>
    <w:rsid w:val="00BE42EB"/>
    <w:rsid w:val="00BE4D07"/>
    <w:rsid w:val="00BE6C2C"/>
    <w:rsid w:val="00BE7344"/>
    <w:rsid w:val="00BF2280"/>
    <w:rsid w:val="00BF3384"/>
    <w:rsid w:val="00BF3605"/>
    <w:rsid w:val="00BF36F7"/>
    <w:rsid w:val="00BF4CAA"/>
    <w:rsid w:val="00BF5429"/>
    <w:rsid w:val="00BF66A2"/>
    <w:rsid w:val="00C00246"/>
    <w:rsid w:val="00C0142A"/>
    <w:rsid w:val="00C029D2"/>
    <w:rsid w:val="00C02D6B"/>
    <w:rsid w:val="00C03A9F"/>
    <w:rsid w:val="00C049AB"/>
    <w:rsid w:val="00C06438"/>
    <w:rsid w:val="00C07CF5"/>
    <w:rsid w:val="00C11427"/>
    <w:rsid w:val="00C16B68"/>
    <w:rsid w:val="00C17F01"/>
    <w:rsid w:val="00C207E2"/>
    <w:rsid w:val="00C20FE5"/>
    <w:rsid w:val="00C22038"/>
    <w:rsid w:val="00C22A36"/>
    <w:rsid w:val="00C23F0F"/>
    <w:rsid w:val="00C24226"/>
    <w:rsid w:val="00C242D5"/>
    <w:rsid w:val="00C2642D"/>
    <w:rsid w:val="00C26E97"/>
    <w:rsid w:val="00C32DA9"/>
    <w:rsid w:val="00C3352E"/>
    <w:rsid w:val="00C34006"/>
    <w:rsid w:val="00C36B4C"/>
    <w:rsid w:val="00C41DD4"/>
    <w:rsid w:val="00C41FC8"/>
    <w:rsid w:val="00C426B1"/>
    <w:rsid w:val="00C43A04"/>
    <w:rsid w:val="00C460D5"/>
    <w:rsid w:val="00C469CB"/>
    <w:rsid w:val="00C518F5"/>
    <w:rsid w:val="00C51A67"/>
    <w:rsid w:val="00C51E63"/>
    <w:rsid w:val="00C526BE"/>
    <w:rsid w:val="00C53396"/>
    <w:rsid w:val="00C53E53"/>
    <w:rsid w:val="00C55160"/>
    <w:rsid w:val="00C5575D"/>
    <w:rsid w:val="00C55BB6"/>
    <w:rsid w:val="00C572E4"/>
    <w:rsid w:val="00C60038"/>
    <w:rsid w:val="00C625D1"/>
    <w:rsid w:val="00C6307C"/>
    <w:rsid w:val="00C65686"/>
    <w:rsid w:val="00C66160"/>
    <w:rsid w:val="00C667A0"/>
    <w:rsid w:val="00C71B11"/>
    <w:rsid w:val="00C721AC"/>
    <w:rsid w:val="00C73877"/>
    <w:rsid w:val="00C73ADA"/>
    <w:rsid w:val="00C745C8"/>
    <w:rsid w:val="00C747A3"/>
    <w:rsid w:val="00C75521"/>
    <w:rsid w:val="00C76FEB"/>
    <w:rsid w:val="00C90624"/>
    <w:rsid w:val="00C90D6A"/>
    <w:rsid w:val="00C93A1C"/>
    <w:rsid w:val="00C94B51"/>
    <w:rsid w:val="00C9540A"/>
    <w:rsid w:val="00C959B8"/>
    <w:rsid w:val="00C961B8"/>
    <w:rsid w:val="00C96A89"/>
    <w:rsid w:val="00C972CB"/>
    <w:rsid w:val="00C97417"/>
    <w:rsid w:val="00C97ABD"/>
    <w:rsid w:val="00C97DDB"/>
    <w:rsid w:val="00CA204C"/>
    <w:rsid w:val="00CA247E"/>
    <w:rsid w:val="00CA57C2"/>
    <w:rsid w:val="00CA69D0"/>
    <w:rsid w:val="00CA6D21"/>
    <w:rsid w:val="00CB233E"/>
    <w:rsid w:val="00CB41A6"/>
    <w:rsid w:val="00CB49B8"/>
    <w:rsid w:val="00CB5A33"/>
    <w:rsid w:val="00CB694A"/>
    <w:rsid w:val="00CB7FF0"/>
    <w:rsid w:val="00CC3532"/>
    <w:rsid w:val="00CC3828"/>
    <w:rsid w:val="00CC412D"/>
    <w:rsid w:val="00CC4E59"/>
    <w:rsid w:val="00CC62E3"/>
    <w:rsid w:val="00CC7103"/>
    <w:rsid w:val="00CC72B6"/>
    <w:rsid w:val="00CC799F"/>
    <w:rsid w:val="00CC7A16"/>
    <w:rsid w:val="00CD201A"/>
    <w:rsid w:val="00CD6854"/>
    <w:rsid w:val="00CD6F30"/>
    <w:rsid w:val="00CE0794"/>
    <w:rsid w:val="00CE0D65"/>
    <w:rsid w:val="00CE1057"/>
    <w:rsid w:val="00CF2074"/>
    <w:rsid w:val="00CF599C"/>
    <w:rsid w:val="00CF6771"/>
    <w:rsid w:val="00D01A6D"/>
    <w:rsid w:val="00D0218D"/>
    <w:rsid w:val="00D04BC3"/>
    <w:rsid w:val="00D05226"/>
    <w:rsid w:val="00D07990"/>
    <w:rsid w:val="00D10754"/>
    <w:rsid w:val="00D10CF5"/>
    <w:rsid w:val="00D11138"/>
    <w:rsid w:val="00D11D26"/>
    <w:rsid w:val="00D13ABA"/>
    <w:rsid w:val="00D15765"/>
    <w:rsid w:val="00D179F3"/>
    <w:rsid w:val="00D17B49"/>
    <w:rsid w:val="00D2133B"/>
    <w:rsid w:val="00D2256B"/>
    <w:rsid w:val="00D22919"/>
    <w:rsid w:val="00D25ADD"/>
    <w:rsid w:val="00D25FB5"/>
    <w:rsid w:val="00D309F8"/>
    <w:rsid w:val="00D347D5"/>
    <w:rsid w:val="00D34CC8"/>
    <w:rsid w:val="00D368DF"/>
    <w:rsid w:val="00D401DF"/>
    <w:rsid w:val="00D414B4"/>
    <w:rsid w:val="00D42B6F"/>
    <w:rsid w:val="00D44223"/>
    <w:rsid w:val="00D46C62"/>
    <w:rsid w:val="00D4730F"/>
    <w:rsid w:val="00D5150C"/>
    <w:rsid w:val="00D52E77"/>
    <w:rsid w:val="00D53516"/>
    <w:rsid w:val="00D53C75"/>
    <w:rsid w:val="00D54389"/>
    <w:rsid w:val="00D5459F"/>
    <w:rsid w:val="00D546A0"/>
    <w:rsid w:val="00D5792C"/>
    <w:rsid w:val="00D63EF5"/>
    <w:rsid w:val="00D64C73"/>
    <w:rsid w:val="00D65F63"/>
    <w:rsid w:val="00D67DD0"/>
    <w:rsid w:val="00D70BF8"/>
    <w:rsid w:val="00D714ED"/>
    <w:rsid w:val="00D71F02"/>
    <w:rsid w:val="00D738EA"/>
    <w:rsid w:val="00D73B3E"/>
    <w:rsid w:val="00D741BC"/>
    <w:rsid w:val="00D74BA1"/>
    <w:rsid w:val="00D802F2"/>
    <w:rsid w:val="00D805BC"/>
    <w:rsid w:val="00D80AA0"/>
    <w:rsid w:val="00D8156C"/>
    <w:rsid w:val="00D815B5"/>
    <w:rsid w:val="00D81F6B"/>
    <w:rsid w:val="00D84458"/>
    <w:rsid w:val="00D850E0"/>
    <w:rsid w:val="00D8526A"/>
    <w:rsid w:val="00D85B79"/>
    <w:rsid w:val="00D97F19"/>
    <w:rsid w:val="00DA2529"/>
    <w:rsid w:val="00DA25E8"/>
    <w:rsid w:val="00DA544B"/>
    <w:rsid w:val="00DA71CB"/>
    <w:rsid w:val="00DB0213"/>
    <w:rsid w:val="00DB130A"/>
    <w:rsid w:val="00DB2EBB"/>
    <w:rsid w:val="00DB5AF8"/>
    <w:rsid w:val="00DB5DC3"/>
    <w:rsid w:val="00DB69C8"/>
    <w:rsid w:val="00DB6FF2"/>
    <w:rsid w:val="00DB7903"/>
    <w:rsid w:val="00DC0154"/>
    <w:rsid w:val="00DC08F6"/>
    <w:rsid w:val="00DC0E58"/>
    <w:rsid w:val="00DC10A1"/>
    <w:rsid w:val="00DC29DC"/>
    <w:rsid w:val="00DC531D"/>
    <w:rsid w:val="00DC655F"/>
    <w:rsid w:val="00DC6E57"/>
    <w:rsid w:val="00DD027A"/>
    <w:rsid w:val="00DD0B59"/>
    <w:rsid w:val="00DD2048"/>
    <w:rsid w:val="00DD4862"/>
    <w:rsid w:val="00DD5656"/>
    <w:rsid w:val="00DD716B"/>
    <w:rsid w:val="00DD7EBD"/>
    <w:rsid w:val="00DE0BA3"/>
    <w:rsid w:val="00DE1A9A"/>
    <w:rsid w:val="00DE1AD1"/>
    <w:rsid w:val="00DE1DD4"/>
    <w:rsid w:val="00DE1DF4"/>
    <w:rsid w:val="00DE3513"/>
    <w:rsid w:val="00DE3EC0"/>
    <w:rsid w:val="00DE5ED5"/>
    <w:rsid w:val="00DE6ABF"/>
    <w:rsid w:val="00DF0C6B"/>
    <w:rsid w:val="00DF119C"/>
    <w:rsid w:val="00DF1337"/>
    <w:rsid w:val="00DF1626"/>
    <w:rsid w:val="00DF1FF5"/>
    <w:rsid w:val="00DF3A68"/>
    <w:rsid w:val="00DF62B6"/>
    <w:rsid w:val="00DF7561"/>
    <w:rsid w:val="00E01310"/>
    <w:rsid w:val="00E01750"/>
    <w:rsid w:val="00E03D28"/>
    <w:rsid w:val="00E04AE8"/>
    <w:rsid w:val="00E04EA7"/>
    <w:rsid w:val="00E05619"/>
    <w:rsid w:val="00E07225"/>
    <w:rsid w:val="00E13AEA"/>
    <w:rsid w:val="00E160D2"/>
    <w:rsid w:val="00E17F83"/>
    <w:rsid w:val="00E20476"/>
    <w:rsid w:val="00E238FB"/>
    <w:rsid w:val="00E242E9"/>
    <w:rsid w:val="00E24B05"/>
    <w:rsid w:val="00E250DC"/>
    <w:rsid w:val="00E30A9E"/>
    <w:rsid w:val="00E30C89"/>
    <w:rsid w:val="00E33DC7"/>
    <w:rsid w:val="00E35094"/>
    <w:rsid w:val="00E37F98"/>
    <w:rsid w:val="00E45AEE"/>
    <w:rsid w:val="00E46022"/>
    <w:rsid w:val="00E508F8"/>
    <w:rsid w:val="00E51030"/>
    <w:rsid w:val="00E52219"/>
    <w:rsid w:val="00E5409F"/>
    <w:rsid w:val="00E540FD"/>
    <w:rsid w:val="00E56E0A"/>
    <w:rsid w:val="00E60EAC"/>
    <w:rsid w:val="00E60F8B"/>
    <w:rsid w:val="00E66A24"/>
    <w:rsid w:val="00E673B2"/>
    <w:rsid w:val="00E71ADA"/>
    <w:rsid w:val="00E743D5"/>
    <w:rsid w:val="00E7522E"/>
    <w:rsid w:val="00E75B92"/>
    <w:rsid w:val="00E778DE"/>
    <w:rsid w:val="00E8048F"/>
    <w:rsid w:val="00E8075D"/>
    <w:rsid w:val="00E815E0"/>
    <w:rsid w:val="00E83981"/>
    <w:rsid w:val="00E84832"/>
    <w:rsid w:val="00E86283"/>
    <w:rsid w:val="00E86A4E"/>
    <w:rsid w:val="00E90E26"/>
    <w:rsid w:val="00E918F2"/>
    <w:rsid w:val="00E91EFF"/>
    <w:rsid w:val="00E922DE"/>
    <w:rsid w:val="00E92E51"/>
    <w:rsid w:val="00E9532E"/>
    <w:rsid w:val="00E9626D"/>
    <w:rsid w:val="00E9760A"/>
    <w:rsid w:val="00EA082C"/>
    <w:rsid w:val="00EA0D3A"/>
    <w:rsid w:val="00EA16BE"/>
    <w:rsid w:val="00EA672A"/>
    <w:rsid w:val="00EA71D4"/>
    <w:rsid w:val="00EA725A"/>
    <w:rsid w:val="00EA7537"/>
    <w:rsid w:val="00EB1E3A"/>
    <w:rsid w:val="00EB4EBB"/>
    <w:rsid w:val="00EB6E41"/>
    <w:rsid w:val="00EB7243"/>
    <w:rsid w:val="00EB73A7"/>
    <w:rsid w:val="00EB7BDC"/>
    <w:rsid w:val="00EC4465"/>
    <w:rsid w:val="00EC4F22"/>
    <w:rsid w:val="00EC4FB5"/>
    <w:rsid w:val="00EC5287"/>
    <w:rsid w:val="00EC5B8B"/>
    <w:rsid w:val="00EC5EDF"/>
    <w:rsid w:val="00EC73C2"/>
    <w:rsid w:val="00ED1237"/>
    <w:rsid w:val="00ED14C6"/>
    <w:rsid w:val="00ED37AF"/>
    <w:rsid w:val="00ED595C"/>
    <w:rsid w:val="00EE202A"/>
    <w:rsid w:val="00EE38AB"/>
    <w:rsid w:val="00EE4B87"/>
    <w:rsid w:val="00EE6488"/>
    <w:rsid w:val="00F01A64"/>
    <w:rsid w:val="00F021FA"/>
    <w:rsid w:val="00F10E23"/>
    <w:rsid w:val="00F11939"/>
    <w:rsid w:val="00F143AC"/>
    <w:rsid w:val="00F15B40"/>
    <w:rsid w:val="00F15F46"/>
    <w:rsid w:val="00F16B96"/>
    <w:rsid w:val="00F1707D"/>
    <w:rsid w:val="00F2314F"/>
    <w:rsid w:val="00F246D1"/>
    <w:rsid w:val="00F258BF"/>
    <w:rsid w:val="00F266B0"/>
    <w:rsid w:val="00F3425C"/>
    <w:rsid w:val="00F34BE2"/>
    <w:rsid w:val="00F44B91"/>
    <w:rsid w:val="00F4549E"/>
    <w:rsid w:val="00F5223A"/>
    <w:rsid w:val="00F55DF0"/>
    <w:rsid w:val="00F563A0"/>
    <w:rsid w:val="00F62E97"/>
    <w:rsid w:val="00F63936"/>
    <w:rsid w:val="00F64209"/>
    <w:rsid w:val="00F66230"/>
    <w:rsid w:val="00F714FB"/>
    <w:rsid w:val="00F72369"/>
    <w:rsid w:val="00F768B9"/>
    <w:rsid w:val="00F776FA"/>
    <w:rsid w:val="00F77DC0"/>
    <w:rsid w:val="00F83D21"/>
    <w:rsid w:val="00F84927"/>
    <w:rsid w:val="00F867F6"/>
    <w:rsid w:val="00F90E31"/>
    <w:rsid w:val="00F93BF5"/>
    <w:rsid w:val="00F9427E"/>
    <w:rsid w:val="00F94E08"/>
    <w:rsid w:val="00F97C41"/>
    <w:rsid w:val="00F97F05"/>
    <w:rsid w:val="00FA164D"/>
    <w:rsid w:val="00FA1BB4"/>
    <w:rsid w:val="00FA40E5"/>
    <w:rsid w:val="00FA53E2"/>
    <w:rsid w:val="00FA5437"/>
    <w:rsid w:val="00FA57CB"/>
    <w:rsid w:val="00FA6881"/>
    <w:rsid w:val="00FA7C7F"/>
    <w:rsid w:val="00FB66A1"/>
    <w:rsid w:val="00FB6D84"/>
    <w:rsid w:val="00FC0B94"/>
    <w:rsid w:val="00FC3C29"/>
    <w:rsid w:val="00FC4EB9"/>
    <w:rsid w:val="00FC61B6"/>
    <w:rsid w:val="00FD1974"/>
    <w:rsid w:val="00FD2C7C"/>
    <w:rsid w:val="00FD4894"/>
    <w:rsid w:val="00FE3A62"/>
    <w:rsid w:val="00FE7DE9"/>
    <w:rsid w:val="00FF0A7A"/>
    <w:rsid w:val="00FF2134"/>
    <w:rsid w:val="00FF4057"/>
    <w:rsid w:val="0255FFBA"/>
    <w:rsid w:val="03EBA8FD"/>
    <w:rsid w:val="05EAF57F"/>
    <w:rsid w:val="06E5A8DE"/>
    <w:rsid w:val="07C466C1"/>
    <w:rsid w:val="0E47B03B"/>
    <w:rsid w:val="0E8AAEEC"/>
    <w:rsid w:val="15F6CEDE"/>
    <w:rsid w:val="1ADC1250"/>
    <w:rsid w:val="22014315"/>
    <w:rsid w:val="2322C583"/>
    <w:rsid w:val="244BACA9"/>
    <w:rsid w:val="254BBCDD"/>
    <w:rsid w:val="2A74C84E"/>
    <w:rsid w:val="2D0DD90D"/>
    <w:rsid w:val="303F2392"/>
    <w:rsid w:val="31823277"/>
    <w:rsid w:val="31FE7153"/>
    <w:rsid w:val="352DBFE8"/>
    <w:rsid w:val="35357A9D"/>
    <w:rsid w:val="3561E0A7"/>
    <w:rsid w:val="35F6B068"/>
    <w:rsid w:val="363BA757"/>
    <w:rsid w:val="4238DBCB"/>
    <w:rsid w:val="4AF286E3"/>
    <w:rsid w:val="4BEF337B"/>
    <w:rsid w:val="5037EC77"/>
    <w:rsid w:val="5729F89C"/>
    <w:rsid w:val="5948C66F"/>
    <w:rsid w:val="59D779AA"/>
    <w:rsid w:val="5A63F73E"/>
    <w:rsid w:val="5C462AD5"/>
    <w:rsid w:val="620A2C3C"/>
    <w:rsid w:val="6B4D87C0"/>
    <w:rsid w:val="6C8A7A28"/>
    <w:rsid w:val="6D4B7D22"/>
    <w:rsid w:val="75A8D051"/>
    <w:rsid w:val="75C55C4A"/>
    <w:rsid w:val="7990FFA6"/>
    <w:rsid w:val="7A17C93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38850849"/>
  <w15:docId w15:val="{4BBAB53B-52A1-4675-9267-DBAFE70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2186"/>
    <w:pPr>
      <w:widowControl w:val="0"/>
    </w:pPr>
    <w:rPr>
      <w:snapToGrid w:val="0"/>
      <w:kern w:val="28"/>
      <w:sz w:val="22"/>
    </w:rPr>
  </w:style>
  <w:style w:type="paragraph" w:styleId="Heading1">
    <w:name w:val="heading 1"/>
    <w:basedOn w:val="Normal"/>
    <w:next w:val="ParaNum"/>
    <w:qFormat/>
    <w:rsid w:val="002C21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2186"/>
    <w:pPr>
      <w:keepNext/>
      <w:numPr>
        <w:ilvl w:val="1"/>
        <w:numId w:val="3"/>
      </w:numPr>
      <w:spacing w:after="120"/>
      <w:outlineLvl w:val="1"/>
    </w:pPr>
    <w:rPr>
      <w:b/>
    </w:rPr>
  </w:style>
  <w:style w:type="paragraph" w:styleId="Heading3">
    <w:name w:val="heading 3"/>
    <w:basedOn w:val="Normal"/>
    <w:next w:val="ParaNum"/>
    <w:qFormat/>
    <w:rsid w:val="002C2186"/>
    <w:pPr>
      <w:keepNext/>
      <w:numPr>
        <w:ilvl w:val="2"/>
        <w:numId w:val="3"/>
      </w:numPr>
      <w:tabs>
        <w:tab w:val="left" w:pos="2160"/>
      </w:tabs>
      <w:spacing w:after="120"/>
      <w:outlineLvl w:val="2"/>
    </w:pPr>
    <w:rPr>
      <w:b/>
    </w:rPr>
  </w:style>
  <w:style w:type="paragraph" w:styleId="Heading4">
    <w:name w:val="heading 4"/>
    <w:basedOn w:val="Normal"/>
    <w:next w:val="ParaNum"/>
    <w:qFormat/>
    <w:rsid w:val="002C2186"/>
    <w:pPr>
      <w:keepNext/>
      <w:numPr>
        <w:ilvl w:val="3"/>
        <w:numId w:val="3"/>
      </w:numPr>
      <w:tabs>
        <w:tab w:val="left" w:pos="2880"/>
      </w:tabs>
      <w:spacing w:after="120"/>
      <w:outlineLvl w:val="3"/>
    </w:pPr>
    <w:rPr>
      <w:b/>
    </w:rPr>
  </w:style>
  <w:style w:type="paragraph" w:styleId="Heading5">
    <w:name w:val="heading 5"/>
    <w:basedOn w:val="Normal"/>
    <w:next w:val="ParaNum"/>
    <w:qFormat/>
    <w:rsid w:val="002C218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2186"/>
    <w:pPr>
      <w:numPr>
        <w:ilvl w:val="5"/>
        <w:numId w:val="3"/>
      </w:numPr>
      <w:tabs>
        <w:tab w:val="left" w:pos="4320"/>
      </w:tabs>
      <w:spacing w:after="120"/>
      <w:outlineLvl w:val="5"/>
    </w:pPr>
    <w:rPr>
      <w:b/>
    </w:rPr>
  </w:style>
  <w:style w:type="paragraph" w:styleId="Heading7">
    <w:name w:val="heading 7"/>
    <w:basedOn w:val="Normal"/>
    <w:next w:val="ParaNum"/>
    <w:qFormat/>
    <w:rsid w:val="002C21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218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21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21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2186"/>
  </w:style>
  <w:style w:type="paragraph" w:customStyle="1" w:styleId="ParaNum">
    <w:name w:val="ParaNum"/>
    <w:basedOn w:val="Normal"/>
    <w:rsid w:val="002C2186"/>
    <w:pPr>
      <w:numPr>
        <w:numId w:val="2"/>
      </w:numPr>
      <w:tabs>
        <w:tab w:val="clear" w:pos="1080"/>
        <w:tab w:val="num" w:pos="1440"/>
      </w:tabs>
      <w:spacing w:after="120"/>
    </w:pPr>
  </w:style>
  <w:style w:type="paragraph" w:styleId="EndnoteText">
    <w:name w:val="endnote text"/>
    <w:basedOn w:val="Normal"/>
    <w:semiHidden/>
    <w:rsid w:val="002C2186"/>
    <w:rPr>
      <w:sz w:val="20"/>
    </w:rPr>
  </w:style>
  <w:style w:type="character" w:styleId="EndnoteReference">
    <w:name w:val="endnote reference"/>
    <w:semiHidden/>
    <w:rsid w:val="002C2186"/>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
    <w:rsid w:val="002C2186"/>
    <w:pPr>
      <w:spacing w:after="120"/>
    </w:pPr>
  </w:style>
  <w:style w:type="character" w:styleId="FootnoteReference">
    <w:name w:val="footnote reference"/>
    <w:aliases w:val="(NECG) Footnote Reference,Appel note de bas de p,FR,Footnote Reference/,Style 12,Style 124,Style 13,Style 17,Style 3,Style 6,fr,o"/>
    <w:rsid w:val="002C2186"/>
    <w:rPr>
      <w:rFonts w:ascii="Times New Roman" w:hAnsi="Times New Roman"/>
      <w:dstrike w:val="0"/>
      <w:color w:val="auto"/>
      <w:sz w:val="20"/>
      <w:vertAlign w:val="superscript"/>
    </w:rPr>
  </w:style>
  <w:style w:type="paragraph" w:styleId="TOC1">
    <w:name w:val="toc 1"/>
    <w:basedOn w:val="Normal"/>
    <w:next w:val="Normal"/>
    <w:semiHidden/>
    <w:rsid w:val="002C21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2186"/>
    <w:pPr>
      <w:tabs>
        <w:tab w:val="left" w:pos="720"/>
        <w:tab w:val="right" w:leader="dot" w:pos="9360"/>
      </w:tabs>
      <w:suppressAutoHyphens/>
      <w:ind w:left="720" w:right="720" w:hanging="360"/>
    </w:pPr>
    <w:rPr>
      <w:noProof/>
    </w:rPr>
  </w:style>
  <w:style w:type="paragraph" w:styleId="TOC3">
    <w:name w:val="toc 3"/>
    <w:basedOn w:val="Normal"/>
    <w:next w:val="Normal"/>
    <w:semiHidden/>
    <w:rsid w:val="002C21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21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21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21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21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21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21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2186"/>
    <w:pPr>
      <w:tabs>
        <w:tab w:val="right" w:pos="9360"/>
      </w:tabs>
      <w:suppressAutoHyphens/>
    </w:pPr>
  </w:style>
  <w:style w:type="character" w:customStyle="1" w:styleId="EquationCaption">
    <w:name w:val="_Equation Caption"/>
    <w:rsid w:val="002C2186"/>
  </w:style>
  <w:style w:type="paragraph" w:styleId="Header">
    <w:name w:val="header"/>
    <w:basedOn w:val="Normal"/>
    <w:link w:val="HeaderChar"/>
    <w:autoRedefine/>
    <w:rsid w:val="002C2186"/>
    <w:pPr>
      <w:tabs>
        <w:tab w:val="center" w:pos="4680"/>
        <w:tab w:val="right" w:pos="9360"/>
      </w:tabs>
    </w:pPr>
    <w:rPr>
      <w:b/>
    </w:rPr>
  </w:style>
  <w:style w:type="paragraph" w:styleId="Footer">
    <w:name w:val="footer"/>
    <w:basedOn w:val="Normal"/>
    <w:link w:val="FooterChar"/>
    <w:uiPriority w:val="99"/>
    <w:rsid w:val="002C2186"/>
    <w:pPr>
      <w:tabs>
        <w:tab w:val="center" w:pos="4320"/>
        <w:tab w:val="right" w:pos="8640"/>
      </w:tabs>
    </w:pPr>
  </w:style>
  <w:style w:type="character" w:styleId="PageNumber">
    <w:name w:val="page number"/>
    <w:basedOn w:val="DefaultParagraphFont"/>
    <w:rsid w:val="002C2186"/>
  </w:style>
  <w:style w:type="paragraph" w:styleId="BlockText">
    <w:name w:val="Block Text"/>
    <w:basedOn w:val="Normal"/>
    <w:rsid w:val="002C2186"/>
    <w:pPr>
      <w:spacing w:after="240"/>
      <w:ind w:left="1440" w:right="1440"/>
    </w:pPr>
  </w:style>
  <w:style w:type="paragraph" w:customStyle="1" w:styleId="Paratitle">
    <w:name w:val="Para title"/>
    <w:basedOn w:val="Normal"/>
    <w:rsid w:val="002C2186"/>
    <w:pPr>
      <w:tabs>
        <w:tab w:val="center" w:pos="9270"/>
      </w:tabs>
      <w:spacing w:after="240"/>
    </w:pPr>
    <w:rPr>
      <w:spacing w:val="-2"/>
    </w:rPr>
  </w:style>
  <w:style w:type="paragraph" w:customStyle="1" w:styleId="Bullet">
    <w:name w:val="Bullet"/>
    <w:basedOn w:val="Normal"/>
    <w:rsid w:val="002C2186"/>
    <w:pPr>
      <w:tabs>
        <w:tab w:val="left" w:pos="2160"/>
      </w:tabs>
      <w:spacing w:after="220"/>
      <w:ind w:left="2160" w:hanging="720"/>
    </w:pPr>
  </w:style>
  <w:style w:type="paragraph" w:customStyle="1" w:styleId="TableFormat">
    <w:name w:val="TableFormat"/>
    <w:basedOn w:val="Bullet"/>
    <w:rsid w:val="002C2186"/>
    <w:pPr>
      <w:tabs>
        <w:tab w:val="clear" w:pos="2160"/>
        <w:tab w:val="left" w:pos="5040"/>
      </w:tabs>
      <w:ind w:left="5040" w:hanging="3600"/>
    </w:pPr>
  </w:style>
  <w:style w:type="paragraph" w:customStyle="1" w:styleId="TOCTitle">
    <w:name w:val="TOC Title"/>
    <w:basedOn w:val="Normal"/>
    <w:rsid w:val="002C21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2186"/>
    <w:pPr>
      <w:jc w:val="center"/>
    </w:pPr>
    <w:rPr>
      <w:rFonts w:ascii="Times New Roman Bold" w:hAnsi="Times New Roman Bold"/>
      <w:b/>
      <w:bCs/>
      <w:caps/>
      <w:szCs w:val="22"/>
    </w:rPr>
  </w:style>
  <w:style w:type="character" w:styleId="Hyperlink">
    <w:name w:val="Hyperlink"/>
    <w:rsid w:val="002C2186"/>
    <w:rPr>
      <w:color w:val="0000FF"/>
      <w:u w:val="single"/>
    </w:rPr>
  </w:style>
  <w:style w:type="character" w:customStyle="1" w:styleId="FooterChar">
    <w:name w:val="Footer Char"/>
    <w:link w:val="Footer"/>
    <w:uiPriority w:val="99"/>
    <w:rsid w:val="002C2186"/>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rsid w:val="001B12CD"/>
  </w:style>
  <w:style w:type="character" w:customStyle="1" w:styleId="HeaderChar">
    <w:name w:val="Header Char"/>
    <w:link w:val="Header"/>
    <w:rsid w:val="00AB394A"/>
    <w:rPr>
      <w:b/>
      <w:snapToGrid w:val="0"/>
      <w:kern w:val="28"/>
      <w:sz w:val="22"/>
    </w:rPr>
  </w:style>
  <w:style w:type="paragraph" w:styleId="BalloonText">
    <w:name w:val="Balloon Text"/>
    <w:basedOn w:val="Normal"/>
    <w:link w:val="BalloonTextChar"/>
    <w:rsid w:val="003513AC"/>
    <w:rPr>
      <w:rFonts w:ascii="Tahoma" w:hAnsi="Tahoma" w:cs="Tahoma"/>
      <w:snapToGrid/>
      <w:sz w:val="16"/>
      <w:szCs w:val="16"/>
    </w:rPr>
  </w:style>
  <w:style w:type="character" w:customStyle="1" w:styleId="BalloonTextChar">
    <w:name w:val="Balloon Text Char"/>
    <w:basedOn w:val="DefaultParagraphFont"/>
    <w:link w:val="BalloonText"/>
    <w:rsid w:val="003513AC"/>
    <w:rPr>
      <w:rFonts w:ascii="Tahoma" w:hAnsi="Tahoma" w:cs="Tahoma"/>
      <w:snapToGrid w:val="0"/>
      <w:kern w:val="28"/>
      <w:sz w:val="16"/>
      <w:szCs w:val="16"/>
    </w:rPr>
  </w:style>
  <w:style w:type="character" w:customStyle="1" w:styleId="UnresolvedMention1">
    <w:name w:val="Unresolved Mention1"/>
    <w:basedOn w:val="DefaultParagraphFont"/>
    <w:uiPriority w:val="99"/>
    <w:semiHidden/>
    <w:unhideWhenUsed/>
    <w:rsid w:val="00C17F01"/>
    <w:rPr>
      <w:color w:val="605E5C"/>
      <w:shd w:val="clear" w:color="auto" w:fill="E1DFDD"/>
    </w:rPr>
  </w:style>
  <w:style w:type="character" w:styleId="CommentReference">
    <w:name w:val="annotation reference"/>
    <w:basedOn w:val="DefaultParagraphFont"/>
    <w:uiPriority w:val="99"/>
    <w:semiHidden/>
    <w:unhideWhenUsed/>
    <w:rsid w:val="00AF70B1"/>
    <w:rPr>
      <w:sz w:val="16"/>
      <w:szCs w:val="16"/>
    </w:rPr>
  </w:style>
  <w:style w:type="paragraph" w:styleId="CommentText">
    <w:name w:val="annotation text"/>
    <w:basedOn w:val="Normal"/>
    <w:link w:val="CommentTextChar"/>
    <w:uiPriority w:val="99"/>
    <w:unhideWhenUsed/>
    <w:rsid w:val="00AF70B1"/>
    <w:rPr>
      <w:snapToGrid/>
      <w:sz w:val="20"/>
    </w:rPr>
  </w:style>
  <w:style w:type="character" w:customStyle="1" w:styleId="CommentTextChar">
    <w:name w:val="Comment Text Char"/>
    <w:basedOn w:val="DefaultParagraphFont"/>
    <w:link w:val="CommentText"/>
    <w:uiPriority w:val="99"/>
    <w:rsid w:val="00AF70B1"/>
    <w:rPr>
      <w:snapToGrid w:val="0"/>
      <w:kern w:val="28"/>
    </w:rPr>
  </w:style>
  <w:style w:type="paragraph" w:styleId="CommentSubject">
    <w:name w:val="annotation subject"/>
    <w:basedOn w:val="CommentText"/>
    <w:next w:val="CommentText"/>
    <w:link w:val="CommentSubjectChar"/>
    <w:semiHidden/>
    <w:unhideWhenUsed/>
    <w:rsid w:val="00AF70B1"/>
    <w:rPr>
      <w:b/>
      <w:bCs/>
    </w:rPr>
  </w:style>
  <w:style w:type="character" w:customStyle="1" w:styleId="CommentSubjectChar">
    <w:name w:val="Comment Subject Char"/>
    <w:basedOn w:val="CommentTextChar"/>
    <w:link w:val="CommentSubject"/>
    <w:semiHidden/>
    <w:rsid w:val="00AF70B1"/>
    <w:rPr>
      <w:b/>
      <w:bCs/>
      <w:snapToGrid w:val="0"/>
      <w:kern w:val="28"/>
    </w:rPr>
  </w:style>
  <w:style w:type="character" w:customStyle="1" w:styleId="UnresolvedMention2">
    <w:name w:val="Unresolved Mention2"/>
    <w:basedOn w:val="DefaultParagraphFont"/>
    <w:rsid w:val="00A60207"/>
    <w:rPr>
      <w:color w:val="605E5C"/>
      <w:shd w:val="clear" w:color="auto" w:fill="E1DFDD"/>
    </w:rPr>
  </w:style>
  <w:style w:type="paragraph" w:styleId="Revision">
    <w:name w:val="Revision"/>
    <w:hidden/>
    <w:uiPriority w:val="99"/>
    <w:semiHidden/>
    <w:rsid w:val="005B6323"/>
    <w:rPr>
      <w:snapToGrid w:val="0"/>
      <w:kern w:val="28"/>
      <w:sz w:val="22"/>
    </w:rPr>
  </w:style>
  <w:style w:type="paragraph" w:customStyle="1" w:styleId="psection-1">
    <w:name w:val="psection-1"/>
    <w:basedOn w:val="Normal"/>
    <w:rsid w:val="00C959B8"/>
    <w:pPr>
      <w:widowControl/>
      <w:spacing w:before="100" w:beforeAutospacing="1" w:after="100" w:afterAutospacing="1"/>
    </w:pPr>
    <w:rPr>
      <w:snapToGrid/>
      <w:kern w:val="0"/>
      <w:sz w:val="24"/>
      <w:szCs w:val="24"/>
    </w:rPr>
  </w:style>
  <w:style w:type="paragraph" w:customStyle="1" w:styleId="psection-2">
    <w:name w:val="psection-2"/>
    <w:basedOn w:val="Normal"/>
    <w:rsid w:val="00C959B8"/>
    <w:pPr>
      <w:widowControl/>
      <w:spacing w:before="100" w:beforeAutospacing="1" w:after="100" w:afterAutospacing="1"/>
    </w:pPr>
    <w:rPr>
      <w:snapToGrid/>
      <w:kern w:val="0"/>
      <w:sz w:val="24"/>
      <w:szCs w:val="24"/>
    </w:rPr>
  </w:style>
  <w:style w:type="character" w:customStyle="1" w:styleId="enumxml">
    <w:name w:val="enumxml"/>
    <w:basedOn w:val="DefaultParagraphFont"/>
    <w:rsid w:val="00C959B8"/>
  </w:style>
  <w:style w:type="character" w:customStyle="1" w:styleId="UnresolvedMention3">
    <w:name w:val="Unresolved Mention3"/>
    <w:basedOn w:val="DefaultParagraphFont"/>
    <w:uiPriority w:val="99"/>
    <w:semiHidden/>
    <w:unhideWhenUsed/>
    <w:rsid w:val="009701AF"/>
    <w:rPr>
      <w:color w:val="605E5C"/>
      <w:shd w:val="clear" w:color="auto" w:fill="E1DFDD"/>
    </w:rPr>
  </w:style>
  <w:style w:type="paragraph" w:customStyle="1" w:styleId="paragraph">
    <w:name w:val="paragraph"/>
    <w:basedOn w:val="Normal"/>
    <w:rsid w:val="001705F4"/>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1705F4"/>
  </w:style>
  <w:style w:type="character" w:customStyle="1" w:styleId="eop">
    <w:name w:val="eop"/>
    <w:basedOn w:val="DefaultParagraphFont"/>
    <w:rsid w:val="001705F4"/>
  </w:style>
  <w:style w:type="paragraph" w:styleId="ListParagraph">
    <w:name w:val="List Paragraph"/>
    <w:basedOn w:val="Normal"/>
    <w:uiPriority w:val="34"/>
    <w:qFormat/>
    <w:rsid w:val="00A5122D"/>
    <w:pPr>
      <w:widowControl/>
      <w:ind w:left="720"/>
    </w:pPr>
    <w:rPr>
      <w:rFonts w:ascii="Calibri" w:hAnsi="Calibri" w:eastAsiaTheme="minorHAnsi" w:cs="Calibri"/>
      <w:snapToGrid/>
      <w:kern w:val="0"/>
      <w:szCs w:val="22"/>
    </w:rPr>
  </w:style>
  <w:style w:type="character" w:customStyle="1" w:styleId="cf01">
    <w:name w:val="cf01"/>
    <w:basedOn w:val="DefaultParagraphFont"/>
    <w:rsid w:val="00995D47"/>
    <w:rPr>
      <w:rFonts w:ascii="Segoe UI" w:hAnsi="Segoe UI" w:cs="Segoe UI" w:hint="default"/>
      <w:sz w:val="18"/>
      <w:szCs w:val="18"/>
    </w:rPr>
  </w:style>
  <w:style w:type="character" w:customStyle="1" w:styleId="cf11">
    <w:name w:val="cf11"/>
    <w:basedOn w:val="DefaultParagraphFont"/>
    <w:rsid w:val="00995D4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