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8759CB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3094E39" w14:textId="77777777">
      <w:pPr>
        <w:pStyle w:val="StyleBoldCentered"/>
      </w:pPr>
      <w:r>
        <w:t>F</w:t>
      </w:r>
      <w:r>
        <w:rPr>
          <w:caps w:val="0"/>
        </w:rPr>
        <w:t>ederal Communications Commission</w:t>
      </w:r>
    </w:p>
    <w:p w:rsidR="004C2EE3" w:rsidP="00096D8C" w14:paraId="470AE0AF" w14:textId="77777777">
      <w:pPr>
        <w:pStyle w:val="StyleBoldCentered"/>
      </w:pPr>
      <w:r>
        <w:rPr>
          <w:caps w:val="0"/>
        </w:rPr>
        <w:t>Washington, D.C. 20554</w:t>
      </w:r>
    </w:p>
    <w:p w:rsidR="004C2EE3" w:rsidP="0070224F" w14:paraId="075A7CB5" w14:textId="77777777"/>
    <w:p w:rsidR="004C2EE3" w:rsidP="0070224F" w14:paraId="356EEB25" w14:textId="77777777"/>
    <w:tbl>
      <w:tblPr>
        <w:tblW w:w="0" w:type="auto"/>
        <w:tblLayout w:type="fixed"/>
        <w:tblLook w:val="0000"/>
      </w:tblPr>
      <w:tblGrid>
        <w:gridCol w:w="4698"/>
        <w:gridCol w:w="630"/>
        <w:gridCol w:w="4248"/>
      </w:tblGrid>
      <w:tr w14:paraId="5B0AD653" w14:textId="77777777">
        <w:tblPrEx>
          <w:tblW w:w="0" w:type="auto"/>
          <w:tblLayout w:type="fixed"/>
          <w:tblLook w:val="0000"/>
        </w:tblPrEx>
        <w:tc>
          <w:tcPr>
            <w:tcW w:w="4698" w:type="dxa"/>
          </w:tcPr>
          <w:p w:rsidR="004C2EE3" w14:paraId="7B3FB78A" w14:textId="77777777">
            <w:pPr>
              <w:tabs>
                <w:tab w:val="center" w:pos="4680"/>
              </w:tabs>
              <w:suppressAutoHyphens/>
              <w:rPr>
                <w:spacing w:val="-2"/>
              </w:rPr>
            </w:pPr>
            <w:r>
              <w:rPr>
                <w:spacing w:val="-2"/>
              </w:rPr>
              <w:t>In the Matter of</w:t>
            </w:r>
          </w:p>
          <w:p w:rsidR="004C2EE3" w14:paraId="567125D0" w14:textId="77777777">
            <w:pPr>
              <w:tabs>
                <w:tab w:val="center" w:pos="4680"/>
              </w:tabs>
              <w:suppressAutoHyphens/>
              <w:rPr>
                <w:spacing w:val="-2"/>
              </w:rPr>
            </w:pPr>
          </w:p>
          <w:p w:rsidR="00650327" w:rsidRPr="00A20EBC" w:rsidP="00650327" w14:paraId="4DC47FFE" w14:textId="77777777">
            <w:pPr>
              <w:ind w:right="-18"/>
            </w:pPr>
            <w:r>
              <w:t>Hilliary</w:t>
            </w:r>
            <w:r>
              <w:t xml:space="preserve"> Acquisition Corp 2016, LLC</w:t>
            </w:r>
          </w:p>
          <w:p w:rsidR="00650327" w:rsidRPr="00A20EBC" w:rsidP="00650327" w14:paraId="066F0E8A" w14:textId="77777777">
            <w:pPr>
              <w:ind w:right="-18"/>
            </w:pPr>
          </w:p>
          <w:p w:rsidR="00F303D1" w:rsidP="00650327" w14:paraId="0991DAF6" w14:textId="6E113A9B">
            <w:pPr>
              <w:ind w:right="-18"/>
            </w:pPr>
            <w:r w:rsidRPr="00A20EBC">
              <w:t xml:space="preserve">Request for Waiver of </w:t>
            </w:r>
          </w:p>
          <w:p w:rsidR="004C2EE3" w:rsidRPr="00F303D1" w:rsidP="00F303D1" w14:paraId="68911D90" w14:textId="00F2FC12">
            <w:pPr>
              <w:ind w:right="-18"/>
            </w:pPr>
            <w:r w:rsidRPr="00A20EBC">
              <w:t>Down</w:t>
            </w:r>
            <w:r w:rsidR="00F303D1">
              <w:t xml:space="preserve"> </w:t>
            </w:r>
            <w:r w:rsidRPr="00A20EBC">
              <w:t xml:space="preserve">Payment Deadline for Auction </w:t>
            </w:r>
            <w:r>
              <w:t>105</w:t>
            </w:r>
          </w:p>
        </w:tc>
        <w:tc>
          <w:tcPr>
            <w:tcW w:w="630" w:type="dxa"/>
          </w:tcPr>
          <w:p w:rsidR="004C2EE3" w14:paraId="22281905" w14:textId="77777777">
            <w:pPr>
              <w:tabs>
                <w:tab w:val="center" w:pos="4680"/>
              </w:tabs>
              <w:suppressAutoHyphens/>
              <w:rPr>
                <w:b/>
                <w:spacing w:val="-2"/>
              </w:rPr>
            </w:pPr>
            <w:r>
              <w:rPr>
                <w:b/>
                <w:spacing w:val="-2"/>
              </w:rPr>
              <w:t>)</w:t>
            </w:r>
          </w:p>
          <w:p w:rsidR="004C2EE3" w14:paraId="7754AA62" w14:textId="77777777">
            <w:pPr>
              <w:tabs>
                <w:tab w:val="center" w:pos="4680"/>
              </w:tabs>
              <w:suppressAutoHyphens/>
              <w:rPr>
                <w:b/>
                <w:spacing w:val="-2"/>
              </w:rPr>
            </w:pPr>
            <w:r>
              <w:rPr>
                <w:b/>
                <w:spacing w:val="-2"/>
              </w:rPr>
              <w:t>)</w:t>
            </w:r>
          </w:p>
          <w:p w:rsidR="004C2EE3" w14:paraId="06195C14" w14:textId="77777777">
            <w:pPr>
              <w:tabs>
                <w:tab w:val="center" w:pos="4680"/>
              </w:tabs>
              <w:suppressAutoHyphens/>
              <w:rPr>
                <w:b/>
                <w:spacing w:val="-2"/>
              </w:rPr>
            </w:pPr>
            <w:r>
              <w:rPr>
                <w:b/>
                <w:spacing w:val="-2"/>
              </w:rPr>
              <w:t>)</w:t>
            </w:r>
          </w:p>
          <w:p w:rsidR="004C2EE3" w14:paraId="15EE2317" w14:textId="77777777">
            <w:pPr>
              <w:tabs>
                <w:tab w:val="center" w:pos="4680"/>
              </w:tabs>
              <w:suppressAutoHyphens/>
              <w:rPr>
                <w:b/>
                <w:spacing w:val="-2"/>
              </w:rPr>
            </w:pPr>
            <w:r>
              <w:rPr>
                <w:b/>
                <w:spacing w:val="-2"/>
              </w:rPr>
              <w:t>)</w:t>
            </w:r>
          </w:p>
          <w:p w:rsidR="004C2EE3" w14:paraId="6BC4E931" w14:textId="77777777">
            <w:pPr>
              <w:tabs>
                <w:tab w:val="center" w:pos="4680"/>
              </w:tabs>
              <w:suppressAutoHyphens/>
              <w:rPr>
                <w:b/>
                <w:spacing w:val="-2"/>
              </w:rPr>
            </w:pPr>
            <w:r>
              <w:rPr>
                <w:b/>
                <w:spacing w:val="-2"/>
              </w:rPr>
              <w:t>)</w:t>
            </w:r>
          </w:p>
          <w:p w:rsidR="004C2EE3" w14:paraId="01FA653E" w14:textId="6DC81060">
            <w:pPr>
              <w:tabs>
                <w:tab w:val="center" w:pos="4680"/>
              </w:tabs>
              <w:suppressAutoHyphens/>
              <w:rPr>
                <w:spacing w:val="-2"/>
              </w:rPr>
            </w:pPr>
            <w:r>
              <w:rPr>
                <w:b/>
                <w:spacing w:val="-2"/>
              </w:rPr>
              <w:t>)</w:t>
            </w:r>
          </w:p>
        </w:tc>
        <w:tc>
          <w:tcPr>
            <w:tcW w:w="4248" w:type="dxa"/>
          </w:tcPr>
          <w:p w:rsidR="004C2EE3" w14:paraId="7E0AABD9" w14:textId="77777777">
            <w:pPr>
              <w:tabs>
                <w:tab w:val="center" w:pos="4680"/>
              </w:tabs>
              <w:suppressAutoHyphens/>
              <w:rPr>
                <w:spacing w:val="-2"/>
              </w:rPr>
            </w:pPr>
          </w:p>
          <w:p w:rsidR="004C2EE3" w14:paraId="7A6FAA1A" w14:textId="77777777">
            <w:pPr>
              <w:pStyle w:val="TOAHeading"/>
              <w:tabs>
                <w:tab w:val="center" w:pos="4680"/>
                <w:tab w:val="clear" w:pos="9360"/>
              </w:tabs>
              <w:rPr>
                <w:spacing w:val="-2"/>
              </w:rPr>
            </w:pPr>
          </w:p>
          <w:p w:rsidR="004C2EE3" w14:paraId="28DDAB8C" w14:textId="032453A6">
            <w:pPr>
              <w:tabs>
                <w:tab w:val="center" w:pos="4680"/>
              </w:tabs>
              <w:suppressAutoHyphens/>
              <w:rPr>
                <w:spacing w:val="-2"/>
              </w:rPr>
            </w:pPr>
          </w:p>
        </w:tc>
      </w:tr>
    </w:tbl>
    <w:p w:rsidR="004C2EE3" w:rsidP="0070224F" w14:paraId="49CD1E65" w14:textId="77777777"/>
    <w:p w:rsidR="00841AB1" w:rsidP="00F021FA" w14:paraId="5D13E647" w14:textId="77777777">
      <w:pPr>
        <w:pStyle w:val="StyleBoldCentered"/>
      </w:pPr>
      <w:r>
        <w:t>mEMORANDUM OPINION AND ORDER</w:t>
      </w:r>
    </w:p>
    <w:p w:rsidR="004C2EE3" w14:paraId="5F76069C" w14:textId="77777777">
      <w:pPr>
        <w:tabs>
          <w:tab w:val="left" w:pos="-720"/>
        </w:tabs>
        <w:suppressAutoHyphens/>
        <w:spacing w:line="227" w:lineRule="auto"/>
        <w:rPr>
          <w:spacing w:val="-2"/>
        </w:rPr>
      </w:pPr>
    </w:p>
    <w:p w:rsidR="00650327" w:rsidRPr="00A20EBC" w:rsidP="00650327" w14:paraId="4DE88030" w14:textId="644ACBC9">
      <w:pPr>
        <w:tabs>
          <w:tab w:val="left" w:pos="5760"/>
        </w:tabs>
        <w:jc w:val="both"/>
        <w:rPr>
          <w:b/>
          <w:szCs w:val="22"/>
        </w:rPr>
      </w:pPr>
      <w:r w:rsidRPr="00A20EBC">
        <w:rPr>
          <w:b/>
          <w:szCs w:val="22"/>
        </w:rPr>
        <w:t xml:space="preserve">Adopted:  </w:t>
      </w:r>
      <w:r w:rsidR="00C958B1">
        <w:rPr>
          <w:b/>
          <w:spacing w:val="-2"/>
          <w:szCs w:val="22"/>
        </w:rPr>
        <w:t>July 18, 2022</w:t>
      </w:r>
      <w:r w:rsidRPr="00A20EBC">
        <w:rPr>
          <w:b/>
          <w:szCs w:val="22"/>
        </w:rPr>
        <w:tab/>
        <w:t xml:space="preserve">Released:  </w:t>
      </w:r>
      <w:r w:rsidR="00C958B1">
        <w:rPr>
          <w:b/>
          <w:szCs w:val="22"/>
        </w:rPr>
        <w:t>July 18, 2022</w:t>
      </w:r>
    </w:p>
    <w:p w:rsidR="00822CE0" w14:paraId="6B8A9264" w14:textId="77777777"/>
    <w:p w:rsidR="004C2EE3" w14:paraId="3E1F082E" w14:textId="48BF9C07">
      <w:pPr>
        <w:rPr>
          <w:spacing w:val="-2"/>
        </w:rPr>
      </w:pPr>
      <w:r w:rsidRPr="00A20EBC">
        <w:rPr>
          <w:szCs w:val="22"/>
        </w:rPr>
        <w:t xml:space="preserve">By the Chiefs, Auctions Division, </w:t>
      </w:r>
      <w:r w:rsidR="00802F57">
        <w:rPr>
          <w:szCs w:val="22"/>
        </w:rPr>
        <w:t>Office of Economics and Analytics</w:t>
      </w:r>
      <w:r w:rsidR="006B3433">
        <w:rPr>
          <w:szCs w:val="22"/>
        </w:rPr>
        <w:t>,</w:t>
      </w:r>
      <w:r w:rsidRPr="00A20EBC">
        <w:rPr>
          <w:szCs w:val="22"/>
        </w:rPr>
        <w:t xml:space="preserve"> and </w:t>
      </w:r>
      <w:r w:rsidR="006B3433">
        <w:rPr>
          <w:szCs w:val="22"/>
        </w:rPr>
        <w:t>Mobility</w:t>
      </w:r>
      <w:r w:rsidRPr="00A20EBC">
        <w:rPr>
          <w:szCs w:val="22"/>
        </w:rPr>
        <w:t xml:space="preserve"> Division, </w:t>
      </w:r>
      <w:r w:rsidR="006B3433">
        <w:rPr>
          <w:szCs w:val="22"/>
        </w:rPr>
        <w:t>Wireless Telecommunications</w:t>
      </w:r>
      <w:r w:rsidRPr="00A20EBC">
        <w:rPr>
          <w:szCs w:val="22"/>
        </w:rPr>
        <w:t xml:space="preserve"> Bureau</w:t>
      </w:r>
      <w:r w:rsidRPr="00A20EBC">
        <w:rPr>
          <w:spacing w:val="-2"/>
          <w:szCs w:val="22"/>
        </w:rPr>
        <w:t>:</w:t>
      </w:r>
    </w:p>
    <w:p w:rsidR="00822CE0" w14:paraId="47899E4F" w14:textId="77777777">
      <w:pPr>
        <w:rPr>
          <w:spacing w:val="-2"/>
        </w:rPr>
      </w:pPr>
    </w:p>
    <w:p w:rsidR="00412FC5" w:rsidP="00C36B4C" w14:paraId="058B0F20" w14:textId="77777777">
      <w:pPr>
        <w:pStyle w:val="Heading1"/>
      </w:pPr>
      <w:r>
        <w:t>INTRODUCTION</w:t>
      </w:r>
    </w:p>
    <w:p w:rsidR="00EC0B1E" w:rsidP="002A0375" w14:paraId="42CFEA9C" w14:textId="33D4FC4A">
      <w:pPr>
        <w:pStyle w:val="ParaNum"/>
        <w:tabs>
          <w:tab w:val="clear" w:pos="1440"/>
        </w:tabs>
      </w:pPr>
      <w:r>
        <w:t xml:space="preserve">In this Order, we deny a </w:t>
      </w:r>
      <w:r w:rsidR="008355F9">
        <w:t>r</w:t>
      </w:r>
      <w:r>
        <w:t xml:space="preserve">equest filed by </w:t>
      </w:r>
      <w:r>
        <w:t>Hilliary</w:t>
      </w:r>
      <w:r>
        <w:t xml:space="preserve"> Acquisition Corp 2016, LLC (“</w:t>
      </w:r>
      <w:r>
        <w:t>Hilliary</w:t>
      </w:r>
      <w:r>
        <w:t>”)</w:t>
      </w:r>
      <w:r w:rsidR="008355F9">
        <w:t>,</w:t>
      </w:r>
      <w:r w:rsidR="00C82CD4">
        <w:t xml:space="preserve"> </w:t>
      </w:r>
      <w:r w:rsidR="008355F9">
        <w:t xml:space="preserve">a </w:t>
      </w:r>
      <w:r>
        <w:t xml:space="preserve">winning bidder </w:t>
      </w:r>
      <w:r w:rsidR="003A2C6A">
        <w:t xml:space="preserve">of </w:t>
      </w:r>
      <w:r w:rsidR="00396D85">
        <w:t xml:space="preserve">42 licenses </w:t>
      </w:r>
      <w:r>
        <w:t>in Auction 105</w:t>
      </w:r>
      <w:r w:rsidR="008355F9">
        <w:t>, for waiver of the down payment deadline</w:t>
      </w:r>
      <w:r>
        <w:t>.</w:t>
      </w:r>
      <w:r>
        <w:rPr>
          <w:rStyle w:val="FootnoteReference1"/>
        </w:rPr>
        <w:footnoteReference w:id="3"/>
      </w:r>
      <w:r w:rsidRPr="0082023D">
        <w:t xml:space="preserve"> </w:t>
      </w:r>
      <w:r>
        <w:t xml:space="preserve"> </w:t>
      </w:r>
      <w:r>
        <w:t>Hilliary</w:t>
      </w:r>
      <w:r>
        <w:t xml:space="preserve"> failed to make </w:t>
      </w:r>
      <w:r w:rsidR="00A257B8">
        <w:t>its re</w:t>
      </w:r>
      <w:r>
        <w:t xml:space="preserve">quired down payment for the </w:t>
      </w:r>
      <w:r w:rsidR="000F2031">
        <w:t xml:space="preserve">licenses </w:t>
      </w:r>
      <w:r>
        <w:t>by the deadline established under the Commission’s rules</w:t>
      </w:r>
      <w:r w:rsidR="00AC1013">
        <w:t>, instead submitting a paym</w:t>
      </w:r>
      <w:r w:rsidR="000A439F">
        <w:t>ent three weeks late</w:t>
      </w:r>
      <w:r w:rsidR="00762A62">
        <w:t>.</w:t>
      </w:r>
      <w:r>
        <w:rPr>
          <w:rStyle w:val="FootnoteReference"/>
        </w:rPr>
        <w:footnoteReference w:id="4"/>
      </w:r>
      <w:r w:rsidR="00C82CD4">
        <w:t xml:space="preserve"> </w:t>
      </w:r>
      <w:r w:rsidR="002C2D52">
        <w:t xml:space="preserve"> </w:t>
      </w:r>
      <w:r w:rsidR="008A13BD">
        <w:t>Subsequently</w:t>
      </w:r>
      <w:r w:rsidR="000A439F">
        <w:t xml:space="preserve">, </w:t>
      </w:r>
      <w:r w:rsidR="000A439F">
        <w:t>Hilliary</w:t>
      </w:r>
      <w:r w:rsidR="002C2D52">
        <w:t xml:space="preserve"> submitted a request for waiver of the </w:t>
      </w:r>
      <w:r w:rsidR="00031DA5">
        <w:t>down p</w:t>
      </w:r>
      <w:r w:rsidR="00BE5A40">
        <w:t xml:space="preserve">ayment </w:t>
      </w:r>
      <w:r w:rsidR="002C2D52">
        <w:t>deadline</w:t>
      </w:r>
      <w:r>
        <w:t>.</w:t>
      </w:r>
      <w:r>
        <w:rPr>
          <w:rStyle w:val="FootnoteReference"/>
          <w:szCs w:val="22"/>
        </w:rPr>
        <w:footnoteReference w:id="5"/>
      </w:r>
      <w:r>
        <w:t xml:space="preserve">  For the reasons set forth below, we deny </w:t>
      </w:r>
      <w:r>
        <w:t>Hilliary’s</w:t>
      </w:r>
      <w:r>
        <w:t xml:space="preserve"> </w:t>
      </w:r>
      <w:r w:rsidR="002477C8">
        <w:t>r</w:t>
      </w:r>
      <w:r>
        <w:t xml:space="preserve">equest, assess an interim default payment, and dismiss </w:t>
      </w:r>
      <w:r>
        <w:t>Hilliary’s</w:t>
      </w:r>
      <w:r>
        <w:t xml:space="preserve"> long-form application</w:t>
      </w:r>
      <w:r w:rsidR="00410B46">
        <w:t>s</w:t>
      </w:r>
      <w:r>
        <w:t>.</w:t>
      </w:r>
    </w:p>
    <w:p w:rsidR="00EC0B1E" w:rsidP="00EC0B1E" w14:paraId="3D682E0D" w14:textId="77777777">
      <w:pPr>
        <w:pStyle w:val="Heading1"/>
      </w:pPr>
      <w:r>
        <w:t>background</w:t>
      </w:r>
    </w:p>
    <w:p w:rsidR="00EC0B1E" w:rsidP="00644E47" w14:paraId="60BB7838" w14:textId="260230F0">
      <w:pPr>
        <w:pStyle w:val="ParaNum"/>
        <w:widowControl/>
        <w:tabs>
          <w:tab w:val="clear" w:pos="1440"/>
        </w:tabs>
      </w:pPr>
      <w:r>
        <w:t xml:space="preserve">Auction 105 was </w:t>
      </w:r>
      <w:r w:rsidR="004A4CFF">
        <w:t xml:space="preserve">an auction </w:t>
      </w:r>
      <w:r w:rsidRPr="009D2293" w:rsidR="004A4CFF">
        <w:t xml:space="preserve">of </w:t>
      </w:r>
      <w:r w:rsidR="002477C8">
        <w:t>Priority Access L</w:t>
      </w:r>
      <w:r w:rsidR="000F2031">
        <w:t>icenses</w:t>
      </w:r>
      <w:r w:rsidRPr="009D2293" w:rsidR="000F2031">
        <w:t xml:space="preserve"> </w:t>
      </w:r>
      <w:r w:rsidRPr="009D2293" w:rsidR="009D2293">
        <w:t>in the 3550-3650 MHz band</w:t>
      </w:r>
      <w:r w:rsidRPr="009D2293" w:rsidR="004A4CFF">
        <w:t>.</w:t>
      </w:r>
      <w:r>
        <w:rPr>
          <w:rStyle w:val="FootnoteReference"/>
          <w:szCs w:val="22"/>
        </w:rPr>
        <w:footnoteReference w:id="6"/>
      </w:r>
      <w:r w:rsidR="004A4CFF">
        <w:t xml:space="preserve">  </w:t>
      </w:r>
      <w:r>
        <w:t xml:space="preserve">In the </w:t>
      </w:r>
      <w:r w:rsidR="004A4CFF">
        <w:rPr>
          <w:i/>
        </w:rPr>
        <w:t>Auction 105</w:t>
      </w:r>
      <w:r w:rsidR="004A4CFF">
        <w:t xml:space="preserve"> </w:t>
      </w:r>
      <w:r w:rsidR="004A4CFF">
        <w:rPr>
          <w:i/>
        </w:rPr>
        <w:t>Procedures Public Notice</w:t>
      </w:r>
      <w:r>
        <w:rPr>
          <w:iCs/>
        </w:rPr>
        <w:t xml:space="preserve">, the Wireless Telecommunications Bureau (WTB) and the Office of Economics and </w:t>
      </w:r>
      <w:r w:rsidRPr="0082023D">
        <w:t>Analytics</w:t>
      </w:r>
      <w:r>
        <w:rPr>
          <w:iCs/>
        </w:rPr>
        <w:t xml:space="preserve"> (OEA)</w:t>
      </w:r>
      <w:r w:rsidR="004A4CFF">
        <w:t xml:space="preserve"> described the requirements for participation in the auction and explained the post-auction procedures, including deadlines for the submission of down payments and the filing of long-form applications by winning bidders.</w:t>
      </w:r>
      <w:r w:rsidRPr="003F0831">
        <w:rPr>
          <w:rStyle w:val="FootnoteReference"/>
          <w:szCs w:val="22"/>
        </w:rPr>
        <w:t xml:space="preserve"> </w:t>
      </w:r>
      <w:r>
        <w:rPr>
          <w:rStyle w:val="FootnoteReference"/>
          <w:szCs w:val="22"/>
        </w:rPr>
        <w:footnoteReference w:id="7"/>
      </w:r>
      <w:r w:rsidR="004A4CFF">
        <w:t xml:space="preserve">  The </w:t>
      </w:r>
      <w:bookmarkStart w:id="0" w:name="OLE_LINK1"/>
      <w:bookmarkStart w:id="1" w:name="OLE_LINK2"/>
      <w:r w:rsidR="004A4CFF">
        <w:rPr>
          <w:i/>
        </w:rPr>
        <w:t>Auction 105</w:t>
      </w:r>
      <w:r w:rsidR="004A4CFF">
        <w:t xml:space="preserve"> </w:t>
      </w:r>
      <w:r w:rsidR="004A4CFF">
        <w:rPr>
          <w:i/>
        </w:rPr>
        <w:t>Procedures Public Notice</w:t>
      </w:r>
      <w:r w:rsidR="004A4CFF">
        <w:t xml:space="preserve"> </w:t>
      </w:r>
      <w:bookmarkEnd w:id="0"/>
      <w:bookmarkEnd w:id="1"/>
      <w:r w:rsidR="004A4CFF">
        <w:t>stated</w:t>
      </w:r>
      <w:r w:rsidR="00EE1B35">
        <w:t xml:space="preserve"> specifically</w:t>
      </w:r>
      <w:r w:rsidR="004A4CFF">
        <w:t xml:space="preserve"> that down payments would be due from winning </w:t>
      </w:r>
      <w:r w:rsidRPr="00220AD9" w:rsidR="004A4CFF">
        <w:t>bidders ten business days after</w:t>
      </w:r>
      <w:r w:rsidR="004A4CFF">
        <w:t xml:space="preserve"> the release of the auction’s closing public notice, </w:t>
      </w:r>
      <w:r w:rsidR="007C480E">
        <w:t>consistent with the requirement set forth in</w:t>
      </w:r>
      <w:r w:rsidR="004A4CFF">
        <w:t xml:space="preserve"> the Commission’s rules.</w:t>
      </w:r>
      <w:r>
        <w:rPr>
          <w:rStyle w:val="FootnoteReference"/>
          <w:szCs w:val="22"/>
        </w:rPr>
        <w:footnoteReference w:id="8"/>
      </w:r>
      <w:r w:rsidR="004A4CFF">
        <w:t xml:space="preserve">  </w:t>
      </w:r>
      <w:r w:rsidR="00E216BA">
        <w:t xml:space="preserve">Winning bidders who failed to make their down payments on time would be considered in default, and </w:t>
      </w:r>
      <w:r>
        <w:t>defaulting bidders would be liable for default payments.</w:t>
      </w:r>
      <w:r>
        <w:rPr>
          <w:rStyle w:val="FootnoteReference"/>
          <w:color w:val="000000"/>
        </w:rPr>
        <w:footnoteReference w:id="9"/>
      </w:r>
      <w:r w:rsidR="004A4CFF">
        <w:t xml:space="preserve">  The </w:t>
      </w:r>
      <w:r w:rsidR="004A4CFF">
        <w:rPr>
          <w:i/>
        </w:rPr>
        <w:t>Auction 105</w:t>
      </w:r>
      <w:r w:rsidR="004A4CFF">
        <w:t xml:space="preserve"> </w:t>
      </w:r>
      <w:r w:rsidR="004A4CFF">
        <w:rPr>
          <w:i/>
        </w:rPr>
        <w:t>Procedures Public Notice</w:t>
      </w:r>
      <w:r w:rsidR="004A4CFF">
        <w:t xml:space="preserve"> also </w:t>
      </w:r>
      <w:r w:rsidR="004A4CFF">
        <w:t xml:space="preserve">made clear that long-form applications would be due </w:t>
      </w:r>
      <w:r w:rsidR="00220AD9">
        <w:t>ten business</w:t>
      </w:r>
      <w:r w:rsidR="004A4CFF">
        <w:t xml:space="preserve"> days after the release of the </w:t>
      </w:r>
      <w:r w:rsidR="004A4CFF">
        <w:rPr>
          <w:i/>
        </w:rPr>
        <w:t>Auction 105</w:t>
      </w:r>
      <w:r w:rsidR="004A4CFF">
        <w:t xml:space="preserve"> </w:t>
      </w:r>
      <w:r w:rsidR="004A4CFF">
        <w:rPr>
          <w:i/>
        </w:rPr>
        <w:t>Closing Public Notice</w:t>
      </w:r>
      <w:r w:rsidR="004A4CFF">
        <w:t>, as required by the Commission’s rules.</w:t>
      </w:r>
      <w:r>
        <w:rPr>
          <w:rStyle w:val="FootnoteReference"/>
          <w:szCs w:val="22"/>
        </w:rPr>
        <w:footnoteReference w:id="10"/>
      </w:r>
    </w:p>
    <w:p w:rsidR="004A4CFF" w:rsidP="00644E47" w14:paraId="12FFF1D6" w14:textId="17241E22">
      <w:pPr>
        <w:pStyle w:val="ParaNum"/>
        <w:widowControl/>
        <w:tabs>
          <w:tab w:val="clear" w:pos="1440"/>
        </w:tabs>
      </w:pPr>
      <w:r>
        <w:t>Hilliary</w:t>
      </w:r>
      <w:r>
        <w:t xml:space="preserve"> </w:t>
      </w:r>
      <w:r w:rsidR="00E2428D">
        <w:t xml:space="preserve">was found to be a qualified bidder for Auction 105, after </w:t>
      </w:r>
      <w:r w:rsidR="00C82CD4">
        <w:t xml:space="preserve">it </w:t>
      </w:r>
      <w:r>
        <w:t xml:space="preserve">filed </w:t>
      </w:r>
      <w:r w:rsidR="00E2428D">
        <w:t xml:space="preserve">a complete </w:t>
      </w:r>
      <w:r>
        <w:t xml:space="preserve">short-form application and submitted an upfront payment in the </w:t>
      </w:r>
      <w:r w:rsidRPr="00566AC8">
        <w:t>amount of $</w:t>
      </w:r>
      <w:r w:rsidRPr="00566AC8" w:rsidR="00566AC8">
        <w:t>102,700</w:t>
      </w:r>
      <w:r w:rsidR="000E54AD">
        <w:t>.00</w:t>
      </w:r>
      <w:r w:rsidRPr="00566AC8">
        <w:t>.</w:t>
      </w:r>
      <w:r>
        <w:rPr>
          <w:rStyle w:val="FootnoteReference"/>
        </w:rPr>
        <w:footnoteReference w:id="11"/>
      </w:r>
      <w:r>
        <w:t xml:space="preserve">  </w:t>
      </w:r>
      <w:r>
        <w:t>Hilliary</w:t>
      </w:r>
      <w:r>
        <w:t xml:space="preserve"> claimed eligibility for a </w:t>
      </w:r>
      <w:r w:rsidRPr="003229F8" w:rsidR="00566AC8">
        <w:t>fifteen</w:t>
      </w:r>
      <w:r w:rsidRPr="003229F8">
        <w:t xml:space="preserve"> percent bidding credit</w:t>
      </w:r>
      <w:r w:rsidRPr="003229F8" w:rsidR="00566AC8">
        <w:t xml:space="preserve"> as a</w:t>
      </w:r>
      <w:r w:rsidR="00566AC8">
        <w:t xml:space="preserve"> rural service provider</w:t>
      </w:r>
      <w:r>
        <w:t>.</w:t>
      </w:r>
      <w:r>
        <w:rPr>
          <w:rStyle w:val="FootnoteReference"/>
        </w:rPr>
        <w:footnoteReference w:id="12"/>
      </w:r>
      <w:r>
        <w:t xml:space="preserve">  Bidding in Auction 105 began on </w:t>
      </w:r>
      <w:r w:rsidR="003229F8">
        <w:t>June 25, 2020</w:t>
      </w:r>
      <w:r>
        <w:t>, and</w:t>
      </w:r>
      <w:r w:rsidR="000E54AD">
        <w:t xml:space="preserve"> it</w:t>
      </w:r>
      <w:r>
        <w:t xml:space="preserve"> ended on </w:t>
      </w:r>
      <w:r w:rsidR="003229F8">
        <w:t>August 25, 2020</w:t>
      </w:r>
      <w:r>
        <w:t>.</w:t>
      </w:r>
    </w:p>
    <w:p w:rsidR="00CA70C0" w:rsidP="00644E47" w14:paraId="02CBD29D" w14:textId="00157794">
      <w:pPr>
        <w:pStyle w:val="ParaNum"/>
        <w:widowControl/>
        <w:tabs>
          <w:tab w:val="clear" w:pos="1440"/>
        </w:tabs>
      </w:pPr>
      <w:r>
        <w:t xml:space="preserve">On </w:t>
      </w:r>
      <w:r w:rsidR="00AA2534">
        <w:t>September 2, 2020</w:t>
      </w:r>
      <w:r>
        <w:t xml:space="preserve">, </w:t>
      </w:r>
      <w:r w:rsidR="00B012C2">
        <w:t>WTB and OEA</w:t>
      </w:r>
      <w:r w:rsidR="00F732BE">
        <w:t xml:space="preserve"> announced the close of Auction 105 and identified the winning bidders</w:t>
      </w:r>
      <w:r>
        <w:t xml:space="preserve"> </w:t>
      </w:r>
      <w:r w:rsidR="00F732BE">
        <w:t xml:space="preserve">in </w:t>
      </w:r>
      <w:r>
        <w:t xml:space="preserve">the </w:t>
      </w:r>
      <w:r>
        <w:rPr>
          <w:i/>
        </w:rPr>
        <w:t>Auction 105</w:t>
      </w:r>
      <w:r>
        <w:t xml:space="preserve"> </w:t>
      </w:r>
      <w:r>
        <w:rPr>
          <w:i/>
        </w:rPr>
        <w:t>Closing Public Notice</w:t>
      </w:r>
      <w:r>
        <w:t xml:space="preserve">.  The </w:t>
      </w:r>
      <w:r>
        <w:rPr>
          <w:i/>
        </w:rPr>
        <w:t>Auction 105</w:t>
      </w:r>
      <w:r>
        <w:t xml:space="preserve"> </w:t>
      </w:r>
      <w:r>
        <w:rPr>
          <w:i/>
        </w:rPr>
        <w:t>Closing Public Notice</w:t>
      </w:r>
      <w:r>
        <w:t xml:space="preserve"> </w:t>
      </w:r>
      <w:r w:rsidR="004353B5">
        <w:t>announc</w:t>
      </w:r>
      <w:r>
        <w:t xml:space="preserve">ed that </w:t>
      </w:r>
      <w:r>
        <w:t>Hilliary</w:t>
      </w:r>
      <w:r>
        <w:t xml:space="preserve"> was the winning bidder </w:t>
      </w:r>
      <w:r w:rsidRPr="003229F8">
        <w:t xml:space="preserve">for </w:t>
      </w:r>
      <w:r w:rsidRPr="003229F8" w:rsidR="003229F8">
        <w:t xml:space="preserve">42 </w:t>
      </w:r>
      <w:r w:rsidR="000F2031">
        <w:t>licenses</w:t>
      </w:r>
      <w:r w:rsidRPr="003229F8" w:rsidR="000F2031">
        <w:t xml:space="preserve"> </w:t>
      </w:r>
      <w:r w:rsidR="003229F8">
        <w:t>across</w:t>
      </w:r>
      <w:r w:rsidRPr="003229F8" w:rsidR="003229F8">
        <w:t xml:space="preserve"> 21 counties</w:t>
      </w:r>
      <w:r w:rsidRPr="003229F8">
        <w:t>, w</w:t>
      </w:r>
      <w:r>
        <w:t xml:space="preserve">ith net winning </w:t>
      </w:r>
      <w:r w:rsidRPr="003229F8">
        <w:t>bid</w:t>
      </w:r>
      <w:r w:rsidR="0072288C">
        <w:t>s</w:t>
      </w:r>
      <w:r w:rsidRPr="003229F8">
        <w:t xml:space="preserve"> </w:t>
      </w:r>
      <w:r w:rsidR="0072288C">
        <w:t>totaling</w:t>
      </w:r>
      <w:r w:rsidRPr="003229F8">
        <w:t xml:space="preserve"> $</w:t>
      </w:r>
      <w:r w:rsidRPr="003229F8" w:rsidR="003229F8">
        <w:t>805,965</w:t>
      </w:r>
      <w:r w:rsidRPr="003229F8">
        <w:t>.00.</w:t>
      </w:r>
      <w:r>
        <w:rPr>
          <w:rStyle w:val="FootnoteReference"/>
        </w:rPr>
        <w:footnoteReference w:id="13"/>
      </w:r>
      <w:r w:rsidRPr="003229F8">
        <w:t xml:space="preserve">  </w:t>
      </w:r>
      <w:r w:rsidR="002912DF">
        <w:t xml:space="preserve">Pursuant to </w:t>
      </w:r>
      <w:r w:rsidRPr="00AE0272" w:rsidR="002912DF">
        <w:t>section 1.2107(b) of</w:t>
      </w:r>
      <w:r w:rsidR="002912DF">
        <w:t xml:space="preserve"> the Commission’s rules, each winning bidder in Auction 105</w:t>
      </w:r>
      <w:r w:rsidR="00966DE0">
        <w:t xml:space="preserve"> </w:t>
      </w:r>
      <w:r w:rsidR="002912DF">
        <w:t>was required to</w:t>
      </w:r>
      <w:r w:rsidR="004F7513">
        <w:t xml:space="preserve"> </w:t>
      </w:r>
      <w:r w:rsidR="00966DE0">
        <w:t xml:space="preserve">make a down payment within ten business days after the release of the </w:t>
      </w:r>
      <w:r w:rsidRPr="00D5055C" w:rsidR="00966DE0">
        <w:rPr>
          <w:i/>
          <w:iCs/>
        </w:rPr>
        <w:t>Auction 105 Closing Public Notice</w:t>
      </w:r>
      <w:r w:rsidR="00966DE0">
        <w:t>.</w:t>
      </w:r>
      <w:r w:rsidRPr="00966DE0" w:rsidR="00966DE0">
        <w:rPr>
          <w:rStyle w:val="FootnoteReference"/>
        </w:rPr>
        <w:t xml:space="preserve"> </w:t>
      </w:r>
      <w:r>
        <w:rPr>
          <w:rStyle w:val="FootnoteReference"/>
        </w:rPr>
        <w:footnoteReference w:id="14"/>
      </w:r>
      <w:r w:rsidR="00966DE0">
        <w:t xml:space="preserve">  Accordingly</w:t>
      </w:r>
      <w:r w:rsidR="00E9380E">
        <w:t>,</w:t>
      </w:r>
      <w:r w:rsidR="00966DE0">
        <w:t xml:space="preserve"> each winning bidder was required to satisfy its down payment obligation no later than September 17, 2020</w:t>
      </w:r>
      <w:r w:rsidR="00375D5E">
        <w:t>.</w:t>
      </w:r>
      <w:r>
        <w:rPr>
          <w:rStyle w:val="FootnoteReference"/>
        </w:rPr>
        <w:footnoteReference w:id="15"/>
      </w:r>
      <w:r w:rsidR="00966DE0">
        <w:t xml:space="preserve"> </w:t>
      </w:r>
      <w:r w:rsidR="00375D5E">
        <w:t xml:space="preserve"> T</w:t>
      </w:r>
      <w:r w:rsidR="00966DE0">
        <w:t xml:space="preserve">he </w:t>
      </w:r>
      <w:r w:rsidRPr="00E02268" w:rsidR="00966DE0">
        <w:rPr>
          <w:i/>
          <w:iCs/>
        </w:rPr>
        <w:t>Auction 105 Closing Public Notice</w:t>
      </w:r>
      <w:r w:rsidR="00966DE0">
        <w:t xml:space="preserve"> further advised winning bidders to make payment arrangements well in advance of the deadline.</w:t>
      </w:r>
      <w:r>
        <w:rPr>
          <w:rStyle w:val="FootnoteReference"/>
        </w:rPr>
        <w:footnoteReference w:id="16"/>
      </w:r>
      <w:r w:rsidR="00966DE0">
        <w:t xml:space="preserve">  Th</w:t>
      </w:r>
      <w:r w:rsidR="00C20B27">
        <w:t>e</w:t>
      </w:r>
      <w:r w:rsidR="00966DE0">
        <w:t xml:space="preserve"> down payment</w:t>
      </w:r>
      <w:r w:rsidR="00C20B27">
        <w:t>s</w:t>
      </w:r>
      <w:r w:rsidR="00966DE0">
        <w:t xml:space="preserve"> would bring each winning bidder’s</w:t>
      </w:r>
      <w:r w:rsidR="002912DF">
        <w:t xml:space="preserve"> total amount of money on deposit with the Commission </w:t>
      </w:r>
      <w:r w:rsidR="004F7513">
        <w:t xml:space="preserve">up </w:t>
      </w:r>
      <w:r w:rsidRPr="00AE0272" w:rsidR="002912DF">
        <w:t>to twenty percent of</w:t>
      </w:r>
      <w:r w:rsidR="002912DF">
        <w:t xml:space="preserve"> the net amount of its winning bids</w:t>
      </w:r>
      <w:r w:rsidR="003F0831">
        <w:t>.</w:t>
      </w:r>
      <w:r>
        <w:rPr>
          <w:rStyle w:val="FootnoteReference"/>
        </w:rPr>
        <w:footnoteReference w:id="17"/>
      </w:r>
      <w:r w:rsidR="00E216BA">
        <w:t xml:space="preserve">  </w:t>
      </w:r>
    </w:p>
    <w:p w:rsidR="00BE5A40" w:rsidP="00644E47" w14:paraId="27B322B5" w14:textId="7841E788">
      <w:pPr>
        <w:pStyle w:val="ParaNum"/>
        <w:widowControl/>
        <w:tabs>
          <w:tab w:val="clear" w:pos="1440"/>
        </w:tabs>
      </w:pPr>
      <w:r>
        <w:t>To satisfy its down payment obligation</w:t>
      </w:r>
      <w:r w:rsidR="001C2C6F">
        <w:t xml:space="preserve"> to bring its amount on deposit with the Commission up to twenty percent of its net winning bids, </w:t>
      </w:r>
      <w:r w:rsidR="004A4CFF">
        <w:t>Hilliary</w:t>
      </w:r>
      <w:r w:rsidR="004A4CFF">
        <w:t xml:space="preserve"> was required to submit </w:t>
      </w:r>
      <w:r w:rsidRPr="00AE0272" w:rsidR="004A4CFF">
        <w:t>$</w:t>
      </w:r>
      <w:r w:rsidR="00341DC2">
        <w:t>58</w:t>
      </w:r>
      <w:r w:rsidR="00AE0272">
        <w:t>,</w:t>
      </w:r>
      <w:r w:rsidR="00341DC2">
        <w:t>4</w:t>
      </w:r>
      <w:r w:rsidR="00AE0272">
        <w:t>93</w:t>
      </w:r>
      <w:r w:rsidR="00D83C12">
        <w:t>.00</w:t>
      </w:r>
      <w:r w:rsidR="004A4CFF">
        <w:t xml:space="preserve"> to the Commission by </w:t>
      </w:r>
      <w:r w:rsidR="00AE0272">
        <w:t>September 17, 2020</w:t>
      </w:r>
      <w:r w:rsidR="001C2C6F">
        <w:t>.</w:t>
      </w:r>
      <w:r>
        <w:rPr>
          <w:rStyle w:val="FootnoteReference"/>
        </w:rPr>
        <w:footnoteReference w:id="18"/>
      </w:r>
      <w:r w:rsidR="004A4CFF">
        <w:rPr>
          <w:rStyle w:val="FootnoteReference"/>
        </w:rPr>
        <w:t xml:space="preserve"> </w:t>
      </w:r>
      <w:r w:rsidR="004A4CFF">
        <w:t xml:space="preserve"> </w:t>
      </w:r>
      <w:r w:rsidR="004A4CFF">
        <w:t>Hilliary</w:t>
      </w:r>
      <w:r w:rsidR="004A4CFF">
        <w:t xml:space="preserve"> failed</w:t>
      </w:r>
      <w:r w:rsidR="004F7513">
        <w:t xml:space="preserve"> </w:t>
      </w:r>
      <w:r w:rsidR="004A4CFF">
        <w:t xml:space="preserve">to </w:t>
      </w:r>
      <w:r w:rsidR="00F7500D">
        <w:t xml:space="preserve">make any </w:t>
      </w:r>
      <w:r w:rsidR="004A4CFF">
        <w:t>pay</w:t>
      </w:r>
      <w:r w:rsidR="00F7500D">
        <w:t>ment</w:t>
      </w:r>
      <w:r w:rsidR="004A4CFF">
        <w:t xml:space="preserve"> by th</w:t>
      </w:r>
      <w:r w:rsidR="004F7513">
        <w:t>at</w:t>
      </w:r>
      <w:r w:rsidR="004A4CFF">
        <w:t xml:space="preserve"> deadline</w:t>
      </w:r>
      <w:r w:rsidR="00693929">
        <w:t>,</w:t>
      </w:r>
      <w:r w:rsidR="00FD5666">
        <w:t xml:space="preserve"> thereby defaulting on its winning bid</w:t>
      </w:r>
      <w:r w:rsidR="001B2585">
        <w:t>s</w:t>
      </w:r>
      <w:r w:rsidR="0075275E">
        <w:t>.</w:t>
      </w:r>
      <w:r w:rsidR="00517C97">
        <w:t xml:space="preserve">  </w:t>
      </w:r>
    </w:p>
    <w:p w:rsidR="00BE5A40" w:rsidP="00644E47" w14:paraId="1E4753E5" w14:textId="58E0DE62">
      <w:pPr>
        <w:pStyle w:val="ParaNum"/>
        <w:widowControl/>
        <w:tabs>
          <w:tab w:val="clear" w:pos="1440"/>
        </w:tabs>
      </w:pPr>
      <w:r>
        <w:t>Pursuant</w:t>
      </w:r>
      <w:r w:rsidR="00D80741">
        <w:t xml:space="preserve"> to</w:t>
      </w:r>
      <w:r>
        <w:t xml:space="preserve"> section 1.2109(a) of the rules, </w:t>
      </w:r>
      <w:r>
        <w:t>a winn</w:t>
      </w:r>
      <w:r w:rsidR="00694600">
        <w:t>ing bidder</w:t>
      </w:r>
      <w:r>
        <w:t xml:space="preserve"> </w:t>
      </w:r>
      <w:r w:rsidR="00FD5666">
        <w:t>that timely</w:t>
      </w:r>
      <w:r>
        <w:t xml:space="preserve"> ma</w:t>
      </w:r>
      <w:r w:rsidR="00642CE1">
        <w:t>k</w:t>
      </w:r>
      <w:r>
        <w:t>e</w:t>
      </w:r>
      <w:r w:rsidR="00642CE1">
        <w:t>s</w:t>
      </w:r>
      <w:r>
        <w:t xml:space="preserve"> its down payment </w:t>
      </w:r>
      <w:r w:rsidR="001B2585">
        <w:t>i</w:t>
      </w:r>
      <w:r w:rsidR="00694600">
        <w:t>s required to</w:t>
      </w:r>
      <w:r>
        <w:t xml:space="preserve"> pay a final payment, consisting of its remaining balance due.</w:t>
      </w:r>
      <w:r>
        <w:rPr>
          <w:rStyle w:val="FootnoteReference"/>
        </w:rPr>
        <w:footnoteReference w:id="19"/>
      </w:r>
      <w:r>
        <w:t xml:space="preserve">  Section 1.2109(a) provides that any such winner also has an option to pay the final balance ten business days after the final payment deadline, provided that it also pays a late fee equal to five percent of the amount due.</w:t>
      </w:r>
      <w:r>
        <w:rPr>
          <w:rStyle w:val="FootnoteReference"/>
        </w:rPr>
        <w:footnoteReference w:id="20"/>
      </w:r>
      <w:r>
        <w:t xml:space="preserve">  The </w:t>
      </w:r>
      <w:r w:rsidRPr="00D5055C">
        <w:rPr>
          <w:i/>
          <w:iCs/>
        </w:rPr>
        <w:t>Auction 105 Closing Public Notice</w:t>
      </w:r>
      <w:r>
        <w:t xml:space="preserve"> announced that the final payment deadline w</w:t>
      </w:r>
      <w:r w:rsidR="00694600">
        <w:t xml:space="preserve">as </w:t>
      </w:r>
      <w:r>
        <w:t>October 1, 2020, and that the late final payment deadline w</w:t>
      </w:r>
      <w:r w:rsidR="00694600">
        <w:t xml:space="preserve">as </w:t>
      </w:r>
      <w:r>
        <w:t>October 16, 2020.</w:t>
      </w:r>
      <w:r>
        <w:rPr>
          <w:rStyle w:val="FootnoteReference"/>
        </w:rPr>
        <w:footnoteReference w:id="21"/>
      </w:r>
    </w:p>
    <w:p w:rsidR="00B323FE" w:rsidP="00644E47" w14:paraId="4D640C6E" w14:textId="25B5EEDB">
      <w:pPr>
        <w:pStyle w:val="ParaNum"/>
        <w:widowControl/>
        <w:tabs>
          <w:tab w:val="clear" w:pos="1440"/>
        </w:tabs>
      </w:pPr>
      <w:r>
        <w:t>Hilliary</w:t>
      </w:r>
      <w:r>
        <w:t xml:space="preserve"> </w:t>
      </w:r>
      <w:r w:rsidR="00694600">
        <w:t>made</w:t>
      </w:r>
      <w:r>
        <w:t xml:space="preserve"> a payment in the amount of $</w:t>
      </w:r>
      <w:r w:rsidRPr="00517C97">
        <w:t>738,428.25</w:t>
      </w:r>
      <w:r>
        <w:t xml:space="preserve"> on October 8, 2020</w:t>
      </w:r>
      <w:r w:rsidR="00C87CCB">
        <w:t>, three weeks after the deadline for down payments ha</w:t>
      </w:r>
      <w:r w:rsidR="00D346B1">
        <w:t>d pas</w:t>
      </w:r>
      <w:r w:rsidR="003B4878">
        <w:t>sed</w:t>
      </w:r>
      <w:r>
        <w:t xml:space="preserve">.  </w:t>
      </w:r>
      <w:r w:rsidR="00C232B1">
        <w:t>Subsequently, o</w:t>
      </w:r>
      <w:r w:rsidR="002C2D52">
        <w:t>n</w:t>
      </w:r>
      <w:r w:rsidR="00AB749C">
        <w:t xml:space="preserve"> November 4, 2020, </w:t>
      </w:r>
      <w:r w:rsidR="002C2D52">
        <w:t>Hilliary</w:t>
      </w:r>
      <w:r w:rsidR="002C2D52">
        <w:t xml:space="preserve"> submitted an amendment to its long-form application seek</w:t>
      </w:r>
      <w:r w:rsidR="00D346B1">
        <w:t>ing</w:t>
      </w:r>
      <w:r w:rsidR="002C2D52">
        <w:t xml:space="preserve"> waiver of the down payment deadline</w:t>
      </w:r>
      <w:r w:rsidR="00B0052A">
        <w:t xml:space="preserve"> and acceptance of its late payment</w:t>
      </w:r>
      <w:r w:rsidR="002C2D52">
        <w:t>.</w:t>
      </w:r>
      <w:r>
        <w:rPr>
          <w:rStyle w:val="FootnoteReference"/>
        </w:rPr>
        <w:footnoteReference w:id="22"/>
      </w:r>
      <w:r w:rsidR="002C2D52">
        <w:t xml:space="preserve">  </w:t>
      </w:r>
      <w:r w:rsidR="00C232B1">
        <w:t>In it</w:t>
      </w:r>
      <w:r w:rsidR="00AB749C">
        <w:t xml:space="preserve">, </w:t>
      </w:r>
      <w:r w:rsidR="00AB749C">
        <w:t>Hilliary</w:t>
      </w:r>
      <w:r w:rsidR="00AB749C">
        <w:t xml:space="preserve"> states that, as </w:t>
      </w:r>
      <w:r w:rsidR="005342EA">
        <w:t>the</w:t>
      </w:r>
      <w:r w:rsidR="00AB749C">
        <w:t xml:space="preserve"> September 17 down payment deadline approached, </w:t>
      </w:r>
      <w:r w:rsidR="00AB749C">
        <w:t>Hilliary</w:t>
      </w:r>
      <w:r w:rsidR="00AB749C">
        <w:t xml:space="preserve"> was “working diligently” for weeks to complete its Auction 105 long-form application</w:t>
      </w:r>
      <w:r w:rsidR="00FF28B3">
        <w:t>s</w:t>
      </w:r>
      <w:r w:rsidR="00AB749C">
        <w:t xml:space="preserve">, as well </w:t>
      </w:r>
      <w:r w:rsidRPr="00327C23" w:rsidR="00AB749C">
        <w:t xml:space="preserve">as </w:t>
      </w:r>
      <w:r w:rsidRPr="001F7166" w:rsidR="00F45638">
        <w:t>a separate</w:t>
      </w:r>
      <w:r w:rsidRPr="00327C23" w:rsidR="00F45638">
        <w:t xml:space="preserve"> </w:t>
      </w:r>
      <w:r w:rsidRPr="00AA1E2C" w:rsidR="00AB749C">
        <w:t>short-form a</w:t>
      </w:r>
      <w:r w:rsidRPr="00F421C3" w:rsidR="00AB749C">
        <w:t xml:space="preserve">pplication </w:t>
      </w:r>
      <w:r w:rsidR="00F45638">
        <w:t xml:space="preserve">to participate in another Commission auction of wireless licenses, </w:t>
      </w:r>
      <w:r w:rsidRPr="001F7166" w:rsidR="00AB749C">
        <w:t xml:space="preserve"> Auction 107.</w:t>
      </w:r>
      <w:r>
        <w:rPr>
          <w:rStyle w:val="FootnoteReference"/>
        </w:rPr>
        <w:footnoteReference w:id="23"/>
      </w:r>
      <w:r w:rsidR="00AB749C">
        <w:t xml:space="preserve">  </w:t>
      </w:r>
      <w:r w:rsidR="00AB749C">
        <w:t>Hilliary</w:t>
      </w:r>
      <w:r w:rsidR="00AB749C">
        <w:t xml:space="preserve"> claims that, in the second week of September, its </w:t>
      </w:r>
      <w:r w:rsidR="005E35FC">
        <w:t xml:space="preserve">Chief Financial Officer (CFO) </w:t>
      </w:r>
      <w:r w:rsidR="00AB749C">
        <w:t>and one other “principal executive” learned that they had been exposed to the coronavirus “and immediately underwent self-quarantine outside of [</w:t>
      </w:r>
      <w:r w:rsidR="00AB749C">
        <w:t>Hilliary’s</w:t>
      </w:r>
      <w:r w:rsidR="00AB749C">
        <w:t>] offices</w:t>
      </w:r>
      <w:r w:rsidR="000E30F8">
        <w:t>”</w:t>
      </w:r>
      <w:r w:rsidR="00AB749C">
        <w:t xml:space="preserve"> for two</w:t>
      </w:r>
      <w:r w:rsidR="00927A26">
        <w:t xml:space="preserve"> </w:t>
      </w:r>
      <w:r w:rsidR="00AB749C">
        <w:t>week</w:t>
      </w:r>
      <w:r w:rsidR="000E30F8">
        <w:t>s</w:t>
      </w:r>
      <w:r w:rsidR="00AB749C">
        <w:t xml:space="preserve"> </w:t>
      </w:r>
      <w:r w:rsidR="000E30F8">
        <w:t>each</w:t>
      </w:r>
      <w:r w:rsidR="00AB749C">
        <w:t>.</w:t>
      </w:r>
      <w:r>
        <w:rPr>
          <w:rStyle w:val="FootnoteReference"/>
        </w:rPr>
        <w:footnoteReference w:id="24"/>
      </w:r>
      <w:r w:rsidR="00AB749C">
        <w:t xml:space="preserve">  Further, </w:t>
      </w:r>
      <w:r w:rsidR="00AB749C">
        <w:t>Hilliary</w:t>
      </w:r>
      <w:r w:rsidR="00AB749C">
        <w:t xml:space="preserve"> submits that “at least four members of [its] executive and senior management group . . . </w:t>
      </w:r>
      <w:r w:rsidR="00AB749C">
        <w:t>were</w:t>
      </w:r>
      <w:r w:rsidR="00AB749C">
        <w:t xml:space="preserve"> operating on a limited capacity while quarantined outside the office and/or tending to health and family issues.”</w:t>
      </w:r>
      <w:r>
        <w:rPr>
          <w:rStyle w:val="FootnoteReference"/>
        </w:rPr>
        <w:footnoteReference w:id="25"/>
      </w:r>
    </w:p>
    <w:p w:rsidR="00AB749C" w:rsidP="00644E47" w14:paraId="123DBD7E" w14:textId="66B99D36">
      <w:pPr>
        <w:pStyle w:val="ParaNum"/>
        <w:widowControl/>
        <w:tabs>
          <w:tab w:val="clear" w:pos="1440"/>
        </w:tabs>
      </w:pPr>
      <w:r>
        <w:t>Hilliary</w:t>
      </w:r>
      <w:r>
        <w:t xml:space="preserve"> states that its </w:t>
      </w:r>
      <w:r w:rsidR="001E7AC2">
        <w:t xml:space="preserve">officers’ </w:t>
      </w:r>
      <w:r w:rsidR="00111126">
        <w:t xml:space="preserve">September 2020 </w:t>
      </w:r>
      <w:r w:rsidR="001E7AC2">
        <w:t>quarantines curtailed its ability to execute routine business operations</w:t>
      </w:r>
      <w:r w:rsidR="009A0EFF">
        <w:t xml:space="preserve"> and meet a series</w:t>
      </w:r>
      <w:r w:rsidR="001E7AC2">
        <w:t xml:space="preserve"> of FCC auction deadlines.</w:t>
      </w:r>
      <w:r>
        <w:rPr>
          <w:rStyle w:val="FootnoteReference"/>
        </w:rPr>
        <w:footnoteReference w:id="26"/>
      </w:r>
      <w:r w:rsidR="001E7AC2">
        <w:t xml:space="preserve">  As a result, </w:t>
      </w:r>
      <w:r w:rsidR="001E7AC2">
        <w:t>Hilliary</w:t>
      </w:r>
      <w:r w:rsidR="001E7AC2">
        <w:t xml:space="preserve"> says that its </w:t>
      </w:r>
      <w:r w:rsidR="005E35FC">
        <w:t>CFO</w:t>
      </w:r>
      <w:r w:rsidR="001E7AC2">
        <w:t xml:space="preserve"> took on considerable additional responsibilities while in quarantine, </w:t>
      </w:r>
      <w:r w:rsidR="00C232B1">
        <w:t xml:space="preserve">which contributed to </w:t>
      </w:r>
      <w:r w:rsidR="001E7AC2">
        <w:t xml:space="preserve">a miscommunication between the CFO, </w:t>
      </w:r>
      <w:r w:rsidR="00EA4614">
        <w:t>its</w:t>
      </w:r>
      <w:r w:rsidR="001E7AC2">
        <w:t xml:space="preserve"> staff, and </w:t>
      </w:r>
      <w:r w:rsidR="00EA4614">
        <w:t>its</w:t>
      </w:r>
      <w:r w:rsidR="001E7AC2">
        <w:t xml:space="preserve"> bank regarding its down payment</w:t>
      </w:r>
      <w:r w:rsidR="00C232B1">
        <w:t>.</w:t>
      </w:r>
      <w:r w:rsidR="005E35FC">
        <w:t xml:space="preserve"> </w:t>
      </w:r>
      <w:r w:rsidR="001E7AC2">
        <w:t xml:space="preserve"> </w:t>
      </w:r>
      <w:r w:rsidR="001E7AC2">
        <w:t>Hilliary</w:t>
      </w:r>
      <w:r w:rsidR="001E7AC2">
        <w:t xml:space="preserve"> </w:t>
      </w:r>
      <w:r w:rsidR="00C232B1">
        <w:t xml:space="preserve">states that it </w:t>
      </w:r>
      <w:r w:rsidR="001E7AC2">
        <w:t xml:space="preserve">only realized this error after the October 1, 2020, final payment deadline had passed.  </w:t>
      </w:r>
      <w:r w:rsidR="001E7AC2">
        <w:t>Hilliary</w:t>
      </w:r>
      <w:r w:rsidR="001E7AC2">
        <w:t xml:space="preserve"> </w:t>
      </w:r>
      <w:r w:rsidR="00C232B1">
        <w:t xml:space="preserve">explains that its October 8 </w:t>
      </w:r>
      <w:r w:rsidR="001E7AC2">
        <w:t xml:space="preserve">payment </w:t>
      </w:r>
      <w:r w:rsidR="00C232B1">
        <w:t xml:space="preserve">was intended to cover </w:t>
      </w:r>
      <w:r w:rsidR="001E7AC2">
        <w:t>the down payment</w:t>
      </w:r>
      <w:r w:rsidR="00C232B1">
        <w:t xml:space="preserve"> and </w:t>
      </w:r>
      <w:r w:rsidR="001E7AC2">
        <w:t xml:space="preserve">final payment, </w:t>
      </w:r>
      <w:r w:rsidR="00C232B1">
        <w:t xml:space="preserve">along with </w:t>
      </w:r>
      <w:r w:rsidR="004F7513">
        <w:t>a</w:t>
      </w:r>
      <w:r w:rsidR="00C232B1">
        <w:t>n additional</w:t>
      </w:r>
      <w:r w:rsidR="004F7513">
        <w:t xml:space="preserve"> </w:t>
      </w:r>
      <w:r w:rsidR="001E7AC2">
        <w:t xml:space="preserve">5% </w:t>
      </w:r>
      <w:r w:rsidR="00A24340">
        <w:t xml:space="preserve">“late </w:t>
      </w:r>
      <w:r w:rsidR="004F7513">
        <w:t>fee</w:t>
      </w:r>
      <w:r w:rsidR="001E7AC2">
        <w:t>.</w:t>
      </w:r>
      <w:r w:rsidR="00A24340">
        <w:t>”</w:t>
      </w:r>
      <w:r>
        <w:rPr>
          <w:rStyle w:val="FootnoteReference"/>
        </w:rPr>
        <w:footnoteReference w:id="27"/>
      </w:r>
    </w:p>
    <w:p w:rsidR="00EC0B1E" w:rsidP="00EC0B1E" w14:paraId="659B42F8" w14:textId="77777777">
      <w:pPr>
        <w:pStyle w:val="Heading1"/>
      </w:pPr>
      <w:r>
        <w:t>discussion</w:t>
      </w:r>
    </w:p>
    <w:p w:rsidR="00645EB4" w:rsidP="00644E47" w14:paraId="57F072FE" w14:textId="7E173E58">
      <w:pPr>
        <w:pStyle w:val="ParaNum"/>
        <w:widowControl/>
        <w:tabs>
          <w:tab w:val="clear" w:pos="1440"/>
        </w:tabs>
      </w:pPr>
      <w:r w:rsidRPr="22224E88">
        <w:t>The Commission’s rules may be waived for good cause shown</w:t>
      </w:r>
      <w:r>
        <w:rPr>
          <w:szCs w:val="22"/>
        </w:rPr>
        <w:t>.</w:t>
      </w:r>
      <w:r>
        <w:rPr>
          <w:rStyle w:val="FootnoteReference"/>
        </w:rPr>
        <w:footnoteReference w:id="28"/>
      </w:r>
      <w:r>
        <w:t xml:space="preserve">  </w:t>
      </w:r>
      <w:r>
        <w:t xml:space="preserve">As interpreted by the courts, </w:t>
      </w:r>
      <w:r w:rsidR="00A75C7E">
        <w:t xml:space="preserve">the party seeking </w:t>
      </w:r>
      <w:r>
        <w:t>waiver of a</w:t>
      </w:r>
      <w:r w:rsidR="00C1047A">
        <w:t xml:space="preserve"> </w:t>
      </w:r>
      <w:r>
        <w:t xml:space="preserve">rule’s requirements </w:t>
      </w:r>
      <w:r w:rsidR="004B4739">
        <w:t xml:space="preserve">must demonstrate that </w:t>
      </w:r>
      <w:r>
        <w:t>“special circumstances warrant a deviation from the general rule and such deviation will serve the public interest.”</w:t>
      </w:r>
      <w:r>
        <w:rPr>
          <w:rStyle w:val="FootnoteReference"/>
        </w:rPr>
        <w:footnoteReference w:id="29"/>
      </w:r>
      <w:r>
        <w:rPr>
          <w:rStyle w:val="FootnoteReference"/>
        </w:rPr>
        <w:t xml:space="preserve"> </w:t>
      </w:r>
      <w:r>
        <w:t xml:space="preserve"> Thus, in order to receive the waiver it seeks, </w:t>
      </w:r>
      <w:r>
        <w:t>Hilliary</w:t>
      </w:r>
      <w:r>
        <w:t xml:space="preserve"> must demonstrate either: (1) that “[t]he underlying purpose of </w:t>
      </w:r>
      <w:r>
        <w:t>the rule would not be served or would be frustrated by application to the instant case, and that a grant of the waiver would be in the public interest;” or (2) that, “[</w:t>
      </w:r>
      <w:r>
        <w:t>i</w:t>
      </w:r>
      <w:r>
        <w:t>]n view of unique or unusual factual circumstances of the instant case, application of the rule(s) would be inequitable, unduly burdensome or contrary to the public interest, or the applicant has no reasonable alternative” to comply, other than seeking a waiver of the rule.</w:t>
      </w:r>
      <w:r>
        <w:rPr>
          <w:rStyle w:val="FootnoteReference"/>
        </w:rPr>
        <w:footnoteReference w:id="30"/>
      </w:r>
      <w:r>
        <w:t xml:space="preserve"> </w:t>
      </w:r>
      <w:r w:rsidR="00C1047A">
        <w:t xml:space="preserve"> </w:t>
      </w:r>
      <w:r w:rsidR="005E35FC">
        <w:t xml:space="preserve">We find that </w:t>
      </w:r>
      <w:r w:rsidR="00C1047A">
        <w:t>Hilliary</w:t>
      </w:r>
      <w:r w:rsidR="00C1047A">
        <w:t xml:space="preserve"> has made neither</w:t>
      </w:r>
      <w:r w:rsidR="004D0DBA">
        <w:t xml:space="preserve"> of these two possible demonstrations for a waiver</w:t>
      </w:r>
      <w:r w:rsidR="00C1047A">
        <w:t>.</w:t>
      </w:r>
    </w:p>
    <w:p w:rsidR="007B0E83" w:rsidP="00644E47" w14:paraId="65FBBAD2" w14:textId="5327AFC7">
      <w:pPr>
        <w:pStyle w:val="ParaNum"/>
        <w:widowControl/>
        <w:tabs>
          <w:tab w:val="clear" w:pos="1440"/>
        </w:tabs>
      </w:pPr>
      <w:r>
        <w:t>As to the first showing</w:t>
      </w:r>
      <w:r w:rsidR="00C1047A">
        <w:t>,</w:t>
      </w:r>
      <w:r>
        <w:t xml:space="preserve"> </w:t>
      </w:r>
      <w:r w:rsidRPr="00D833BA">
        <w:t>Hilliary’s</w:t>
      </w:r>
      <w:r>
        <w:t xml:space="preserve"> proffered justifications for waiver echo those that we have rejected in the past, and </w:t>
      </w:r>
      <w:r>
        <w:t>Hilliary</w:t>
      </w:r>
      <w:r>
        <w:t xml:space="preserve"> has not</w:t>
      </w:r>
      <w:r w:rsidRPr="00D833BA">
        <w:t xml:space="preserve"> persuade</w:t>
      </w:r>
      <w:r>
        <w:t>d</w:t>
      </w:r>
      <w:r w:rsidRPr="00D833BA">
        <w:t xml:space="preserve"> us to depart from </w:t>
      </w:r>
      <w:r>
        <w:t xml:space="preserve">that precedent.  </w:t>
      </w:r>
      <w:r w:rsidR="0027617F">
        <w:t xml:space="preserve">The Commission has </w:t>
      </w:r>
      <w:r w:rsidR="00227303">
        <w:t>enforced</w:t>
      </w:r>
      <w:r w:rsidR="0027617F">
        <w:t xml:space="preserve"> the initial down payment deadline </w:t>
      </w:r>
      <w:r w:rsidR="0024613A">
        <w:t>in cases where</w:t>
      </w:r>
      <w:r w:rsidR="00D763AE">
        <w:t xml:space="preserve"> </w:t>
      </w:r>
      <w:r w:rsidR="0027617F">
        <w:t>unsuccessful waiver applicants blamed a late down payment, in whole or in part, on a medical exigency or bank error.</w:t>
      </w:r>
      <w:r>
        <w:rPr>
          <w:rStyle w:val="FootnoteReference"/>
        </w:rPr>
        <w:footnoteReference w:id="31"/>
      </w:r>
      <w:r w:rsidR="0027617F">
        <w:t xml:space="preserve">  </w:t>
      </w:r>
      <w:r>
        <w:t>Hilliary</w:t>
      </w:r>
      <w:r>
        <w:t xml:space="preserve"> submits that the pandemic</w:t>
      </w:r>
      <w:r w:rsidR="00715A62">
        <w:t>’s</w:t>
      </w:r>
      <w:r>
        <w:t xml:space="preserve"> impact</w:t>
      </w:r>
      <w:r w:rsidR="00715A62">
        <w:t>s on</w:t>
      </w:r>
      <w:r>
        <w:t xml:space="preserve"> its capacity to meet the down payment deadline</w:t>
      </w:r>
      <w:r w:rsidR="00837B92">
        <w:t xml:space="preserve"> are</w:t>
      </w:r>
      <w:r>
        <w:t xml:space="preserve"> unique and unusual circumstances </w:t>
      </w:r>
      <w:r w:rsidR="00837B92">
        <w:t xml:space="preserve">that justify waiver </w:t>
      </w:r>
      <w:r w:rsidR="00E4105F">
        <w:t>of</w:t>
      </w:r>
      <w:r>
        <w:t xml:space="preserve"> the rule.</w:t>
      </w:r>
      <w:r>
        <w:rPr>
          <w:rStyle w:val="FootnoteReference"/>
        </w:rPr>
        <w:footnoteReference w:id="32"/>
      </w:r>
      <w:r>
        <w:t xml:space="preserve">  We disagree.</w:t>
      </w:r>
    </w:p>
    <w:p w:rsidR="000733D0" w:rsidP="00644E47" w14:paraId="45160257" w14:textId="3B4A6D8D">
      <w:pPr>
        <w:pStyle w:val="ParaNum"/>
        <w:widowControl/>
        <w:tabs>
          <w:tab w:val="clear" w:pos="1440"/>
        </w:tabs>
      </w:pPr>
      <w:r>
        <w:t>Waiver of Auction 105’s down payment deadline would conflict with the policies that undergird the rule and would thereby impair our ability to meet the Commission’s policy objectives in future auctions.</w:t>
      </w:r>
      <w:r>
        <w:rPr>
          <w:rStyle w:val="FootnoteReference"/>
        </w:rPr>
        <w:footnoteReference w:id="33"/>
      </w:r>
      <w:r>
        <w:t xml:space="preserve">  The Commission strictly enforces the down payment rule—thus far, without exception.  We do so not simply to confirm each winning bidder’s ability to pay, but also to safeguard the integrity of the auction process by avoiding opportunities to game the auction process.</w:t>
      </w:r>
      <w:r>
        <w:rPr>
          <w:rStyle w:val="FootnoteReference"/>
        </w:rPr>
        <w:footnoteReference w:id="34"/>
      </w:r>
      <w:r>
        <w:t xml:space="preserve">  We decline to depart from that practice here.</w:t>
      </w:r>
    </w:p>
    <w:p w:rsidR="00C5198F" w:rsidP="00644E47" w14:paraId="13B42911" w14:textId="1EF5ED9F">
      <w:pPr>
        <w:pStyle w:val="ParaNum"/>
        <w:widowControl/>
        <w:tabs>
          <w:tab w:val="clear" w:pos="1440"/>
        </w:tabs>
      </w:pPr>
      <w:r>
        <w:t>The Commission</w:t>
      </w:r>
      <w:r w:rsidR="000142CB">
        <w:t xml:space="preserve"> has </w:t>
      </w:r>
      <w:r w:rsidR="001A35BB">
        <w:t xml:space="preserve">consistently rejected arguments that it should waive the down payment rule where a winning bidder made </w:t>
      </w:r>
      <w:r w:rsidR="00405D4B">
        <w:t xml:space="preserve">a </w:t>
      </w:r>
      <w:r w:rsidR="001A35BB">
        <w:t>payment</w:t>
      </w:r>
      <w:r w:rsidR="00570774">
        <w:t xml:space="preserve"> very</w:t>
      </w:r>
      <w:r w:rsidR="001A35BB">
        <w:t xml:space="preserve"> shortly after the deadline</w:t>
      </w:r>
      <w:r w:rsidR="00663672">
        <w:t xml:space="preserve">, and for reasons </w:t>
      </w:r>
      <w:r w:rsidR="004801D4">
        <w:t xml:space="preserve">similar to </w:t>
      </w:r>
      <w:r w:rsidR="002C2A35">
        <w:t>those presented here</w:t>
      </w:r>
      <w:r w:rsidR="001A35BB">
        <w:t xml:space="preserve">.  </w:t>
      </w:r>
      <w:r w:rsidR="00C73EB2">
        <w:t>In one such instance</w:t>
      </w:r>
      <w:r w:rsidR="00DA2834">
        <w:t>,</w:t>
      </w:r>
      <w:r>
        <w:t xml:space="preserve"> </w:t>
      </w:r>
      <w:r w:rsidR="00A323C3">
        <w:t xml:space="preserve">winning </w:t>
      </w:r>
      <w:r>
        <w:t xml:space="preserve">bidder </w:t>
      </w:r>
      <w:r w:rsidR="00692C53">
        <w:t>Ted W. Austin</w:t>
      </w:r>
      <w:r w:rsidR="00BA112B">
        <w:t xml:space="preserve"> </w:t>
      </w:r>
      <w:r>
        <w:t>sought waiver of Auction 62’s down payment deadline</w:t>
      </w:r>
      <w:r w:rsidR="00E86D7D">
        <w:t xml:space="preserve"> after</w:t>
      </w:r>
      <w:r w:rsidR="00BA112B">
        <w:t xml:space="preserve"> he</w:t>
      </w:r>
      <w:r>
        <w:t xml:space="preserve"> made his payment </w:t>
      </w:r>
      <w:r w:rsidR="00786D94">
        <w:t>just one</w:t>
      </w:r>
      <w:r>
        <w:t xml:space="preserve"> day late</w:t>
      </w:r>
      <w:r w:rsidR="009040AB">
        <w:t>.</w:t>
      </w:r>
      <w:r>
        <w:rPr>
          <w:rStyle w:val="FootnoteReference"/>
        </w:rPr>
        <w:footnoteReference w:id="35"/>
      </w:r>
      <w:r>
        <w:t xml:space="preserve"> </w:t>
      </w:r>
      <w:r w:rsidR="009040AB">
        <w:t xml:space="preserve"> </w:t>
      </w:r>
      <w:r w:rsidR="007E7DCA">
        <w:t>There, Mr.</w:t>
      </w:r>
      <w:r w:rsidR="009040AB">
        <w:t xml:space="preserve"> </w:t>
      </w:r>
      <w:r w:rsidR="00124117">
        <w:t>Austin</w:t>
      </w:r>
      <w:r w:rsidR="009040AB">
        <w:t xml:space="preserve"> </w:t>
      </w:r>
      <w:r w:rsidR="00C62FDC">
        <w:t xml:space="preserve">said that a </w:t>
      </w:r>
      <w:r>
        <w:t>family emergency</w:t>
      </w:r>
      <w:r w:rsidR="00C62FDC">
        <w:t xml:space="preserve"> </w:t>
      </w:r>
      <w:r>
        <w:t>made it impossible for him to appear at his bank and initiate the wire transfer</w:t>
      </w:r>
      <w:r w:rsidR="00715D81">
        <w:t xml:space="preserve"> on the due date</w:t>
      </w:r>
      <w:r>
        <w:t>.</w:t>
      </w:r>
      <w:r>
        <w:rPr>
          <w:rStyle w:val="FootnoteReference"/>
        </w:rPr>
        <w:footnoteReference w:id="36"/>
      </w:r>
      <w:r>
        <w:t xml:space="preserve">  The Commission nonetheless explained that it </w:t>
      </w:r>
      <w:r w:rsidR="00EC58CA">
        <w:t>would not waive</w:t>
      </w:r>
      <w:r>
        <w:t xml:space="preserve"> the down payment deadline, “reasoning that ‘the integrity and functioning of the auction process is dependent on having payment obligations on winning bids promptly met.’”</w:t>
      </w:r>
      <w:r>
        <w:rPr>
          <w:rStyle w:val="FootnoteReference"/>
        </w:rPr>
        <w:footnoteReference w:id="37"/>
      </w:r>
      <w:r>
        <w:t xml:space="preserve">  </w:t>
      </w:r>
      <w:r w:rsidR="00F14C2A">
        <w:t>And</w:t>
      </w:r>
      <w:r w:rsidR="00702ED3">
        <w:t>,</w:t>
      </w:r>
      <w:r w:rsidR="00F14C2A">
        <w:t xml:space="preserve"> the </w:t>
      </w:r>
      <w:r w:rsidR="002E67E1">
        <w:t xml:space="preserve">policy of strictly enforcing the </w:t>
      </w:r>
      <w:r w:rsidR="00F14C2A">
        <w:t xml:space="preserve">rule </w:t>
      </w:r>
      <w:r w:rsidR="006E293B">
        <w:t xml:space="preserve">serves a </w:t>
      </w:r>
      <w:r w:rsidR="006E293B">
        <w:t xml:space="preserve">broader purpose </w:t>
      </w:r>
      <w:r w:rsidR="002E67E1">
        <w:t xml:space="preserve">by </w:t>
      </w:r>
      <w:r w:rsidR="006E293B">
        <w:t>eliminat</w:t>
      </w:r>
      <w:r w:rsidR="002E67E1">
        <w:t>ing</w:t>
      </w:r>
      <w:r w:rsidR="006E293B">
        <w:t xml:space="preserve"> the need for the Commission to undertake an individualized analysis of the financial circumstances of each auction applicant.</w:t>
      </w:r>
      <w:r>
        <w:rPr>
          <w:rStyle w:val="FootnoteReference"/>
        </w:rPr>
        <w:footnoteReference w:id="38"/>
      </w:r>
      <w:r w:rsidR="006E293B">
        <w:t xml:space="preserve">  </w:t>
      </w:r>
      <w:r w:rsidR="008C6472">
        <w:t xml:space="preserve">Like </w:t>
      </w:r>
      <w:r w:rsidR="008C6472">
        <w:t xml:space="preserve">Mr. </w:t>
      </w:r>
      <w:r w:rsidR="008C6472">
        <w:t xml:space="preserve">Austin, </w:t>
      </w:r>
      <w:r w:rsidR="00D51699">
        <w:t>Hilliary</w:t>
      </w:r>
      <w:r w:rsidR="0002262C">
        <w:t xml:space="preserve"> </w:t>
      </w:r>
      <w:r w:rsidR="00F57D75">
        <w:t xml:space="preserve">asserts that by </w:t>
      </w:r>
      <w:r w:rsidR="00D8069E">
        <w:t>eventually transmitting</w:t>
      </w:r>
      <w:r w:rsidR="00D51699">
        <w:t xml:space="preserve"> its down payment</w:t>
      </w:r>
      <w:r w:rsidR="00DD1768">
        <w:t xml:space="preserve">, along with an additional amount, </w:t>
      </w:r>
      <w:r w:rsidR="004447F3">
        <w:t>it has demonstrated its ability to pay.</w:t>
      </w:r>
      <w:r>
        <w:rPr>
          <w:rStyle w:val="FootnoteReference"/>
        </w:rPr>
        <w:footnoteReference w:id="39"/>
      </w:r>
      <w:r w:rsidR="004447F3">
        <w:t xml:space="preserve"> </w:t>
      </w:r>
      <w:r w:rsidR="00D51699">
        <w:t xml:space="preserve"> </w:t>
      </w:r>
      <w:r w:rsidR="00941406">
        <w:t>B</w:t>
      </w:r>
      <w:r w:rsidR="0002262C">
        <w:t xml:space="preserve">ut </w:t>
      </w:r>
      <w:r w:rsidR="00D51699">
        <w:t>the Commission has concluded that uni</w:t>
      </w:r>
      <w:r w:rsidR="00E67DA9">
        <w:t>form</w:t>
      </w:r>
      <w:r w:rsidR="00F664F2">
        <w:t xml:space="preserve">, </w:t>
      </w:r>
      <w:r w:rsidR="00E67DA9">
        <w:t>predic</w:t>
      </w:r>
      <w:r w:rsidR="00C612D4">
        <w:t>table</w:t>
      </w:r>
      <w:r w:rsidR="000052D8">
        <w:t>,</w:t>
      </w:r>
      <w:r w:rsidR="00C612D4">
        <w:t xml:space="preserve"> </w:t>
      </w:r>
      <w:r w:rsidR="00F664F2">
        <w:t>and strict</w:t>
      </w:r>
      <w:r w:rsidR="00C612D4">
        <w:t xml:space="preserve"> enforcement of the rule best serves its purpose.</w:t>
      </w:r>
      <w:r>
        <w:rPr>
          <w:rStyle w:val="FootnoteReference"/>
        </w:rPr>
        <w:footnoteReference w:id="40"/>
      </w:r>
    </w:p>
    <w:p w:rsidR="00C83F8A" w:rsidP="00644E47" w14:paraId="1A71C74A" w14:textId="0BFAF4D5">
      <w:pPr>
        <w:pStyle w:val="ParaNum"/>
        <w:widowControl/>
        <w:tabs>
          <w:tab w:val="clear" w:pos="1440"/>
        </w:tabs>
      </w:pPr>
      <w:r>
        <w:t>Hilliary</w:t>
      </w:r>
      <w:r>
        <w:t xml:space="preserve"> also contends that </w:t>
      </w:r>
      <w:r w:rsidR="00BB4AB4">
        <w:t>its particular circumstances</w:t>
      </w:r>
      <w:r>
        <w:t xml:space="preserve"> satisfy the requirements of the second possible showing in support of waiver.  </w:t>
      </w:r>
      <w:r>
        <w:t>Hilliary</w:t>
      </w:r>
      <w:r>
        <w:t xml:space="preserve"> asks us to find that the challenges it faced in September 2020 following a few of its key officials’ exposure to—or positive tests for—COVID-19 render strict enforcement of the down payment rule inequitable, unduly burdensome, or at odds with the public interest.</w:t>
      </w:r>
      <w:r>
        <w:rPr>
          <w:rStyle w:val="FootnoteReference"/>
        </w:rPr>
        <w:footnoteReference w:id="41"/>
      </w:r>
      <w:r>
        <w:t xml:space="preserve">  Again, we disagree.</w:t>
      </w:r>
    </w:p>
    <w:p w:rsidR="00F05BE5" w:rsidP="00644E47" w14:paraId="53ACB9DE" w14:textId="72B562B3">
      <w:pPr>
        <w:pStyle w:val="ParaNum"/>
        <w:widowControl/>
        <w:tabs>
          <w:tab w:val="clear" w:pos="1440"/>
        </w:tabs>
      </w:pPr>
      <w:r>
        <w:t>W</w:t>
      </w:r>
      <w:r w:rsidR="004275EB">
        <w:t>hile w</w:t>
      </w:r>
      <w:r>
        <w:t xml:space="preserve">e are aware of the burdens and challenges imposed by the </w:t>
      </w:r>
      <w:r w:rsidR="00B05D69">
        <w:t>COVID-19</w:t>
      </w:r>
      <w:r>
        <w:t xml:space="preserve"> pandemic</w:t>
      </w:r>
      <w:r w:rsidR="004275EB">
        <w:t xml:space="preserve">, </w:t>
      </w:r>
      <w:r>
        <w:t xml:space="preserve">we are not persuaded that </w:t>
      </w:r>
      <w:r>
        <w:t>Hilliary</w:t>
      </w:r>
      <w:r>
        <w:t xml:space="preserve"> has presented </w:t>
      </w:r>
      <w:r w:rsidRPr="00223D30">
        <w:t>any unique facts or circumstances</w:t>
      </w:r>
      <w:r>
        <w:t xml:space="preserve"> that merit waiving its obligation to have </w:t>
      </w:r>
      <w:r w:rsidR="00687F6F">
        <w:t xml:space="preserve">timely </w:t>
      </w:r>
      <w:r>
        <w:t xml:space="preserve">submitted its down payment by </w:t>
      </w:r>
      <w:r w:rsidR="00687F6F">
        <w:t>the Commission’s</w:t>
      </w:r>
      <w:r>
        <w:t xml:space="preserve"> September 17, 2020, deadline.</w:t>
      </w:r>
      <w:r>
        <w:rPr>
          <w:rStyle w:val="FootnoteReference"/>
        </w:rPr>
        <w:footnoteReference w:id="42"/>
      </w:r>
      <w:r>
        <w:t xml:space="preserve">  </w:t>
      </w:r>
      <w:r w:rsidR="00687F6F">
        <w:t xml:space="preserve">Consistent with the Commission’s practice, </w:t>
      </w:r>
      <w:r>
        <w:t xml:space="preserve">the </w:t>
      </w:r>
      <w:r>
        <w:rPr>
          <w:i/>
        </w:rPr>
        <w:t>Auction 105 Procedures Public Notice</w:t>
      </w:r>
      <w:r>
        <w:t xml:space="preserve"> explicitly instructed all </w:t>
      </w:r>
      <w:r w:rsidR="006905F4">
        <w:t xml:space="preserve">potential </w:t>
      </w:r>
      <w:r>
        <w:t xml:space="preserve">bidders that down payments would be due within ten business days after the release of the </w:t>
      </w:r>
      <w:r>
        <w:rPr>
          <w:i/>
        </w:rPr>
        <w:t>Auction 105 Closing Public Notice</w:t>
      </w:r>
      <w:r>
        <w:t xml:space="preserve">.  Moreover, both the </w:t>
      </w:r>
      <w:r>
        <w:rPr>
          <w:i/>
        </w:rPr>
        <w:t xml:space="preserve">Auction 105 Procedures Public Notice </w:t>
      </w:r>
      <w:r>
        <w:t xml:space="preserve">and the </w:t>
      </w:r>
      <w:r>
        <w:rPr>
          <w:i/>
        </w:rPr>
        <w:t xml:space="preserve">Auction 105 Closing Public Notice </w:t>
      </w:r>
      <w:r>
        <w:t>warned all winning bidders to coordinate with their banks</w:t>
      </w:r>
      <w:r w:rsidR="007B2B37">
        <w:t xml:space="preserve"> well</w:t>
      </w:r>
      <w:r>
        <w:t xml:space="preserve"> in advance of </w:t>
      </w:r>
      <w:r w:rsidR="007B2B37">
        <w:t xml:space="preserve">the </w:t>
      </w:r>
      <w:r>
        <w:t xml:space="preserve">payment deadlines to ensure that their wire transfers could be </w:t>
      </w:r>
      <w:r w:rsidR="007B2B37">
        <w:t xml:space="preserve">timely </w:t>
      </w:r>
      <w:r>
        <w:t>initiated and completed</w:t>
      </w:r>
      <w:r w:rsidRPr="00223D30">
        <w:t>.</w:t>
      </w:r>
      <w:r>
        <w:rPr>
          <w:rStyle w:val="FootnoteReference"/>
        </w:rPr>
        <w:footnoteReference w:id="43"/>
      </w:r>
      <w:r w:rsidRPr="00223D30">
        <w:t xml:space="preserve">  </w:t>
      </w:r>
    </w:p>
    <w:p w:rsidR="007B2B37" w:rsidP="00644E47" w14:paraId="4AFAAA7C" w14:textId="22052343">
      <w:pPr>
        <w:pStyle w:val="ParaNum"/>
        <w:widowControl/>
        <w:tabs>
          <w:tab w:val="clear" w:pos="1440"/>
        </w:tabs>
      </w:pPr>
      <w:r>
        <w:t>Hilliary</w:t>
      </w:r>
      <w:r>
        <w:t xml:space="preserve"> submits that its officers were first forced to quarantine in the second week of September 2020, and that its staffing and logistical difficulties followed, culminating in the communication breakdown that caused </w:t>
      </w:r>
      <w:r>
        <w:t>Hilliary</w:t>
      </w:r>
      <w:r>
        <w:t xml:space="preserve"> to miss the down payment deadline.</w:t>
      </w:r>
      <w:r>
        <w:rPr>
          <w:rStyle w:val="FootnoteReference"/>
        </w:rPr>
        <w:footnoteReference w:id="44"/>
      </w:r>
      <w:r>
        <w:t xml:space="preserve">  </w:t>
      </w:r>
      <w:r w:rsidR="003B23C9">
        <w:rPr>
          <w:iCs/>
        </w:rPr>
        <w:t>T</w:t>
      </w:r>
      <w:r>
        <w:rPr>
          <w:iCs/>
        </w:rPr>
        <w:t xml:space="preserve">he fact </w:t>
      </w:r>
      <w:r w:rsidR="00B31B5D">
        <w:rPr>
          <w:iCs/>
        </w:rPr>
        <w:t xml:space="preserve">that </w:t>
      </w:r>
      <w:r w:rsidR="00313EA1">
        <w:rPr>
          <w:iCs/>
        </w:rPr>
        <w:t>Hilliary’s</w:t>
      </w:r>
      <w:r w:rsidR="00313EA1">
        <w:rPr>
          <w:iCs/>
        </w:rPr>
        <w:t xml:space="preserve"> key personnel were </w:t>
      </w:r>
      <w:r w:rsidR="008E684D">
        <w:rPr>
          <w:iCs/>
        </w:rPr>
        <w:t>e</w:t>
      </w:r>
      <w:r w:rsidR="00313EA1">
        <w:rPr>
          <w:iCs/>
        </w:rPr>
        <w:t xml:space="preserve">ither afflicted by </w:t>
      </w:r>
      <w:r>
        <w:rPr>
          <w:iCs/>
        </w:rPr>
        <w:t xml:space="preserve">illness </w:t>
      </w:r>
      <w:r w:rsidR="00031319">
        <w:rPr>
          <w:iCs/>
        </w:rPr>
        <w:t>or exposed to it</w:t>
      </w:r>
      <w:r>
        <w:rPr>
          <w:iCs/>
        </w:rPr>
        <w:t xml:space="preserve"> is not</w:t>
      </w:r>
      <w:r w:rsidR="003B23C9">
        <w:rPr>
          <w:iCs/>
        </w:rPr>
        <w:t xml:space="preserve"> novel</w:t>
      </w:r>
      <w:r w:rsidR="00B31B5D">
        <w:rPr>
          <w:iCs/>
        </w:rPr>
        <w:t xml:space="preserve"> </w:t>
      </w:r>
      <w:r w:rsidR="00B31B5D">
        <w:t xml:space="preserve">nor </w:t>
      </w:r>
      <w:r w:rsidR="00A05742">
        <w:t>is it</w:t>
      </w:r>
      <w:r w:rsidR="00B31B5D">
        <w:t xml:space="preserve"> necessarily </w:t>
      </w:r>
      <w:r w:rsidR="00B31B5D">
        <w:t>unique or unexpected six months after the onset of the COVID-19 pandemic</w:t>
      </w:r>
      <w:r>
        <w:rPr>
          <w:iCs/>
        </w:rPr>
        <w:t>.</w:t>
      </w:r>
      <w:r>
        <w:rPr>
          <w:rStyle w:val="FootnoteReference"/>
        </w:rPr>
        <w:footnoteReference w:id="45"/>
      </w:r>
      <w:r>
        <w:rPr>
          <w:iCs/>
        </w:rPr>
        <w:t xml:space="preserve">  </w:t>
      </w:r>
      <w:r>
        <w:t>To that end, we note that</w:t>
      </w:r>
      <w:r w:rsidR="006F3CCB">
        <w:t xml:space="preserve"> the </w:t>
      </w:r>
      <w:r w:rsidRPr="00E54BEF" w:rsidR="006F3CCB">
        <w:rPr>
          <w:i/>
          <w:iCs/>
        </w:rPr>
        <w:t>Auction 105 Procedures Public Notice</w:t>
      </w:r>
      <w:r w:rsidR="006F3CCB">
        <w:t xml:space="preserve"> </w:t>
      </w:r>
      <w:r w:rsidR="00C55E2A">
        <w:t>was released</w:t>
      </w:r>
      <w:r w:rsidR="006337D0">
        <w:t xml:space="preserve"> and available to prospective bidders</w:t>
      </w:r>
      <w:r w:rsidR="006F3CCB">
        <w:t xml:space="preserve"> </w:t>
      </w:r>
      <w:r w:rsidR="003F7F2F">
        <w:t>more than</w:t>
      </w:r>
      <w:r w:rsidR="006F3CCB">
        <w:t xml:space="preserve"> six months before the </w:t>
      </w:r>
      <w:r w:rsidR="0016102F">
        <w:t xml:space="preserve">eventual </w:t>
      </w:r>
      <w:r w:rsidR="009808BF">
        <w:t>down payment deadline, and</w:t>
      </w:r>
      <w:r>
        <w:t xml:space="preserve"> more than 200 winning bidders met </w:t>
      </w:r>
      <w:r w:rsidR="003F7F2F">
        <w:t>that deadline</w:t>
      </w:r>
      <w:r>
        <w:t>, despite the ongoing pandemic.</w:t>
      </w:r>
      <w:r>
        <w:rPr>
          <w:rStyle w:val="FootnoteReference"/>
        </w:rPr>
        <w:footnoteReference w:id="46"/>
      </w:r>
      <w:r>
        <w:t xml:space="preserve">  W</w:t>
      </w:r>
      <w:r w:rsidRPr="00223D30">
        <w:t xml:space="preserve">e </w:t>
      </w:r>
      <w:r w:rsidR="006B4952">
        <w:t>conclude</w:t>
      </w:r>
      <w:r w:rsidRPr="00223D30">
        <w:t xml:space="preserve"> that </w:t>
      </w:r>
      <w:r w:rsidRPr="00223D30">
        <w:t>Hilliary’s</w:t>
      </w:r>
      <w:r w:rsidRPr="00223D30">
        <w:t xml:space="preserve"> failure to meet its first post-auction obligation </w:t>
      </w:r>
      <w:r w:rsidR="006B4952">
        <w:t xml:space="preserve">does not </w:t>
      </w:r>
      <w:r w:rsidRPr="00223D30">
        <w:t xml:space="preserve">constitute a special circumstance that warrants a deviation from </w:t>
      </w:r>
      <w:r>
        <w:t>our</w:t>
      </w:r>
      <w:r w:rsidRPr="00223D30">
        <w:t xml:space="preserve"> general rule</w:t>
      </w:r>
      <w:r>
        <w:t>.</w:t>
      </w:r>
    </w:p>
    <w:p w:rsidR="007B2B37" w:rsidP="00644E47" w14:paraId="211AC5CF" w14:textId="00092A28">
      <w:pPr>
        <w:pStyle w:val="ParaNum"/>
        <w:widowControl/>
        <w:tabs>
          <w:tab w:val="clear" w:pos="1440"/>
        </w:tabs>
      </w:pPr>
      <w:r>
        <w:t xml:space="preserve">Nor are we persuaded that applying the rule to </w:t>
      </w:r>
      <w:r>
        <w:t>Hilliary</w:t>
      </w:r>
      <w:r>
        <w:t xml:space="preserve"> in these circumstances would be contrary to the public interest.  </w:t>
      </w:r>
      <w:r>
        <w:t>Hilliary</w:t>
      </w:r>
      <w:r>
        <w:t xml:space="preserve"> asserts that it is actively exploring CBRS spectrum investment and deployment opportunities to serve communities on Tribal lands in Oklahoma.</w:t>
      </w:r>
      <w:r>
        <w:rPr>
          <w:rStyle w:val="FootnoteReference"/>
        </w:rPr>
        <w:footnoteReference w:id="47"/>
      </w:r>
      <w:r>
        <w:t xml:space="preserve">  Without the waiver, </w:t>
      </w:r>
      <w:r>
        <w:t>Hilliary</w:t>
      </w:r>
      <w:r>
        <w:t xml:space="preserve"> says, those efforts will be delayed</w:t>
      </w:r>
      <w:r w:rsidRPr="00F30FD7">
        <w:t xml:space="preserve">.  We are not </w:t>
      </w:r>
      <w:r>
        <w:t>convinced</w:t>
      </w:r>
      <w:r w:rsidRPr="00F30FD7">
        <w:t xml:space="preserve"> that </w:t>
      </w:r>
      <w:r w:rsidRPr="00F30FD7">
        <w:t>Hilliary’s</w:t>
      </w:r>
      <w:r w:rsidRPr="00F30FD7">
        <w:t xml:space="preserve"> asserted intent outweighs the public interest benefit that is attendant to consistent enforcement of the Commission’s competitive bidding </w:t>
      </w:r>
      <w:r w:rsidRPr="00927556">
        <w:t xml:space="preserve">rules.  </w:t>
      </w:r>
      <w:r>
        <w:t xml:space="preserve">As noted above, </w:t>
      </w:r>
      <w:r w:rsidR="008A6507">
        <w:t>the Commission</w:t>
      </w:r>
      <w:r w:rsidR="002A25F0">
        <w:t xml:space="preserve"> has</w:t>
      </w:r>
      <w:r>
        <w:t xml:space="preserve"> never granted a request for waiver of a down payment deadline, and we decline to do so here.  We further observe that </w:t>
      </w:r>
      <w:r>
        <w:t>Hilliary’s</w:t>
      </w:r>
      <w:r>
        <w:t xml:space="preserve"> </w:t>
      </w:r>
      <w:r w:rsidR="00C81372">
        <w:t>asserted intent to</w:t>
      </w:r>
      <w:r>
        <w:t xml:space="preserve"> benefit communities on </w:t>
      </w:r>
      <w:r w:rsidR="00AA1E2C">
        <w:t>T</w:t>
      </w:r>
      <w:r>
        <w:t>ribal lands in Oklahoma are similar to public interest arguments that the Commission has consistently rejected in declining to grant other requests for waiver of its competitive bidding rules.</w:t>
      </w:r>
      <w:r>
        <w:rPr>
          <w:rStyle w:val="FootnoteReference"/>
        </w:rPr>
        <w:footnoteReference w:id="48"/>
      </w:r>
    </w:p>
    <w:p w:rsidR="00CD5910" w:rsidRPr="00CD5910" w:rsidP="00644E47" w14:paraId="50760D5C" w14:textId="3B71A952">
      <w:pPr>
        <w:pStyle w:val="ParaNum"/>
        <w:widowControl/>
        <w:tabs>
          <w:tab w:val="clear" w:pos="1440"/>
        </w:tabs>
      </w:pPr>
      <w:r w:rsidRPr="00927556">
        <w:t xml:space="preserve">None of </w:t>
      </w:r>
      <w:r w:rsidRPr="00927556" w:rsidR="00927556">
        <w:t>Hilliary’s</w:t>
      </w:r>
      <w:r w:rsidRPr="00927556">
        <w:t xml:space="preserve"> arguments </w:t>
      </w:r>
      <w:r w:rsidR="00927556">
        <w:t xml:space="preserve">merit that we </w:t>
      </w:r>
      <w:r w:rsidR="006A4031">
        <w:t>waive</w:t>
      </w:r>
      <w:r w:rsidRPr="00927556">
        <w:t xml:space="preserve"> the </w:t>
      </w:r>
      <w:r w:rsidR="00030974">
        <w:t>down payment</w:t>
      </w:r>
      <w:r w:rsidRPr="00927556">
        <w:t xml:space="preserve"> deadline.  Accordingly, we deny </w:t>
      </w:r>
      <w:r w:rsidRPr="00927556" w:rsidR="00927556">
        <w:t>Hilliary’s</w:t>
      </w:r>
      <w:r w:rsidRPr="00927556">
        <w:t xml:space="preserve"> request.</w:t>
      </w:r>
    </w:p>
    <w:p w:rsidR="00EC0B1E" w:rsidP="00EC0B1E" w14:paraId="5BEB663A" w14:textId="77777777">
      <w:pPr>
        <w:pStyle w:val="Heading1"/>
      </w:pPr>
      <w:r>
        <w:t>interim default payment</w:t>
      </w:r>
    </w:p>
    <w:p w:rsidR="00EC0B1E" w:rsidP="00644E47" w14:paraId="70BD96CF" w14:textId="7893D8C1">
      <w:pPr>
        <w:pStyle w:val="ParaNum"/>
        <w:widowControl/>
        <w:tabs>
          <w:tab w:val="clear" w:pos="1440"/>
        </w:tabs>
      </w:pPr>
      <w:r>
        <w:t>The Commission’s rules provide that a bidder who fails to remit the required final payment for a license for which it was the high bidder is subject to a default payment.</w:t>
      </w:r>
      <w:r>
        <w:rPr>
          <w:rStyle w:val="FootnoteReference"/>
          <w:szCs w:val="22"/>
        </w:rPr>
        <w:footnoteReference w:id="49"/>
      </w:r>
      <w:r>
        <w:t xml:space="preserve">  </w:t>
      </w:r>
      <w:r w:rsidRPr="0B290DDE">
        <w:rPr>
          <w:szCs w:val="22"/>
        </w:rPr>
        <w:t xml:space="preserve">The default payment </w:t>
      </w:r>
      <w:r w:rsidRPr="0B290DDE" w:rsidR="00706BFA">
        <w:rPr>
          <w:szCs w:val="22"/>
        </w:rPr>
        <w:t>has two components</w:t>
      </w:r>
      <w:r w:rsidR="00706BFA">
        <w:rPr>
          <w:szCs w:val="22"/>
        </w:rPr>
        <w:t xml:space="preserve">.  </w:t>
      </w:r>
      <w:r w:rsidRPr="00766F93" w:rsidR="00706BFA">
        <w:rPr>
          <w:szCs w:val="22"/>
        </w:rPr>
        <w:t>The first</w:t>
      </w:r>
      <w:r w:rsidRPr="0B290DDE" w:rsidR="00706BFA">
        <w:rPr>
          <w:szCs w:val="22"/>
        </w:rPr>
        <w:t xml:space="preserve"> component is </w:t>
      </w:r>
      <w:r w:rsidRPr="00BC425E" w:rsidR="00706BFA">
        <w:rPr>
          <w:szCs w:val="22"/>
        </w:rPr>
        <w:t>a deficiency payment</w:t>
      </w:r>
      <w:r w:rsidRPr="005E564D" w:rsidR="00706BFA">
        <w:rPr>
          <w:szCs w:val="22"/>
        </w:rPr>
        <w:t xml:space="preserve">, </w:t>
      </w:r>
      <w:r w:rsidRPr="0048183F" w:rsidR="00706BFA">
        <w:rPr>
          <w:szCs w:val="22"/>
        </w:rPr>
        <w:t>which is assessed if the subsequent winning bid the next time a license for the spectrum is won is lower than the defaulted bid.</w:t>
      </w:r>
      <w:r>
        <w:rPr>
          <w:rStyle w:val="FootnoteReference1"/>
          <w:szCs w:val="22"/>
        </w:rPr>
        <w:footnoteReference w:id="50"/>
      </w:r>
      <w:r w:rsidRPr="0048183F" w:rsidR="00706BFA">
        <w:rPr>
          <w:szCs w:val="22"/>
        </w:rPr>
        <w:t xml:space="preserve">  The deficiency payment </w:t>
      </w:r>
      <w:r w:rsidRPr="00766F93" w:rsidR="00706BFA">
        <w:rPr>
          <w:szCs w:val="22"/>
        </w:rPr>
        <w:t xml:space="preserve">is the difference between the bidder’s net defaulted bid and the subsequent net winning bid, </w:t>
      </w:r>
      <w:r w:rsidRPr="0048183F" w:rsidR="00706BFA">
        <w:rPr>
          <w:szCs w:val="22"/>
        </w:rPr>
        <w:t xml:space="preserve">or the difference between the </w:t>
      </w:r>
      <w:r w:rsidRPr="0082023D" w:rsidR="00706BFA">
        <w:t>bidder’s</w:t>
      </w:r>
      <w:r w:rsidRPr="0048183F" w:rsidR="00706BFA">
        <w:rPr>
          <w:szCs w:val="22"/>
        </w:rPr>
        <w:t xml:space="preserve"> gross defaulted bid and the subsequent gross winning </w:t>
      </w:r>
      <w:r w:rsidRPr="0048183F" w:rsidR="00706BFA">
        <w:rPr>
          <w:szCs w:val="22"/>
        </w:rPr>
        <w:t>bid, whichever results in a lower payment.</w:t>
      </w:r>
      <w:r>
        <w:rPr>
          <w:rStyle w:val="FootnoteReference1"/>
          <w:szCs w:val="22"/>
        </w:rPr>
        <w:footnoteReference w:id="51"/>
      </w:r>
      <w:r w:rsidRPr="0B290DDE" w:rsidR="00706BFA">
        <w:rPr>
          <w:szCs w:val="22"/>
        </w:rPr>
        <w:t xml:space="preserve">  The second component of the default payment is an additional payment, which, pursuant to the rule in effect</w:t>
      </w:r>
      <w:r w:rsidRPr="00BC425E" w:rsidR="00706BFA">
        <w:rPr>
          <w:szCs w:val="22"/>
        </w:rPr>
        <w:t xml:space="preserve"> at the time of Auction 105, is equal to </w:t>
      </w:r>
      <w:r w:rsidRPr="005E564D" w:rsidR="00706BFA">
        <w:rPr>
          <w:szCs w:val="22"/>
        </w:rPr>
        <w:t>twenty percent</w:t>
      </w:r>
      <w:r w:rsidRPr="0048183F" w:rsidR="00706BFA">
        <w:rPr>
          <w:szCs w:val="22"/>
        </w:rPr>
        <w:t xml:space="preserve"> </w:t>
      </w:r>
      <w:r w:rsidRPr="0B290DDE" w:rsidR="00706BFA">
        <w:rPr>
          <w:szCs w:val="22"/>
        </w:rPr>
        <w:t>(</w:t>
      </w:r>
      <w:r w:rsidRPr="00BC425E" w:rsidR="00706BFA">
        <w:rPr>
          <w:szCs w:val="22"/>
        </w:rPr>
        <w:t>20</w:t>
      </w:r>
      <w:r w:rsidRPr="005E564D" w:rsidR="00706BFA">
        <w:rPr>
          <w:szCs w:val="22"/>
        </w:rPr>
        <w:t>%) of the defaulter’s bid, or the subsequent winning bid, whichever is less.</w:t>
      </w:r>
      <w:r>
        <w:rPr>
          <w:rStyle w:val="FootnoteReference1"/>
          <w:szCs w:val="22"/>
        </w:rPr>
        <w:footnoteReference w:id="52"/>
      </w:r>
      <w:r w:rsidRPr="0B290DDE" w:rsidR="00706BFA">
        <w:rPr>
          <w:rStyle w:val="FootnoteReference1"/>
          <w:szCs w:val="22"/>
        </w:rPr>
        <w:t xml:space="preserve"> </w:t>
      </w:r>
      <w:r w:rsidRPr="00BC425E" w:rsidR="00706BFA">
        <w:rPr>
          <w:szCs w:val="22"/>
        </w:rPr>
        <w:t xml:space="preserve"> In the event that the subsequent winning bid is greater </w:t>
      </w:r>
      <w:r w:rsidRPr="0B290DDE" w:rsidR="00706BFA">
        <w:rPr>
          <w:szCs w:val="22"/>
        </w:rPr>
        <w:t xml:space="preserve">than or equal to the defaulted bid, the total default payment is equal to twenty percent (20%) of the </w:t>
      </w:r>
      <w:r w:rsidRPr="2EB11256" w:rsidR="00706BFA">
        <w:rPr>
          <w:szCs w:val="22"/>
        </w:rPr>
        <w:t xml:space="preserve">original </w:t>
      </w:r>
      <w:r w:rsidRPr="0B290DDE" w:rsidR="00706BFA">
        <w:rPr>
          <w:szCs w:val="22"/>
        </w:rPr>
        <w:t>defaulted bid.</w:t>
      </w:r>
      <w:r w:rsidR="00195F99">
        <w:t xml:space="preserve"> </w:t>
      </w:r>
    </w:p>
    <w:p w:rsidR="00CD5910" w:rsidP="00644E47" w14:paraId="344F77F0" w14:textId="1FFEE7A1">
      <w:pPr>
        <w:pStyle w:val="ParaNum"/>
        <w:widowControl/>
        <w:tabs>
          <w:tab w:val="clear" w:pos="1440"/>
        </w:tabs>
      </w:pPr>
      <w:r>
        <w:t>Section 1.2109(b) of the Commission’s rules provides that a winning bidder who fails to remit the required down payment within ten business days after the Commission has declared competitive bidding closed will be deemed to have defaulted, its application will be dismissed, and it will be liable for the applicable default payment obligations specified in 47 CFR § 1.2104(g).</w:t>
      </w:r>
      <w:r>
        <w:rPr>
          <w:rStyle w:val="FootnoteReference"/>
        </w:rPr>
        <w:footnoteReference w:id="53"/>
      </w:r>
      <w:r>
        <w:t xml:space="preserve">  Although we cannot determine </w:t>
      </w:r>
      <w:r w:rsidR="00F533D7">
        <w:t>Hilliary’s</w:t>
      </w:r>
      <w:r>
        <w:t xml:space="preserve"> total default payment at this time, we will assess an interim default payment owed by </w:t>
      </w:r>
      <w:r w:rsidR="00F533D7">
        <w:t>Hilliary</w:t>
      </w:r>
      <w:r>
        <w:t xml:space="preserve">, amounting to </w:t>
      </w:r>
      <w:r w:rsidR="00F533D7">
        <w:t>20</w:t>
      </w:r>
      <w:r>
        <w:t xml:space="preserve"> percent of </w:t>
      </w:r>
      <w:r w:rsidR="00F533D7">
        <w:t>its</w:t>
      </w:r>
      <w:r>
        <w:t xml:space="preserve"> defaulted net bid for the </w:t>
      </w:r>
      <w:r w:rsidR="000F2031">
        <w:t>licenses</w:t>
      </w:r>
      <w:r>
        <w:t>, or $</w:t>
      </w:r>
      <w:r w:rsidR="00F533D7">
        <w:t>161,193.00</w:t>
      </w:r>
      <w:r>
        <w:t>.</w:t>
      </w:r>
      <w:r>
        <w:rPr>
          <w:rStyle w:val="FootnoteReference"/>
        </w:rPr>
        <w:footnoteReference w:id="54"/>
      </w:r>
      <w:r>
        <w:t xml:space="preserve">  Pursuant to section 1.2106(e) of the Commission’s rules, we will apply </w:t>
      </w:r>
      <w:r w:rsidR="000E54AD">
        <w:t>Hilliary’s</w:t>
      </w:r>
      <w:r>
        <w:t xml:space="preserve"> payment on deposit to satisfy this interim default payment obligation.</w:t>
      </w:r>
      <w:r>
        <w:rPr>
          <w:rStyle w:val="FootnoteReference"/>
        </w:rPr>
        <w:footnoteReference w:id="55"/>
      </w:r>
    </w:p>
    <w:p w:rsidR="00EC0B1E" w:rsidP="00EC0B1E" w14:paraId="67B90C06" w14:textId="77777777">
      <w:pPr>
        <w:pStyle w:val="Heading1"/>
      </w:pPr>
      <w:r>
        <w:t>ordering clauses</w:t>
      </w:r>
    </w:p>
    <w:p w:rsidR="00EC0B1E" w:rsidP="00644E47" w14:paraId="410F3A37" w14:textId="1CBC43A7">
      <w:pPr>
        <w:pStyle w:val="ParaNum"/>
        <w:widowControl/>
        <w:tabs>
          <w:tab w:val="clear" w:pos="1440"/>
        </w:tabs>
      </w:pPr>
      <w:r w:rsidRPr="00F37912">
        <w:t>Accordingly, IT IS ORDERED, pursuant to Sections 4(</w:t>
      </w:r>
      <w:r w:rsidRPr="00F37912">
        <w:t>i</w:t>
      </w:r>
      <w:r w:rsidRPr="00F37912">
        <w:t>) and 309 of the Communications Act of 1934, as amended, 47 U.S.C. §§ 154(</w:t>
      </w:r>
      <w:r w:rsidRPr="00F37912">
        <w:t>i</w:t>
      </w:r>
      <w:r w:rsidRPr="00F37912">
        <w:t>) and 309, and Section 1.</w:t>
      </w:r>
      <w:r w:rsidR="009802D6">
        <w:t>925</w:t>
      </w:r>
      <w:r w:rsidRPr="00F37912">
        <w:t xml:space="preserve"> of the Commission's rules, 47 CFR § 1.</w:t>
      </w:r>
      <w:r w:rsidR="00574123">
        <w:t>925</w:t>
      </w:r>
      <w:r w:rsidRPr="00F37912">
        <w:t xml:space="preserve">, that </w:t>
      </w:r>
      <w:r>
        <w:t>Hilliary</w:t>
      </w:r>
      <w:r>
        <w:t xml:space="preserve"> Acquisition Corp 2016, LLC’s</w:t>
      </w:r>
      <w:r w:rsidRPr="00F37912">
        <w:t xml:space="preserve"> </w:t>
      </w:r>
      <w:r>
        <w:t>Request for Waiver and Extension</w:t>
      </w:r>
      <w:r w:rsidRPr="00F37912">
        <w:t xml:space="preserve">, </w:t>
      </w:r>
      <w:r w:rsidR="00BC4B5C">
        <w:t>filed</w:t>
      </w:r>
      <w:r w:rsidRPr="00F37912" w:rsidR="00BC4B5C">
        <w:t xml:space="preserve"> </w:t>
      </w:r>
      <w:r w:rsidRPr="00F37912">
        <w:t xml:space="preserve">November </w:t>
      </w:r>
      <w:r w:rsidR="00BC4B5C">
        <w:t>4</w:t>
      </w:r>
      <w:r w:rsidRPr="00F37912">
        <w:t xml:space="preserve">, </w:t>
      </w:r>
      <w:r>
        <w:t>2020</w:t>
      </w:r>
      <w:r w:rsidRPr="00F37912">
        <w:t>, is DENIE</w:t>
      </w:r>
      <w:r>
        <w:t>D.</w:t>
      </w:r>
    </w:p>
    <w:p w:rsidR="00F37912" w:rsidP="00644E47" w14:paraId="00392960" w14:textId="033EA339">
      <w:pPr>
        <w:pStyle w:val="ParaNum"/>
        <w:widowControl/>
        <w:tabs>
          <w:tab w:val="clear" w:pos="1440"/>
        </w:tabs>
      </w:pPr>
      <w:r>
        <w:t>IT IS FURTHER ORDERED, pursuant to sections 4(</w:t>
      </w:r>
      <w:r>
        <w:t>i</w:t>
      </w:r>
      <w:r>
        <w:t>) and 309 of the Communications Act of 1934, as amended, 47 U.S.C. §§ 154(</w:t>
      </w:r>
      <w:r>
        <w:t>i</w:t>
      </w:r>
      <w:r>
        <w:t xml:space="preserve">) and 309, and sections 1.2107(b), 1.2109(b), and 1.2104(g),  of the Commission’s rules, 47 </w:t>
      </w:r>
      <w:r w:rsidR="00113F93">
        <w:t>CFR</w:t>
      </w:r>
      <w:r>
        <w:t xml:space="preserve"> §§ 1.2107(b), 1.2109(b), and 1.2104(g), that </w:t>
      </w:r>
      <w:r>
        <w:t>Hilliary</w:t>
      </w:r>
      <w:r>
        <w:t xml:space="preserve"> Acquisition Corp 2016, LLC is </w:t>
      </w:r>
      <w:r w:rsidR="004310D7">
        <w:t xml:space="preserve">ASSESSED </w:t>
      </w:r>
      <w:r>
        <w:t>an interim default payment in the amount of $161,193.00 for the 42 Priority Access Licenses in the 3550-3650 MHz portion of the 3.5 GHz band for which it was the winning bidder in Auction 105.</w:t>
      </w:r>
      <w:r>
        <w:rPr>
          <w:rStyle w:val="FootnoteReference"/>
        </w:rPr>
        <w:footnoteReference w:id="56"/>
      </w:r>
      <w:r w:rsidR="00352593">
        <w:t xml:space="preserve">  </w:t>
      </w:r>
    </w:p>
    <w:p w:rsidR="00F37912" w:rsidP="00644E47" w14:paraId="2BF4EFBD" w14:textId="60538FBB">
      <w:pPr>
        <w:pStyle w:val="ParaNum"/>
        <w:widowControl/>
        <w:tabs>
          <w:tab w:val="clear" w:pos="1440"/>
        </w:tabs>
      </w:pPr>
      <w:r>
        <w:t xml:space="preserve">IT IS FURTHER ORDERED, pursuant to sections 1.2104 and 1.2106 of the Commission’s rules, 47 </w:t>
      </w:r>
      <w:r w:rsidR="00113F93">
        <w:t>CFR</w:t>
      </w:r>
      <w:r>
        <w:t xml:space="preserve"> §§ 1.2104 and 1.2106, that </w:t>
      </w:r>
      <w:r>
        <w:t>Hilliary</w:t>
      </w:r>
      <w:r>
        <w:t xml:space="preserve"> Acquisition Corp 2016, LLC</w:t>
      </w:r>
      <w:r w:rsidR="001710A1">
        <w:t>’s funds</w:t>
      </w:r>
      <w:r>
        <w:t xml:space="preserve"> on deposit will be applied to</w:t>
      </w:r>
      <w:r w:rsidR="00580C64">
        <w:t xml:space="preserve">ward satisfying its </w:t>
      </w:r>
      <w:r>
        <w:t>interim default payment obligation.</w:t>
      </w:r>
    </w:p>
    <w:p w:rsidR="00F37912" w:rsidP="00644E47" w14:paraId="6E9DF169" w14:textId="004A86DE">
      <w:pPr>
        <w:pStyle w:val="ParaNum"/>
        <w:widowControl/>
        <w:tabs>
          <w:tab w:val="clear" w:pos="1440"/>
        </w:tabs>
      </w:pPr>
      <w:r>
        <w:t>IT IS FURTHER ORDERED, pursuant to section 4(</w:t>
      </w:r>
      <w:r>
        <w:t>i</w:t>
      </w:r>
      <w:r>
        <w:t>) of the Communications Act of 1934, as amended, 47 U.S.C. § 154(</w:t>
      </w:r>
      <w:r>
        <w:t>i</w:t>
      </w:r>
      <w:r>
        <w:t xml:space="preserve">), and section 1.2104(g) of the Commission’s rules, 47 </w:t>
      </w:r>
      <w:r w:rsidR="00113F93">
        <w:t>CFR</w:t>
      </w:r>
      <w:r>
        <w:t xml:space="preserve"> § 1.2104(g), that </w:t>
      </w:r>
      <w:r>
        <w:t>Hilliary</w:t>
      </w:r>
      <w:r>
        <w:t xml:space="preserve"> Acquisition Corp 2016, LLC will be subject to the balance of the default payment specified in section 1.2104(g) of the Commission’s rules, 47 </w:t>
      </w:r>
      <w:r w:rsidR="00113F93">
        <w:t>CFR</w:t>
      </w:r>
      <w:r>
        <w:t xml:space="preserve"> § 1.2104(g), </w:t>
      </w:r>
      <w:r w:rsidR="00D32E85">
        <w:t>after the spectrum associated with the licenses is won in a subsequent auction and the full</w:t>
      </w:r>
      <w:r>
        <w:t xml:space="preserve"> default payment </w:t>
      </w:r>
      <w:r w:rsidR="00D32E85">
        <w:t xml:space="preserve">amount </w:t>
      </w:r>
      <w:r>
        <w:t>is determined.</w:t>
      </w:r>
    </w:p>
    <w:p w:rsidR="00F37912" w:rsidP="00644E47" w14:paraId="3C4349DF" w14:textId="1D423FE1">
      <w:pPr>
        <w:pStyle w:val="ParaNum"/>
        <w:widowControl/>
        <w:tabs>
          <w:tab w:val="clear" w:pos="1440"/>
        </w:tabs>
      </w:pPr>
      <w:r>
        <w:t xml:space="preserve">IT IS FURTHER ORDERED that, </w:t>
      </w:r>
      <w:r w:rsidR="00BF2B2E">
        <w:t xml:space="preserve">pursuant to sections 0.331 and 1.2109 of the Commission’s rules, 47 </w:t>
      </w:r>
      <w:r w:rsidR="00113F93">
        <w:t>CFR</w:t>
      </w:r>
      <w:r w:rsidR="00BF2B2E">
        <w:t xml:space="preserve"> §§ 0.331 and 1.2109</w:t>
      </w:r>
      <w:r>
        <w:t>, the long-form application</w:t>
      </w:r>
      <w:r w:rsidR="00CD3010">
        <w:t>s</w:t>
      </w:r>
      <w:r>
        <w:t xml:space="preserve"> of </w:t>
      </w:r>
      <w:r>
        <w:t>Hilliary</w:t>
      </w:r>
      <w:r>
        <w:t xml:space="preserve"> Acquisition Corp 2016, LLC, File Number</w:t>
      </w:r>
      <w:r w:rsidR="00574123">
        <w:t>s</w:t>
      </w:r>
      <w:r>
        <w:t xml:space="preserve"> </w:t>
      </w:r>
      <w:r w:rsidR="00410B46">
        <w:rPr>
          <w:szCs w:val="22"/>
          <w:shd w:val="clear" w:color="auto" w:fill="FFFFFF"/>
        </w:rPr>
        <w:t xml:space="preserve">0009227434 and </w:t>
      </w:r>
      <w:r w:rsidRPr="000F2031" w:rsidR="00775954">
        <w:rPr>
          <w:szCs w:val="22"/>
          <w:shd w:val="clear" w:color="auto" w:fill="FFFFFF"/>
        </w:rPr>
        <w:t>0009227450</w:t>
      </w:r>
      <w:r>
        <w:rPr>
          <w:szCs w:val="22"/>
        </w:rPr>
        <w:t>,</w:t>
      </w:r>
      <w:r>
        <w:t xml:space="preserve"> </w:t>
      </w:r>
      <w:r w:rsidR="00CD3010">
        <w:t>are</w:t>
      </w:r>
      <w:r>
        <w:t xml:space="preserve"> DISMISSED.</w:t>
      </w:r>
    </w:p>
    <w:p w:rsidR="00F37912" w:rsidP="00644E47" w14:paraId="7C75CC3F" w14:textId="3D1DD23F">
      <w:pPr>
        <w:pStyle w:val="ParaNum"/>
        <w:widowControl/>
        <w:tabs>
          <w:tab w:val="clear" w:pos="1440"/>
        </w:tabs>
      </w:pPr>
      <w:r>
        <w:t xml:space="preserve">This action is taken pursuant to delegated authority under </w:t>
      </w:r>
      <w:r w:rsidR="001E7807">
        <w:t>sections 0.21(m)</w:t>
      </w:r>
      <w:r w:rsidR="00BE7FD9">
        <w:t>, 0.131(c)</w:t>
      </w:r>
      <w:r w:rsidR="008F1651">
        <w:t>, 0.271</w:t>
      </w:r>
      <w:r w:rsidR="001E7807">
        <w:t xml:space="preserve"> and 0.331 of the Commission’s rules, 47 </w:t>
      </w:r>
      <w:r w:rsidR="00113F93">
        <w:t>CFR</w:t>
      </w:r>
      <w:r w:rsidR="001E7807">
        <w:t xml:space="preserve"> §§ 0.21(m), </w:t>
      </w:r>
      <w:r w:rsidR="008F1651">
        <w:t xml:space="preserve">0.131(c), 0.271, </w:t>
      </w:r>
      <w:r w:rsidR="001E7807">
        <w:t>0.331</w:t>
      </w:r>
      <w:r>
        <w:t>.</w:t>
      </w:r>
    </w:p>
    <w:p w:rsidR="00F37912" w:rsidP="00F37912" w14:paraId="4E297DBA" w14:textId="77777777">
      <w:pPr>
        <w:pStyle w:val="ParaNum"/>
        <w:numPr>
          <w:ilvl w:val="0"/>
          <w:numId w:val="0"/>
        </w:numPr>
        <w:ind w:left="720"/>
      </w:pPr>
    </w:p>
    <w:p w:rsidR="00F37912" w:rsidP="00644E47" w14:paraId="28C937B1" w14:textId="77777777">
      <w:pPr>
        <w:keepNext/>
        <w:keepLines/>
        <w:ind w:left="3600" w:firstLine="720"/>
        <w:rPr>
          <w:szCs w:val="22"/>
        </w:rPr>
      </w:pPr>
      <w:r>
        <w:rPr>
          <w:szCs w:val="22"/>
        </w:rPr>
        <w:t>FEDERAL COMMUNICATIONS COMMISSION</w:t>
      </w:r>
    </w:p>
    <w:p w:rsidR="00410B46" w:rsidP="00644E47" w14:paraId="33A25E8A" w14:textId="77777777">
      <w:pPr>
        <w:keepNext/>
        <w:keepLines/>
        <w:rPr>
          <w:szCs w:val="22"/>
        </w:rPr>
      </w:pPr>
      <w:r>
        <w:rPr>
          <w:szCs w:val="22"/>
        </w:rPr>
        <w:tab/>
      </w:r>
      <w:r>
        <w:rPr>
          <w:szCs w:val="22"/>
        </w:rPr>
        <w:tab/>
      </w:r>
      <w:r>
        <w:rPr>
          <w:szCs w:val="22"/>
        </w:rPr>
        <w:tab/>
      </w:r>
      <w:r>
        <w:rPr>
          <w:szCs w:val="22"/>
        </w:rPr>
        <w:tab/>
      </w:r>
      <w:r>
        <w:rPr>
          <w:szCs w:val="22"/>
        </w:rPr>
        <w:tab/>
      </w:r>
      <w:r>
        <w:rPr>
          <w:szCs w:val="22"/>
        </w:rPr>
        <w:tab/>
      </w:r>
    </w:p>
    <w:p w:rsidR="00410B46" w:rsidP="00644E47" w14:paraId="7B68E558" w14:textId="77777777">
      <w:pPr>
        <w:keepNext/>
        <w:keepLines/>
        <w:rPr>
          <w:szCs w:val="22"/>
        </w:rPr>
      </w:pPr>
    </w:p>
    <w:p w:rsidR="00410B46" w:rsidP="00644E47" w14:paraId="05214965" w14:textId="7E6C624A">
      <w:pPr>
        <w:keepNext/>
        <w:keepLines/>
        <w:rPr>
          <w:szCs w:val="22"/>
        </w:rPr>
      </w:pPr>
    </w:p>
    <w:p w:rsidR="00E8385A" w:rsidP="00644E47" w14:paraId="1F03AE2A" w14:textId="77777777">
      <w:pPr>
        <w:keepNext/>
        <w:keepLines/>
        <w:rPr>
          <w:szCs w:val="22"/>
        </w:rPr>
      </w:pPr>
    </w:p>
    <w:p w:rsidR="00124E3B" w:rsidP="00644E47" w14:paraId="795C9470" w14:textId="02334D18">
      <w:pPr>
        <w:keepNext/>
        <w:keepLines/>
        <w:ind w:left="3600" w:firstLine="720"/>
        <w:rPr>
          <w:szCs w:val="22"/>
        </w:rPr>
      </w:pPr>
      <w:r>
        <w:rPr>
          <w:szCs w:val="22"/>
        </w:rPr>
        <w:t>Jonathan</w:t>
      </w:r>
      <w:r w:rsidR="00395239">
        <w:rPr>
          <w:szCs w:val="22"/>
        </w:rPr>
        <w:t xml:space="preserve"> M.</w:t>
      </w:r>
      <w:r>
        <w:rPr>
          <w:szCs w:val="22"/>
        </w:rPr>
        <w:t xml:space="preserve"> Campbell</w:t>
      </w:r>
    </w:p>
    <w:p w:rsidR="00F37912" w:rsidP="00644E47" w14:paraId="699C8F43" w14:textId="2FC6D16A">
      <w:pPr>
        <w:keepNext/>
        <w:keepLines/>
        <w:ind w:left="3600" w:firstLine="720"/>
        <w:rPr>
          <w:szCs w:val="22"/>
        </w:rPr>
      </w:pPr>
      <w:r>
        <w:rPr>
          <w:szCs w:val="22"/>
        </w:rPr>
        <w:t>Chief, Auctions Division</w:t>
      </w:r>
    </w:p>
    <w:p w:rsidR="001527D7" w:rsidP="00644E47" w14:paraId="1D8B72F2" w14:textId="77777777">
      <w:pPr>
        <w:keepNext/>
        <w:keepLines/>
        <w:ind w:left="3600" w:firstLine="720"/>
        <w:rPr>
          <w:szCs w:val="22"/>
        </w:rPr>
      </w:pPr>
      <w:r>
        <w:rPr>
          <w:szCs w:val="22"/>
        </w:rPr>
        <w:t>Office of Economics and Analytics</w:t>
      </w:r>
    </w:p>
    <w:p w:rsidR="00410B46" w:rsidP="00644E47" w14:paraId="7D61989A" w14:textId="6B3D4FB5">
      <w:pPr>
        <w:keepNext/>
        <w:keepLines/>
        <w:ind w:left="3600" w:firstLine="720"/>
        <w:rPr>
          <w:szCs w:val="22"/>
        </w:rPr>
      </w:pPr>
    </w:p>
    <w:p w:rsidR="00E8385A" w:rsidP="00644E47" w14:paraId="2A27B36A" w14:textId="77777777">
      <w:pPr>
        <w:keepNext/>
        <w:keepLines/>
        <w:ind w:left="3600" w:firstLine="720"/>
        <w:rPr>
          <w:szCs w:val="22"/>
        </w:rPr>
      </w:pPr>
    </w:p>
    <w:p w:rsidR="00410B46" w:rsidP="00644E47" w14:paraId="3A29121A" w14:textId="54A84935">
      <w:pPr>
        <w:keepNext/>
        <w:keepLines/>
        <w:ind w:left="3600" w:firstLine="720"/>
        <w:rPr>
          <w:szCs w:val="22"/>
        </w:rPr>
      </w:pPr>
    </w:p>
    <w:p w:rsidR="00410B46" w:rsidP="00644E47" w14:paraId="570D6752" w14:textId="77777777">
      <w:pPr>
        <w:keepNext/>
        <w:keepLines/>
        <w:ind w:left="3600" w:firstLine="720"/>
        <w:rPr>
          <w:szCs w:val="22"/>
        </w:rPr>
      </w:pPr>
    </w:p>
    <w:p w:rsidR="005E547B" w:rsidP="00644E47" w14:paraId="0082E840" w14:textId="241EE4AB">
      <w:pPr>
        <w:keepNext/>
        <w:keepLines/>
        <w:ind w:left="3600" w:firstLine="720"/>
        <w:rPr>
          <w:szCs w:val="22"/>
        </w:rPr>
      </w:pPr>
      <w:r>
        <w:rPr>
          <w:szCs w:val="22"/>
        </w:rPr>
        <w:t>Roger Noel</w:t>
      </w:r>
    </w:p>
    <w:p w:rsidR="005E547B" w:rsidP="00644E47" w14:paraId="2905CEC9" w14:textId="77777777">
      <w:pPr>
        <w:keepNext/>
        <w:keepLines/>
        <w:ind w:left="3600" w:firstLine="720"/>
        <w:rPr>
          <w:szCs w:val="22"/>
        </w:rPr>
      </w:pPr>
      <w:r>
        <w:rPr>
          <w:szCs w:val="22"/>
        </w:rPr>
        <w:t>Chief, Mobility Division</w:t>
      </w:r>
    </w:p>
    <w:p w:rsidR="00124E3B" w:rsidP="00644E47" w14:paraId="6B9F5039" w14:textId="1BDA83FA">
      <w:pPr>
        <w:keepNext/>
        <w:keepLines/>
        <w:ind w:left="3600" w:firstLine="720"/>
        <w:rPr>
          <w:szCs w:val="22"/>
        </w:rPr>
      </w:pPr>
      <w:r>
        <w:rPr>
          <w:szCs w:val="22"/>
        </w:rPr>
        <w:t>Wireless Telecommunications Bureau</w:t>
      </w:r>
    </w:p>
    <w:p w:rsidR="006930B9" w14:paraId="3630E93D" w14:textId="0D8DD228">
      <w:pPr>
        <w:widowControl/>
      </w:pPr>
      <w:r>
        <w:br w:type="page"/>
      </w:r>
    </w:p>
    <w:p w:rsidR="006930B9" w:rsidRPr="002203BB" w:rsidP="006930B9" w14:paraId="3F3178AE" w14:textId="77777777">
      <w:pPr>
        <w:jc w:val="center"/>
        <w:rPr>
          <w:b/>
          <w:bCs/>
          <w:szCs w:val="22"/>
        </w:rPr>
      </w:pPr>
      <w:r w:rsidRPr="002203BB">
        <w:rPr>
          <w:b/>
          <w:bCs/>
          <w:szCs w:val="22"/>
        </w:rPr>
        <w:t>Attachment A</w:t>
      </w:r>
    </w:p>
    <w:p w:rsidR="006930B9" w:rsidP="006930B9" w14:paraId="67EF8F76" w14:textId="77777777">
      <w:pPr>
        <w:jc w:val="center"/>
        <w:rPr>
          <w:b/>
          <w:bCs/>
          <w:sz w:val="24"/>
          <w:szCs w:val="24"/>
        </w:rPr>
      </w:pPr>
    </w:p>
    <w:p w:rsidR="006930B9" w:rsidRPr="002203BB" w:rsidP="006930B9" w14:paraId="6C5FA36A" w14:textId="77777777">
      <w:pPr>
        <w:ind w:firstLine="720"/>
        <w:rPr>
          <w:szCs w:val="22"/>
        </w:rPr>
      </w:pPr>
      <w:r w:rsidRPr="002203BB">
        <w:rPr>
          <w:szCs w:val="22"/>
        </w:rPr>
        <w:t xml:space="preserve">This table provides a list of the 42 Priority Access Licenses for which </w:t>
      </w:r>
      <w:r w:rsidRPr="002203BB">
        <w:rPr>
          <w:szCs w:val="22"/>
        </w:rPr>
        <w:t>Hilliary</w:t>
      </w:r>
      <w:r w:rsidRPr="002203BB">
        <w:rPr>
          <w:szCs w:val="22"/>
        </w:rPr>
        <w:t xml:space="preserve"> Acquisition Corp 2016, LLC, was the winning bidder in Auction 105.</w:t>
      </w:r>
    </w:p>
    <w:p w:rsidR="006930B9" w:rsidP="006930B9" w14:paraId="2C0D1BE2" w14:textId="77777777">
      <w:pPr>
        <w:jc w:val="center"/>
        <w:rPr>
          <w:sz w:val="24"/>
          <w:szCs w:val="24"/>
        </w:rPr>
      </w:pPr>
    </w:p>
    <w:tbl>
      <w:tblPr>
        <w:tblStyle w:val="TableGrid"/>
        <w:tblW w:w="0" w:type="auto"/>
        <w:jc w:val="center"/>
        <w:tblLook w:val="04A0"/>
      </w:tblPr>
      <w:tblGrid>
        <w:gridCol w:w="1885"/>
        <w:gridCol w:w="2520"/>
        <w:gridCol w:w="1620"/>
      </w:tblGrid>
      <w:tr w14:paraId="3E56EBFC" w14:textId="77777777" w:rsidTr="007D6AE6">
        <w:tblPrEx>
          <w:tblW w:w="0" w:type="auto"/>
          <w:jc w:val="center"/>
          <w:tblLook w:val="04A0"/>
        </w:tblPrEx>
        <w:trPr>
          <w:jc w:val="center"/>
        </w:trPr>
        <w:tc>
          <w:tcPr>
            <w:tcW w:w="1885" w:type="dxa"/>
            <w:shd w:val="clear" w:color="auto" w:fill="BFBFBF" w:themeFill="background1" w:themeFillShade="BF"/>
          </w:tcPr>
          <w:p w:rsidR="006930B9" w:rsidRPr="002804A1" w:rsidP="007D6AE6" w14:paraId="0DF3890B" w14:textId="77777777">
            <w:pPr>
              <w:jc w:val="center"/>
              <w:rPr>
                <w:rFonts w:ascii="Times New Roman" w:hAnsi="Times New Roman" w:cs="Times New Roman"/>
                <w:b/>
                <w:bCs/>
              </w:rPr>
            </w:pPr>
            <w:r w:rsidRPr="002804A1">
              <w:rPr>
                <w:rFonts w:ascii="Times New Roman" w:hAnsi="Times New Roman" w:cs="Times New Roman"/>
                <w:b/>
                <w:bCs/>
              </w:rPr>
              <w:t>Market Number</w:t>
            </w:r>
          </w:p>
        </w:tc>
        <w:tc>
          <w:tcPr>
            <w:tcW w:w="2520" w:type="dxa"/>
            <w:shd w:val="clear" w:color="auto" w:fill="BFBFBF" w:themeFill="background1" w:themeFillShade="BF"/>
          </w:tcPr>
          <w:p w:rsidR="006930B9" w:rsidRPr="002804A1" w:rsidP="007D6AE6" w14:paraId="52DD199A" w14:textId="77777777">
            <w:pPr>
              <w:jc w:val="center"/>
              <w:rPr>
                <w:rFonts w:ascii="Times New Roman" w:hAnsi="Times New Roman" w:cs="Times New Roman"/>
                <w:b/>
                <w:bCs/>
              </w:rPr>
            </w:pPr>
            <w:r w:rsidRPr="002804A1">
              <w:rPr>
                <w:rFonts w:ascii="Times New Roman" w:hAnsi="Times New Roman" w:cs="Times New Roman"/>
                <w:b/>
                <w:bCs/>
              </w:rPr>
              <w:t>Market Description</w:t>
            </w:r>
          </w:p>
        </w:tc>
        <w:tc>
          <w:tcPr>
            <w:tcW w:w="1620" w:type="dxa"/>
            <w:shd w:val="clear" w:color="auto" w:fill="BFBFBF" w:themeFill="background1" w:themeFillShade="BF"/>
          </w:tcPr>
          <w:p w:rsidR="006930B9" w:rsidRPr="002804A1" w:rsidP="007D6AE6" w14:paraId="072C020A" w14:textId="77777777">
            <w:pPr>
              <w:jc w:val="center"/>
              <w:rPr>
                <w:rFonts w:ascii="Times New Roman" w:hAnsi="Times New Roman" w:cs="Times New Roman"/>
                <w:b/>
                <w:bCs/>
              </w:rPr>
            </w:pPr>
            <w:r w:rsidRPr="002804A1">
              <w:rPr>
                <w:rFonts w:ascii="Times New Roman" w:hAnsi="Times New Roman" w:cs="Times New Roman"/>
                <w:b/>
                <w:bCs/>
              </w:rPr>
              <w:t>File Number</w:t>
            </w:r>
          </w:p>
        </w:tc>
      </w:tr>
      <w:tr w14:paraId="6CC58818" w14:textId="77777777" w:rsidTr="007D6AE6">
        <w:tblPrEx>
          <w:tblW w:w="0" w:type="auto"/>
          <w:jc w:val="center"/>
          <w:tblLook w:val="04A0"/>
        </w:tblPrEx>
        <w:trPr>
          <w:jc w:val="center"/>
        </w:trPr>
        <w:tc>
          <w:tcPr>
            <w:tcW w:w="1885" w:type="dxa"/>
          </w:tcPr>
          <w:p w:rsidR="006930B9" w:rsidRPr="000D44C8" w:rsidP="007D6AE6" w14:paraId="27A7FEC9" w14:textId="77777777">
            <w:pPr>
              <w:jc w:val="center"/>
              <w:rPr>
                <w:rFonts w:ascii="Times New Roman" w:hAnsi="Times New Roman" w:cs="Times New Roman"/>
                <w:sz w:val="20"/>
                <w:szCs w:val="20"/>
              </w:rPr>
            </w:pPr>
            <w:r>
              <w:rPr>
                <w:rFonts w:ascii="Times New Roman" w:hAnsi="Times New Roman" w:cs="Times New Roman"/>
                <w:sz w:val="20"/>
                <w:szCs w:val="20"/>
              </w:rPr>
              <w:t>D48009</w:t>
            </w:r>
          </w:p>
        </w:tc>
        <w:tc>
          <w:tcPr>
            <w:tcW w:w="2520" w:type="dxa"/>
          </w:tcPr>
          <w:p w:rsidR="006930B9" w:rsidRPr="000D44C8" w:rsidP="007D6AE6" w14:paraId="72E62F7F" w14:textId="77777777">
            <w:pPr>
              <w:jc w:val="center"/>
              <w:rPr>
                <w:rFonts w:ascii="Times New Roman" w:hAnsi="Times New Roman" w:cs="Times New Roman"/>
                <w:sz w:val="20"/>
                <w:szCs w:val="20"/>
              </w:rPr>
            </w:pPr>
            <w:r>
              <w:rPr>
                <w:rFonts w:ascii="Times New Roman" w:hAnsi="Times New Roman" w:cs="Times New Roman"/>
                <w:sz w:val="20"/>
                <w:szCs w:val="20"/>
              </w:rPr>
              <w:t>Archer, TX</w:t>
            </w:r>
          </w:p>
        </w:tc>
        <w:tc>
          <w:tcPr>
            <w:tcW w:w="1620" w:type="dxa"/>
          </w:tcPr>
          <w:p w:rsidR="006930B9" w:rsidRPr="000D44C8" w:rsidP="007D6AE6" w14:paraId="03B90A1C"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66B3C34E" w14:textId="77777777" w:rsidTr="007D6AE6">
        <w:tblPrEx>
          <w:tblW w:w="0" w:type="auto"/>
          <w:jc w:val="center"/>
          <w:tblLook w:val="04A0"/>
        </w:tblPrEx>
        <w:trPr>
          <w:jc w:val="center"/>
        </w:trPr>
        <w:tc>
          <w:tcPr>
            <w:tcW w:w="1885" w:type="dxa"/>
          </w:tcPr>
          <w:p w:rsidR="006930B9" w:rsidRPr="000D44C8" w:rsidP="007D6AE6" w14:paraId="7102FC33" w14:textId="77777777">
            <w:pPr>
              <w:jc w:val="center"/>
              <w:rPr>
                <w:rFonts w:ascii="Times New Roman" w:hAnsi="Times New Roman" w:cs="Times New Roman"/>
                <w:sz w:val="20"/>
                <w:szCs w:val="20"/>
              </w:rPr>
            </w:pPr>
            <w:r>
              <w:rPr>
                <w:rFonts w:ascii="Times New Roman" w:hAnsi="Times New Roman" w:cs="Times New Roman"/>
                <w:sz w:val="20"/>
                <w:szCs w:val="20"/>
              </w:rPr>
              <w:t>D48009</w:t>
            </w:r>
          </w:p>
        </w:tc>
        <w:tc>
          <w:tcPr>
            <w:tcW w:w="2520" w:type="dxa"/>
          </w:tcPr>
          <w:p w:rsidR="006930B9" w:rsidRPr="000D44C8" w:rsidP="007D6AE6" w14:paraId="1A92178E" w14:textId="77777777">
            <w:pPr>
              <w:jc w:val="center"/>
              <w:rPr>
                <w:rFonts w:ascii="Times New Roman" w:hAnsi="Times New Roman" w:cs="Times New Roman"/>
                <w:sz w:val="20"/>
                <w:szCs w:val="20"/>
              </w:rPr>
            </w:pPr>
            <w:r>
              <w:rPr>
                <w:rFonts w:ascii="Times New Roman" w:hAnsi="Times New Roman" w:cs="Times New Roman"/>
                <w:sz w:val="20"/>
                <w:szCs w:val="20"/>
              </w:rPr>
              <w:t>Archer, TX</w:t>
            </w:r>
          </w:p>
        </w:tc>
        <w:tc>
          <w:tcPr>
            <w:tcW w:w="1620" w:type="dxa"/>
          </w:tcPr>
          <w:p w:rsidR="006930B9" w:rsidRPr="000D44C8" w:rsidP="007D6AE6" w14:paraId="719E7322"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249B6A00" w14:textId="77777777" w:rsidTr="007D6AE6">
        <w:tblPrEx>
          <w:tblW w:w="0" w:type="auto"/>
          <w:jc w:val="center"/>
          <w:tblLook w:val="04A0"/>
        </w:tblPrEx>
        <w:trPr>
          <w:jc w:val="center"/>
        </w:trPr>
        <w:tc>
          <w:tcPr>
            <w:tcW w:w="1885" w:type="dxa"/>
          </w:tcPr>
          <w:p w:rsidR="006930B9" w:rsidRPr="000D44C8" w:rsidP="007D6AE6" w14:paraId="19586D2B" w14:textId="77777777">
            <w:pPr>
              <w:jc w:val="center"/>
              <w:rPr>
                <w:rFonts w:ascii="Times New Roman" w:hAnsi="Times New Roman" w:cs="Times New Roman"/>
                <w:sz w:val="20"/>
                <w:szCs w:val="20"/>
              </w:rPr>
            </w:pPr>
            <w:r>
              <w:rPr>
                <w:rFonts w:ascii="Times New Roman" w:hAnsi="Times New Roman" w:cs="Times New Roman"/>
                <w:sz w:val="20"/>
                <w:szCs w:val="20"/>
              </w:rPr>
              <w:t>D48077</w:t>
            </w:r>
          </w:p>
        </w:tc>
        <w:tc>
          <w:tcPr>
            <w:tcW w:w="2520" w:type="dxa"/>
          </w:tcPr>
          <w:p w:rsidR="006930B9" w:rsidRPr="000D44C8" w:rsidP="007D6AE6" w14:paraId="7060B853" w14:textId="77777777">
            <w:pPr>
              <w:jc w:val="center"/>
              <w:rPr>
                <w:rFonts w:ascii="Times New Roman" w:hAnsi="Times New Roman" w:cs="Times New Roman"/>
                <w:sz w:val="20"/>
                <w:szCs w:val="20"/>
              </w:rPr>
            </w:pPr>
            <w:r>
              <w:rPr>
                <w:rFonts w:ascii="Times New Roman" w:hAnsi="Times New Roman" w:cs="Times New Roman"/>
                <w:sz w:val="20"/>
                <w:szCs w:val="20"/>
              </w:rPr>
              <w:t>Clay, TX</w:t>
            </w:r>
          </w:p>
        </w:tc>
        <w:tc>
          <w:tcPr>
            <w:tcW w:w="1620" w:type="dxa"/>
          </w:tcPr>
          <w:p w:rsidR="006930B9" w:rsidRPr="000D44C8" w:rsidP="007D6AE6" w14:paraId="498C40B6"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701CD408" w14:textId="77777777" w:rsidTr="007D6AE6">
        <w:tblPrEx>
          <w:tblW w:w="0" w:type="auto"/>
          <w:jc w:val="center"/>
          <w:tblLook w:val="04A0"/>
        </w:tblPrEx>
        <w:trPr>
          <w:jc w:val="center"/>
        </w:trPr>
        <w:tc>
          <w:tcPr>
            <w:tcW w:w="1885" w:type="dxa"/>
          </w:tcPr>
          <w:p w:rsidR="006930B9" w:rsidRPr="000D44C8" w:rsidP="007D6AE6" w14:paraId="793E3A58" w14:textId="77777777">
            <w:pPr>
              <w:jc w:val="center"/>
              <w:rPr>
                <w:rFonts w:ascii="Times New Roman" w:hAnsi="Times New Roman" w:cs="Times New Roman"/>
                <w:sz w:val="20"/>
                <w:szCs w:val="20"/>
              </w:rPr>
            </w:pPr>
            <w:r>
              <w:rPr>
                <w:rFonts w:ascii="Times New Roman" w:hAnsi="Times New Roman" w:cs="Times New Roman"/>
                <w:sz w:val="20"/>
                <w:szCs w:val="20"/>
              </w:rPr>
              <w:t>D48077</w:t>
            </w:r>
          </w:p>
        </w:tc>
        <w:tc>
          <w:tcPr>
            <w:tcW w:w="2520" w:type="dxa"/>
          </w:tcPr>
          <w:p w:rsidR="006930B9" w:rsidRPr="000D44C8" w:rsidP="007D6AE6" w14:paraId="63513296" w14:textId="77777777">
            <w:pPr>
              <w:jc w:val="center"/>
              <w:rPr>
                <w:rFonts w:ascii="Times New Roman" w:hAnsi="Times New Roman" w:cs="Times New Roman"/>
                <w:sz w:val="20"/>
                <w:szCs w:val="20"/>
              </w:rPr>
            </w:pPr>
            <w:r>
              <w:rPr>
                <w:rFonts w:ascii="Times New Roman" w:hAnsi="Times New Roman" w:cs="Times New Roman"/>
                <w:sz w:val="20"/>
                <w:szCs w:val="20"/>
              </w:rPr>
              <w:t>Clay, TX</w:t>
            </w:r>
          </w:p>
        </w:tc>
        <w:tc>
          <w:tcPr>
            <w:tcW w:w="1620" w:type="dxa"/>
          </w:tcPr>
          <w:p w:rsidR="006930B9" w:rsidRPr="000D44C8" w:rsidP="007D6AE6" w14:paraId="3D0E7EA2"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0B32CB37" w14:textId="77777777" w:rsidTr="007D6AE6">
        <w:tblPrEx>
          <w:tblW w:w="0" w:type="auto"/>
          <w:jc w:val="center"/>
          <w:tblLook w:val="04A0"/>
        </w:tblPrEx>
        <w:trPr>
          <w:jc w:val="center"/>
        </w:trPr>
        <w:tc>
          <w:tcPr>
            <w:tcW w:w="1885" w:type="dxa"/>
          </w:tcPr>
          <w:p w:rsidR="006930B9" w:rsidRPr="000D44C8" w:rsidP="007D6AE6" w14:paraId="1CFF262D" w14:textId="77777777">
            <w:pPr>
              <w:jc w:val="center"/>
              <w:rPr>
                <w:rFonts w:ascii="Times New Roman" w:hAnsi="Times New Roman" w:cs="Times New Roman"/>
                <w:sz w:val="20"/>
                <w:szCs w:val="20"/>
              </w:rPr>
            </w:pPr>
            <w:r>
              <w:rPr>
                <w:rFonts w:ascii="Times New Roman" w:hAnsi="Times New Roman" w:cs="Times New Roman"/>
                <w:sz w:val="20"/>
                <w:szCs w:val="20"/>
              </w:rPr>
              <w:t>D48087</w:t>
            </w:r>
          </w:p>
        </w:tc>
        <w:tc>
          <w:tcPr>
            <w:tcW w:w="2520" w:type="dxa"/>
          </w:tcPr>
          <w:p w:rsidR="006930B9" w:rsidRPr="000D44C8" w:rsidP="007D6AE6" w14:paraId="03685C26" w14:textId="77777777">
            <w:pPr>
              <w:jc w:val="center"/>
              <w:rPr>
                <w:rFonts w:ascii="Times New Roman" w:hAnsi="Times New Roman" w:cs="Times New Roman"/>
                <w:sz w:val="20"/>
                <w:szCs w:val="20"/>
              </w:rPr>
            </w:pPr>
            <w:r>
              <w:rPr>
                <w:rFonts w:ascii="Times New Roman" w:hAnsi="Times New Roman" w:cs="Times New Roman"/>
                <w:sz w:val="20"/>
                <w:szCs w:val="20"/>
              </w:rPr>
              <w:t>Collingsworth, TX</w:t>
            </w:r>
          </w:p>
        </w:tc>
        <w:tc>
          <w:tcPr>
            <w:tcW w:w="1620" w:type="dxa"/>
          </w:tcPr>
          <w:p w:rsidR="006930B9" w:rsidRPr="000D44C8" w:rsidP="007D6AE6" w14:paraId="55A3E270"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3E1F6E3C" w14:textId="77777777" w:rsidTr="007D6AE6">
        <w:tblPrEx>
          <w:tblW w:w="0" w:type="auto"/>
          <w:jc w:val="center"/>
          <w:tblLook w:val="04A0"/>
        </w:tblPrEx>
        <w:trPr>
          <w:jc w:val="center"/>
        </w:trPr>
        <w:tc>
          <w:tcPr>
            <w:tcW w:w="1885" w:type="dxa"/>
          </w:tcPr>
          <w:p w:rsidR="006930B9" w:rsidRPr="000D44C8" w:rsidP="007D6AE6" w14:paraId="36AABF5E" w14:textId="77777777">
            <w:pPr>
              <w:jc w:val="center"/>
              <w:rPr>
                <w:rFonts w:ascii="Times New Roman" w:hAnsi="Times New Roman" w:cs="Times New Roman"/>
                <w:sz w:val="20"/>
                <w:szCs w:val="20"/>
              </w:rPr>
            </w:pPr>
            <w:r>
              <w:rPr>
                <w:rFonts w:ascii="Times New Roman" w:hAnsi="Times New Roman" w:cs="Times New Roman"/>
                <w:sz w:val="20"/>
                <w:szCs w:val="20"/>
              </w:rPr>
              <w:t>D48087</w:t>
            </w:r>
          </w:p>
        </w:tc>
        <w:tc>
          <w:tcPr>
            <w:tcW w:w="2520" w:type="dxa"/>
          </w:tcPr>
          <w:p w:rsidR="006930B9" w:rsidRPr="000D44C8" w:rsidP="007D6AE6" w14:paraId="4F7C5070" w14:textId="77777777">
            <w:pPr>
              <w:jc w:val="center"/>
              <w:rPr>
                <w:rFonts w:ascii="Times New Roman" w:hAnsi="Times New Roman" w:cs="Times New Roman"/>
                <w:sz w:val="20"/>
                <w:szCs w:val="20"/>
              </w:rPr>
            </w:pPr>
            <w:r>
              <w:rPr>
                <w:rFonts w:ascii="Times New Roman" w:hAnsi="Times New Roman" w:cs="Times New Roman"/>
                <w:sz w:val="20"/>
                <w:szCs w:val="20"/>
              </w:rPr>
              <w:t>Collingsworth, TX</w:t>
            </w:r>
          </w:p>
        </w:tc>
        <w:tc>
          <w:tcPr>
            <w:tcW w:w="1620" w:type="dxa"/>
          </w:tcPr>
          <w:p w:rsidR="006930B9" w:rsidRPr="000D44C8" w:rsidP="007D6AE6" w14:paraId="6F26C9FA"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56607DE7" w14:textId="77777777" w:rsidTr="007D6AE6">
        <w:tblPrEx>
          <w:tblW w:w="0" w:type="auto"/>
          <w:jc w:val="center"/>
          <w:tblLook w:val="04A0"/>
        </w:tblPrEx>
        <w:trPr>
          <w:jc w:val="center"/>
        </w:trPr>
        <w:tc>
          <w:tcPr>
            <w:tcW w:w="1885" w:type="dxa"/>
          </w:tcPr>
          <w:p w:rsidR="006930B9" w:rsidRPr="000D44C8" w:rsidP="007D6AE6" w14:paraId="56D4DBB9" w14:textId="77777777">
            <w:pPr>
              <w:jc w:val="center"/>
              <w:rPr>
                <w:rFonts w:ascii="Times New Roman" w:hAnsi="Times New Roman" w:cs="Times New Roman"/>
                <w:sz w:val="20"/>
                <w:szCs w:val="20"/>
              </w:rPr>
            </w:pPr>
            <w:r>
              <w:rPr>
                <w:rFonts w:ascii="Times New Roman" w:hAnsi="Times New Roman" w:cs="Times New Roman"/>
                <w:sz w:val="20"/>
                <w:szCs w:val="20"/>
              </w:rPr>
              <w:t>D48101</w:t>
            </w:r>
          </w:p>
        </w:tc>
        <w:tc>
          <w:tcPr>
            <w:tcW w:w="2520" w:type="dxa"/>
          </w:tcPr>
          <w:p w:rsidR="006930B9" w:rsidRPr="000D44C8" w:rsidP="007D6AE6" w14:paraId="3EFE1F93" w14:textId="77777777">
            <w:pPr>
              <w:jc w:val="center"/>
              <w:rPr>
                <w:rFonts w:ascii="Times New Roman" w:hAnsi="Times New Roman" w:cs="Times New Roman"/>
                <w:sz w:val="20"/>
                <w:szCs w:val="20"/>
              </w:rPr>
            </w:pPr>
            <w:r>
              <w:rPr>
                <w:rFonts w:ascii="Times New Roman" w:hAnsi="Times New Roman" w:cs="Times New Roman"/>
                <w:sz w:val="20"/>
                <w:szCs w:val="20"/>
              </w:rPr>
              <w:t>Cottle, TX</w:t>
            </w:r>
          </w:p>
        </w:tc>
        <w:tc>
          <w:tcPr>
            <w:tcW w:w="1620" w:type="dxa"/>
          </w:tcPr>
          <w:p w:rsidR="006930B9" w:rsidRPr="000D44C8" w:rsidP="007D6AE6" w14:paraId="360E1C4D"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30DD5652" w14:textId="77777777" w:rsidTr="007D6AE6">
        <w:tblPrEx>
          <w:tblW w:w="0" w:type="auto"/>
          <w:jc w:val="center"/>
          <w:tblLook w:val="04A0"/>
        </w:tblPrEx>
        <w:trPr>
          <w:jc w:val="center"/>
        </w:trPr>
        <w:tc>
          <w:tcPr>
            <w:tcW w:w="1885" w:type="dxa"/>
          </w:tcPr>
          <w:p w:rsidR="006930B9" w:rsidRPr="000D44C8" w:rsidP="007D6AE6" w14:paraId="4ECAEF25" w14:textId="77777777">
            <w:pPr>
              <w:jc w:val="center"/>
              <w:rPr>
                <w:rFonts w:ascii="Times New Roman" w:hAnsi="Times New Roman" w:cs="Times New Roman"/>
                <w:sz w:val="20"/>
                <w:szCs w:val="20"/>
              </w:rPr>
            </w:pPr>
            <w:r>
              <w:rPr>
                <w:rFonts w:ascii="Times New Roman" w:hAnsi="Times New Roman" w:cs="Times New Roman"/>
                <w:sz w:val="20"/>
                <w:szCs w:val="20"/>
              </w:rPr>
              <w:t>D48101</w:t>
            </w:r>
          </w:p>
        </w:tc>
        <w:tc>
          <w:tcPr>
            <w:tcW w:w="2520" w:type="dxa"/>
          </w:tcPr>
          <w:p w:rsidR="006930B9" w:rsidRPr="000D44C8" w:rsidP="007D6AE6" w14:paraId="5A452B51" w14:textId="77777777">
            <w:pPr>
              <w:jc w:val="center"/>
              <w:rPr>
                <w:rFonts w:ascii="Times New Roman" w:hAnsi="Times New Roman" w:cs="Times New Roman"/>
                <w:sz w:val="20"/>
                <w:szCs w:val="20"/>
              </w:rPr>
            </w:pPr>
            <w:r>
              <w:rPr>
                <w:rFonts w:ascii="Times New Roman" w:hAnsi="Times New Roman" w:cs="Times New Roman"/>
                <w:sz w:val="20"/>
                <w:szCs w:val="20"/>
              </w:rPr>
              <w:t>Cottle, TX</w:t>
            </w:r>
          </w:p>
        </w:tc>
        <w:tc>
          <w:tcPr>
            <w:tcW w:w="1620" w:type="dxa"/>
          </w:tcPr>
          <w:p w:rsidR="006930B9" w:rsidRPr="000D44C8" w:rsidP="007D6AE6" w14:paraId="2A9BAA34"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2AB22C8F" w14:textId="77777777" w:rsidTr="007D6AE6">
        <w:tblPrEx>
          <w:tblW w:w="0" w:type="auto"/>
          <w:jc w:val="center"/>
          <w:tblLook w:val="04A0"/>
        </w:tblPrEx>
        <w:trPr>
          <w:jc w:val="center"/>
        </w:trPr>
        <w:tc>
          <w:tcPr>
            <w:tcW w:w="1885" w:type="dxa"/>
          </w:tcPr>
          <w:p w:rsidR="006930B9" w:rsidRPr="000D44C8" w:rsidP="007D6AE6" w14:paraId="364561EE" w14:textId="77777777">
            <w:pPr>
              <w:jc w:val="center"/>
              <w:rPr>
                <w:rFonts w:ascii="Times New Roman" w:hAnsi="Times New Roman" w:cs="Times New Roman"/>
                <w:sz w:val="20"/>
                <w:szCs w:val="20"/>
              </w:rPr>
            </w:pPr>
            <w:r>
              <w:rPr>
                <w:rFonts w:ascii="Times New Roman" w:hAnsi="Times New Roman" w:cs="Times New Roman"/>
                <w:sz w:val="20"/>
                <w:szCs w:val="20"/>
              </w:rPr>
              <w:t>D48155</w:t>
            </w:r>
          </w:p>
        </w:tc>
        <w:tc>
          <w:tcPr>
            <w:tcW w:w="2520" w:type="dxa"/>
          </w:tcPr>
          <w:p w:rsidR="006930B9" w:rsidRPr="000D44C8" w:rsidP="007D6AE6" w14:paraId="1ECAAEA5" w14:textId="77777777">
            <w:pPr>
              <w:jc w:val="center"/>
              <w:rPr>
                <w:rFonts w:ascii="Times New Roman" w:hAnsi="Times New Roman" w:cs="Times New Roman"/>
                <w:sz w:val="20"/>
                <w:szCs w:val="20"/>
              </w:rPr>
            </w:pPr>
            <w:r>
              <w:rPr>
                <w:rFonts w:ascii="Times New Roman" w:hAnsi="Times New Roman" w:cs="Times New Roman"/>
                <w:sz w:val="20"/>
                <w:szCs w:val="20"/>
              </w:rPr>
              <w:t>Foard, TX</w:t>
            </w:r>
          </w:p>
        </w:tc>
        <w:tc>
          <w:tcPr>
            <w:tcW w:w="1620" w:type="dxa"/>
          </w:tcPr>
          <w:p w:rsidR="006930B9" w:rsidRPr="000D44C8" w:rsidP="007D6AE6" w14:paraId="609AB8D8"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7C809260" w14:textId="77777777" w:rsidTr="007D6AE6">
        <w:tblPrEx>
          <w:tblW w:w="0" w:type="auto"/>
          <w:jc w:val="center"/>
          <w:tblLook w:val="04A0"/>
        </w:tblPrEx>
        <w:trPr>
          <w:jc w:val="center"/>
        </w:trPr>
        <w:tc>
          <w:tcPr>
            <w:tcW w:w="1885" w:type="dxa"/>
          </w:tcPr>
          <w:p w:rsidR="006930B9" w:rsidRPr="000D44C8" w:rsidP="007D6AE6" w14:paraId="1064279E" w14:textId="77777777">
            <w:pPr>
              <w:jc w:val="center"/>
              <w:rPr>
                <w:rFonts w:ascii="Times New Roman" w:hAnsi="Times New Roman" w:cs="Times New Roman"/>
                <w:sz w:val="20"/>
                <w:szCs w:val="20"/>
              </w:rPr>
            </w:pPr>
            <w:r>
              <w:rPr>
                <w:rFonts w:ascii="Times New Roman" w:hAnsi="Times New Roman" w:cs="Times New Roman"/>
                <w:sz w:val="20"/>
                <w:szCs w:val="20"/>
              </w:rPr>
              <w:t>D48155</w:t>
            </w:r>
          </w:p>
        </w:tc>
        <w:tc>
          <w:tcPr>
            <w:tcW w:w="2520" w:type="dxa"/>
          </w:tcPr>
          <w:p w:rsidR="006930B9" w:rsidRPr="000D44C8" w:rsidP="007D6AE6" w14:paraId="6D509EAE" w14:textId="77777777">
            <w:pPr>
              <w:jc w:val="center"/>
              <w:rPr>
                <w:rFonts w:ascii="Times New Roman" w:hAnsi="Times New Roman" w:cs="Times New Roman"/>
                <w:sz w:val="20"/>
                <w:szCs w:val="20"/>
              </w:rPr>
            </w:pPr>
            <w:r>
              <w:rPr>
                <w:rFonts w:ascii="Times New Roman" w:hAnsi="Times New Roman" w:cs="Times New Roman"/>
                <w:sz w:val="20"/>
                <w:szCs w:val="20"/>
              </w:rPr>
              <w:t>Foard, TX</w:t>
            </w:r>
          </w:p>
        </w:tc>
        <w:tc>
          <w:tcPr>
            <w:tcW w:w="1620" w:type="dxa"/>
          </w:tcPr>
          <w:p w:rsidR="006930B9" w:rsidRPr="000D44C8" w:rsidP="007D6AE6" w14:paraId="48E46196"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29B2CF21" w14:textId="77777777" w:rsidTr="007D6AE6">
        <w:tblPrEx>
          <w:tblW w:w="0" w:type="auto"/>
          <w:jc w:val="center"/>
          <w:tblLook w:val="04A0"/>
        </w:tblPrEx>
        <w:trPr>
          <w:jc w:val="center"/>
        </w:trPr>
        <w:tc>
          <w:tcPr>
            <w:tcW w:w="1885" w:type="dxa"/>
          </w:tcPr>
          <w:p w:rsidR="006930B9" w:rsidRPr="000D44C8" w:rsidP="007D6AE6" w14:paraId="6B7C79BD" w14:textId="77777777">
            <w:pPr>
              <w:jc w:val="center"/>
              <w:rPr>
                <w:rFonts w:ascii="Times New Roman" w:hAnsi="Times New Roman" w:cs="Times New Roman"/>
                <w:sz w:val="20"/>
                <w:szCs w:val="20"/>
              </w:rPr>
            </w:pPr>
            <w:r>
              <w:rPr>
                <w:rFonts w:ascii="Times New Roman" w:hAnsi="Times New Roman" w:cs="Times New Roman"/>
                <w:sz w:val="20"/>
                <w:szCs w:val="20"/>
              </w:rPr>
              <w:t>D48197</w:t>
            </w:r>
          </w:p>
        </w:tc>
        <w:tc>
          <w:tcPr>
            <w:tcW w:w="2520" w:type="dxa"/>
          </w:tcPr>
          <w:p w:rsidR="006930B9" w:rsidRPr="000D44C8" w:rsidP="007D6AE6" w14:paraId="21573415" w14:textId="77777777">
            <w:pPr>
              <w:jc w:val="center"/>
              <w:rPr>
                <w:rFonts w:ascii="Times New Roman" w:hAnsi="Times New Roman" w:cs="Times New Roman"/>
                <w:sz w:val="20"/>
                <w:szCs w:val="20"/>
              </w:rPr>
            </w:pPr>
            <w:r>
              <w:rPr>
                <w:rFonts w:ascii="Times New Roman" w:hAnsi="Times New Roman" w:cs="Times New Roman"/>
                <w:sz w:val="20"/>
                <w:szCs w:val="20"/>
              </w:rPr>
              <w:t>Hardeman, TX</w:t>
            </w:r>
          </w:p>
        </w:tc>
        <w:tc>
          <w:tcPr>
            <w:tcW w:w="1620" w:type="dxa"/>
          </w:tcPr>
          <w:p w:rsidR="006930B9" w:rsidRPr="000D44C8" w:rsidP="007D6AE6" w14:paraId="2975DD2D"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248DB6F6" w14:textId="77777777" w:rsidTr="007D6AE6">
        <w:tblPrEx>
          <w:tblW w:w="0" w:type="auto"/>
          <w:jc w:val="center"/>
          <w:tblLook w:val="04A0"/>
        </w:tblPrEx>
        <w:trPr>
          <w:jc w:val="center"/>
        </w:trPr>
        <w:tc>
          <w:tcPr>
            <w:tcW w:w="1885" w:type="dxa"/>
          </w:tcPr>
          <w:p w:rsidR="006930B9" w:rsidRPr="000D44C8" w:rsidP="007D6AE6" w14:paraId="4BC0FF47" w14:textId="77777777">
            <w:pPr>
              <w:jc w:val="center"/>
              <w:rPr>
                <w:rFonts w:ascii="Times New Roman" w:hAnsi="Times New Roman" w:cs="Times New Roman"/>
                <w:sz w:val="20"/>
                <w:szCs w:val="20"/>
              </w:rPr>
            </w:pPr>
            <w:r>
              <w:rPr>
                <w:rFonts w:ascii="Times New Roman" w:hAnsi="Times New Roman" w:cs="Times New Roman"/>
                <w:sz w:val="20"/>
                <w:szCs w:val="20"/>
              </w:rPr>
              <w:t>D48197</w:t>
            </w:r>
          </w:p>
        </w:tc>
        <w:tc>
          <w:tcPr>
            <w:tcW w:w="2520" w:type="dxa"/>
          </w:tcPr>
          <w:p w:rsidR="006930B9" w:rsidRPr="000D44C8" w:rsidP="007D6AE6" w14:paraId="460E1BE9" w14:textId="77777777">
            <w:pPr>
              <w:jc w:val="center"/>
              <w:rPr>
                <w:rFonts w:ascii="Times New Roman" w:hAnsi="Times New Roman" w:cs="Times New Roman"/>
                <w:sz w:val="20"/>
                <w:szCs w:val="20"/>
              </w:rPr>
            </w:pPr>
            <w:r>
              <w:rPr>
                <w:rFonts w:ascii="Times New Roman" w:hAnsi="Times New Roman" w:cs="Times New Roman"/>
                <w:sz w:val="20"/>
                <w:szCs w:val="20"/>
              </w:rPr>
              <w:t>Hardeman, TX</w:t>
            </w:r>
          </w:p>
        </w:tc>
        <w:tc>
          <w:tcPr>
            <w:tcW w:w="1620" w:type="dxa"/>
          </w:tcPr>
          <w:p w:rsidR="006930B9" w:rsidRPr="000D44C8" w:rsidP="007D6AE6" w14:paraId="2651A0AC"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3FC68E69" w14:textId="77777777" w:rsidTr="007D6AE6">
        <w:tblPrEx>
          <w:tblW w:w="0" w:type="auto"/>
          <w:jc w:val="center"/>
          <w:tblLook w:val="04A0"/>
        </w:tblPrEx>
        <w:trPr>
          <w:jc w:val="center"/>
        </w:trPr>
        <w:tc>
          <w:tcPr>
            <w:tcW w:w="1885" w:type="dxa"/>
          </w:tcPr>
          <w:p w:rsidR="006930B9" w:rsidRPr="000D44C8" w:rsidP="007D6AE6" w14:paraId="6BB0B1FD" w14:textId="77777777">
            <w:pPr>
              <w:jc w:val="center"/>
              <w:rPr>
                <w:rFonts w:ascii="Times New Roman" w:hAnsi="Times New Roman" w:cs="Times New Roman"/>
                <w:sz w:val="20"/>
                <w:szCs w:val="20"/>
              </w:rPr>
            </w:pPr>
            <w:r>
              <w:rPr>
                <w:rFonts w:ascii="Times New Roman" w:hAnsi="Times New Roman" w:cs="Times New Roman"/>
                <w:sz w:val="20"/>
                <w:szCs w:val="20"/>
              </w:rPr>
              <w:t>D48247</w:t>
            </w:r>
          </w:p>
        </w:tc>
        <w:tc>
          <w:tcPr>
            <w:tcW w:w="2520" w:type="dxa"/>
          </w:tcPr>
          <w:p w:rsidR="006930B9" w:rsidRPr="000D44C8" w:rsidP="007D6AE6" w14:paraId="74A920B5" w14:textId="77777777">
            <w:pPr>
              <w:jc w:val="center"/>
              <w:rPr>
                <w:rFonts w:ascii="Times New Roman" w:hAnsi="Times New Roman" w:cs="Times New Roman"/>
                <w:sz w:val="20"/>
                <w:szCs w:val="20"/>
              </w:rPr>
            </w:pPr>
            <w:r>
              <w:rPr>
                <w:rFonts w:ascii="Times New Roman" w:hAnsi="Times New Roman" w:cs="Times New Roman"/>
                <w:sz w:val="20"/>
                <w:szCs w:val="20"/>
              </w:rPr>
              <w:t>Jim Hogg, TX</w:t>
            </w:r>
          </w:p>
        </w:tc>
        <w:tc>
          <w:tcPr>
            <w:tcW w:w="1620" w:type="dxa"/>
          </w:tcPr>
          <w:p w:rsidR="006930B9" w:rsidRPr="000D44C8" w:rsidP="007D6AE6" w14:paraId="1758ABE1"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10966344" w14:textId="77777777" w:rsidTr="007D6AE6">
        <w:tblPrEx>
          <w:tblW w:w="0" w:type="auto"/>
          <w:jc w:val="center"/>
          <w:tblLook w:val="04A0"/>
        </w:tblPrEx>
        <w:trPr>
          <w:jc w:val="center"/>
        </w:trPr>
        <w:tc>
          <w:tcPr>
            <w:tcW w:w="1885" w:type="dxa"/>
          </w:tcPr>
          <w:p w:rsidR="006930B9" w:rsidRPr="000D44C8" w:rsidP="007D6AE6" w14:paraId="3F522A69" w14:textId="77777777">
            <w:pPr>
              <w:jc w:val="center"/>
              <w:rPr>
                <w:rFonts w:ascii="Times New Roman" w:hAnsi="Times New Roman" w:cs="Times New Roman"/>
                <w:sz w:val="20"/>
                <w:szCs w:val="20"/>
              </w:rPr>
            </w:pPr>
            <w:r>
              <w:rPr>
                <w:rFonts w:ascii="Times New Roman" w:hAnsi="Times New Roman" w:cs="Times New Roman"/>
                <w:sz w:val="20"/>
                <w:szCs w:val="20"/>
              </w:rPr>
              <w:t>D48247</w:t>
            </w:r>
          </w:p>
        </w:tc>
        <w:tc>
          <w:tcPr>
            <w:tcW w:w="2520" w:type="dxa"/>
          </w:tcPr>
          <w:p w:rsidR="006930B9" w:rsidRPr="000D44C8" w:rsidP="007D6AE6" w14:paraId="4E31D6EF" w14:textId="77777777">
            <w:pPr>
              <w:jc w:val="center"/>
              <w:rPr>
                <w:rFonts w:ascii="Times New Roman" w:hAnsi="Times New Roman" w:cs="Times New Roman"/>
                <w:sz w:val="20"/>
                <w:szCs w:val="20"/>
              </w:rPr>
            </w:pPr>
            <w:r>
              <w:rPr>
                <w:rFonts w:ascii="Times New Roman" w:hAnsi="Times New Roman" w:cs="Times New Roman"/>
                <w:sz w:val="20"/>
                <w:szCs w:val="20"/>
              </w:rPr>
              <w:t>Jim Hogg, TX</w:t>
            </w:r>
          </w:p>
        </w:tc>
        <w:tc>
          <w:tcPr>
            <w:tcW w:w="1620" w:type="dxa"/>
          </w:tcPr>
          <w:p w:rsidR="006930B9" w:rsidRPr="000D44C8" w:rsidP="007D6AE6" w14:paraId="690F7207"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18FA3D91" w14:textId="77777777" w:rsidTr="007D6AE6">
        <w:tblPrEx>
          <w:tblW w:w="0" w:type="auto"/>
          <w:jc w:val="center"/>
          <w:tblLook w:val="04A0"/>
        </w:tblPrEx>
        <w:trPr>
          <w:jc w:val="center"/>
        </w:trPr>
        <w:tc>
          <w:tcPr>
            <w:tcW w:w="1885" w:type="dxa"/>
          </w:tcPr>
          <w:p w:rsidR="006930B9" w:rsidRPr="000D44C8" w:rsidP="007D6AE6" w14:paraId="746AF0AE" w14:textId="77777777">
            <w:pPr>
              <w:jc w:val="center"/>
              <w:rPr>
                <w:rFonts w:ascii="Times New Roman" w:hAnsi="Times New Roman" w:cs="Times New Roman"/>
                <w:sz w:val="20"/>
                <w:szCs w:val="20"/>
              </w:rPr>
            </w:pPr>
            <w:r>
              <w:rPr>
                <w:rFonts w:ascii="Times New Roman" w:hAnsi="Times New Roman" w:cs="Times New Roman"/>
                <w:sz w:val="20"/>
                <w:szCs w:val="20"/>
              </w:rPr>
              <w:t>D48269</w:t>
            </w:r>
          </w:p>
        </w:tc>
        <w:tc>
          <w:tcPr>
            <w:tcW w:w="2520" w:type="dxa"/>
          </w:tcPr>
          <w:p w:rsidR="006930B9" w:rsidRPr="000D44C8" w:rsidP="007D6AE6" w14:paraId="45A04044" w14:textId="77777777">
            <w:pPr>
              <w:jc w:val="center"/>
              <w:rPr>
                <w:rFonts w:ascii="Times New Roman" w:hAnsi="Times New Roman" w:cs="Times New Roman"/>
                <w:sz w:val="20"/>
                <w:szCs w:val="20"/>
              </w:rPr>
            </w:pPr>
            <w:r>
              <w:rPr>
                <w:rFonts w:ascii="Times New Roman" w:hAnsi="Times New Roman" w:cs="Times New Roman"/>
                <w:sz w:val="20"/>
                <w:szCs w:val="20"/>
              </w:rPr>
              <w:t>King, TX</w:t>
            </w:r>
          </w:p>
        </w:tc>
        <w:tc>
          <w:tcPr>
            <w:tcW w:w="1620" w:type="dxa"/>
          </w:tcPr>
          <w:p w:rsidR="006930B9" w:rsidRPr="000D44C8" w:rsidP="007D6AE6" w14:paraId="2FCE50B0"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44507A17" w14:textId="77777777" w:rsidTr="007D6AE6">
        <w:tblPrEx>
          <w:tblW w:w="0" w:type="auto"/>
          <w:jc w:val="center"/>
          <w:tblLook w:val="04A0"/>
        </w:tblPrEx>
        <w:trPr>
          <w:jc w:val="center"/>
        </w:trPr>
        <w:tc>
          <w:tcPr>
            <w:tcW w:w="1885" w:type="dxa"/>
          </w:tcPr>
          <w:p w:rsidR="006930B9" w:rsidRPr="000D44C8" w:rsidP="007D6AE6" w14:paraId="53189E0B" w14:textId="77777777">
            <w:pPr>
              <w:jc w:val="center"/>
              <w:rPr>
                <w:rFonts w:ascii="Times New Roman" w:hAnsi="Times New Roman" w:cs="Times New Roman"/>
                <w:sz w:val="20"/>
                <w:szCs w:val="20"/>
              </w:rPr>
            </w:pPr>
            <w:r>
              <w:rPr>
                <w:rFonts w:ascii="Times New Roman" w:hAnsi="Times New Roman" w:cs="Times New Roman"/>
                <w:sz w:val="20"/>
                <w:szCs w:val="20"/>
              </w:rPr>
              <w:t>D48269</w:t>
            </w:r>
          </w:p>
        </w:tc>
        <w:tc>
          <w:tcPr>
            <w:tcW w:w="2520" w:type="dxa"/>
          </w:tcPr>
          <w:p w:rsidR="006930B9" w:rsidRPr="000D44C8" w:rsidP="007D6AE6" w14:paraId="7273F8F0" w14:textId="77777777">
            <w:pPr>
              <w:jc w:val="center"/>
              <w:rPr>
                <w:rFonts w:ascii="Times New Roman" w:hAnsi="Times New Roman" w:cs="Times New Roman"/>
                <w:sz w:val="20"/>
                <w:szCs w:val="20"/>
              </w:rPr>
            </w:pPr>
            <w:r>
              <w:rPr>
                <w:rFonts w:ascii="Times New Roman" w:hAnsi="Times New Roman" w:cs="Times New Roman"/>
                <w:sz w:val="20"/>
                <w:szCs w:val="20"/>
              </w:rPr>
              <w:t>King, TX</w:t>
            </w:r>
          </w:p>
        </w:tc>
        <w:tc>
          <w:tcPr>
            <w:tcW w:w="1620" w:type="dxa"/>
          </w:tcPr>
          <w:p w:rsidR="006930B9" w:rsidRPr="000D44C8" w:rsidP="007D6AE6" w14:paraId="6622136F"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145C990D" w14:textId="77777777" w:rsidTr="007D6AE6">
        <w:tblPrEx>
          <w:tblW w:w="0" w:type="auto"/>
          <w:jc w:val="center"/>
          <w:tblLook w:val="04A0"/>
        </w:tblPrEx>
        <w:trPr>
          <w:jc w:val="center"/>
        </w:trPr>
        <w:tc>
          <w:tcPr>
            <w:tcW w:w="1885" w:type="dxa"/>
          </w:tcPr>
          <w:p w:rsidR="006930B9" w:rsidRPr="000D44C8" w:rsidP="007D6AE6" w14:paraId="5E68AC5B" w14:textId="77777777">
            <w:pPr>
              <w:jc w:val="center"/>
              <w:rPr>
                <w:rFonts w:ascii="Times New Roman" w:hAnsi="Times New Roman" w:cs="Times New Roman"/>
                <w:sz w:val="20"/>
                <w:szCs w:val="20"/>
              </w:rPr>
            </w:pPr>
            <w:r>
              <w:rPr>
                <w:rFonts w:ascii="Times New Roman" w:hAnsi="Times New Roman" w:cs="Times New Roman"/>
                <w:sz w:val="20"/>
                <w:szCs w:val="20"/>
              </w:rPr>
              <w:t>D48485</w:t>
            </w:r>
          </w:p>
        </w:tc>
        <w:tc>
          <w:tcPr>
            <w:tcW w:w="2520" w:type="dxa"/>
          </w:tcPr>
          <w:p w:rsidR="006930B9" w:rsidRPr="000D44C8" w:rsidP="007D6AE6" w14:paraId="70A8FD64" w14:textId="77777777">
            <w:pPr>
              <w:jc w:val="center"/>
              <w:rPr>
                <w:rFonts w:ascii="Times New Roman" w:hAnsi="Times New Roman" w:cs="Times New Roman"/>
                <w:sz w:val="20"/>
                <w:szCs w:val="20"/>
              </w:rPr>
            </w:pPr>
            <w:r>
              <w:rPr>
                <w:rFonts w:ascii="Times New Roman" w:hAnsi="Times New Roman" w:cs="Times New Roman"/>
                <w:sz w:val="20"/>
                <w:szCs w:val="20"/>
              </w:rPr>
              <w:t>Wichita, TX</w:t>
            </w:r>
          </w:p>
        </w:tc>
        <w:tc>
          <w:tcPr>
            <w:tcW w:w="1620" w:type="dxa"/>
          </w:tcPr>
          <w:p w:rsidR="006930B9" w:rsidRPr="000D44C8" w:rsidP="007D6AE6" w14:paraId="1E0DD978"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742AEEB6" w14:textId="77777777" w:rsidTr="007D6AE6">
        <w:tblPrEx>
          <w:tblW w:w="0" w:type="auto"/>
          <w:jc w:val="center"/>
          <w:tblLook w:val="04A0"/>
        </w:tblPrEx>
        <w:trPr>
          <w:jc w:val="center"/>
        </w:trPr>
        <w:tc>
          <w:tcPr>
            <w:tcW w:w="1885" w:type="dxa"/>
          </w:tcPr>
          <w:p w:rsidR="006930B9" w:rsidRPr="000D44C8" w:rsidP="007D6AE6" w14:paraId="3F685400" w14:textId="77777777">
            <w:pPr>
              <w:jc w:val="center"/>
              <w:rPr>
                <w:rFonts w:ascii="Times New Roman" w:hAnsi="Times New Roman" w:cs="Times New Roman"/>
                <w:sz w:val="20"/>
                <w:szCs w:val="20"/>
              </w:rPr>
            </w:pPr>
            <w:r>
              <w:rPr>
                <w:rFonts w:ascii="Times New Roman" w:hAnsi="Times New Roman" w:cs="Times New Roman"/>
                <w:sz w:val="20"/>
                <w:szCs w:val="20"/>
              </w:rPr>
              <w:t>D48485</w:t>
            </w:r>
          </w:p>
        </w:tc>
        <w:tc>
          <w:tcPr>
            <w:tcW w:w="2520" w:type="dxa"/>
          </w:tcPr>
          <w:p w:rsidR="006930B9" w:rsidRPr="000D44C8" w:rsidP="007D6AE6" w14:paraId="206B5A65" w14:textId="77777777">
            <w:pPr>
              <w:jc w:val="center"/>
              <w:rPr>
                <w:rFonts w:ascii="Times New Roman" w:hAnsi="Times New Roman" w:cs="Times New Roman"/>
                <w:sz w:val="20"/>
                <w:szCs w:val="20"/>
              </w:rPr>
            </w:pPr>
            <w:r>
              <w:rPr>
                <w:rFonts w:ascii="Times New Roman" w:hAnsi="Times New Roman" w:cs="Times New Roman"/>
                <w:sz w:val="20"/>
                <w:szCs w:val="20"/>
              </w:rPr>
              <w:t>Wichita, TX</w:t>
            </w:r>
          </w:p>
        </w:tc>
        <w:tc>
          <w:tcPr>
            <w:tcW w:w="1620" w:type="dxa"/>
          </w:tcPr>
          <w:p w:rsidR="006930B9" w:rsidRPr="000D44C8" w:rsidP="007D6AE6" w14:paraId="517798BA"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66132EEA" w14:textId="77777777" w:rsidTr="007D6AE6">
        <w:tblPrEx>
          <w:tblW w:w="0" w:type="auto"/>
          <w:jc w:val="center"/>
          <w:tblLook w:val="04A0"/>
        </w:tblPrEx>
        <w:trPr>
          <w:jc w:val="center"/>
        </w:trPr>
        <w:tc>
          <w:tcPr>
            <w:tcW w:w="1885" w:type="dxa"/>
          </w:tcPr>
          <w:p w:rsidR="006930B9" w:rsidRPr="000D44C8" w:rsidP="007D6AE6" w14:paraId="2E149F79" w14:textId="77777777">
            <w:pPr>
              <w:jc w:val="center"/>
              <w:rPr>
                <w:rFonts w:ascii="Times New Roman" w:hAnsi="Times New Roman" w:cs="Times New Roman"/>
                <w:sz w:val="20"/>
                <w:szCs w:val="20"/>
              </w:rPr>
            </w:pPr>
            <w:r>
              <w:rPr>
                <w:rFonts w:ascii="Times New Roman" w:hAnsi="Times New Roman" w:cs="Times New Roman"/>
                <w:sz w:val="20"/>
                <w:szCs w:val="20"/>
              </w:rPr>
              <w:t>D48487</w:t>
            </w:r>
          </w:p>
        </w:tc>
        <w:tc>
          <w:tcPr>
            <w:tcW w:w="2520" w:type="dxa"/>
          </w:tcPr>
          <w:p w:rsidR="006930B9" w:rsidRPr="000D44C8" w:rsidP="007D6AE6" w14:paraId="6836B966" w14:textId="77777777">
            <w:pPr>
              <w:jc w:val="center"/>
              <w:rPr>
                <w:rFonts w:ascii="Times New Roman" w:hAnsi="Times New Roman" w:cs="Times New Roman"/>
                <w:sz w:val="20"/>
                <w:szCs w:val="20"/>
              </w:rPr>
            </w:pPr>
            <w:r>
              <w:rPr>
                <w:rFonts w:ascii="Times New Roman" w:hAnsi="Times New Roman" w:cs="Times New Roman"/>
                <w:sz w:val="20"/>
                <w:szCs w:val="20"/>
              </w:rPr>
              <w:t>Wilbarger, TX</w:t>
            </w:r>
          </w:p>
        </w:tc>
        <w:tc>
          <w:tcPr>
            <w:tcW w:w="1620" w:type="dxa"/>
          </w:tcPr>
          <w:p w:rsidR="006930B9" w:rsidRPr="000D44C8" w:rsidP="007D6AE6" w14:paraId="16737318"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66575F0B" w14:textId="77777777" w:rsidTr="007D6AE6">
        <w:tblPrEx>
          <w:tblW w:w="0" w:type="auto"/>
          <w:jc w:val="center"/>
          <w:tblLook w:val="04A0"/>
        </w:tblPrEx>
        <w:trPr>
          <w:jc w:val="center"/>
        </w:trPr>
        <w:tc>
          <w:tcPr>
            <w:tcW w:w="1885" w:type="dxa"/>
          </w:tcPr>
          <w:p w:rsidR="006930B9" w:rsidRPr="000D44C8" w:rsidP="007D6AE6" w14:paraId="08FBC6FD" w14:textId="77777777">
            <w:pPr>
              <w:jc w:val="center"/>
              <w:rPr>
                <w:rFonts w:ascii="Times New Roman" w:hAnsi="Times New Roman" w:cs="Times New Roman"/>
                <w:sz w:val="20"/>
                <w:szCs w:val="20"/>
              </w:rPr>
            </w:pPr>
            <w:r>
              <w:rPr>
                <w:rFonts w:ascii="Times New Roman" w:hAnsi="Times New Roman" w:cs="Times New Roman"/>
                <w:sz w:val="20"/>
                <w:szCs w:val="20"/>
              </w:rPr>
              <w:t>D48487</w:t>
            </w:r>
          </w:p>
        </w:tc>
        <w:tc>
          <w:tcPr>
            <w:tcW w:w="2520" w:type="dxa"/>
          </w:tcPr>
          <w:p w:rsidR="006930B9" w:rsidRPr="000D44C8" w:rsidP="007D6AE6" w14:paraId="3E0D94AD" w14:textId="77777777">
            <w:pPr>
              <w:jc w:val="center"/>
              <w:rPr>
                <w:rFonts w:ascii="Times New Roman" w:hAnsi="Times New Roman" w:cs="Times New Roman"/>
                <w:sz w:val="20"/>
                <w:szCs w:val="20"/>
              </w:rPr>
            </w:pPr>
            <w:r>
              <w:rPr>
                <w:rFonts w:ascii="Times New Roman" w:hAnsi="Times New Roman" w:cs="Times New Roman"/>
                <w:sz w:val="20"/>
                <w:szCs w:val="20"/>
              </w:rPr>
              <w:t>Wilbarger, TX</w:t>
            </w:r>
          </w:p>
        </w:tc>
        <w:tc>
          <w:tcPr>
            <w:tcW w:w="1620" w:type="dxa"/>
          </w:tcPr>
          <w:p w:rsidR="006930B9" w:rsidRPr="000D44C8" w:rsidP="007D6AE6" w14:paraId="2A0D969A"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28E22811" w14:textId="77777777" w:rsidTr="007D6AE6">
        <w:tblPrEx>
          <w:tblW w:w="0" w:type="auto"/>
          <w:jc w:val="center"/>
          <w:tblLook w:val="04A0"/>
        </w:tblPrEx>
        <w:trPr>
          <w:jc w:val="center"/>
        </w:trPr>
        <w:tc>
          <w:tcPr>
            <w:tcW w:w="1885" w:type="dxa"/>
          </w:tcPr>
          <w:p w:rsidR="006930B9" w:rsidRPr="000D44C8" w:rsidP="007D6AE6" w14:paraId="40E625AD" w14:textId="77777777">
            <w:pPr>
              <w:jc w:val="center"/>
              <w:rPr>
                <w:rFonts w:ascii="Times New Roman" w:hAnsi="Times New Roman" w:cs="Times New Roman"/>
                <w:sz w:val="20"/>
                <w:szCs w:val="20"/>
              </w:rPr>
            </w:pPr>
            <w:r>
              <w:rPr>
                <w:rFonts w:ascii="Times New Roman" w:hAnsi="Times New Roman" w:cs="Times New Roman"/>
                <w:sz w:val="20"/>
                <w:szCs w:val="20"/>
              </w:rPr>
              <w:t>D48505</w:t>
            </w:r>
          </w:p>
        </w:tc>
        <w:tc>
          <w:tcPr>
            <w:tcW w:w="2520" w:type="dxa"/>
          </w:tcPr>
          <w:p w:rsidR="006930B9" w:rsidRPr="000D44C8" w:rsidP="007D6AE6" w14:paraId="58404147" w14:textId="77777777">
            <w:pPr>
              <w:jc w:val="center"/>
              <w:rPr>
                <w:rFonts w:ascii="Times New Roman" w:hAnsi="Times New Roman" w:cs="Times New Roman"/>
                <w:sz w:val="20"/>
                <w:szCs w:val="20"/>
              </w:rPr>
            </w:pPr>
            <w:r>
              <w:rPr>
                <w:rFonts w:ascii="Times New Roman" w:hAnsi="Times New Roman" w:cs="Times New Roman"/>
                <w:sz w:val="20"/>
                <w:szCs w:val="20"/>
              </w:rPr>
              <w:t>Zapata, TX</w:t>
            </w:r>
          </w:p>
        </w:tc>
        <w:tc>
          <w:tcPr>
            <w:tcW w:w="1620" w:type="dxa"/>
          </w:tcPr>
          <w:p w:rsidR="006930B9" w:rsidRPr="000D44C8" w:rsidP="007D6AE6" w14:paraId="34151C0F"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30278C34" w14:textId="77777777" w:rsidTr="007D6AE6">
        <w:tblPrEx>
          <w:tblW w:w="0" w:type="auto"/>
          <w:jc w:val="center"/>
          <w:tblLook w:val="04A0"/>
        </w:tblPrEx>
        <w:trPr>
          <w:jc w:val="center"/>
        </w:trPr>
        <w:tc>
          <w:tcPr>
            <w:tcW w:w="1885" w:type="dxa"/>
          </w:tcPr>
          <w:p w:rsidR="006930B9" w:rsidRPr="000D44C8" w:rsidP="007D6AE6" w14:paraId="0727EBFF" w14:textId="77777777">
            <w:pPr>
              <w:jc w:val="center"/>
              <w:rPr>
                <w:rFonts w:ascii="Times New Roman" w:hAnsi="Times New Roman" w:cs="Times New Roman"/>
                <w:sz w:val="20"/>
                <w:szCs w:val="20"/>
              </w:rPr>
            </w:pPr>
            <w:r>
              <w:rPr>
                <w:rFonts w:ascii="Times New Roman" w:hAnsi="Times New Roman" w:cs="Times New Roman"/>
                <w:sz w:val="20"/>
                <w:szCs w:val="20"/>
              </w:rPr>
              <w:t>D48505</w:t>
            </w:r>
          </w:p>
        </w:tc>
        <w:tc>
          <w:tcPr>
            <w:tcW w:w="2520" w:type="dxa"/>
          </w:tcPr>
          <w:p w:rsidR="006930B9" w:rsidRPr="000D44C8" w:rsidP="007D6AE6" w14:paraId="2195449E" w14:textId="77777777">
            <w:pPr>
              <w:jc w:val="center"/>
              <w:rPr>
                <w:rFonts w:ascii="Times New Roman" w:hAnsi="Times New Roman" w:cs="Times New Roman"/>
                <w:sz w:val="20"/>
                <w:szCs w:val="20"/>
              </w:rPr>
            </w:pPr>
            <w:r>
              <w:rPr>
                <w:rFonts w:ascii="Times New Roman" w:hAnsi="Times New Roman" w:cs="Times New Roman"/>
                <w:sz w:val="20"/>
                <w:szCs w:val="20"/>
              </w:rPr>
              <w:t>Zapata, TX</w:t>
            </w:r>
          </w:p>
        </w:tc>
        <w:tc>
          <w:tcPr>
            <w:tcW w:w="1620" w:type="dxa"/>
          </w:tcPr>
          <w:p w:rsidR="006930B9" w:rsidRPr="000D44C8" w:rsidP="007D6AE6" w14:paraId="767636F7" w14:textId="77777777">
            <w:pPr>
              <w:jc w:val="center"/>
              <w:rPr>
                <w:rFonts w:ascii="Times New Roman" w:hAnsi="Times New Roman" w:cs="Times New Roman"/>
                <w:sz w:val="20"/>
                <w:szCs w:val="20"/>
              </w:rPr>
            </w:pPr>
            <w:r w:rsidRPr="000D44C8">
              <w:rPr>
                <w:rFonts w:ascii="Times New Roman" w:hAnsi="Times New Roman" w:cs="Times New Roman"/>
                <w:color w:val="000000"/>
                <w:sz w:val="20"/>
                <w:szCs w:val="20"/>
                <w:shd w:val="clear" w:color="auto" w:fill="F7F5FF"/>
              </w:rPr>
              <w:t>0009227434</w:t>
            </w:r>
          </w:p>
        </w:tc>
      </w:tr>
      <w:tr w14:paraId="014F0318" w14:textId="77777777" w:rsidTr="007D6AE6">
        <w:tblPrEx>
          <w:tblW w:w="0" w:type="auto"/>
          <w:jc w:val="center"/>
          <w:tblLook w:val="04A0"/>
        </w:tblPrEx>
        <w:trPr>
          <w:jc w:val="center"/>
        </w:trPr>
        <w:tc>
          <w:tcPr>
            <w:tcW w:w="1885" w:type="dxa"/>
          </w:tcPr>
          <w:p w:rsidR="006930B9" w:rsidRPr="000D44C8" w:rsidP="007D6AE6" w14:paraId="783A8513" w14:textId="77777777">
            <w:pPr>
              <w:jc w:val="center"/>
              <w:rPr>
                <w:rFonts w:ascii="Times New Roman" w:hAnsi="Times New Roman" w:cs="Times New Roman"/>
                <w:sz w:val="20"/>
                <w:szCs w:val="20"/>
              </w:rPr>
            </w:pPr>
            <w:r>
              <w:rPr>
                <w:rFonts w:ascii="Times New Roman" w:hAnsi="Times New Roman" w:cs="Times New Roman"/>
                <w:sz w:val="20"/>
                <w:szCs w:val="20"/>
              </w:rPr>
              <w:t>D40015</w:t>
            </w:r>
          </w:p>
        </w:tc>
        <w:tc>
          <w:tcPr>
            <w:tcW w:w="2520" w:type="dxa"/>
          </w:tcPr>
          <w:p w:rsidR="006930B9" w:rsidRPr="000D44C8" w:rsidP="007D6AE6" w14:paraId="7810101A" w14:textId="77777777">
            <w:pPr>
              <w:jc w:val="center"/>
              <w:rPr>
                <w:rFonts w:ascii="Times New Roman" w:hAnsi="Times New Roman" w:cs="Times New Roman"/>
                <w:sz w:val="20"/>
                <w:szCs w:val="20"/>
              </w:rPr>
            </w:pPr>
            <w:r>
              <w:rPr>
                <w:rFonts w:ascii="Times New Roman" w:hAnsi="Times New Roman" w:cs="Times New Roman"/>
                <w:sz w:val="20"/>
                <w:szCs w:val="20"/>
              </w:rPr>
              <w:t>Caddo, OK</w:t>
            </w:r>
          </w:p>
        </w:tc>
        <w:tc>
          <w:tcPr>
            <w:tcW w:w="1620" w:type="dxa"/>
          </w:tcPr>
          <w:p w:rsidR="006930B9" w:rsidRPr="000D44C8" w:rsidP="007D6AE6" w14:paraId="1B46AC5C"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1EDC42F2" w14:textId="77777777" w:rsidTr="007D6AE6">
        <w:tblPrEx>
          <w:tblW w:w="0" w:type="auto"/>
          <w:jc w:val="center"/>
          <w:tblLook w:val="04A0"/>
        </w:tblPrEx>
        <w:trPr>
          <w:jc w:val="center"/>
        </w:trPr>
        <w:tc>
          <w:tcPr>
            <w:tcW w:w="1885" w:type="dxa"/>
          </w:tcPr>
          <w:p w:rsidR="006930B9" w:rsidRPr="000D44C8" w:rsidP="007D6AE6" w14:paraId="4F364FA3" w14:textId="77777777">
            <w:pPr>
              <w:jc w:val="center"/>
              <w:rPr>
                <w:rFonts w:ascii="Times New Roman" w:hAnsi="Times New Roman" w:cs="Times New Roman"/>
                <w:sz w:val="20"/>
                <w:szCs w:val="20"/>
              </w:rPr>
            </w:pPr>
            <w:r>
              <w:rPr>
                <w:rFonts w:ascii="Times New Roman" w:hAnsi="Times New Roman" w:cs="Times New Roman"/>
                <w:sz w:val="20"/>
                <w:szCs w:val="20"/>
              </w:rPr>
              <w:t>D40015</w:t>
            </w:r>
          </w:p>
        </w:tc>
        <w:tc>
          <w:tcPr>
            <w:tcW w:w="2520" w:type="dxa"/>
          </w:tcPr>
          <w:p w:rsidR="006930B9" w:rsidRPr="000D44C8" w:rsidP="007D6AE6" w14:paraId="719A0897" w14:textId="77777777">
            <w:pPr>
              <w:jc w:val="center"/>
              <w:rPr>
                <w:rFonts w:ascii="Times New Roman" w:hAnsi="Times New Roman" w:cs="Times New Roman"/>
                <w:sz w:val="20"/>
                <w:szCs w:val="20"/>
              </w:rPr>
            </w:pPr>
            <w:r>
              <w:rPr>
                <w:rFonts w:ascii="Times New Roman" w:hAnsi="Times New Roman" w:cs="Times New Roman"/>
                <w:sz w:val="20"/>
                <w:szCs w:val="20"/>
              </w:rPr>
              <w:t>Caddo, OK</w:t>
            </w:r>
          </w:p>
        </w:tc>
        <w:tc>
          <w:tcPr>
            <w:tcW w:w="1620" w:type="dxa"/>
          </w:tcPr>
          <w:p w:rsidR="006930B9" w:rsidRPr="000D44C8" w:rsidP="007D6AE6" w14:paraId="3D486F22"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01C65CA4" w14:textId="77777777" w:rsidTr="007D6AE6">
        <w:tblPrEx>
          <w:tblW w:w="0" w:type="auto"/>
          <w:jc w:val="center"/>
          <w:tblLook w:val="04A0"/>
        </w:tblPrEx>
        <w:trPr>
          <w:jc w:val="center"/>
        </w:trPr>
        <w:tc>
          <w:tcPr>
            <w:tcW w:w="1885" w:type="dxa"/>
          </w:tcPr>
          <w:p w:rsidR="006930B9" w:rsidRPr="000D44C8" w:rsidP="007D6AE6" w14:paraId="0300FE5B" w14:textId="77777777">
            <w:pPr>
              <w:jc w:val="center"/>
              <w:rPr>
                <w:rFonts w:ascii="Times New Roman" w:hAnsi="Times New Roman" w:cs="Times New Roman"/>
                <w:sz w:val="20"/>
                <w:szCs w:val="20"/>
              </w:rPr>
            </w:pPr>
            <w:r>
              <w:rPr>
                <w:rFonts w:ascii="Times New Roman" w:hAnsi="Times New Roman" w:cs="Times New Roman"/>
                <w:sz w:val="20"/>
                <w:szCs w:val="20"/>
              </w:rPr>
              <w:t>D40031</w:t>
            </w:r>
          </w:p>
        </w:tc>
        <w:tc>
          <w:tcPr>
            <w:tcW w:w="2520" w:type="dxa"/>
          </w:tcPr>
          <w:p w:rsidR="006930B9" w:rsidRPr="000D44C8" w:rsidP="007D6AE6" w14:paraId="582AA4A0" w14:textId="77777777">
            <w:pPr>
              <w:jc w:val="center"/>
              <w:rPr>
                <w:rFonts w:ascii="Times New Roman" w:hAnsi="Times New Roman" w:cs="Times New Roman"/>
                <w:sz w:val="20"/>
                <w:szCs w:val="20"/>
              </w:rPr>
            </w:pPr>
            <w:r>
              <w:rPr>
                <w:rFonts w:ascii="Times New Roman" w:hAnsi="Times New Roman" w:cs="Times New Roman"/>
                <w:sz w:val="20"/>
                <w:szCs w:val="20"/>
              </w:rPr>
              <w:t>Comanche, OK</w:t>
            </w:r>
          </w:p>
        </w:tc>
        <w:tc>
          <w:tcPr>
            <w:tcW w:w="1620" w:type="dxa"/>
          </w:tcPr>
          <w:p w:rsidR="006930B9" w:rsidRPr="000D44C8" w:rsidP="007D6AE6" w14:paraId="76FA7779"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496E70E2" w14:textId="77777777" w:rsidTr="007D6AE6">
        <w:tblPrEx>
          <w:tblW w:w="0" w:type="auto"/>
          <w:jc w:val="center"/>
          <w:tblLook w:val="04A0"/>
        </w:tblPrEx>
        <w:trPr>
          <w:jc w:val="center"/>
        </w:trPr>
        <w:tc>
          <w:tcPr>
            <w:tcW w:w="1885" w:type="dxa"/>
          </w:tcPr>
          <w:p w:rsidR="006930B9" w:rsidRPr="000D44C8" w:rsidP="007D6AE6" w14:paraId="31DCA079" w14:textId="77777777">
            <w:pPr>
              <w:jc w:val="center"/>
              <w:rPr>
                <w:rFonts w:ascii="Times New Roman" w:hAnsi="Times New Roman" w:cs="Times New Roman"/>
                <w:sz w:val="20"/>
                <w:szCs w:val="20"/>
              </w:rPr>
            </w:pPr>
            <w:r>
              <w:rPr>
                <w:rFonts w:ascii="Times New Roman" w:hAnsi="Times New Roman" w:cs="Times New Roman"/>
                <w:sz w:val="20"/>
                <w:szCs w:val="20"/>
              </w:rPr>
              <w:t>D40031</w:t>
            </w:r>
          </w:p>
        </w:tc>
        <w:tc>
          <w:tcPr>
            <w:tcW w:w="2520" w:type="dxa"/>
          </w:tcPr>
          <w:p w:rsidR="006930B9" w:rsidRPr="000D44C8" w:rsidP="007D6AE6" w14:paraId="780511D4" w14:textId="77777777">
            <w:pPr>
              <w:jc w:val="center"/>
              <w:rPr>
                <w:rFonts w:ascii="Times New Roman" w:hAnsi="Times New Roman" w:cs="Times New Roman"/>
                <w:sz w:val="20"/>
                <w:szCs w:val="20"/>
              </w:rPr>
            </w:pPr>
            <w:r>
              <w:rPr>
                <w:rFonts w:ascii="Times New Roman" w:hAnsi="Times New Roman" w:cs="Times New Roman"/>
                <w:sz w:val="20"/>
                <w:szCs w:val="20"/>
              </w:rPr>
              <w:t>Comanche, OK</w:t>
            </w:r>
          </w:p>
        </w:tc>
        <w:tc>
          <w:tcPr>
            <w:tcW w:w="1620" w:type="dxa"/>
          </w:tcPr>
          <w:p w:rsidR="006930B9" w:rsidRPr="000D44C8" w:rsidP="007D6AE6" w14:paraId="7589FAFB"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700B371A" w14:textId="77777777" w:rsidTr="007D6AE6">
        <w:tblPrEx>
          <w:tblW w:w="0" w:type="auto"/>
          <w:jc w:val="center"/>
          <w:tblLook w:val="04A0"/>
        </w:tblPrEx>
        <w:trPr>
          <w:jc w:val="center"/>
        </w:trPr>
        <w:tc>
          <w:tcPr>
            <w:tcW w:w="1885" w:type="dxa"/>
          </w:tcPr>
          <w:p w:rsidR="006930B9" w:rsidRPr="000D44C8" w:rsidP="007D6AE6" w14:paraId="2CED7820" w14:textId="77777777">
            <w:pPr>
              <w:jc w:val="center"/>
              <w:rPr>
                <w:rFonts w:ascii="Times New Roman" w:hAnsi="Times New Roman" w:cs="Times New Roman"/>
                <w:sz w:val="20"/>
                <w:szCs w:val="20"/>
              </w:rPr>
            </w:pPr>
            <w:r>
              <w:rPr>
                <w:rFonts w:ascii="Times New Roman" w:hAnsi="Times New Roman" w:cs="Times New Roman"/>
                <w:sz w:val="20"/>
                <w:szCs w:val="20"/>
              </w:rPr>
              <w:t>D40033</w:t>
            </w:r>
          </w:p>
        </w:tc>
        <w:tc>
          <w:tcPr>
            <w:tcW w:w="2520" w:type="dxa"/>
          </w:tcPr>
          <w:p w:rsidR="006930B9" w:rsidRPr="000D44C8" w:rsidP="007D6AE6" w14:paraId="2D263E4A" w14:textId="77777777">
            <w:pPr>
              <w:jc w:val="center"/>
              <w:rPr>
                <w:rFonts w:ascii="Times New Roman" w:hAnsi="Times New Roman" w:cs="Times New Roman"/>
                <w:sz w:val="20"/>
                <w:szCs w:val="20"/>
              </w:rPr>
            </w:pPr>
            <w:r>
              <w:rPr>
                <w:rFonts w:ascii="Times New Roman" w:hAnsi="Times New Roman" w:cs="Times New Roman"/>
                <w:sz w:val="20"/>
                <w:szCs w:val="20"/>
              </w:rPr>
              <w:t>Cotton, OK</w:t>
            </w:r>
          </w:p>
        </w:tc>
        <w:tc>
          <w:tcPr>
            <w:tcW w:w="1620" w:type="dxa"/>
          </w:tcPr>
          <w:p w:rsidR="006930B9" w:rsidRPr="000D44C8" w:rsidP="007D6AE6" w14:paraId="2F306E7B"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21804454" w14:textId="77777777" w:rsidTr="007D6AE6">
        <w:tblPrEx>
          <w:tblW w:w="0" w:type="auto"/>
          <w:jc w:val="center"/>
          <w:tblLook w:val="04A0"/>
        </w:tblPrEx>
        <w:trPr>
          <w:jc w:val="center"/>
        </w:trPr>
        <w:tc>
          <w:tcPr>
            <w:tcW w:w="1885" w:type="dxa"/>
          </w:tcPr>
          <w:p w:rsidR="006930B9" w:rsidRPr="000D44C8" w:rsidP="007D6AE6" w14:paraId="794DD927" w14:textId="77777777">
            <w:pPr>
              <w:jc w:val="center"/>
              <w:rPr>
                <w:rFonts w:ascii="Times New Roman" w:hAnsi="Times New Roman" w:cs="Times New Roman"/>
                <w:sz w:val="20"/>
                <w:szCs w:val="20"/>
              </w:rPr>
            </w:pPr>
            <w:r>
              <w:rPr>
                <w:rFonts w:ascii="Times New Roman" w:hAnsi="Times New Roman" w:cs="Times New Roman"/>
                <w:sz w:val="20"/>
                <w:szCs w:val="20"/>
              </w:rPr>
              <w:t>D40033</w:t>
            </w:r>
          </w:p>
        </w:tc>
        <w:tc>
          <w:tcPr>
            <w:tcW w:w="2520" w:type="dxa"/>
          </w:tcPr>
          <w:p w:rsidR="006930B9" w:rsidRPr="000D44C8" w:rsidP="007D6AE6" w14:paraId="3A909EFC" w14:textId="77777777">
            <w:pPr>
              <w:jc w:val="center"/>
              <w:rPr>
                <w:rFonts w:ascii="Times New Roman" w:hAnsi="Times New Roman" w:cs="Times New Roman"/>
                <w:sz w:val="20"/>
                <w:szCs w:val="20"/>
              </w:rPr>
            </w:pPr>
            <w:r>
              <w:rPr>
                <w:rFonts w:ascii="Times New Roman" w:hAnsi="Times New Roman" w:cs="Times New Roman"/>
                <w:sz w:val="20"/>
                <w:szCs w:val="20"/>
              </w:rPr>
              <w:t>Cotton, OK</w:t>
            </w:r>
          </w:p>
        </w:tc>
        <w:tc>
          <w:tcPr>
            <w:tcW w:w="1620" w:type="dxa"/>
          </w:tcPr>
          <w:p w:rsidR="006930B9" w:rsidRPr="000D44C8" w:rsidP="007D6AE6" w14:paraId="59300016"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30024BDA" w14:textId="77777777" w:rsidTr="007D6AE6">
        <w:tblPrEx>
          <w:tblW w:w="0" w:type="auto"/>
          <w:jc w:val="center"/>
          <w:tblLook w:val="04A0"/>
        </w:tblPrEx>
        <w:trPr>
          <w:jc w:val="center"/>
        </w:trPr>
        <w:tc>
          <w:tcPr>
            <w:tcW w:w="1885" w:type="dxa"/>
          </w:tcPr>
          <w:p w:rsidR="006930B9" w:rsidRPr="000D44C8" w:rsidP="007D6AE6" w14:paraId="50CA196A" w14:textId="77777777">
            <w:pPr>
              <w:jc w:val="center"/>
              <w:rPr>
                <w:rFonts w:ascii="Times New Roman" w:hAnsi="Times New Roman" w:cs="Times New Roman"/>
                <w:sz w:val="20"/>
                <w:szCs w:val="20"/>
              </w:rPr>
            </w:pPr>
            <w:r>
              <w:rPr>
                <w:rFonts w:ascii="Times New Roman" w:hAnsi="Times New Roman" w:cs="Times New Roman"/>
                <w:sz w:val="20"/>
                <w:szCs w:val="20"/>
              </w:rPr>
              <w:t>D40057</w:t>
            </w:r>
          </w:p>
        </w:tc>
        <w:tc>
          <w:tcPr>
            <w:tcW w:w="2520" w:type="dxa"/>
          </w:tcPr>
          <w:p w:rsidR="006930B9" w:rsidRPr="000D44C8" w:rsidP="007D6AE6" w14:paraId="743DDB9C" w14:textId="77777777">
            <w:pPr>
              <w:jc w:val="center"/>
              <w:rPr>
                <w:rFonts w:ascii="Times New Roman" w:hAnsi="Times New Roman" w:cs="Times New Roman"/>
                <w:sz w:val="20"/>
                <w:szCs w:val="20"/>
              </w:rPr>
            </w:pPr>
            <w:r>
              <w:rPr>
                <w:rFonts w:ascii="Times New Roman" w:hAnsi="Times New Roman" w:cs="Times New Roman"/>
                <w:sz w:val="20"/>
                <w:szCs w:val="20"/>
              </w:rPr>
              <w:t>Harmon, OK</w:t>
            </w:r>
          </w:p>
        </w:tc>
        <w:tc>
          <w:tcPr>
            <w:tcW w:w="1620" w:type="dxa"/>
          </w:tcPr>
          <w:p w:rsidR="006930B9" w:rsidRPr="000D44C8" w:rsidP="007D6AE6" w14:paraId="041EE34A"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53ED7677" w14:textId="77777777" w:rsidTr="007D6AE6">
        <w:tblPrEx>
          <w:tblW w:w="0" w:type="auto"/>
          <w:jc w:val="center"/>
          <w:tblLook w:val="04A0"/>
        </w:tblPrEx>
        <w:trPr>
          <w:jc w:val="center"/>
        </w:trPr>
        <w:tc>
          <w:tcPr>
            <w:tcW w:w="1885" w:type="dxa"/>
          </w:tcPr>
          <w:p w:rsidR="006930B9" w:rsidRPr="000D44C8" w:rsidP="007D6AE6" w14:paraId="6324A5FC" w14:textId="77777777">
            <w:pPr>
              <w:jc w:val="center"/>
              <w:rPr>
                <w:rFonts w:ascii="Times New Roman" w:hAnsi="Times New Roman" w:cs="Times New Roman"/>
                <w:sz w:val="20"/>
                <w:szCs w:val="20"/>
              </w:rPr>
            </w:pPr>
            <w:r>
              <w:rPr>
                <w:rFonts w:ascii="Times New Roman" w:hAnsi="Times New Roman" w:cs="Times New Roman"/>
                <w:sz w:val="20"/>
                <w:szCs w:val="20"/>
              </w:rPr>
              <w:t>D40057</w:t>
            </w:r>
          </w:p>
        </w:tc>
        <w:tc>
          <w:tcPr>
            <w:tcW w:w="2520" w:type="dxa"/>
          </w:tcPr>
          <w:p w:rsidR="006930B9" w:rsidRPr="000D44C8" w:rsidP="007D6AE6" w14:paraId="1000B2CE" w14:textId="77777777">
            <w:pPr>
              <w:jc w:val="center"/>
              <w:rPr>
                <w:rFonts w:ascii="Times New Roman" w:hAnsi="Times New Roman" w:cs="Times New Roman"/>
                <w:sz w:val="20"/>
                <w:szCs w:val="20"/>
              </w:rPr>
            </w:pPr>
            <w:r>
              <w:rPr>
                <w:rFonts w:ascii="Times New Roman" w:hAnsi="Times New Roman" w:cs="Times New Roman"/>
                <w:sz w:val="20"/>
                <w:szCs w:val="20"/>
              </w:rPr>
              <w:t>Harmon, OK</w:t>
            </w:r>
          </w:p>
        </w:tc>
        <w:tc>
          <w:tcPr>
            <w:tcW w:w="1620" w:type="dxa"/>
          </w:tcPr>
          <w:p w:rsidR="006930B9" w:rsidRPr="000D44C8" w:rsidP="007D6AE6" w14:paraId="05D83ECA"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36652AFB" w14:textId="77777777" w:rsidTr="007D6AE6">
        <w:tblPrEx>
          <w:tblW w:w="0" w:type="auto"/>
          <w:jc w:val="center"/>
          <w:tblLook w:val="04A0"/>
        </w:tblPrEx>
        <w:trPr>
          <w:jc w:val="center"/>
        </w:trPr>
        <w:tc>
          <w:tcPr>
            <w:tcW w:w="1885" w:type="dxa"/>
          </w:tcPr>
          <w:p w:rsidR="006930B9" w:rsidRPr="000D44C8" w:rsidP="007D6AE6" w14:paraId="57E69E14" w14:textId="77777777">
            <w:pPr>
              <w:jc w:val="center"/>
              <w:rPr>
                <w:rFonts w:ascii="Times New Roman" w:hAnsi="Times New Roman" w:cs="Times New Roman"/>
                <w:sz w:val="20"/>
                <w:szCs w:val="20"/>
              </w:rPr>
            </w:pPr>
            <w:r>
              <w:rPr>
                <w:rFonts w:ascii="Times New Roman" w:hAnsi="Times New Roman" w:cs="Times New Roman"/>
                <w:sz w:val="20"/>
                <w:szCs w:val="20"/>
              </w:rPr>
              <w:t>D40067</w:t>
            </w:r>
          </w:p>
        </w:tc>
        <w:tc>
          <w:tcPr>
            <w:tcW w:w="2520" w:type="dxa"/>
          </w:tcPr>
          <w:p w:rsidR="006930B9" w:rsidRPr="000D44C8" w:rsidP="007D6AE6" w14:paraId="454B3FDB" w14:textId="77777777">
            <w:pPr>
              <w:jc w:val="center"/>
              <w:rPr>
                <w:rFonts w:ascii="Times New Roman" w:hAnsi="Times New Roman" w:cs="Times New Roman"/>
                <w:sz w:val="20"/>
                <w:szCs w:val="20"/>
              </w:rPr>
            </w:pPr>
            <w:r>
              <w:rPr>
                <w:rFonts w:ascii="Times New Roman" w:hAnsi="Times New Roman" w:cs="Times New Roman"/>
                <w:sz w:val="20"/>
                <w:szCs w:val="20"/>
              </w:rPr>
              <w:t>Jefferson, OK</w:t>
            </w:r>
          </w:p>
        </w:tc>
        <w:tc>
          <w:tcPr>
            <w:tcW w:w="1620" w:type="dxa"/>
          </w:tcPr>
          <w:p w:rsidR="006930B9" w:rsidRPr="000D44C8" w:rsidP="007D6AE6" w14:paraId="72DD7F2F"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3294F3A1" w14:textId="77777777" w:rsidTr="007D6AE6">
        <w:tblPrEx>
          <w:tblW w:w="0" w:type="auto"/>
          <w:jc w:val="center"/>
          <w:tblLook w:val="04A0"/>
        </w:tblPrEx>
        <w:trPr>
          <w:jc w:val="center"/>
        </w:trPr>
        <w:tc>
          <w:tcPr>
            <w:tcW w:w="1885" w:type="dxa"/>
          </w:tcPr>
          <w:p w:rsidR="006930B9" w:rsidRPr="000D44C8" w:rsidP="007D6AE6" w14:paraId="622EB13A" w14:textId="77777777">
            <w:pPr>
              <w:jc w:val="center"/>
              <w:rPr>
                <w:rFonts w:ascii="Times New Roman" w:hAnsi="Times New Roman" w:cs="Times New Roman"/>
                <w:sz w:val="20"/>
                <w:szCs w:val="20"/>
              </w:rPr>
            </w:pPr>
            <w:r>
              <w:rPr>
                <w:rFonts w:ascii="Times New Roman" w:hAnsi="Times New Roman" w:cs="Times New Roman"/>
                <w:sz w:val="20"/>
                <w:szCs w:val="20"/>
              </w:rPr>
              <w:t>D40067</w:t>
            </w:r>
          </w:p>
        </w:tc>
        <w:tc>
          <w:tcPr>
            <w:tcW w:w="2520" w:type="dxa"/>
          </w:tcPr>
          <w:p w:rsidR="006930B9" w:rsidRPr="000D44C8" w:rsidP="007D6AE6" w14:paraId="3451FA4D" w14:textId="77777777">
            <w:pPr>
              <w:jc w:val="center"/>
              <w:rPr>
                <w:rFonts w:ascii="Times New Roman" w:hAnsi="Times New Roman" w:cs="Times New Roman"/>
                <w:sz w:val="20"/>
                <w:szCs w:val="20"/>
              </w:rPr>
            </w:pPr>
            <w:r>
              <w:rPr>
                <w:rFonts w:ascii="Times New Roman" w:hAnsi="Times New Roman" w:cs="Times New Roman"/>
                <w:sz w:val="20"/>
                <w:szCs w:val="20"/>
              </w:rPr>
              <w:t>Jefferson, OK</w:t>
            </w:r>
          </w:p>
        </w:tc>
        <w:tc>
          <w:tcPr>
            <w:tcW w:w="1620" w:type="dxa"/>
          </w:tcPr>
          <w:p w:rsidR="006930B9" w:rsidRPr="000D44C8" w:rsidP="007D6AE6" w14:paraId="47FC3BF5"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4D7FF4F8" w14:textId="77777777" w:rsidTr="007D6AE6">
        <w:tblPrEx>
          <w:tblW w:w="0" w:type="auto"/>
          <w:jc w:val="center"/>
          <w:tblLook w:val="04A0"/>
        </w:tblPrEx>
        <w:trPr>
          <w:jc w:val="center"/>
        </w:trPr>
        <w:tc>
          <w:tcPr>
            <w:tcW w:w="1885" w:type="dxa"/>
          </w:tcPr>
          <w:p w:rsidR="006930B9" w:rsidRPr="000D44C8" w:rsidP="007D6AE6" w14:paraId="17534839" w14:textId="77777777">
            <w:pPr>
              <w:jc w:val="center"/>
              <w:rPr>
                <w:rFonts w:ascii="Times New Roman" w:hAnsi="Times New Roman" w:cs="Times New Roman"/>
                <w:sz w:val="20"/>
                <w:szCs w:val="20"/>
              </w:rPr>
            </w:pPr>
            <w:r>
              <w:rPr>
                <w:rFonts w:ascii="Times New Roman" w:hAnsi="Times New Roman" w:cs="Times New Roman"/>
                <w:sz w:val="20"/>
                <w:szCs w:val="20"/>
              </w:rPr>
              <w:t>D40075</w:t>
            </w:r>
          </w:p>
        </w:tc>
        <w:tc>
          <w:tcPr>
            <w:tcW w:w="2520" w:type="dxa"/>
          </w:tcPr>
          <w:p w:rsidR="006930B9" w:rsidRPr="000D44C8" w:rsidP="007D6AE6" w14:paraId="71067949" w14:textId="77777777">
            <w:pPr>
              <w:jc w:val="center"/>
              <w:rPr>
                <w:rFonts w:ascii="Times New Roman" w:hAnsi="Times New Roman" w:cs="Times New Roman"/>
                <w:sz w:val="20"/>
                <w:szCs w:val="20"/>
              </w:rPr>
            </w:pPr>
            <w:r>
              <w:rPr>
                <w:rFonts w:ascii="Times New Roman" w:hAnsi="Times New Roman" w:cs="Times New Roman"/>
                <w:sz w:val="20"/>
                <w:szCs w:val="20"/>
              </w:rPr>
              <w:t>Kiowa, OK</w:t>
            </w:r>
          </w:p>
        </w:tc>
        <w:tc>
          <w:tcPr>
            <w:tcW w:w="1620" w:type="dxa"/>
          </w:tcPr>
          <w:p w:rsidR="006930B9" w:rsidRPr="000D44C8" w:rsidP="007D6AE6" w14:paraId="2067E9C5"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13307198" w14:textId="77777777" w:rsidTr="007D6AE6">
        <w:tblPrEx>
          <w:tblW w:w="0" w:type="auto"/>
          <w:jc w:val="center"/>
          <w:tblLook w:val="04A0"/>
        </w:tblPrEx>
        <w:trPr>
          <w:jc w:val="center"/>
        </w:trPr>
        <w:tc>
          <w:tcPr>
            <w:tcW w:w="1885" w:type="dxa"/>
          </w:tcPr>
          <w:p w:rsidR="006930B9" w:rsidRPr="000D44C8" w:rsidP="007D6AE6" w14:paraId="40E5B618" w14:textId="77777777">
            <w:pPr>
              <w:jc w:val="center"/>
              <w:rPr>
                <w:rFonts w:ascii="Times New Roman" w:hAnsi="Times New Roman" w:cs="Times New Roman"/>
                <w:sz w:val="20"/>
                <w:szCs w:val="20"/>
              </w:rPr>
            </w:pPr>
            <w:r>
              <w:rPr>
                <w:rFonts w:ascii="Times New Roman" w:hAnsi="Times New Roman" w:cs="Times New Roman"/>
                <w:sz w:val="20"/>
                <w:szCs w:val="20"/>
              </w:rPr>
              <w:t>D40075</w:t>
            </w:r>
          </w:p>
        </w:tc>
        <w:tc>
          <w:tcPr>
            <w:tcW w:w="2520" w:type="dxa"/>
          </w:tcPr>
          <w:p w:rsidR="006930B9" w:rsidRPr="000D44C8" w:rsidP="007D6AE6" w14:paraId="4787950E" w14:textId="77777777">
            <w:pPr>
              <w:jc w:val="center"/>
              <w:rPr>
                <w:rFonts w:ascii="Times New Roman" w:hAnsi="Times New Roman" w:cs="Times New Roman"/>
                <w:sz w:val="20"/>
                <w:szCs w:val="20"/>
              </w:rPr>
            </w:pPr>
            <w:r>
              <w:rPr>
                <w:rFonts w:ascii="Times New Roman" w:hAnsi="Times New Roman" w:cs="Times New Roman"/>
                <w:sz w:val="20"/>
                <w:szCs w:val="20"/>
              </w:rPr>
              <w:t>Kiowa, OK</w:t>
            </w:r>
          </w:p>
        </w:tc>
        <w:tc>
          <w:tcPr>
            <w:tcW w:w="1620" w:type="dxa"/>
          </w:tcPr>
          <w:p w:rsidR="006930B9" w:rsidRPr="000D44C8" w:rsidP="007D6AE6" w14:paraId="376E07DD"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34AC5F7B" w14:textId="77777777" w:rsidTr="007D6AE6">
        <w:tblPrEx>
          <w:tblW w:w="0" w:type="auto"/>
          <w:jc w:val="center"/>
          <w:tblLook w:val="04A0"/>
        </w:tblPrEx>
        <w:trPr>
          <w:jc w:val="center"/>
        </w:trPr>
        <w:tc>
          <w:tcPr>
            <w:tcW w:w="1885" w:type="dxa"/>
          </w:tcPr>
          <w:p w:rsidR="006930B9" w:rsidRPr="000D44C8" w:rsidP="007D6AE6" w14:paraId="4482928F" w14:textId="77777777">
            <w:pPr>
              <w:jc w:val="center"/>
              <w:rPr>
                <w:rFonts w:ascii="Times New Roman" w:hAnsi="Times New Roman" w:cs="Times New Roman"/>
                <w:sz w:val="20"/>
                <w:szCs w:val="20"/>
              </w:rPr>
            </w:pPr>
            <w:r>
              <w:rPr>
                <w:rFonts w:ascii="Times New Roman" w:hAnsi="Times New Roman" w:cs="Times New Roman"/>
                <w:sz w:val="20"/>
                <w:szCs w:val="20"/>
              </w:rPr>
              <w:t>D40077</w:t>
            </w:r>
          </w:p>
        </w:tc>
        <w:tc>
          <w:tcPr>
            <w:tcW w:w="2520" w:type="dxa"/>
          </w:tcPr>
          <w:p w:rsidR="006930B9" w:rsidRPr="000D44C8" w:rsidP="007D6AE6" w14:paraId="603D5695" w14:textId="77777777">
            <w:pPr>
              <w:jc w:val="center"/>
              <w:rPr>
                <w:rFonts w:ascii="Times New Roman" w:hAnsi="Times New Roman" w:cs="Times New Roman"/>
                <w:sz w:val="20"/>
                <w:szCs w:val="20"/>
              </w:rPr>
            </w:pPr>
            <w:r>
              <w:rPr>
                <w:rFonts w:ascii="Times New Roman" w:hAnsi="Times New Roman" w:cs="Times New Roman"/>
                <w:sz w:val="20"/>
                <w:szCs w:val="20"/>
              </w:rPr>
              <w:t>Latimer, OK</w:t>
            </w:r>
          </w:p>
        </w:tc>
        <w:tc>
          <w:tcPr>
            <w:tcW w:w="1620" w:type="dxa"/>
          </w:tcPr>
          <w:p w:rsidR="006930B9" w:rsidRPr="000D44C8" w:rsidP="007D6AE6" w14:paraId="2C2F7BC8"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1F662EDC" w14:textId="77777777" w:rsidTr="007D6AE6">
        <w:tblPrEx>
          <w:tblW w:w="0" w:type="auto"/>
          <w:jc w:val="center"/>
          <w:tblLook w:val="04A0"/>
        </w:tblPrEx>
        <w:trPr>
          <w:jc w:val="center"/>
        </w:trPr>
        <w:tc>
          <w:tcPr>
            <w:tcW w:w="1885" w:type="dxa"/>
          </w:tcPr>
          <w:p w:rsidR="006930B9" w:rsidRPr="000D44C8" w:rsidP="007D6AE6" w14:paraId="53D7B186" w14:textId="77777777">
            <w:pPr>
              <w:jc w:val="center"/>
              <w:rPr>
                <w:rFonts w:ascii="Times New Roman" w:hAnsi="Times New Roman" w:cs="Times New Roman"/>
                <w:sz w:val="20"/>
                <w:szCs w:val="20"/>
              </w:rPr>
            </w:pPr>
            <w:r>
              <w:rPr>
                <w:rFonts w:ascii="Times New Roman" w:hAnsi="Times New Roman" w:cs="Times New Roman"/>
                <w:sz w:val="20"/>
                <w:szCs w:val="20"/>
              </w:rPr>
              <w:t>D40077</w:t>
            </w:r>
          </w:p>
        </w:tc>
        <w:tc>
          <w:tcPr>
            <w:tcW w:w="2520" w:type="dxa"/>
          </w:tcPr>
          <w:p w:rsidR="006930B9" w:rsidRPr="000D44C8" w:rsidP="007D6AE6" w14:paraId="14C2323B" w14:textId="77777777">
            <w:pPr>
              <w:jc w:val="center"/>
              <w:rPr>
                <w:rFonts w:ascii="Times New Roman" w:hAnsi="Times New Roman" w:cs="Times New Roman"/>
                <w:sz w:val="20"/>
                <w:szCs w:val="20"/>
              </w:rPr>
            </w:pPr>
            <w:r>
              <w:rPr>
                <w:rFonts w:ascii="Times New Roman" w:hAnsi="Times New Roman" w:cs="Times New Roman"/>
                <w:sz w:val="20"/>
                <w:szCs w:val="20"/>
              </w:rPr>
              <w:t>Latimer, OK</w:t>
            </w:r>
          </w:p>
        </w:tc>
        <w:tc>
          <w:tcPr>
            <w:tcW w:w="1620" w:type="dxa"/>
          </w:tcPr>
          <w:p w:rsidR="006930B9" w:rsidRPr="000D44C8" w:rsidP="007D6AE6" w14:paraId="790DBF06"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507F2549" w14:textId="77777777" w:rsidTr="007D6AE6">
        <w:tblPrEx>
          <w:tblW w:w="0" w:type="auto"/>
          <w:jc w:val="center"/>
          <w:tblLook w:val="04A0"/>
        </w:tblPrEx>
        <w:trPr>
          <w:jc w:val="center"/>
        </w:trPr>
        <w:tc>
          <w:tcPr>
            <w:tcW w:w="1885" w:type="dxa"/>
          </w:tcPr>
          <w:p w:rsidR="006930B9" w:rsidRPr="000D44C8" w:rsidP="007D6AE6" w14:paraId="2E207422" w14:textId="77777777">
            <w:pPr>
              <w:jc w:val="center"/>
              <w:rPr>
                <w:rFonts w:ascii="Times New Roman" w:hAnsi="Times New Roman" w:cs="Times New Roman"/>
                <w:sz w:val="20"/>
                <w:szCs w:val="20"/>
              </w:rPr>
            </w:pPr>
            <w:r>
              <w:rPr>
                <w:rFonts w:ascii="Times New Roman" w:hAnsi="Times New Roman" w:cs="Times New Roman"/>
                <w:sz w:val="20"/>
                <w:szCs w:val="20"/>
              </w:rPr>
              <w:t>D40127</w:t>
            </w:r>
          </w:p>
        </w:tc>
        <w:tc>
          <w:tcPr>
            <w:tcW w:w="2520" w:type="dxa"/>
          </w:tcPr>
          <w:p w:rsidR="006930B9" w:rsidRPr="000D44C8" w:rsidP="007D6AE6" w14:paraId="2E13F765" w14:textId="77777777">
            <w:pPr>
              <w:jc w:val="center"/>
              <w:rPr>
                <w:rFonts w:ascii="Times New Roman" w:hAnsi="Times New Roman" w:cs="Times New Roman"/>
                <w:sz w:val="20"/>
                <w:szCs w:val="20"/>
              </w:rPr>
            </w:pPr>
            <w:r>
              <w:rPr>
                <w:rFonts w:ascii="Times New Roman" w:hAnsi="Times New Roman" w:cs="Times New Roman"/>
                <w:sz w:val="20"/>
                <w:szCs w:val="20"/>
              </w:rPr>
              <w:t>Pushmataha, OK</w:t>
            </w:r>
          </w:p>
        </w:tc>
        <w:tc>
          <w:tcPr>
            <w:tcW w:w="1620" w:type="dxa"/>
          </w:tcPr>
          <w:p w:rsidR="006930B9" w:rsidRPr="000D44C8" w:rsidP="007D6AE6" w14:paraId="4F06BCA0"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76F5838C" w14:textId="77777777" w:rsidTr="007D6AE6">
        <w:tblPrEx>
          <w:tblW w:w="0" w:type="auto"/>
          <w:jc w:val="center"/>
          <w:tblLook w:val="04A0"/>
        </w:tblPrEx>
        <w:trPr>
          <w:jc w:val="center"/>
        </w:trPr>
        <w:tc>
          <w:tcPr>
            <w:tcW w:w="1885" w:type="dxa"/>
          </w:tcPr>
          <w:p w:rsidR="006930B9" w:rsidRPr="000D44C8" w:rsidP="007D6AE6" w14:paraId="38C62F39" w14:textId="77777777">
            <w:pPr>
              <w:jc w:val="center"/>
              <w:rPr>
                <w:rFonts w:ascii="Times New Roman" w:hAnsi="Times New Roman" w:cs="Times New Roman"/>
                <w:sz w:val="20"/>
                <w:szCs w:val="20"/>
              </w:rPr>
            </w:pPr>
            <w:r>
              <w:rPr>
                <w:rFonts w:ascii="Times New Roman" w:hAnsi="Times New Roman" w:cs="Times New Roman"/>
                <w:sz w:val="20"/>
                <w:szCs w:val="20"/>
              </w:rPr>
              <w:t>D40127</w:t>
            </w:r>
          </w:p>
        </w:tc>
        <w:tc>
          <w:tcPr>
            <w:tcW w:w="2520" w:type="dxa"/>
          </w:tcPr>
          <w:p w:rsidR="006930B9" w:rsidRPr="000D44C8" w:rsidP="007D6AE6" w14:paraId="260E5F0C" w14:textId="77777777">
            <w:pPr>
              <w:jc w:val="center"/>
              <w:rPr>
                <w:rFonts w:ascii="Times New Roman" w:hAnsi="Times New Roman" w:cs="Times New Roman"/>
                <w:sz w:val="20"/>
                <w:szCs w:val="20"/>
              </w:rPr>
            </w:pPr>
            <w:r>
              <w:rPr>
                <w:rFonts w:ascii="Times New Roman" w:hAnsi="Times New Roman" w:cs="Times New Roman"/>
                <w:sz w:val="20"/>
                <w:szCs w:val="20"/>
              </w:rPr>
              <w:t>Pushmataha, OK</w:t>
            </w:r>
          </w:p>
        </w:tc>
        <w:tc>
          <w:tcPr>
            <w:tcW w:w="1620" w:type="dxa"/>
          </w:tcPr>
          <w:p w:rsidR="006930B9" w:rsidRPr="000D44C8" w:rsidP="007D6AE6" w14:paraId="106111D3"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06DF6C4E" w14:textId="77777777" w:rsidTr="007D6AE6">
        <w:tblPrEx>
          <w:tblW w:w="0" w:type="auto"/>
          <w:jc w:val="center"/>
          <w:tblLook w:val="04A0"/>
        </w:tblPrEx>
        <w:trPr>
          <w:jc w:val="center"/>
        </w:trPr>
        <w:tc>
          <w:tcPr>
            <w:tcW w:w="1885" w:type="dxa"/>
          </w:tcPr>
          <w:p w:rsidR="006930B9" w:rsidRPr="000D44C8" w:rsidP="007D6AE6" w14:paraId="43C47F08" w14:textId="77777777">
            <w:pPr>
              <w:jc w:val="center"/>
              <w:rPr>
                <w:rFonts w:ascii="Times New Roman" w:hAnsi="Times New Roman" w:cs="Times New Roman"/>
                <w:sz w:val="20"/>
                <w:szCs w:val="20"/>
              </w:rPr>
            </w:pPr>
            <w:r>
              <w:rPr>
                <w:rFonts w:ascii="Times New Roman" w:hAnsi="Times New Roman" w:cs="Times New Roman"/>
                <w:sz w:val="20"/>
                <w:szCs w:val="20"/>
              </w:rPr>
              <w:t>D40137</w:t>
            </w:r>
          </w:p>
        </w:tc>
        <w:tc>
          <w:tcPr>
            <w:tcW w:w="2520" w:type="dxa"/>
          </w:tcPr>
          <w:p w:rsidR="006930B9" w:rsidRPr="000D44C8" w:rsidP="007D6AE6" w14:paraId="644A2268" w14:textId="77777777">
            <w:pPr>
              <w:jc w:val="center"/>
              <w:rPr>
                <w:rFonts w:ascii="Times New Roman" w:hAnsi="Times New Roman" w:cs="Times New Roman"/>
                <w:sz w:val="20"/>
                <w:szCs w:val="20"/>
              </w:rPr>
            </w:pPr>
            <w:r>
              <w:rPr>
                <w:rFonts w:ascii="Times New Roman" w:hAnsi="Times New Roman" w:cs="Times New Roman"/>
                <w:sz w:val="20"/>
                <w:szCs w:val="20"/>
              </w:rPr>
              <w:t>Stephens, OK</w:t>
            </w:r>
          </w:p>
        </w:tc>
        <w:tc>
          <w:tcPr>
            <w:tcW w:w="1620" w:type="dxa"/>
          </w:tcPr>
          <w:p w:rsidR="006930B9" w:rsidRPr="000D44C8" w:rsidP="007D6AE6" w14:paraId="0B16DB15"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2BAA4668" w14:textId="77777777" w:rsidTr="007D6AE6">
        <w:tblPrEx>
          <w:tblW w:w="0" w:type="auto"/>
          <w:jc w:val="center"/>
          <w:tblLook w:val="04A0"/>
        </w:tblPrEx>
        <w:trPr>
          <w:jc w:val="center"/>
        </w:trPr>
        <w:tc>
          <w:tcPr>
            <w:tcW w:w="1885" w:type="dxa"/>
          </w:tcPr>
          <w:p w:rsidR="006930B9" w:rsidRPr="000D44C8" w:rsidP="007D6AE6" w14:paraId="444A9E3D" w14:textId="77777777">
            <w:pPr>
              <w:jc w:val="center"/>
              <w:rPr>
                <w:rFonts w:ascii="Times New Roman" w:hAnsi="Times New Roman" w:cs="Times New Roman"/>
                <w:sz w:val="20"/>
                <w:szCs w:val="20"/>
              </w:rPr>
            </w:pPr>
            <w:r>
              <w:rPr>
                <w:rFonts w:ascii="Times New Roman" w:hAnsi="Times New Roman" w:cs="Times New Roman"/>
                <w:sz w:val="20"/>
                <w:szCs w:val="20"/>
              </w:rPr>
              <w:t>D40137</w:t>
            </w:r>
          </w:p>
        </w:tc>
        <w:tc>
          <w:tcPr>
            <w:tcW w:w="2520" w:type="dxa"/>
          </w:tcPr>
          <w:p w:rsidR="006930B9" w:rsidRPr="000D44C8" w:rsidP="007D6AE6" w14:paraId="7DA562F2" w14:textId="77777777">
            <w:pPr>
              <w:jc w:val="center"/>
              <w:rPr>
                <w:rFonts w:ascii="Times New Roman" w:hAnsi="Times New Roman" w:cs="Times New Roman"/>
                <w:sz w:val="20"/>
                <w:szCs w:val="20"/>
              </w:rPr>
            </w:pPr>
            <w:r>
              <w:rPr>
                <w:rFonts w:ascii="Times New Roman" w:hAnsi="Times New Roman" w:cs="Times New Roman"/>
                <w:sz w:val="20"/>
                <w:szCs w:val="20"/>
              </w:rPr>
              <w:t>Stephens, OK</w:t>
            </w:r>
          </w:p>
        </w:tc>
        <w:tc>
          <w:tcPr>
            <w:tcW w:w="1620" w:type="dxa"/>
          </w:tcPr>
          <w:p w:rsidR="006930B9" w:rsidRPr="000D44C8" w:rsidP="007D6AE6" w14:paraId="4CD1E77B"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0B174A16" w14:textId="77777777" w:rsidTr="007D6AE6">
        <w:tblPrEx>
          <w:tblW w:w="0" w:type="auto"/>
          <w:jc w:val="center"/>
          <w:tblLook w:val="04A0"/>
        </w:tblPrEx>
        <w:trPr>
          <w:jc w:val="center"/>
        </w:trPr>
        <w:tc>
          <w:tcPr>
            <w:tcW w:w="1885" w:type="dxa"/>
          </w:tcPr>
          <w:p w:rsidR="006930B9" w:rsidRPr="000D44C8" w:rsidP="007D6AE6" w14:paraId="3E5BCCC3" w14:textId="77777777">
            <w:pPr>
              <w:jc w:val="center"/>
              <w:rPr>
                <w:rFonts w:ascii="Times New Roman" w:hAnsi="Times New Roman" w:cs="Times New Roman"/>
                <w:sz w:val="20"/>
                <w:szCs w:val="20"/>
              </w:rPr>
            </w:pPr>
            <w:r>
              <w:rPr>
                <w:rFonts w:ascii="Times New Roman" w:hAnsi="Times New Roman" w:cs="Times New Roman"/>
                <w:sz w:val="20"/>
                <w:szCs w:val="20"/>
              </w:rPr>
              <w:t>D40141</w:t>
            </w:r>
          </w:p>
        </w:tc>
        <w:tc>
          <w:tcPr>
            <w:tcW w:w="2520" w:type="dxa"/>
          </w:tcPr>
          <w:p w:rsidR="006930B9" w:rsidRPr="000D44C8" w:rsidP="007D6AE6" w14:paraId="62CB2B88" w14:textId="77777777">
            <w:pPr>
              <w:jc w:val="center"/>
              <w:rPr>
                <w:rFonts w:ascii="Times New Roman" w:hAnsi="Times New Roman" w:cs="Times New Roman"/>
                <w:sz w:val="20"/>
                <w:szCs w:val="20"/>
              </w:rPr>
            </w:pPr>
            <w:r>
              <w:rPr>
                <w:rFonts w:ascii="Times New Roman" w:hAnsi="Times New Roman" w:cs="Times New Roman"/>
                <w:sz w:val="20"/>
                <w:szCs w:val="20"/>
              </w:rPr>
              <w:t>Tillman, OK</w:t>
            </w:r>
          </w:p>
        </w:tc>
        <w:tc>
          <w:tcPr>
            <w:tcW w:w="1620" w:type="dxa"/>
          </w:tcPr>
          <w:p w:rsidR="006930B9" w:rsidRPr="000D44C8" w:rsidP="007D6AE6" w14:paraId="2751E051"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r w14:paraId="1E9670C1" w14:textId="77777777" w:rsidTr="007D6AE6">
        <w:tblPrEx>
          <w:tblW w:w="0" w:type="auto"/>
          <w:jc w:val="center"/>
          <w:tblLook w:val="04A0"/>
        </w:tblPrEx>
        <w:trPr>
          <w:jc w:val="center"/>
        </w:trPr>
        <w:tc>
          <w:tcPr>
            <w:tcW w:w="1885" w:type="dxa"/>
          </w:tcPr>
          <w:p w:rsidR="006930B9" w:rsidRPr="000D44C8" w:rsidP="007D6AE6" w14:paraId="1781EC7C" w14:textId="77777777">
            <w:pPr>
              <w:jc w:val="center"/>
              <w:rPr>
                <w:rFonts w:ascii="Times New Roman" w:hAnsi="Times New Roman" w:cs="Times New Roman"/>
                <w:sz w:val="20"/>
                <w:szCs w:val="20"/>
              </w:rPr>
            </w:pPr>
            <w:r>
              <w:rPr>
                <w:rFonts w:ascii="Times New Roman" w:hAnsi="Times New Roman" w:cs="Times New Roman"/>
                <w:sz w:val="20"/>
                <w:szCs w:val="20"/>
              </w:rPr>
              <w:t>D40141</w:t>
            </w:r>
          </w:p>
        </w:tc>
        <w:tc>
          <w:tcPr>
            <w:tcW w:w="2520" w:type="dxa"/>
          </w:tcPr>
          <w:p w:rsidR="006930B9" w:rsidRPr="000D44C8" w:rsidP="007D6AE6" w14:paraId="6E5A1741" w14:textId="77777777">
            <w:pPr>
              <w:jc w:val="center"/>
              <w:rPr>
                <w:rFonts w:ascii="Times New Roman" w:hAnsi="Times New Roman" w:cs="Times New Roman"/>
                <w:sz w:val="20"/>
                <w:szCs w:val="20"/>
              </w:rPr>
            </w:pPr>
            <w:r>
              <w:rPr>
                <w:rFonts w:ascii="Times New Roman" w:hAnsi="Times New Roman" w:cs="Times New Roman"/>
                <w:sz w:val="20"/>
                <w:szCs w:val="20"/>
              </w:rPr>
              <w:t>Tillman, OK</w:t>
            </w:r>
          </w:p>
        </w:tc>
        <w:tc>
          <w:tcPr>
            <w:tcW w:w="1620" w:type="dxa"/>
          </w:tcPr>
          <w:p w:rsidR="006930B9" w:rsidRPr="000D44C8" w:rsidP="007D6AE6" w14:paraId="113AFA06" w14:textId="77777777">
            <w:pPr>
              <w:jc w:val="center"/>
              <w:rPr>
                <w:rFonts w:ascii="Times New Roman" w:hAnsi="Times New Roman" w:cs="Times New Roman"/>
                <w:sz w:val="20"/>
                <w:szCs w:val="20"/>
              </w:rPr>
            </w:pPr>
            <w:r>
              <w:rPr>
                <w:rFonts w:ascii="Times New Roman" w:hAnsi="Times New Roman" w:cs="Times New Roman"/>
                <w:sz w:val="20"/>
                <w:szCs w:val="20"/>
              </w:rPr>
              <w:t>0009227450</w:t>
            </w:r>
          </w:p>
        </w:tc>
      </w:tr>
    </w:tbl>
    <w:p w:rsidR="00F37912" w:rsidRPr="00EC0B1E" w:rsidP="006930B9" w14:paraId="14C40646"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Arial Italic">
    <w:panose1 w:val="020B060402020209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513" w:rsidP="0055614C" w14:paraId="255197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4F7513" w14:paraId="462DAA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513" w14:paraId="563865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F7513" w14:paraId="4C9F6B6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513" w14:paraId="4B305C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683" w14:paraId="39DCA126" w14:textId="77777777">
      <w:r>
        <w:separator/>
      </w:r>
    </w:p>
  </w:footnote>
  <w:footnote w:type="continuationSeparator" w:id="1">
    <w:p w:rsidR="00475683" w:rsidP="00C721AC" w14:paraId="21031A78" w14:textId="77777777">
      <w:pPr>
        <w:spacing w:before="120"/>
        <w:rPr>
          <w:sz w:val="20"/>
        </w:rPr>
      </w:pPr>
      <w:r>
        <w:rPr>
          <w:sz w:val="20"/>
        </w:rPr>
        <w:t xml:space="preserve">(Continued from previous page)  </w:t>
      </w:r>
      <w:r>
        <w:rPr>
          <w:sz w:val="20"/>
        </w:rPr>
        <w:separator/>
      </w:r>
    </w:p>
  </w:footnote>
  <w:footnote w:type="continuationNotice" w:id="2">
    <w:p w:rsidR="00475683" w:rsidP="00C721AC" w14:paraId="22BBB414" w14:textId="77777777">
      <w:pPr>
        <w:jc w:val="right"/>
        <w:rPr>
          <w:sz w:val="20"/>
        </w:rPr>
      </w:pPr>
      <w:r>
        <w:rPr>
          <w:sz w:val="20"/>
        </w:rPr>
        <w:t>(continued….)</w:t>
      </w:r>
    </w:p>
  </w:footnote>
  <w:footnote w:id="3">
    <w:p w:rsidR="004F7513" w:rsidP="000F6936" w14:paraId="7A0A8B50" w14:textId="44DDD36D">
      <w:pPr>
        <w:pStyle w:val="FootnoteText"/>
        <w:rPr>
          <w:lang w:bidi="x-none"/>
        </w:rPr>
      </w:pPr>
      <w:r>
        <w:rPr>
          <w:rStyle w:val="FootnoteReference1"/>
        </w:rPr>
        <w:footnoteRef/>
      </w:r>
      <w:r>
        <w:t xml:space="preserve"> </w:t>
      </w:r>
      <w:r>
        <w:rPr>
          <w:rFonts w:ascii="Times New Roman Italic" w:hAnsi="Times New Roman Italic"/>
        </w:rPr>
        <w:t xml:space="preserve">See </w:t>
      </w:r>
      <w:r w:rsidRPr="00D5055C">
        <w:rPr>
          <w:i/>
          <w:iCs/>
        </w:rPr>
        <w:t>Auction of Priority Access Licenses in the 3550-3650 MHz Band Closes; Winning Bidders Announced for Auction 105</w:t>
      </w:r>
      <w:r>
        <w:t xml:space="preserve">, Public Notice, </w:t>
      </w:r>
      <w:r w:rsidRPr="00913664">
        <w:t xml:space="preserve">35 FCC </w:t>
      </w:r>
      <w:r w:rsidRPr="00913664">
        <w:t>Rcd</w:t>
      </w:r>
      <w:r w:rsidRPr="00913664">
        <w:t xml:space="preserve"> 9287</w:t>
      </w:r>
      <w:r>
        <w:t xml:space="preserve"> (OEA/WTB 2020)</w:t>
      </w:r>
      <w:r>
        <w:rPr>
          <w:rFonts w:ascii="Arial Italic" w:hAnsi="Arial Italic"/>
          <w:sz w:val="21"/>
        </w:rPr>
        <w:t xml:space="preserve"> </w:t>
      </w:r>
      <w:r>
        <w:t>(</w:t>
      </w:r>
      <w:r>
        <w:rPr>
          <w:rFonts w:ascii="Times New Roman Italic" w:hAnsi="Times New Roman Italic"/>
        </w:rPr>
        <w:t>Auction 105 Closing Public Notice</w:t>
      </w:r>
      <w:r>
        <w:t>).</w:t>
      </w:r>
    </w:p>
  </w:footnote>
  <w:footnote w:id="4">
    <w:p w:rsidR="00C82CD4" w:rsidP="00C82CD4" w14:paraId="629866D3" w14:textId="429E3E0F">
      <w:pPr>
        <w:pStyle w:val="FootnoteText"/>
      </w:pPr>
      <w:r>
        <w:rPr>
          <w:rStyle w:val="FootnoteReference"/>
        </w:rPr>
        <w:footnoteRef/>
      </w:r>
      <w:r>
        <w:t xml:space="preserve"> 47 </w:t>
      </w:r>
      <w:r w:rsidR="00113F93">
        <w:t>CFR</w:t>
      </w:r>
      <w:r>
        <w:t xml:space="preserve"> § 1.2107(b). </w:t>
      </w:r>
    </w:p>
  </w:footnote>
  <w:footnote w:id="5">
    <w:p w:rsidR="004F7513" w:rsidP="000F6936" w14:paraId="784032CA" w14:textId="12797167">
      <w:pPr>
        <w:pStyle w:val="FootnoteText"/>
      </w:pPr>
      <w:r>
        <w:rPr>
          <w:rStyle w:val="FootnoteReference"/>
        </w:rPr>
        <w:footnoteRef/>
      </w:r>
      <w:r>
        <w:t xml:space="preserve"> Request for Waiver and Extension</w:t>
      </w:r>
      <w:r w:rsidR="000859CA">
        <w:t xml:space="preserve"> of </w:t>
      </w:r>
      <w:r w:rsidR="000859CA">
        <w:t>Hilliary</w:t>
      </w:r>
      <w:r w:rsidR="000859CA">
        <w:t xml:space="preserve"> Acquisition Corp 2016, LLC</w:t>
      </w:r>
      <w:r>
        <w:t xml:space="preserve"> (filed November 4, 2020) (Request for Waiver).</w:t>
      </w:r>
    </w:p>
  </w:footnote>
  <w:footnote w:id="6">
    <w:p w:rsidR="004F7513" w:rsidP="004A4CFF" w14:paraId="51E96B9D" w14:textId="3289D8C9">
      <w:pPr>
        <w:pStyle w:val="FootnoteText"/>
      </w:pPr>
      <w:r>
        <w:rPr>
          <w:rStyle w:val="FootnoteReference"/>
        </w:rPr>
        <w:footnoteRef/>
      </w:r>
      <w:r>
        <w:t xml:space="preserve"> </w:t>
      </w:r>
      <w:r>
        <w:rPr>
          <w:i/>
        </w:rPr>
        <w:t>See</w:t>
      </w:r>
      <w:r>
        <w:t xml:space="preserve"> </w:t>
      </w:r>
      <w:r w:rsidRPr="00D5055C">
        <w:rPr>
          <w:i/>
          <w:iCs/>
        </w:rPr>
        <w:t>Auction of Priority Access Licenses for the 3550-3650 MHz Band, Comment Sought on Competitive Bidding Procedures for Auction 105</w:t>
      </w:r>
      <w:r>
        <w:t xml:space="preserve">, </w:t>
      </w:r>
      <w:r w:rsidRPr="00D5055C">
        <w:rPr>
          <w:iCs/>
        </w:rPr>
        <w:t>Public Notice</w:t>
      </w:r>
      <w:r>
        <w:t xml:space="preserve">, 34 FCC </w:t>
      </w:r>
      <w:r>
        <w:t>Rcd</w:t>
      </w:r>
      <w:r>
        <w:t xml:space="preserve"> 9215 (2019) (</w:t>
      </w:r>
      <w:r w:rsidRPr="00D5055C">
        <w:rPr>
          <w:i/>
          <w:iCs/>
        </w:rPr>
        <w:t>Auction 105 Comment Public Notice</w:t>
      </w:r>
      <w:r>
        <w:t xml:space="preserve">). </w:t>
      </w:r>
    </w:p>
  </w:footnote>
  <w:footnote w:id="7">
    <w:p w:rsidR="003F0831" w:rsidP="003F0831" w14:paraId="20769379" w14:textId="77777777">
      <w:pPr>
        <w:pStyle w:val="FootnoteText"/>
      </w:pPr>
      <w:r>
        <w:rPr>
          <w:rStyle w:val="FootnoteReference"/>
        </w:rPr>
        <w:footnoteRef/>
      </w:r>
      <w:r>
        <w:rPr>
          <w:i/>
        </w:rPr>
        <w:t xml:space="preserve"> See</w:t>
      </w:r>
      <w:r>
        <w:t xml:space="preserve"> </w:t>
      </w:r>
      <w:r w:rsidRPr="00D5055C">
        <w:rPr>
          <w:i/>
          <w:iCs/>
        </w:rPr>
        <w:t>Auction of Priority Access Licenses for the 3550-3650 MHz Band, Notice and Filing Requirements, Minimum Opening Bids, Upfront Payments and Other Procedures for Auction 105</w:t>
      </w:r>
      <w:r>
        <w:t xml:space="preserve">, </w:t>
      </w:r>
      <w:r w:rsidRPr="00D5055C">
        <w:rPr>
          <w:iCs/>
        </w:rPr>
        <w:t>Public Notice</w:t>
      </w:r>
      <w:r>
        <w:t xml:space="preserve">, 35 FCC </w:t>
      </w:r>
      <w:r>
        <w:t>Rcd</w:t>
      </w:r>
      <w:r>
        <w:t xml:space="preserve"> 2140 (OEA/WTB 2020) (</w:t>
      </w:r>
      <w:r w:rsidRPr="004F7513">
        <w:rPr>
          <w:i/>
          <w:iCs/>
        </w:rPr>
        <w:t>Auction 105</w:t>
      </w:r>
      <w:r w:rsidRPr="00D5055C">
        <w:rPr>
          <w:i/>
          <w:iCs/>
        </w:rPr>
        <w:t xml:space="preserve"> </w:t>
      </w:r>
      <w:r w:rsidRPr="004F7513">
        <w:rPr>
          <w:i/>
          <w:iCs/>
        </w:rPr>
        <w:t>Procedures Public Notice</w:t>
      </w:r>
      <w:r>
        <w:t>).</w:t>
      </w:r>
    </w:p>
  </w:footnote>
  <w:footnote w:id="8">
    <w:p w:rsidR="004F7513" w:rsidP="004A4CFF" w14:paraId="598FA786" w14:textId="40D7243F">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2202</w:t>
      </w:r>
      <w:r w:rsidR="00C82CD4">
        <w:t xml:space="preserve">; 47 </w:t>
      </w:r>
      <w:r w:rsidR="00113F93">
        <w:t>CFR</w:t>
      </w:r>
      <w:r w:rsidR="00C82CD4">
        <w:t xml:space="preserve"> § 1.2107(b).</w:t>
      </w:r>
    </w:p>
  </w:footnote>
  <w:footnote w:id="9">
    <w:p w:rsidR="004F7513" w:rsidP="004A4CFF" w14:paraId="771AB1F2" w14:textId="076681BF">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2204 (citing </w:t>
      </w:r>
      <w:r>
        <w:rPr>
          <w:color w:val="000000"/>
        </w:rPr>
        <w:t xml:space="preserve">47 </w:t>
      </w:r>
      <w:r w:rsidR="00113F93">
        <w:rPr>
          <w:color w:val="000000"/>
        </w:rPr>
        <w:t>CFR</w:t>
      </w:r>
      <w:r>
        <w:rPr>
          <w:color w:val="000000"/>
        </w:rPr>
        <w:t xml:space="preserve"> § 1.2104(g)(2))</w:t>
      </w:r>
      <w:r>
        <w:t xml:space="preserve">. </w:t>
      </w:r>
    </w:p>
  </w:footnote>
  <w:footnote w:id="10">
    <w:p w:rsidR="004F7513" w:rsidP="004A4CFF" w14:paraId="562981D4" w14:textId="4EA4F25B">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2202 (citing 47 </w:t>
      </w:r>
      <w:r w:rsidR="00113F93">
        <w:t>CFR</w:t>
      </w:r>
      <w:r>
        <w:t xml:space="preserve"> § 1.2107(c)).     </w:t>
      </w:r>
    </w:p>
  </w:footnote>
  <w:footnote w:id="11">
    <w:p w:rsidR="004F7513" w:rsidP="00E2428D" w14:paraId="09D5BBC2" w14:textId="379B3757">
      <w:pPr>
        <w:pStyle w:val="FootnoteText"/>
      </w:pPr>
      <w:r>
        <w:rPr>
          <w:rStyle w:val="FootnoteReference"/>
        </w:rPr>
        <w:footnoteRef/>
      </w:r>
      <w:r>
        <w:t xml:space="preserve">  </w:t>
      </w:r>
      <w:r w:rsidRPr="00D5055C">
        <w:rPr>
          <w:i/>
          <w:iCs/>
        </w:rPr>
        <w:t>Auction of Priority Access Licenses for the 3550-3650 MHz Band, 271 Applicants Qualified to Bid in Auction 105</w:t>
      </w:r>
      <w:r>
        <w:t xml:space="preserve">, </w:t>
      </w:r>
      <w:r w:rsidRPr="00D5055C">
        <w:rPr>
          <w:iCs/>
        </w:rPr>
        <w:t>Public Notice</w:t>
      </w:r>
      <w:r>
        <w:t xml:space="preserve">, 35 FCC </w:t>
      </w:r>
      <w:r>
        <w:t>Rcd</w:t>
      </w:r>
      <w:r>
        <w:t xml:space="preserve"> 6672, 6691 (2020) (</w:t>
      </w:r>
      <w:r>
        <w:rPr>
          <w:i/>
        </w:rPr>
        <w:t>Auction 105 Qualified Bidders</w:t>
      </w:r>
      <w:r>
        <w:t xml:space="preserve"> </w:t>
      </w:r>
      <w:r>
        <w:rPr>
          <w:i/>
        </w:rPr>
        <w:t>Public Notice</w:t>
      </w:r>
      <w:r>
        <w:t xml:space="preserve">).  </w:t>
      </w:r>
    </w:p>
  </w:footnote>
  <w:footnote w:id="12">
    <w:p w:rsidR="004F7513" w:rsidP="004A4CFF" w14:paraId="11669808" w14:textId="3B5D94A6">
      <w:pPr>
        <w:pStyle w:val="FootnoteText"/>
      </w:pPr>
      <w:r>
        <w:rPr>
          <w:rStyle w:val="FootnoteReference"/>
        </w:rPr>
        <w:footnoteRef/>
      </w:r>
      <w:r>
        <w:t xml:space="preserve"> </w:t>
      </w:r>
      <w:r>
        <w:rPr>
          <w:i/>
        </w:rPr>
        <w:t>Auction 105 Qualified Bidders</w:t>
      </w:r>
      <w:r>
        <w:t xml:space="preserve"> </w:t>
      </w:r>
      <w:r>
        <w:rPr>
          <w:i/>
        </w:rPr>
        <w:t>Public Notice</w:t>
      </w:r>
      <w:r>
        <w:t xml:space="preserve">, 35 FCC </w:t>
      </w:r>
      <w:r>
        <w:t>Rcd</w:t>
      </w:r>
      <w:r>
        <w:t xml:space="preserve"> at 6685 (Attachment A).</w:t>
      </w:r>
    </w:p>
  </w:footnote>
  <w:footnote w:id="13">
    <w:p w:rsidR="004F7513" w14:paraId="6D9C2EAB" w14:textId="37CAB2C2">
      <w:pPr>
        <w:pStyle w:val="FootnoteText"/>
      </w:pPr>
      <w:r>
        <w:rPr>
          <w:rStyle w:val="FootnoteReference"/>
        </w:rPr>
        <w:footnoteRef/>
      </w:r>
      <w:r>
        <w:t xml:space="preserve"> </w:t>
      </w:r>
      <w:r w:rsidRPr="00BF5C2D">
        <w:rPr>
          <w:i/>
          <w:iCs/>
        </w:rPr>
        <w:t>Auction 105 Closing Public Notice</w:t>
      </w:r>
      <w:r>
        <w:t xml:space="preserve">, 35 FCC </w:t>
      </w:r>
      <w:r>
        <w:t>Rcd</w:t>
      </w:r>
      <w:r>
        <w:t xml:space="preserve"> at 9306</w:t>
      </w:r>
      <w:r w:rsidR="00C76122">
        <w:t xml:space="preserve"> (Attachment A)</w:t>
      </w:r>
      <w:r>
        <w:t>.</w:t>
      </w:r>
    </w:p>
  </w:footnote>
  <w:footnote w:id="14">
    <w:p w:rsidR="00966DE0" w:rsidP="00966DE0" w14:paraId="2CE1004D" w14:textId="433CE60A">
      <w:pPr>
        <w:pStyle w:val="FootnoteText"/>
      </w:pPr>
      <w:r>
        <w:rPr>
          <w:rStyle w:val="FootnoteReference"/>
        </w:rPr>
        <w:footnoteRef/>
      </w:r>
      <w:r>
        <w:t xml:space="preserve"> 47 </w:t>
      </w:r>
      <w:r w:rsidR="00113F93">
        <w:t>CFR</w:t>
      </w:r>
      <w:r>
        <w:t xml:space="preserve"> § 1.2107(b).  </w:t>
      </w:r>
      <w:r>
        <w:rPr>
          <w:i/>
        </w:rPr>
        <w:t>See Auction 105</w:t>
      </w:r>
      <w:r>
        <w:t xml:space="preserve"> </w:t>
      </w:r>
      <w:r>
        <w:rPr>
          <w:i/>
        </w:rPr>
        <w:t>Procedures Public Notice</w:t>
      </w:r>
      <w:r>
        <w:t xml:space="preserve">, 35 FCC </w:t>
      </w:r>
      <w:r>
        <w:t>Rcd</w:t>
      </w:r>
      <w:r>
        <w:t xml:space="preserve"> at 2202.</w:t>
      </w:r>
    </w:p>
  </w:footnote>
  <w:footnote w:id="15">
    <w:p w:rsidR="00966DE0" w:rsidP="00966DE0" w14:paraId="5373DFEA" w14:textId="77777777">
      <w:pPr>
        <w:pStyle w:val="FootnoteText"/>
      </w:pPr>
      <w:r>
        <w:rPr>
          <w:rStyle w:val="FootnoteReference"/>
        </w:rPr>
        <w:footnoteRef/>
      </w:r>
      <w:r>
        <w:t xml:space="preserve"> </w:t>
      </w:r>
      <w:r>
        <w:rPr>
          <w:i/>
        </w:rPr>
        <w:t xml:space="preserve">Auction 105 Closing Public Notice, </w:t>
      </w:r>
      <w:r w:rsidRPr="00E02268">
        <w:rPr>
          <w:iCs/>
        </w:rPr>
        <w:t xml:space="preserve">35 FCC </w:t>
      </w:r>
      <w:r w:rsidRPr="00E02268">
        <w:rPr>
          <w:iCs/>
        </w:rPr>
        <w:t>Rcd</w:t>
      </w:r>
      <w:r>
        <w:t xml:space="preserve"> at 9289; </w:t>
      </w:r>
      <w:r>
        <w:rPr>
          <w:i/>
        </w:rPr>
        <w:t>see also Auction 105</w:t>
      </w:r>
      <w:r>
        <w:t xml:space="preserve"> </w:t>
      </w:r>
      <w:r>
        <w:rPr>
          <w:i/>
        </w:rPr>
        <w:t>Procedures Public Notice</w:t>
      </w:r>
      <w:r>
        <w:t xml:space="preserve">, 35 FCC </w:t>
      </w:r>
      <w:r>
        <w:t>Rcd</w:t>
      </w:r>
      <w:r>
        <w:t xml:space="preserve"> at 2202.  </w:t>
      </w:r>
    </w:p>
  </w:footnote>
  <w:footnote w:id="16">
    <w:p w:rsidR="00966DE0" w:rsidP="00966DE0" w14:paraId="1F61EFB9" w14:textId="77777777">
      <w:pPr>
        <w:pStyle w:val="FootnoteText"/>
      </w:pPr>
      <w:r>
        <w:rPr>
          <w:rStyle w:val="FootnoteReference"/>
        </w:rPr>
        <w:footnoteRef/>
      </w:r>
      <w:r>
        <w:rPr>
          <w:i/>
        </w:rPr>
        <w:t xml:space="preserve"> </w:t>
      </w:r>
      <w:r>
        <w:rPr>
          <w:iCs/>
        </w:rPr>
        <w:t>“T</w:t>
      </w:r>
      <w:r>
        <w:t xml:space="preserve">o avoid untimely payments, each winning bidder should discuss arrangements with its financial institution . . . several days before it plans to make the wire transfer, and each should allow sufficient time for the transfer to be initiated and completed prior to the deadline.  </w:t>
      </w:r>
      <w:r w:rsidRPr="00E02268">
        <w:t>The Commission repeatedly has cautioned auction participants about the importance of planning ahead to prepare for unforeseen last-minute difficulties in making payments by wire transfer</w:t>
      </w:r>
      <w:r>
        <w:t xml:space="preserve">.”  </w:t>
      </w:r>
      <w:r>
        <w:rPr>
          <w:i/>
        </w:rPr>
        <w:t>Auction 105</w:t>
      </w:r>
      <w:r>
        <w:t xml:space="preserve"> </w:t>
      </w:r>
      <w:r>
        <w:rPr>
          <w:i/>
        </w:rPr>
        <w:t>Closing Public Notice,</w:t>
      </w:r>
      <w:r>
        <w:t xml:space="preserve"> 35 FCC </w:t>
      </w:r>
      <w:r>
        <w:t>Rcd</w:t>
      </w:r>
      <w:r>
        <w:t xml:space="preserve"> at 9291 (emphasis added).  </w:t>
      </w:r>
      <w:r>
        <w:rPr>
          <w:i/>
        </w:rPr>
        <w:t>Cf. Auction 105</w:t>
      </w:r>
      <w:r>
        <w:t xml:space="preserve"> </w:t>
      </w:r>
      <w:r>
        <w:rPr>
          <w:i/>
        </w:rPr>
        <w:t>Procedures Public Notice,</w:t>
      </w:r>
      <w:r>
        <w:t xml:space="preserve"> 35 FCC </w:t>
      </w:r>
      <w:r>
        <w:t>Rcd</w:t>
      </w:r>
      <w:r>
        <w:t xml:space="preserve"> at 2182 (similarly advising potential Auction 105 participants with regard to upfront payments to discuss arrangements with their bankers “several days” before executing their wire transfers and to allow sufficient time for transfers to be initiated and completed before the deadline).   Prospective bidders were also reminded of dates and the consequences of failing to meet them in a free, public Application Tutorial that was available for playback from the FCC's website:  </w:t>
      </w:r>
      <w:hyperlink r:id="rId1" w:history="1">
        <w:r w:rsidRPr="00D06EB3">
          <w:rPr>
            <w:rStyle w:val="Hyperlink"/>
          </w:rPr>
          <w:t>https://wireless.fcc.gov/auctions/105/Auction-105-Application-Tutorial_3/presentation_html5.html</w:t>
        </w:r>
      </w:hyperlink>
      <w:r>
        <w:t xml:space="preserve">.     </w:t>
      </w:r>
    </w:p>
  </w:footnote>
  <w:footnote w:id="17">
    <w:p w:rsidR="004F7513" w14:paraId="0130F723" w14:textId="5B7D9DAA">
      <w:pPr>
        <w:pStyle w:val="FootnoteText"/>
      </w:pPr>
      <w:r>
        <w:rPr>
          <w:rStyle w:val="FootnoteReference"/>
        </w:rPr>
        <w:footnoteRef/>
      </w:r>
      <w:r>
        <w:t xml:space="preserve"> </w:t>
      </w:r>
      <w:r w:rsidRPr="00D5055C">
        <w:rPr>
          <w:i/>
          <w:iCs/>
        </w:rPr>
        <w:t>Auction 105 Procedures Public Notice</w:t>
      </w:r>
      <w:r>
        <w:t xml:space="preserve">, 35 FCC </w:t>
      </w:r>
      <w:r>
        <w:t>Rcd</w:t>
      </w:r>
      <w:r>
        <w:t xml:space="preserve"> at 2204</w:t>
      </w:r>
      <w:r w:rsidR="008F229C">
        <w:t>, paras. 227-29</w:t>
      </w:r>
      <w:r>
        <w:t xml:space="preserve"> (citing 47 </w:t>
      </w:r>
      <w:r w:rsidR="00113F93">
        <w:t>CFR</w:t>
      </w:r>
      <w:r>
        <w:t xml:space="preserve"> § 1.2104(g)(2)).</w:t>
      </w:r>
    </w:p>
  </w:footnote>
  <w:footnote w:id="18">
    <w:p w:rsidR="004F7513" w:rsidP="004A4CFF" w14:paraId="5C3DB7A5" w14:textId="194FACD9">
      <w:pPr>
        <w:pStyle w:val="FootnoteText"/>
      </w:pPr>
      <w:r>
        <w:rPr>
          <w:rStyle w:val="FootnoteReference"/>
        </w:rPr>
        <w:footnoteRef/>
      </w:r>
      <w:r>
        <w:t xml:space="preserve"> Attachment B of the </w:t>
      </w:r>
      <w:r>
        <w:rPr>
          <w:i/>
        </w:rPr>
        <w:t>Auction 105</w:t>
      </w:r>
      <w:r>
        <w:t xml:space="preserve"> </w:t>
      </w:r>
      <w:r>
        <w:rPr>
          <w:i/>
        </w:rPr>
        <w:t xml:space="preserve">Closing Public Notice </w:t>
      </w:r>
      <w:r>
        <w:t xml:space="preserve">advised winning bidders of the exact amounts for deposits due after the application of the bidder’s upfront payment.  </w:t>
      </w:r>
      <w:r>
        <w:rPr>
          <w:i/>
        </w:rPr>
        <w:t>Auction 105</w:t>
      </w:r>
      <w:r>
        <w:t xml:space="preserve"> </w:t>
      </w:r>
      <w:r>
        <w:rPr>
          <w:i/>
        </w:rPr>
        <w:t>Closing Public Notice</w:t>
      </w:r>
      <w:r>
        <w:t xml:space="preserve">, 35 FCC </w:t>
      </w:r>
      <w:r>
        <w:t>Rcd</w:t>
      </w:r>
      <w:r>
        <w:t xml:space="preserve"> at 9318-43.  The </w:t>
      </w:r>
      <w:r>
        <w:rPr>
          <w:i/>
        </w:rPr>
        <w:t>Auction 105</w:t>
      </w:r>
      <w:r>
        <w:t xml:space="preserve"> </w:t>
      </w:r>
      <w:r>
        <w:rPr>
          <w:i/>
        </w:rPr>
        <w:t>Closing Public Notice</w:t>
      </w:r>
      <w:r>
        <w:t xml:space="preserve"> shows that </w:t>
      </w:r>
      <w:r>
        <w:t>Hilliary</w:t>
      </w:r>
      <w:r>
        <w:t xml:space="preserve"> had an upfront payment amount of $102,700.00 on deposit and therefore was required to submit an additional $58,493.00 by September 17, 2020, to satisfy its $161,193.00 down payment obligation.</w:t>
      </w:r>
      <w:r w:rsidR="00696B55">
        <w:t xml:space="preserve">  </w:t>
      </w:r>
      <w:r w:rsidR="001C308A">
        <w:t xml:space="preserve">Attachment B also shows that </w:t>
      </w:r>
      <w:r w:rsidR="00D966EC">
        <w:t>Hilliary’s</w:t>
      </w:r>
      <w:r w:rsidR="00D966EC">
        <w:t xml:space="preserve"> final payment </w:t>
      </w:r>
      <w:r w:rsidR="001C308A">
        <w:t>amount would have been $</w:t>
      </w:r>
      <w:r w:rsidRPr="001C308A" w:rsidR="001C308A">
        <w:t>644,772.00</w:t>
      </w:r>
      <w:r w:rsidR="001C308A">
        <w:t xml:space="preserve">.  </w:t>
      </w:r>
    </w:p>
  </w:footnote>
  <w:footnote w:id="19">
    <w:p w:rsidR="00BE5A40" w:rsidP="00BE5A40" w14:paraId="316A3F60" w14:textId="544BBD20">
      <w:pPr>
        <w:pStyle w:val="FootnoteText"/>
      </w:pPr>
      <w:r>
        <w:rPr>
          <w:rStyle w:val="FootnoteReference"/>
        </w:rPr>
        <w:footnoteRef/>
      </w:r>
      <w:r>
        <w:t xml:space="preserve"> 47 </w:t>
      </w:r>
      <w:r w:rsidR="00113F93">
        <w:t>CFR</w:t>
      </w:r>
      <w:r>
        <w:t xml:space="preserve"> § 1.2109(a).      </w:t>
      </w:r>
    </w:p>
  </w:footnote>
  <w:footnote w:id="20">
    <w:p w:rsidR="00BE5A40" w:rsidRPr="007F290A" w:rsidP="00BE5A40" w14:paraId="540E0EC8" w14:textId="77777777">
      <w:pPr>
        <w:pStyle w:val="FootnoteText"/>
        <w:rPr>
          <w:i/>
          <w:iCs/>
        </w:rPr>
      </w:pPr>
      <w:r>
        <w:rPr>
          <w:rStyle w:val="FootnoteReference"/>
        </w:rPr>
        <w:footnoteRef/>
      </w:r>
      <w:r>
        <w:t xml:space="preserve"> </w:t>
      </w:r>
      <w:r>
        <w:rPr>
          <w:i/>
          <w:iCs/>
        </w:rPr>
        <w:t>Id.</w:t>
      </w:r>
    </w:p>
  </w:footnote>
  <w:footnote w:id="21">
    <w:p w:rsidR="00BE5A40" w:rsidP="00BE5A40" w14:paraId="3A59DE61" w14:textId="51CF20EE">
      <w:pPr>
        <w:pStyle w:val="FootnoteText"/>
      </w:pPr>
      <w:r>
        <w:rPr>
          <w:rStyle w:val="FootnoteReference"/>
        </w:rPr>
        <w:footnoteRef/>
      </w:r>
      <w:r>
        <w:t xml:space="preserve"> </w:t>
      </w:r>
      <w:r>
        <w:rPr>
          <w:i/>
          <w:iCs/>
        </w:rPr>
        <w:t>Auction 105 Procedures Public Notice</w:t>
      </w:r>
      <w:r>
        <w:t xml:space="preserve">, 35 FCC </w:t>
      </w:r>
      <w:r>
        <w:t>Rcd</w:t>
      </w:r>
      <w:r>
        <w:t xml:space="preserve"> at 2202 (citing 47 </w:t>
      </w:r>
      <w:r w:rsidR="00113F93">
        <w:t>CFR</w:t>
      </w:r>
      <w:r>
        <w:t xml:space="preserve"> § 1.2109(a)).</w:t>
      </w:r>
    </w:p>
  </w:footnote>
  <w:footnote w:id="22">
    <w:p w:rsidR="002C2D52" w14:paraId="1F78A38D" w14:textId="58004240">
      <w:pPr>
        <w:pStyle w:val="FootnoteText"/>
      </w:pPr>
      <w:r>
        <w:rPr>
          <w:rStyle w:val="FootnoteReference"/>
        </w:rPr>
        <w:footnoteRef/>
      </w:r>
      <w:r>
        <w:t xml:space="preserve"> </w:t>
      </w:r>
      <w:r w:rsidR="00BD3B66">
        <w:t>Request for Waiver at 1.</w:t>
      </w:r>
      <w:r>
        <w:t xml:space="preserve"> </w:t>
      </w:r>
    </w:p>
  </w:footnote>
  <w:footnote w:id="23">
    <w:p w:rsidR="004F7513" w14:paraId="46BB2A94" w14:textId="24A689EA">
      <w:pPr>
        <w:pStyle w:val="FootnoteText"/>
      </w:pPr>
      <w:r>
        <w:rPr>
          <w:rStyle w:val="FootnoteReference"/>
        </w:rPr>
        <w:footnoteRef/>
      </w:r>
      <w:r>
        <w:t xml:space="preserve"> </w:t>
      </w:r>
      <w:r w:rsidRPr="002A0375" w:rsidR="00BD3B66">
        <w:rPr>
          <w:i/>
          <w:iCs/>
        </w:rPr>
        <w:t>Id</w:t>
      </w:r>
      <w:r w:rsidR="00BD3B66">
        <w:t>.</w:t>
      </w:r>
    </w:p>
  </w:footnote>
  <w:footnote w:id="24">
    <w:p w:rsidR="004F7513" w14:paraId="155D505A" w14:textId="77777777">
      <w:pPr>
        <w:pStyle w:val="FootnoteText"/>
      </w:pPr>
      <w:r>
        <w:rPr>
          <w:rStyle w:val="FootnoteReference"/>
        </w:rPr>
        <w:footnoteRef/>
      </w:r>
      <w:r>
        <w:t xml:space="preserve"> </w:t>
      </w:r>
      <w:r w:rsidRPr="00AB749C">
        <w:rPr>
          <w:i/>
          <w:iCs/>
        </w:rPr>
        <w:t>Id</w:t>
      </w:r>
      <w:r>
        <w:t xml:space="preserve">. at 2. </w:t>
      </w:r>
    </w:p>
  </w:footnote>
  <w:footnote w:id="25">
    <w:p w:rsidR="004F7513" w14:paraId="37E04558" w14:textId="77777777">
      <w:pPr>
        <w:pStyle w:val="FootnoteText"/>
      </w:pPr>
      <w:r>
        <w:rPr>
          <w:rStyle w:val="FootnoteReference"/>
        </w:rPr>
        <w:footnoteRef/>
      </w:r>
      <w:r>
        <w:t xml:space="preserve"> </w:t>
      </w:r>
      <w:r w:rsidRPr="00AB749C">
        <w:rPr>
          <w:i/>
          <w:iCs/>
        </w:rPr>
        <w:t>Id</w:t>
      </w:r>
      <w:r>
        <w:t>.</w:t>
      </w:r>
    </w:p>
  </w:footnote>
  <w:footnote w:id="26">
    <w:p w:rsidR="004F7513" w14:paraId="31D100BC" w14:textId="77777777">
      <w:pPr>
        <w:pStyle w:val="FootnoteText"/>
      </w:pPr>
      <w:r>
        <w:rPr>
          <w:rStyle w:val="FootnoteReference"/>
        </w:rPr>
        <w:footnoteRef/>
      </w:r>
      <w:r>
        <w:t xml:space="preserve"> </w:t>
      </w:r>
      <w:bookmarkStart w:id="2" w:name="_Hlk69816814"/>
      <w:r w:rsidRPr="001E7AC2">
        <w:rPr>
          <w:i/>
          <w:iCs/>
        </w:rPr>
        <w:t>Id</w:t>
      </w:r>
      <w:r>
        <w:t xml:space="preserve">. </w:t>
      </w:r>
      <w:bookmarkEnd w:id="2"/>
    </w:p>
  </w:footnote>
  <w:footnote w:id="27">
    <w:p w:rsidR="004F7513" w14:paraId="3A15F5E1" w14:textId="7CAA59BC">
      <w:pPr>
        <w:pStyle w:val="FootnoteText"/>
      </w:pPr>
      <w:r>
        <w:rPr>
          <w:rStyle w:val="FootnoteReference"/>
        </w:rPr>
        <w:footnoteRef/>
      </w:r>
      <w:r>
        <w:t xml:space="preserve"> </w:t>
      </w:r>
      <w:r w:rsidRPr="001E7AC2" w:rsidR="00A24340">
        <w:rPr>
          <w:i/>
          <w:iCs/>
        </w:rPr>
        <w:t>Id</w:t>
      </w:r>
      <w:r w:rsidR="00A24340">
        <w:t xml:space="preserve">. </w:t>
      </w:r>
    </w:p>
  </w:footnote>
  <w:footnote w:id="28">
    <w:p w:rsidR="003342BD" w:rsidP="003342BD" w14:paraId="0A34EC4F" w14:textId="4C0FAA32">
      <w:pPr>
        <w:pStyle w:val="FootnoteText"/>
      </w:pPr>
      <w:r>
        <w:rPr>
          <w:rStyle w:val="FootnoteReference"/>
        </w:rPr>
        <w:footnoteRef/>
      </w:r>
      <w:r>
        <w:t xml:space="preserve"> 47 CFR § 1.3.</w:t>
      </w:r>
      <w:r w:rsidR="0007231B">
        <w:t xml:space="preserve">  </w:t>
      </w:r>
      <w:r w:rsidR="0007231B">
        <w:rPr>
          <w:snapToGrid w:val="0"/>
        </w:rPr>
        <w:t xml:space="preserve">This waiver standard, and the waiver standard applied in the context of wireless radio services licenses, 47 CFR § 1.925, have been found to be substantially the same.  </w:t>
      </w:r>
      <w:r w:rsidR="0007231B">
        <w:rPr>
          <w:i/>
          <w:iCs/>
          <w:snapToGrid w:val="0"/>
        </w:rPr>
        <w:t>See</w:t>
      </w:r>
      <w:r w:rsidR="0007231B">
        <w:rPr>
          <w:snapToGrid w:val="0"/>
        </w:rPr>
        <w:t xml:space="preserve"> </w:t>
      </w:r>
      <w:r w:rsidRPr="00522C40" w:rsidR="0007231B">
        <w:rPr>
          <w:i/>
          <w:iCs/>
          <w:snapToGrid w:val="0"/>
        </w:rPr>
        <w:t>Delta Radio, Inc</w:t>
      </w:r>
      <w:r w:rsidR="0007231B">
        <w:rPr>
          <w:snapToGrid w:val="0"/>
        </w:rPr>
        <w:t xml:space="preserve">., </w:t>
      </w:r>
      <w:r w:rsidRPr="00522C40" w:rsidR="0007231B">
        <w:rPr>
          <w:snapToGrid w:val="0"/>
        </w:rPr>
        <w:t>Memorandum Opinion and Order,</w:t>
      </w:r>
      <w:r w:rsidR="0007231B">
        <w:rPr>
          <w:snapToGrid w:val="0"/>
        </w:rPr>
        <w:t xml:space="preserve"> 18 FCC </w:t>
      </w:r>
      <w:r w:rsidR="0007231B">
        <w:rPr>
          <w:snapToGrid w:val="0"/>
        </w:rPr>
        <w:t>Rcd</w:t>
      </w:r>
      <w:r w:rsidR="0007231B">
        <w:rPr>
          <w:snapToGrid w:val="0"/>
        </w:rPr>
        <w:t xml:space="preserve"> 16889, 16891</w:t>
      </w:r>
      <w:r w:rsidR="0092081E">
        <w:rPr>
          <w:snapToGrid w:val="0"/>
        </w:rPr>
        <w:t>,</w:t>
      </w:r>
      <w:r w:rsidR="0007231B">
        <w:rPr>
          <w:snapToGrid w:val="0"/>
        </w:rPr>
        <w:t xml:space="preserve"> </w:t>
      </w:r>
      <w:r w:rsidR="00294C9C">
        <w:rPr>
          <w:snapToGrid w:val="0"/>
        </w:rPr>
        <w:t>para.</w:t>
      </w:r>
      <w:r w:rsidR="0007231B">
        <w:rPr>
          <w:snapToGrid w:val="0"/>
        </w:rPr>
        <w:t xml:space="preserve"> 7 &amp; n.19 (2003) (citing </w:t>
      </w:r>
      <w:r w:rsidR="0007231B">
        <w:rPr>
          <w:i/>
          <w:iCs/>
          <w:snapToGrid w:val="0"/>
        </w:rPr>
        <w:t>Bellsouth Corporation v. FCC</w:t>
      </w:r>
      <w:r w:rsidRPr="00522C40" w:rsidR="0007231B">
        <w:rPr>
          <w:snapToGrid w:val="0"/>
        </w:rPr>
        <w:t>,</w:t>
      </w:r>
      <w:r w:rsidR="0007231B">
        <w:rPr>
          <w:snapToGrid w:val="0"/>
        </w:rPr>
        <w:t xml:space="preserve"> 162 F.3d 1215, 1225 n.10 (D.C. Cir. 1999)).</w:t>
      </w:r>
    </w:p>
  </w:footnote>
  <w:footnote w:id="29">
    <w:p w:rsidR="00645EB4" w:rsidP="00645EB4" w14:paraId="112CB4C3" w14:textId="601B4063">
      <w:pPr>
        <w:pStyle w:val="FootnoteText"/>
      </w:pPr>
      <w:r w:rsidRPr="00927556">
        <w:rPr>
          <w:rStyle w:val="FootnoteReference"/>
        </w:rPr>
        <w:footnoteRef/>
      </w:r>
      <w:r w:rsidRPr="00927556">
        <w:rPr>
          <w:i/>
        </w:rPr>
        <w:t xml:space="preserve"> See, e.g., Northeast Cellular Tel. Co. v. FCC</w:t>
      </w:r>
      <w:r w:rsidRPr="00927556">
        <w:t xml:space="preserve">, 897 F.2d 1164, 1166 (D.C. Cir. 1990).  </w:t>
      </w:r>
      <w:r w:rsidRPr="00927556">
        <w:rPr>
          <w:i/>
        </w:rPr>
        <w:t>See also</w:t>
      </w:r>
      <w:r w:rsidRPr="00927556">
        <w:t xml:space="preserve"> 47 </w:t>
      </w:r>
      <w:r w:rsidR="00113F93">
        <w:t>CFR</w:t>
      </w:r>
      <w:r w:rsidRPr="00927556">
        <w:t xml:space="preserve"> § 1.925(</w:t>
      </w:r>
      <w:r>
        <w:t>b</w:t>
      </w:r>
      <w:r w:rsidRPr="00927556">
        <w:t>)(3)(</w:t>
      </w:r>
      <w:r w:rsidRPr="00927556">
        <w:t>i</w:t>
      </w:r>
      <w:r w:rsidRPr="00927556">
        <w:t>)</w:t>
      </w:r>
      <w:r>
        <w:t>-(ii)</w:t>
      </w:r>
      <w:r w:rsidRPr="00927556">
        <w:t>.</w:t>
      </w:r>
      <w:r>
        <w:t xml:space="preserve"> </w:t>
      </w:r>
    </w:p>
  </w:footnote>
  <w:footnote w:id="30">
    <w:p w:rsidR="00645EB4" w:rsidP="00645EB4" w14:paraId="7B1F4466" w14:textId="076C1463">
      <w:pPr>
        <w:pStyle w:val="FootnoteText"/>
      </w:pPr>
      <w:r>
        <w:rPr>
          <w:rStyle w:val="FootnoteReference"/>
        </w:rPr>
        <w:footnoteRef/>
      </w:r>
      <w:r>
        <w:t xml:space="preserve"> </w:t>
      </w:r>
      <w:r w:rsidRPr="005B7969">
        <w:t xml:space="preserve">47 </w:t>
      </w:r>
      <w:r w:rsidR="00113F93">
        <w:t>CFR</w:t>
      </w:r>
      <w:r w:rsidRPr="005B7969">
        <w:t xml:space="preserve"> § 1.</w:t>
      </w:r>
      <w:r w:rsidRPr="00D5055C">
        <w:t>925(b)(3)(</w:t>
      </w:r>
      <w:r w:rsidRPr="00D5055C">
        <w:t>i</w:t>
      </w:r>
      <w:r w:rsidRPr="00D5055C">
        <w:t>)-(ii)</w:t>
      </w:r>
      <w:r w:rsidRPr="005B7969">
        <w:t>.</w:t>
      </w:r>
      <w:r w:rsidRPr="00927556">
        <w:t xml:space="preserve">  </w:t>
      </w:r>
      <w:r w:rsidRPr="00927556">
        <w:rPr>
          <w:i/>
        </w:rPr>
        <w:t>See also Northeast Cellular</w:t>
      </w:r>
      <w:r w:rsidRPr="00927556">
        <w:t>,</w:t>
      </w:r>
      <w:r w:rsidRPr="00927556">
        <w:rPr>
          <w:i/>
        </w:rPr>
        <w:t xml:space="preserve"> </w:t>
      </w:r>
      <w:r w:rsidRPr="00927556">
        <w:t>897 F.2d at 1166</w:t>
      </w:r>
      <w:r>
        <w:t xml:space="preserve">; </w:t>
      </w:r>
      <w:r w:rsidRPr="00927556">
        <w:rPr>
          <w:i/>
        </w:rPr>
        <w:t>WAIT Radio v. FCC</w:t>
      </w:r>
      <w:r w:rsidRPr="00927556">
        <w:t xml:space="preserve">, 418 F.2d 1153, 1155, 1157 (D.C. Cir. 1969), </w:t>
      </w:r>
      <w:r w:rsidRPr="00927556">
        <w:rPr>
          <w:i/>
        </w:rPr>
        <w:t>aff’d</w:t>
      </w:r>
      <w:r w:rsidRPr="00927556">
        <w:t xml:space="preserve">, 459 F.2d 1203 (1972), </w:t>
      </w:r>
      <w:r w:rsidRPr="00927556">
        <w:rPr>
          <w:i/>
        </w:rPr>
        <w:t>cert. denied</w:t>
      </w:r>
      <w:r w:rsidRPr="00927556">
        <w:t xml:space="preserve">, 93 </w:t>
      </w:r>
      <w:r w:rsidRPr="00927556">
        <w:t>S.Ct</w:t>
      </w:r>
      <w:r w:rsidRPr="00927556">
        <w:t>. 461 (1972)</w:t>
      </w:r>
      <w:r>
        <w:t xml:space="preserve"> </w:t>
      </w:r>
      <w:r w:rsidRPr="00927556">
        <w:t>(finding that the Commission may decide in some instances that rule waiver serves the public interest if an applicant’s proposal will not undermine the policy served by the rule)</w:t>
      </w:r>
      <w:r>
        <w:t xml:space="preserve">; </w:t>
      </w:r>
      <w:r w:rsidRPr="00927556">
        <w:rPr>
          <w:i/>
        </w:rPr>
        <w:t>Thomas Radio v. FCC</w:t>
      </w:r>
      <w:r w:rsidRPr="00927556">
        <w:t>, 716 F.2d 921, 924 (D.C. Cir. 1983</w:t>
      </w:r>
      <w:r>
        <w:t>)</w:t>
      </w:r>
      <w:r w:rsidRPr="00927556">
        <w:t>.</w:t>
      </w:r>
    </w:p>
  </w:footnote>
  <w:footnote w:id="31">
    <w:p w:rsidR="0027617F" w:rsidP="0027617F" w14:paraId="1D71CF88" w14:textId="63DBF261">
      <w:pPr>
        <w:pStyle w:val="FootnoteText"/>
      </w:pPr>
      <w:r>
        <w:rPr>
          <w:rStyle w:val="FootnoteReference"/>
        </w:rPr>
        <w:footnoteRef/>
      </w:r>
      <w:r>
        <w:t xml:space="preserve"> </w:t>
      </w:r>
      <w:r w:rsidRPr="00D5055C" w:rsidR="00570774">
        <w:rPr>
          <w:i/>
          <w:iCs/>
        </w:rPr>
        <w:t>Ted W. Austin, Jr.</w:t>
      </w:r>
      <w:r w:rsidR="00570774">
        <w:t xml:space="preserve">, </w:t>
      </w:r>
      <w:r w:rsidRPr="00D5055C" w:rsidR="00570774">
        <w:t>Memorandum Opinion and Order</w:t>
      </w:r>
      <w:r w:rsidR="00570774">
        <w:t xml:space="preserve">, 30 FCC </w:t>
      </w:r>
      <w:r w:rsidR="00570774">
        <w:t>Rcd</w:t>
      </w:r>
      <w:r w:rsidR="00570774">
        <w:t xml:space="preserve"> 3486, </w:t>
      </w:r>
      <w:r w:rsidR="005A32A8">
        <w:t xml:space="preserve">3487, </w:t>
      </w:r>
      <w:r w:rsidR="00570774">
        <w:t>348</w:t>
      </w:r>
      <w:r w:rsidR="00E46A18">
        <w:t>9</w:t>
      </w:r>
      <w:r w:rsidR="00570774">
        <w:t>, para</w:t>
      </w:r>
      <w:r w:rsidR="0052307A">
        <w:t>s</w:t>
      </w:r>
      <w:r w:rsidR="00570774">
        <w:t xml:space="preserve">. </w:t>
      </w:r>
      <w:r w:rsidR="0052307A">
        <w:t xml:space="preserve">4, </w:t>
      </w:r>
      <w:r w:rsidR="00E46A18">
        <w:t>8</w:t>
      </w:r>
      <w:r w:rsidR="00570774">
        <w:t xml:space="preserve"> (2015</w:t>
      </w:r>
      <w:r w:rsidRPr="004F7513" w:rsidR="00570774">
        <w:t>)</w:t>
      </w:r>
      <w:r w:rsidR="00570774">
        <w:t xml:space="preserve"> (</w:t>
      </w:r>
      <w:r w:rsidRPr="00D5055C" w:rsidR="00570774">
        <w:rPr>
          <w:i/>
          <w:iCs/>
        </w:rPr>
        <w:t>Austin Order</w:t>
      </w:r>
      <w:r w:rsidR="00570774">
        <w:t>)</w:t>
      </w:r>
      <w:r w:rsidR="000D1A51">
        <w:t xml:space="preserve"> (</w:t>
      </w:r>
      <w:r w:rsidR="00105A49">
        <w:t>affirming denial of</w:t>
      </w:r>
      <w:r w:rsidR="0092081E">
        <w:t xml:space="preserve"> </w:t>
      </w:r>
      <w:r w:rsidR="00D14251">
        <w:t>request for waive</w:t>
      </w:r>
      <w:r w:rsidR="00937F4B">
        <w:t xml:space="preserve">r </w:t>
      </w:r>
      <w:r w:rsidR="006A116F">
        <w:t xml:space="preserve">where </w:t>
      </w:r>
      <w:r w:rsidR="00F26657">
        <w:t xml:space="preserve">down </w:t>
      </w:r>
      <w:r w:rsidR="006A116F">
        <w:t xml:space="preserve">payment was </w:t>
      </w:r>
      <w:r w:rsidR="0078703C">
        <w:t>one</w:t>
      </w:r>
      <w:r w:rsidR="006A116F">
        <w:t xml:space="preserve"> day late and winning bidder </w:t>
      </w:r>
      <w:r w:rsidR="001769F3">
        <w:t xml:space="preserve">claimed that a family emergency prevented </w:t>
      </w:r>
      <w:r w:rsidR="00E267E9">
        <w:t>him from appearing</w:t>
      </w:r>
      <w:r w:rsidR="006B581E">
        <w:t xml:space="preserve"> </w:t>
      </w:r>
      <w:r w:rsidR="00E267E9">
        <w:t>in person</w:t>
      </w:r>
      <w:r w:rsidR="0078703C">
        <w:t xml:space="preserve"> at the bank</w:t>
      </w:r>
      <w:r w:rsidR="00E267E9">
        <w:t xml:space="preserve"> </w:t>
      </w:r>
      <w:r w:rsidR="00A5431F">
        <w:t xml:space="preserve">to </w:t>
      </w:r>
      <w:r w:rsidR="00CD71F6">
        <w:t>initiate</w:t>
      </w:r>
      <w:r w:rsidR="002600B9">
        <w:t xml:space="preserve"> the</w:t>
      </w:r>
      <w:r w:rsidR="00C261FD">
        <w:t xml:space="preserve"> wire</w:t>
      </w:r>
      <w:r w:rsidR="002600B9">
        <w:t xml:space="preserve"> transfer</w:t>
      </w:r>
      <w:r w:rsidR="0078703C">
        <w:t xml:space="preserve"> on the due date</w:t>
      </w:r>
      <w:r w:rsidR="000D1A51">
        <w:t>)</w:t>
      </w:r>
      <w:r w:rsidR="006A1E90">
        <w:t xml:space="preserve">; </w:t>
      </w:r>
      <w:r w:rsidRPr="00FA51EA" w:rsidR="006A1E90">
        <w:rPr>
          <w:i/>
          <w:iCs/>
        </w:rPr>
        <w:t>see also</w:t>
      </w:r>
      <w:r w:rsidRPr="00FA51EA" w:rsidR="00570774">
        <w:t xml:space="preserve"> </w:t>
      </w:r>
      <w:r w:rsidRPr="00D5055C">
        <w:rPr>
          <w:i/>
          <w:iCs/>
        </w:rPr>
        <w:t>Kankakee Valley Broadcasting Co., Inc</w:t>
      </w:r>
      <w:r w:rsidRPr="004F7513">
        <w:t>.</w:t>
      </w:r>
      <w:r w:rsidRPr="00D5055C">
        <w:t>, Memorandum Opinion and Order,</w:t>
      </w:r>
      <w:r>
        <w:rPr>
          <w:i/>
        </w:rPr>
        <w:t xml:space="preserve"> </w:t>
      </w:r>
      <w:r>
        <w:t xml:space="preserve">22 FCC </w:t>
      </w:r>
      <w:r>
        <w:t>Rcd</w:t>
      </w:r>
      <w:r>
        <w:t xml:space="preserve"> 8591</w:t>
      </w:r>
      <w:r w:rsidR="00291C25">
        <w:t>, 8593-</w:t>
      </w:r>
      <w:r w:rsidR="00CF67DE">
        <w:t>98, paras. 8-16</w:t>
      </w:r>
      <w:r>
        <w:t xml:space="preserve"> (WTB/ASAD 2007) (</w:t>
      </w:r>
      <w:r w:rsidRPr="008644FA">
        <w:rPr>
          <w:i/>
          <w:iCs/>
        </w:rPr>
        <w:t>Kankakee</w:t>
      </w:r>
      <w:r>
        <w:rPr>
          <w:i/>
          <w:iCs/>
        </w:rPr>
        <w:t xml:space="preserve"> Order</w:t>
      </w:r>
      <w:r>
        <w:t xml:space="preserve">) (denying request for waiver of section 1.2107(b) and dismissing long-form application for FM construction permit where winning bidder claimed to be “unaware” of deadlines because of principal’s distraction due to medical treatments). </w:t>
      </w:r>
    </w:p>
  </w:footnote>
  <w:footnote w:id="32">
    <w:p w:rsidR="007B0E83" w:rsidP="007B0E83" w14:paraId="347089FE" w14:textId="4ACEA90F">
      <w:pPr>
        <w:pStyle w:val="FootnoteText"/>
      </w:pPr>
      <w:r>
        <w:rPr>
          <w:rStyle w:val="FootnoteReference"/>
        </w:rPr>
        <w:footnoteRef/>
      </w:r>
      <w:r w:rsidR="00E4105F">
        <w:t xml:space="preserve"> Request for Waiver </w:t>
      </w:r>
      <w:r>
        <w:t xml:space="preserve">at </w:t>
      </w:r>
      <w:r w:rsidR="00E4105F">
        <w:t>1-2</w:t>
      </w:r>
      <w:r>
        <w:t>.</w:t>
      </w:r>
    </w:p>
  </w:footnote>
  <w:footnote w:id="33">
    <w:p w:rsidR="000733D0" w:rsidP="000733D0" w14:paraId="3F53BBE9" w14:textId="77777777">
      <w:pPr>
        <w:pStyle w:val="FootnoteText"/>
      </w:pPr>
      <w:r>
        <w:rPr>
          <w:rStyle w:val="FootnoteReference"/>
        </w:rPr>
        <w:footnoteRef/>
      </w:r>
      <w:r>
        <w:t xml:space="preserve"> </w:t>
      </w:r>
      <w:r>
        <w:rPr>
          <w:i/>
          <w:iCs/>
        </w:rPr>
        <w:t xml:space="preserve">See </w:t>
      </w:r>
      <w:r w:rsidRPr="00D5055C">
        <w:rPr>
          <w:i/>
          <w:iCs/>
        </w:rPr>
        <w:t>BDPCS, Inc</w:t>
      </w:r>
      <w:r>
        <w:t>.</w:t>
      </w:r>
      <w:r w:rsidRPr="00D5055C">
        <w:rPr>
          <w:iCs/>
        </w:rPr>
        <w:t>,</w:t>
      </w:r>
      <w:r>
        <w:rPr>
          <w:i/>
        </w:rPr>
        <w:t xml:space="preserve"> </w:t>
      </w:r>
      <w:r w:rsidRPr="00D5055C">
        <w:rPr>
          <w:iCs/>
        </w:rPr>
        <w:t>Memorandum Opinion and Order,</w:t>
      </w:r>
      <w:r w:rsidRPr="004F7513">
        <w:rPr>
          <w:iCs/>
        </w:rPr>
        <w:t xml:space="preserve"> </w:t>
      </w:r>
      <w:r>
        <w:t xml:space="preserve">15 FCC </w:t>
      </w:r>
      <w:r>
        <w:t>Rcd</w:t>
      </w:r>
      <w:r>
        <w:t xml:space="preserve"> 17590, 17598-600, paras. 15-16 (2000), </w:t>
      </w:r>
      <w:r>
        <w:rPr>
          <w:i/>
        </w:rPr>
        <w:t>review denied BDPCS, Inc. v FCC</w:t>
      </w:r>
      <w:r>
        <w:t xml:space="preserve">, 351 F.3d 1177 (D.C. Cir. 2003) (reviewing the purposes of the down payment rule and the reasons for its strict enforcement); </w:t>
      </w:r>
      <w:r>
        <w:rPr>
          <w:i/>
        </w:rPr>
        <w:t>Mountain Solutions Ltd., Inc. v. FCC</w:t>
      </w:r>
      <w:r>
        <w:t xml:space="preserve">, 197 F.3d 512, 518 (D.C. Cir. 1999) (upholding Commission policy of strict enforcement of down payment deadlines).  </w:t>
      </w:r>
    </w:p>
  </w:footnote>
  <w:footnote w:id="34">
    <w:p w:rsidR="000733D0" w:rsidP="000733D0" w14:paraId="0A5CB06A" w14:textId="77777777">
      <w:pPr>
        <w:pStyle w:val="FootnoteText"/>
      </w:pPr>
      <w:r>
        <w:rPr>
          <w:rStyle w:val="FootnoteReference"/>
        </w:rPr>
        <w:footnoteRef/>
      </w:r>
      <w:r>
        <w:t xml:space="preserve"> </w:t>
      </w:r>
      <w:r w:rsidRPr="00D5055C">
        <w:rPr>
          <w:i/>
          <w:iCs/>
        </w:rPr>
        <w:t>Austin</w:t>
      </w:r>
      <w:r>
        <w:rPr>
          <w:i/>
          <w:iCs/>
        </w:rPr>
        <w:t xml:space="preserve"> Order</w:t>
      </w:r>
      <w:r>
        <w:t xml:space="preserve">, 30 FCC </w:t>
      </w:r>
      <w:r>
        <w:t>Rcd</w:t>
      </w:r>
      <w:r>
        <w:t xml:space="preserve"> at 3491, para. 11</w:t>
      </w:r>
      <w:r w:rsidRPr="004F7513">
        <w:t>.</w:t>
      </w:r>
    </w:p>
  </w:footnote>
  <w:footnote w:id="35">
    <w:p w:rsidR="00C62FDC" w:rsidP="00C62FDC" w14:paraId="695CA1DE" w14:textId="2CD221CB">
      <w:pPr>
        <w:pStyle w:val="FootnoteText"/>
      </w:pPr>
      <w:r>
        <w:rPr>
          <w:rStyle w:val="FootnoteReference"/>
        </w:rPr>
        <w:footnoteRef/>
      </w:r>
      <w:r>
        <w:t xml:space="preserve"> </w:t>
      </w:r>
      <w:r w:rsidR="00904F5E">
        <w:rPr>
          <w:i/>
          <w:iCs/>
        </w:rPr>
        <w:t>Id.</w:t>
      </w:r>
      <w:r w:rsidR="004F10A0">
        <w:t xml:space="preserve"> </w:t>
      </w:r>
      <w:r w:rsidR="00E46A18">
        <w:t>at</w:t>
      </w:r>
      <w:r w:rsidR="004F10A0">
        <w:t xml:space="preserve"> 348</w:t>
      </w:r>
      <w:r w:rsidR="00853832">
        <w:t>7</w:t>
      </w:r>
      <w:r w:rsidR="004F10A0">
        <w:t xml:space="preserve">, para. </w:t>
      </w:r>
      <w:r w:rsidR="00853832">
        <w:t>4</w:t>
      </w:r>
      <w:r w:rsidRPr="004F7513" w:rsidR="004F10A0">
        <w:t>.</w:t>
      </w:r>
    </w:p>
  </w:footnote>
  <w:footnote w:id="36">
    <w:p w:rsidR="00C62FDC" w14:paraId="5B594484" w14:textId="6B9F810D">
      <w:pPr>
        <w:pStyle w:val="FootnoteText"/>
      </w:pPr>
      <w:r>
        <w:rPr>
          <w:rStyle w:val="FootnoteReference"/>
        </w:rPr>
        <w:footnoteRef/>
      </w:r>
      <w:r>
        <w:t xml:space="preserve"> </w:t>
      </w:r>
      <w:r w:rsidRPr="007F290A" w:rsidR="00124117">
        <w:rPr>
          <w:i/>
          <w:iCs/>
        </w:rPr>
        <w:t>Id</w:t>
      </w:r>
      <w:r w:rsidR="00124117">
        <w:t>.</w:t>
      </w:r>
    </w:p>
  </w:footnote>
  <w:footnote w:id="37">
    <w:p w:rsidR="00B20AC6" w:rsidP="00B20AC6" w14:paraId="518229EA" w14:textId="5484A94A">
      <w:pPr>
        <w:pStyle w:val="FootnoteText"/>
      </w:pPr>
      <w:r>
        <w:rPr>
          <w:rStyle w:val="FootnoteReference"/>
        </w:rPr>
        <w:footnoteRef/>
      </w:r>
      <w:r>
        <w:t xml:space="preserve"> </w:t>
      </w:r>
      <w:r w:rsidRPr="002A0375">
        <w:rPr>
          <w:i/>
          <w:iCs/>
        </w:rPr>
        <w:t>Id</w:t>
      </w:r>
      <w:r>
        <w:t xml:space="preserve">. at 3489, para. 8 (quoting </w:t>
      </w:r>
      <w:r w:rsidRPr="002A0375">
        <w:rPr>
          <w:i/>
          <w:iCs/>
        </w:rPr>
        <w:t>Mountain Solutions Ltd., Inc. v. FCC</w:t>
      </w:r>
      <w:r w:rsidRPr="002A0375">
        <w:t>, 197 F.3d 512, 518 (D.C. Cir. 1999)</w:t>
      </w:r>
      <w:r>
        <w:t xml:space="preserve">).  </w:t>
      </w:r>
      <w:r w:rsidRPr="002A0375">
        <w:rPr>
          <w:i/>
          <w:iCs/>
        </w:rPr>
        <w:t>See also</w:t>
      </w:r>
      <w:r>
        <w:t xml:space="preserve"> </w:t>
      </w:r>
      <w:r w:rsidRPr="00D5055C">
        <w:rPr>
          <w:i/>
        </w:rPr>
        <w:t xml:space="preserve">Erie Radio </w:t>
      </w:r>
      <w:r>
        <w:rPr>
          <w:i/>
        </w:rPr>
        <w:t>Company, LLC</w:t>
      </w:r>
      <w:r>
        <w:rPr>
          <w:iCs/>
        </w:rPr>
        <w:t xml:space="preserve">, Memorandum Opinion and Order, 32 FCC </w:t>
      </w:r>
      <w:r>
        <w:rPr>
          <w:iCs/>
        </w:rPr>
        <w:t>Rcd</w:t>
      </w:r>
      <w:r>
        <w:rPr>
          <w:iCs/>
        </w:rPr>
        <w:t xml:space="preserve"> 3890, 3893, para.</w:t>
      </w:r>
      <w:r>
        <w:t xml:space="preserve"> 10 (2017) (noting the Commission’s unwavering strict enforcement of the down payment deadline); </w:t>
      </w:r>
      <w:r w:rsidRPr="00D5055C">
        <w:rPr>
          <w:i/>
          <w:iCs/>
        </w:rPr>
        <w:t xml:space="preserve">TPS </w:t>
      </w:r>
      <w:r w:rsidRPr="00D5055C">
        <w:rPr>
          <w:i/>
          <w:iCs/>
        </w:rPr>
        <w:t>Utilicom</w:t>
      </w:r>
      <w:r w:rsidRPr="00D5055C">
        <w:rPr>
          <w:i/>
          <w:iCs/>
        </w:rPr>
        <w:t>, Inc</w:t>
      </w:r>
      <w:r>
        <w:t xml:space="preserve">., </w:t>
      </w:r>
      <w:r w:rsidRPr="00D5055C">
        <w:rPr>
          <w:iCs/>
        </w:rPr>
        <w:t>Order on Reconsideration,</w:t>
      </w:r>
      <w:r>
        <w:t xml:space="preserve"> 18 FCC </w:t>
      </w:r>
      <w:r>
        <w:t>Rcd</w:t>
      </w:r>
      <w:r>
        <w:t xml:space="preserve"> 2516, 2520, para. 9 (2003) (denying request for waiver where petitioner submitted down payments for some but not all licenses where it was the high bidder); </w:t>
      </w:r>
      <w:r>
        <w:rPr>
          <w:i/>
          <w:iCs/>
        </w:rPr>
        <w:t>Kankakee Order</w:t>
      </w:r>
      <w:r w:rsidRPr="00D5055C">
        <w:t>,</w:t>
      </w:r>
      <w:r>
        <w:rPr>
          <w:i/>
        </w:rPr>
        <w:t xml:space="preserve"> </w:t>
      </w:r>
      <w:r>
        <w:t xml:space="preserve">22 FCC </w:t>
      </w:r>
      <w:r>
        <w:t>Rcd</w:t>
      </w:r>
      <w:r>
        <w:t xml:space="preserve"> at 8596-97, para. 13.</w:t>
      </w:r>
    </w:p>
  </w:footnote>
  <w:footnote w:id="38">
    <w:p w:rsidR="006E293B" w14:paraId="0C0E941A" w14:textId="74837CB9">
      <w:pPr>
        <w:pStyle w:val="FootnoteText"/>
      </w:pPr>
      <w:r>
        <w:rPr>
          <w:rStyle w:val="FootnoteReference"/>
        </w:rPr>
        <w:footnoteRef/>
      </w:r>
      <w:r>
        <w:t xml:space="preserve"> </w:t>
      </w:r>
      <w:r w:rsidRPr="007F290A">
        <w:rPr>
          <w:i/>
          <w:iCs/>
        </w:rPr>
        <w:t>Id</w:t>
      </w:r>
      <w:r>
        <w:t xml:space="preserve">. at </w:t>
      </w:r>
      <w:r w:rsidR="00175152">
        <w:t>3491, para. 11</w:t>
      </w:r>
      <w:r w:rsidR="0018755A">
        <w:t>.</w:t>
      </w:r>
    </w:p>
  </w:footnote>
  <w:footnote w:id="39">
    <w:p w:rsidR="00720496" w:rsidP="00720496" w14:paraId="1F404A95" w14:textId="761ECC36">
      <w:pPr>
        <w:pStyle w:val="FootnoteText"/>
      </w:pPr>
      <w:r>
        <w:rPr>
          <w:rStyle w:val="FootnoteReference"/>
        </w:rPr>
        <w:footnoteRef/>
      </w:r>
      <w:r>
        <w:t xml:space="preserve"> </w:t>
      </w:r>
      <w:r>
        <w:rPr>
          <w:i/>
          <w:iCs/>
        </w:rPr>
        <w:t>See</w:t>
      </w:r>
      <w:r w:rsidR="00C977BA">
        <w:rPr>
          <w:i/>
          <w:iCs/>
        </w:rPr>
        <w:t xml:space="preserve"> </w:t>
      </w:r>
      <w:r w:rsidR="00C977BA">
        <w:t xml:space="preserve">Request for Waiver at 2-3.  </w:t>
      </w:r>
      <w:r w:rsidRPr="007F290A" w:rsidR="00C977BA">
        <w:rPr>
          <w:i/>
          <w:iCs/>
        </w:rPr>
        <w:t>See also Austin Order</w:t>
      </w:r>
      <w:r w:rsidR="00875C0E">
        <w:t xml:space="preserve">, 30 FCC </w:t>
      </w:r>
      <w:r w:rsidR="00875C0E">
        <w:t>Rcd</w:t>
      </w:r>
      <w:r>
        <w:t xml:space="preserve"> at 3491, para. 11 (</w:t>
      </w:r>
      <w:r w:rsidR="00281B41">
        <w:t>rejecting this argument because</w:t>
      </w:r>
      <w:r>
        <w:t xml:space="preserve"> “[</w:t>
      </w:r>
      <w:r>
        <w:t>i</w:t>
      </w:r>
      <w:r>
        <w:t xml:space="preserve">]f </w:t>
      </w:r>
      <w:r w:rsidR="00281B41">
        <w:t>[it]</w:t>
      </w:r>
      <w:r>
        <w:t xml:space="preserve"> were correct, any winning bidder that could show it had had the required amount of funds in its bank account at the time the initial down payment was due could justify a request for waiver of the deadline seeking an extension for any length of time.”)</w:t>
      </w:r>
    </w:p>
  </w:footnote>
  <w:footnote w:id="40">
    <w:p w:rsidR="00720496" w14:paraId="159C4BB4" w14:textId="65027BA3">
      <w:pPr>
        <w:pStyle w:val="FootnoteText"/>
      </w:pPr>
      <w:r>
        <w:rPr>
          <w:rStyle w:val="FootnoteReference"/>
        </w:rPr>
        <w:footnoteRef/>
      </w:r>
      <w:r>
        <w:t xml:space="preserve"> </w:t>
      </w:r>
      <w:r w:rsidRPr="007F290A">
        <w:rPr>
          <w:i/>
          <w:iCs/>
        </w:rPr>
        <w:t>See id</w:t>
      </w:r>
      <w:r>
        <w:t>.</w:t>
      </w:r>
    </w:p>
  </w:footnote>
  <w:footnote w:id="41">
    <w:p w:rsidR="00C83F8A" w14:paraId="4F855138" w14:textId="005F4C23">
      <w:pPr>
        <w:pStyle w:val="FootnoteText"/>
      </w:pPr>
      <w:r>
        <w:rPr>
          <w:rStyle w:val="FootnoteReference"/>
        </w:rPr>
        <w:footnoteRef/>
      </w:r>
      <w:r>
        <w:t xml:space="preserve"> Request for Waiver at 2.</w:t>
      </w:r>
    </w:p>
  </w:footnote>
  <w:footnote w:id="42">
    <w:p w:rsidR="002674E8" w:rsidP="002674E8" w14:paraId="7B0EF485" w14:textId="41C55FB8">
      <w:pPr>
        <w:pStyle w:val="FootnoteText"/>
      </w:pPr>
      <w:r>
        <w:rPr>
          <w:rStyle w:val="FootnoteReference"/>
        </w:rPr>
        <w:footnoteRef/>
      </w:r>
      <w:r>
        <w:t xml:space="preserve"> </w:t>
      </w:r>
      <w:r w:rsidRPr="00927556">
        <w:t>Hilliary’s</w:t>
      </w:r>
      <w:r w:rsidRPr="00927556">
        <w:t xml:space="preserve"> mere statement that its circumstances are “narrowly unique and highly unusual,” and thus, not likely to be encountered by other Commission applicants, is not sufficient to satisfy the requirements of </w:t>
      </w:r>
      <w:r w:rsidRPr="00927556">
        <w:rPr>
          <w:i/>
        </w:rPr>
        <w:t>WAIT Radio.  See Northeast Cellular</w:t>
      </w:r>
      <w:r w:rsidRPr="00927556">
        <w:t>, 897 F.2d at 1166-67</w:t>
      </w:r>
      <w:r w:rsidR="00E12D2D">
        <w:t xml:space="preserve"> (explaining that, if we deviate from our general rule</w:t>
      </w:r>
      <w:r w:rsidR="000836CB">
        <w:t xml:space="preserve"> to grant a waiver</w:t>
      </w:r>
      <w:r w:rsidR="00E12D2D">
        <w:t>, we “must explain why deviation better serves the public interest and articulate the nature of the special circumstances to prevent discriminatory application and to put future parties on notice as to its operation”)</w:t>
      </w:r>
      <w:r w:rsidRPr="00927556">
        <w:t>.</w:t>
      </w:r>
    </w:p>
  </w:footnote>
  <w:footnote w:id="43">
    <w:p w:rsidR="002674E8" w:rsidP="002674E8" w14:paraId="0B6CEB2D" w14:textId="4BF5F7A0">
      <w:pPr>
        <w:pStyle w:val="FootnoteText"/>
      </w:pPr>
      <w:r>
        <w:rPr>
          <w:rStyle w:val="FootnoteReference"/>
        </w:rPr>
        <w:footnoteRef/>
      </w:r>
      <w:r w:rsidR="00BD3B66">
        <w:rPr>
          <w:i/>
        </w:rPr>
        <w:t xml:space="preserve"> </w:t>
      </w:r>
      <w:r>
        <w:rPr>
          <w:i/>
        </w:rPr>
        <w:t>Auction 105</w:t>
      </w:r>
      <w:r>
        <w:t xml:space="preserve"> </w:t>
      </w:r>
      <w:r>
        <w:rPr>
          <w:i/>
        </w:rPr>
        <w:t>Procedures Public Notice,</w:t>
      </w:r>
      <w:r>
        <w:t xml:space="preserve"> 35 FCC </w:t>
      </w:r>
      <w:r>
        <w:t>Rcd</w:t>
      </w:r>
      <w:r>
        <w:t xml:space="preserve"> at 2182 (advising potential Auction 105 participants with regard to upfront payments to discuss arrangements with their bankers “several days” before executing their wire transfers and to allow sufficient time for transfers to be initiated and completed before that deadline); </w:t>
      </w:r>
      <w:r>
        <w:rPr>
          <w:i/>
        </w:rPr>
        <w:t>Auction 105</w:t>
      </w:r>
      <w:r>
        <w:t xml:space="preserve"> </w:t>
      </w:r>
      <w:r>
        <w:rPr>
          <w:i/>
        </w:rPr>
        <w:t>Closing Public Notice,</w:t>
      </w:r>
      <w:r>
        <w:t xml:space="preserve"> 35 FCC </w:t>
      </w:r>
      <w:r>
        <w:t>Rcd</w:t>
      </w:r>
      <w:r>
        <w:t xml:space="preserve"> at 9291.         </w:t>
      </w:r>
    </w:p>
  </w:footnote>
  <w:footnote w:id="44">
    <w:p w:rsidR="007B2B37" w:rsidP="007B2B37" w14:paraId="4DDD6070" w14:textId="62F87C6E">
      <w:pPr>
        <w:pStyle w:val="FootnoteText"/>
      </w:pPr>
      <w:r>
        <w:rPr>
          <w:rStyle w:val="FootnoteReference"/>
        </w:rPr>
        <w:footnoteRef/>
      </w:r>
      <w:r>
        <w:t xml:space="preserve"> Request for Waiver at 2.</w:t>
      </w:r>
    </w:p>
  </w:footnote>
  <w:footnote w:id="45">
    <w:p w:rsidR="007B2B37" w:rsidRPr="0007768B" w:rsidP="007B2B37" w14:paraId="40C98A2B" w14:textId="6AC41187">
      <w:pPr>
        <w:pStyle w:val="FootnoteText"/>
        <w:rPr>
          <w:iCs/>
        </w:rPr>
      </w:pPr>
      <w:r>
        <w:rPr>
          <w:rStyle w:val="FootnoteReference"/>
        </w:rPr>
        <w:footnoteRef/>
      </w:r>
      <w:r>
        <w:t xml:space="preserve"> </w:t>
      </w:r>
      <w:r w:rsidRPr="0007768B">
        <w:rPr>
          <w:i/>
        </w:rPr>
        <w:t>See</w:t>
      </w:r>
      <w:r>
        <w:rPr>
          <w:i/>
        </w:rPr>
        <w:t xml:space="preserve"> Kankakee Order</w:t>
      </w:r>
      <w:r w:rsidRPr="00D5055C">
        <w:rPr>
          <w:iCs/>
        </w:rPr>
        <w:t xml:space="preserve">, </w:t>
      </w:r>
      <w:r>
        <w:t xml:space="preserve">22 FCC </w:t>
      </w:r>
      <w:r>
        <w:t>Rcd</w:t>
      </w:r>
      <w:r>
        <w:t xml:space="preserve"> at 859</w:t>
      </w:r>
      <w:r w:rsidR="00BD3B66">
        <w:t>4, para. 9</w:t>
      </w:r>
      <w:r>
        <w:t xml:space="preserve"> (“The Commission has held that something as common as an employee’s illness</w:t>
      </w:r>
      <w:r>
        <w:rPr>
          <w:iCs/>
        </w:rPr>
        <w:t xml:space="preserve"> does not rise to the level of a unique or unusual circumstance, warranting special consideration by the Commission.”) (internal quotation marks omitted).</w:t>
      </w:r>
      <w:r w:rsidR="00E41223">
        <w:rPr>
          <w:iCs/>
        </w:rPr>
        <w:t xml:space="preserve">  </w:t>
      </w:r>
      <w:r w:rsidRPr="00113F93" w:rsidR="00E41223">
        <w:rPr>
          <w:i/>
        </w:rPr>
        <w:t>See also</w:t>
      </w:r>
      <w:r w:rsidR="00262AFB">
        <w:rPr>
          <w:iCs/>
        </w:rPr>
        <w:t xml:space="preserve"> </w:t>
      </w:r>
      <w:r w:rsidRPr="00FA78E8" w:rsidR="00262AFB">
        <w:t xml:space="preserve">Proclamation No. 9994, 85 FR 153337 (Mar. 13, 2020), </w:t>
      </w:r>
      <w:hyperlink r:id="rId2" w:history="1">
        <w:r w:rsidRPr="00FA78E8" w:rsidR="00262AFB">
          <w:rPr>
            <w:rStyle w:val="Hyperlink"/>
          </w:rPr>
          <w:t>https://www.whitehouse.gov/presidential-actions/proclamation-declaring-national-emergency-concerning-novel-coronavirus-disease-covid-19-outbreak/</w:t>
        </w:r>
      </w:hyperlink>
      <w:r w:rsidRPr="005204EE" w:rsidR="00262AFB">
        <w:t>.</w:t>
      </w:r>
    </w:p>
  </w:footnote>
  <w:footnote w:id="46">
    <w:p w:rsidR="007B2B37" w:rsidP="007B2B37" w14:paraId="0EC67987" w14:textId="77777777">
      <w:pPr>
        <w:pStyle w:val="FootnoteText"/>
      </w:pPr>
      <w:r>
        <w:rPr>
          <w:rStyle w:val="FootnoteReference"/>
        </w:rPr>
        <w:footnoteRef/>
      </w:r>
      <w:r>
        <w:t xml:space="preserve"> </w:t>
      </w:r>
      <w:r w:rsidRPr="0007768B">
        <w:rPr>
          <w:i/>
          <w:iCs/>
        </w:rPr>
        <w:t>See</w:t>
      </w:r>
      <w:r w:rsidRPr="0007768B">
        <w:t xml:space="preserve"> </w:t>
      </w:r>
      <w:r w:rsidRPr="0007768B">
        <w:rPr>
          <w:i/>
          <w:iCs/>
        </w:rPr>
        <w:t xml:space="preserve">Wireless Telecommunications </w:t>
      </w:r>
      <w:r>
        <w:rPr>
          <w:i/>
          <w:iCs/>
        </w:rPr>
        <w:t xml:space="preserve">Bureau </w:t>
      </w:r>
      <w:r w:rsidRPr="0007768B">
        <w:rPr>
          <w:i/>
          <w:iCs/>
        </w:rPr>
        <w:t>Announces that Applications for Auction 105 Licenses are Accepted for Filing</w:t>
      </w:r>
      <w:r w:rsidRPr="0007768B">
        <w:t xml:space="preserve">, Public Notice, 35 FCC </w:t>
      </w:r>
      <w:r w:rsidRPr="0007768B">
        <w:t>Rcd</w:t>
      </w:r>
      <w:r w:rsidRPr="0007768B">
        <w:t xml:space="preserve"> 14080 (WTB 2020); </w:t>
      </w:r>
      <w:r w:rsidRPr="0007768B">
        <w:rPr>
          <w:i/>
          <w:iCs/>
        </w:rPr>
        <w:t xml:space="preserve">Wireless Telecommunications </w:t>
      </w:r>
      <w:r>
        <w:rPr>
          <w:i/>
          <w:iCs/>
        </w:rPr>
        <w:t xml:space="preserve">Bureau </w:t>
      </w:r>
      <w:r w:rsidRPr="0007768B">
        <w:rPr>
          <w:i/>
          <w:iCs/>
        </w:rPr>
        <w:t>Announces Additional Applications for Auction 105 Licenses are Accepted for Filing</w:t>
      </w:r>
      <w:r w:rsidRPr="00521A45">
        <w:t>,</w:t>
      </w:r>
      <w:r w:rsidRPr="0007768B">
        <w:t xml:space="preserve"> Public Notice, </w:t>
      </w:r>
      <w:r>
        <w:t xml:space="preserve">36 FCC </w:t>
      </w:r>
      <w:r>
        <w:t>Rcd</w:t>
      </w:r>
      <w:r>
        <w:t xml:space="preserve"> 798</w:t>
      </w:r>
      <w:r w:rsidRPr="0007768B">
        <w:t xml:space="preserve"> (WTB</w:t>
      </w:r>
      <w:r>
        <w:t xml:space="preserve"> </w:t>
      </w:r>
      <w:r w:rsidRPr="0007768B">
        <w:t>2021).</w:t>
      </w:r>
    </w:p>
  </w:footnote>
  <w:footnote w:id="47">
    <w:p w:rsidR="007B2B37" w:rsidP="007B2B37" w14:paraId="13D2062C" w14:textId="005564A6">
      <w:pPr>
        <w:pStyle w:val="FootnoteText"/>
      </w:pPr>
      <w:r>
        <w:rPr>
          <w:rStyle w:val="FootnoteReference"/>
        </w:rPr>
        <w:footnoteRef/>
      </w:r>
      <w:r>
        <w:t xml:space="preserve"> </w:t>
      </w:r>
      <w:r w:rsidRPr="0007768B">
        <w:t>Request for Waiver at 3</w:t>
      </w:r>
      <w:r>
        <w:t>.</w:t>
      </w:r>
    </w:p>
  </w:footnote>
  <w:footnote w:id="48">
    <w:p w:rsidR="007B2B37" w:rsidP="007B2B37" w14:paraId="7B438F1C" w14:textId="77777777">
      <w:pPr>
        <w:pStyle w:val="FootnoteText"/>
      </w:pPr>
      <w:r>
        <w:rPr>
          <w:rStyle w:val="FootnoteReference"/>
        </w:rPr>
        <w:footnoteRef/>
      </w:r>
      <w:r>
        <w:t xml:space="preserve"> </w:t>
      </w:r>
      <w:r>
        <w:rPr>
          <w:i/>
        </w:rPr>
        <w:t>See, e.g.,</w:t>
      </w:r>
      <w:r>
        <w:t xml:space="preserve"> </w:t>
      </w:r>
      <w:r w:rsidRPr="00D5055C">
        <w:rPr>
          <w:i/>
          <w:iCs/>
        </w:rPr>
        <w:t>Southern Communications Systems, Inc</w:t>
      </w:r>
      <w:r>
        <w:t xml:space="preserve">., </w:t>
      </w:r>
      <w:r w:rsidRPr="00D5055C">
        <w:rPr>
          <w:iCs/>
        </w:rPr>
        <w:t>Second Memorandum Opinion and Order,</w:t>
      </w:r>
      <w:r>
        <w:t xml:space="preserve"> 16 FCC </w:t>
      </w:r>
      <w:r>
        <w:t>Rcd</w:t>
      </w:r>
      <w:r>
        <w:t xml:space="preserve"> 18357, 18361, para. 9 (2001) (“[E]</w:t>
      </w:r>
      <w:r>
        <w:t>nforcing</w:t>
      </w:r>
      <w:r>
        <w:t xml:space="preserve"> the Commission’s payment rules . . . serves the public interest better than relying on the wholly unsubstantiated possibility that [petitioner] might have provided service in its license area sooner than the successor licensees will.”); </w:t>
      </w:r>
      <w:r>
        <w:rPr>
          <w:i/>
        </w:rPr>
        <w:t>see also</w:t>
      </w:r>
      <w:r>
        <w:t xml:space="preserve"> </w:t>
      </w:r>
      <w:r w:rsidRPr="00D5055C">
        <w:rPr>
          <w:i/>
          <w:iCs/>
        </w:rPr>
        <w:t>Spectrum IVDS, L.L.C.</w:t>
      </w:r>
      <w:r w:rsidRPr="00D5055C">
        <w:t>,</w:t>
      </w:r>
      <w:r>
        <w:rPr>
          <w:i/>
        </w:rPr>
        <w:t xml:space="preserve"> </w:t>
      </w:r>
      <w:r w:rsidRPr="00D5055C">
        <w:rPr>
          <w:iCs/>
        </w:rPr>
        <w:t>Order,</w:t>
      </w:r>
      <w:r w:rsidRPr="004F7513">
        <w:rPr>
          <w:iCs/>
        </w:rPr>
        <w:t xml:space="preserve"> </w:t>
      </w:r>
      <w:r>
        <w:t xml:space="preserve">23 FCC </w:t>
      </w:r>
      <w:r>
        <w:t>Rcd</w:t>
      </w:r>
      <w:r>
        <w:t xml:space="preserve"> 8800, 8807, para. 19 (2008) (Commission noted that “[a]</w:t>
      </w:r>
      <w:r>
        <w:t>llowing</w:t>
      </w:r>
      <w:r>
        <w:t xml:space="preserve"> winning bidders to retain licenses when they are unable to pay their winning bids prevents the auction process from assigning licenses to those parties best able to serve the public.”); </w:t>
      </w:r>
      <w:r w:rsidRPr="00D5055C">
        <w:rPr>
          <w:i/>
          <w:iCs/>
        </w:rPr>
        <w:t>AirCom</w:t>
      </w:r>
      <w:r w:rsidRPr="00D5055C">
        <w:rPr>
          <w:i/>
          <w:iCs/>
        </w:rPr>
        <w:t xml:space="preserve"> Consultants, Inc</w:t>
      </w:r>
      <w:r>
        <w:t xml:space="preserve">., </w:t>
      </w:r>
      <w:r w:rsidRPr="00D5055C">
        <w:rPr>
          <w:iCs/>
        </w:rPr>
        <w:t>Order on Reconsideration</w:t>
      </w:r>
      <w:r>
        <w:t xml:space="preserve">, 18 FCC </w:t>
      </w:r>
      <w:r>
        <w:t>Rcd</w:t>
      </w:r>
      <w:r>
        <w:t xml:space="preserve"> 1806, 1810-11 (WTB 2003) (following Commission precedent in rejecting the petitioner’s argument that the down payment and default rules should be waived to provide communications services to underserved tribal lands and rural areas).</w:t>
      </w:r>
    </w:p>
  </w:footnote>
  <w:footnote w:id="49">
    <w:p w:rsidR="004F7513" w:rsidP="00CD5910" w14:paraId="11397E90" w14:textId="2AAD0BB4">
      <w:pPr>
        <w:pStyle w:val="FootnoteText"/>
      </w:pPr>
      <w:r>
        <w:rPr>
          <w:rStyle w:val="FootnoteReference"/>
        </w:rPr>
        <w:footnoteRef/>
      </w:r>
      <w:r>
        <w:t xml:space="preserve"> 47 </w:t>
      </w:r>
      <w:r w:rsidR="00113F93">
        <w:t>CFR</w:t>
      </w:r>
      <w:r>
        <w:t xml:space="preserve"> §§ 1.2109(b), 1.2104(g)(2).  </w:t>
      </w:r>
    </w:p>
  </w:footnote>
  <w:footnote w:id="50">
    <w:p w:rsidR="004F7513" w:rsidP="00706BFA" w14:paraId="47B11733" w14:textId="10DAE20C">
      <w:pPr>
        <w:pStyle w:val="FootnoteText"/>
        <w:rPr>
          <w:lang w:bidi="x-none"/>
        </w:rPr>
      </w:pPr>
      <w:r>
        <w:rPr>
          <w:rStyle w:val="FootnoteReference1"/>
        </w:rPr>
        <w:footnoteRef/>
      </w:r>
      <w:r>
        <w:t xml:space="preserve"> 47 </w:t>
      </w:r>
      <w:r w:rsidR="00113F93">
        <w:t>CFR</w:t>
      </w:r>
      <w:r>
        <w:t xml:space="preserve"> § 1.2104(g)(2)(</w:t>
      </w:r>
      <w:r>
        <w:t>i</w:t>
      </w:r>
      <w:r>
        <w:t>).</w:t>
      </w:r>
    </w:p>
  </w:footnote>
  <w:footnote w:id="51">
    <w:p w:rsidR="004F7513" w:rsidP="00706BFA" w14:paraId="6FD3E98C" w14:textId="77777777">
      <w:pPr>
        <w:pStyle w:val="FootnoteText"/>
        <w:rPr>
          <w:lang w:bidi="x-none"/>
        </w:rPr>
      </w:pPr>
      <w:r>
        <w:rPr>
          <w:rStyle w:val="FootnoteReference1"/>
        </w:rPr>
        <w:footnoteRef/>
      </w:r>
      <w:r>
        <w:t xml:space="preserve"> </w:t>
      </w:r>
      <w:r>
        <w:rPr>
          <w:i/>
          <w:iCs/>
        </w:rPr>
        <w:t>Id.</w:t>
      </w:r>
    </w:p>
  </w:footnote>
  <w:footnote w:id="52">
    <w:p w:rsidR="004F7513" w:rsidP="00706BFA" w14:paraId="2FB3A0E3" w14:textId="6417E6BA">
      <w:pPr>
        <w:pStyle w:val="Heading5A"/>
        <w:spacing w:after="120"/>
        <w:rPr>
          <w:rFonts w:ascii="Times New Roman" w:eastAsia="Times New Roman" w:hAnsi="Times New Roman"/>
          <w:color w:val="auto"/>
          <w:sz w:val="20"/>
          <w:lang w:bidi="x-none"/>
        </w:rPr>
      </w:pPr>
      <w:r>
        <w:rPr>
          <w:rStyle w:val="FootnoteReference1"/>
          <w:rFonts w:ascii="Times New Roman" w:hAnsi="Times New Roman"/>
        </w:rPr>
        <w:footnoteRef/>
      </w:r>
      <w:r>
        <w:t xml:space="preserve"> </w:t>
      </w:r>
      <w:r>
        <w:rPr>
          <w:rFonts w:ascii="Times New Roman" w:hAnsi="Times New Roman"/>
          <w:sz w:val="20"/>
        </w:rPr>
        <w:t xml:space="preserve">47 </w:t>
      </w:r>
      <w:r w:rsidR="00113F93">
        <w:rPr>
          <w:rFonts w:ascii="Times New Roman" w:hAnsi="Times New Roman"/>
          <w:sz w:val="20"/>
        </w:rPr>
        <w:t>CFR</w:t>
      </w:r>
      <w:r>
        <w:rPr>
          <w:rFonts w:ascii="Times New Roman" w:hAnsi="Times New Roman"/>
          <w:sz w:val="20"/>
        </w:rPr>
        <w:t xml:space="preserve"> § 1.2104(g)(2)(ii); </w:t>
      </w:r>
      <w:r w:rsidRPr="00466AB1">
        <w:rPr>
          <w:rFonts w:ascii="Times New Roman" w:hAnsi="Times New Roman"/>
          <w:i/>
          <w:sz w:val="20"/>
        </w:rPr>
        <w:t xml:space="preserve">see Auction 105 Procedures Public Notice, </w:t>
      </w:r>
      <w:r w:rsidRPr="00466AB1">
        <w:rPr>
          <w:rFonts w:ascii="Times New Roman" w:hAnsi="Times New Roman"/>
          <w:sz w:val="20"/>
        </w:rPr>
        <w:t xml:space="preserve">35 FCC </w:t>
      </w:r>
      <w:r w:rsidRPr="00466AB1">
        <w:rPr>
          <w:rFonts w:ascii="Times New Roman" w:hAnsi="Times New Roman"/>
          <w:sz w:val="20"/>
        </w:rPr>
        <w:t>Rcd</w:t>
      </w:r>
      <w:r w:rsidRPr="00466AB1">
        <w:rPr>
          <w:rFonts w:ascii="Times New Roman" w:hAnsi="Times New Roman"/>
          <w:sz w:val="20"/>
        </w:rPr>
        <w:t xml:space="preserve"> at 2204</w:t>
      </w:r>
      <w:r>
        <w:rPr>
          <w:rFonts w:ascii="Times New Roman" w:hAnsi="Times New Roman"/>
          <w:sz w:val="20"/>
        </w:rPr>
        <w:t>, paras.</w:t>
      </w:r>
      <w:r w:rsidRPr="00466AB1">
        <w:rPr>
          <w:rFonts w:ascii="Times New Roman" w:hAnsi="Times New Roman"/>
          <w:sz w:val="20"/>
        </w:rPr>
        <w:t xml:space="preserve"> 227-28</w:t>
      </w:r>
      <w:r w:rsidRPr="00807E70">
        <w:rPr>
          <w:rFonts w:ascii="Times New Roman" w:hAnsi="Times New Roman"/>
          <w:sz w:val="20"/>
        </w:rPr>
        <w:t>.</w:t>
      </w:r>
    </w:p>
  </w:footnote>
  <w:footnote w:id="53">
    <w:p w:rsidR="004F7513" w:rsidP="006F4C49" w14:paraId="5B8069FF" w14:textId="36FA5816">
      <w:pPr>
        <w:pStyle w:val="FootnoteText"/>
      </w:pPr>
      <w:r>
        <w:rPr>
          <w:rStyle w:val="FootnoteReference"/>
        </w:rPr>
        <w:footnoteRef/>
      </w:r>
      <w:r>
        <w:t xml:space="preserve"> 47 </w:t>
      </w:r>
      <w:r w:rsidR="00113F93">
        <w:t>CFR</w:t>
      </w:r>
      <w:r>
        <w:t xml:space="preserve"> §§1.2104(g) and 1.2109(b).  </w:t>
      </w:r>
    </w:p>
  </w:footnote>
  <w:footnote w:id="54">
    <w:p w:rsidR="004F7513" w:rsidP="006F4C49" w14:paraId="686F42D0" w14:textId="10309A56">
      <w:pPr>
        <w:pStyle w:val="FootnoteText"/>
      </w:pPr>
      <w:r>
        <w:rPr>
          <w:rStyle w:val="FootnoteReference"/>
        </w:rPr>
        <w:footnoteRef/>
      </w:r>
      <w:r>
        <w:t xml:space="preserve"> Consistent with Commission precedent, the disposition of the remaining amount of monies on deposit with the Commission related to this matter will be addressed in a subsequent letter to the payor of record, after licenses covering the same spectrum are re-auctioned and the final default payment can be calculated.  </w:t>
      </w:r>
      <w:r>
        <w:rPr>
          <w:i/>
        </w:rPr>
        <w:t xml:space="preserve">See </w:t>
      </w:r>
      <w:r w:rsidRPr="00D5055C">
        <w:rPr>
          <w:i/>
          <w:iCs/>
        </w:rPr>
        <w:t>AirCom</w:t>
      </w:r>
      <w:r w:rsidRPr="00D5055C">
        <w:rPr>
          <w:i/>
          <w:iCs/>
        </w:rPr>
        <w:t xml:space="preserve"> Communication Consultants, Inc</w:t>
      </w:r>
      <w:r>
        <w:t xml:space="preserve">., </w:t>
      </w:r>
      <w:r w:rsidRPr="00D5055C">
        <w:rPr>
          <w:iCs/>
        </w:rPr>
        <w:t>Order</w:t>
      </w:r>
      <w:r w:rsidRPr="004F7513">
        <w:t xml:space="preserve">, </w:t>
      </w:r>
      <w:r>
        <w:t xml:space="preserve">16 FCC </w:t>
      </w:r>
      <w:smartTag w:uri="urn:schemas-microsoft-com:office:smarttags" w:element="place">
        <w:smartTag w:uri="urn:schemas-microsoft-com:office:smarttags" w:element="City">
          <w:r>
            <w:t>Rcd</w:t>
          </w:r>
        </w:smartTag>
        <w:r>
          <w:t xml:space="preserve"> </w:t>
        </w:r>
        <w:smartTag w:uri="urn:schemas-microsoft-com:office:smarttags" w:element="PostalCode">
          <w:r>
            <w:t>17685</w:t>
          </w:r>
        </w:smartTag>
        <w:r>
          <w:t xml:space="preserve">, </w:t>
        </w:r>
        <w:smartTag w:uri="urn:schemas-microsoft-com:office:smarttags" w:element="PostalCode">
          <w:r>
            <w:t>17691</w:t>
          </w:r>
        </w:smartTag>
      </w:smartTag>
      <w:r>
        <w:t xml:space="preserve"> n.47 (WTB 2001), </w:t>
      </w:r>
      <w:r>
        <w:rPr>
          <w:i/>
        </w:rPr>
        <w:t>recon. denied</w:t>
      </w:r>
      <w:r>
        <w:t xml:space="preserve"> </w:t>
      </w:r>
      <w:r>
        <w:rPr>
          <w:i/>
        </w:rPr>
        <w:t>sub nom</w:t>
      </w:r>
      <w:r>
        <w:t xml:space="preserve">., </w:t>
      </w:r>
      <w:r>
        <w:t>AirCom</w:t>
      </w:r>
      <w:r>
        <w:t xml:space="preserve"> Consultants, Inc., </w:t>
      </w:r>
      <w:r>
        <w:rPr>
          <w:i/>
        </w:rPr>
        <w:t>Order on Reconsideration</w:t>
      </w:r>
      <w:r>
        <w:t xml:space="preserve">, 18 FCC </w:t>
      </w:r>
      <w:r>
        <w:t>Rcd</w:t>
      </w:r>
      <w:r>
        <w:t xml:space="preserve"> 1806 (WTB 2003). </w:t>
      </w:r>
      <w:r>
        <w:rPr>
          <w:i/>
        </w:rPr>
        <w:t xml:space="preserve">See also </w:t>
      </w:r>
      <w:r>
        <w:t xml:space="preserve">47 </w:t>
      </w:r>
      <w:r w:rsidR="00113F93">
        <w:t>CFR</w:t>
      </w:r>
      <w:r>
        <w:t xml:space="preserve"> § 1.2104(g)(2).</w:t>
      </w:r>
    </w:p>
  </w:footnote>
  <w:footnote w:id="55">
    <w:p w:rsidR="004F7513" w:rsidP="006F4C49" w14:paraId="0F6303FA" w14:textId="7DDF23C4">
      <w:pPr>
        <w:pStyle w:val="FootnoteText"/>
      </w:pPr>
      <w:r>
        <w:rPr>
          <w:rStyle w:val="FootnoteReference"/>
        </w:rPr>
        <w:footnoteRef/>
      </w:r>
      <w:r>
        <w:t xml:space="preserve"> </w:t>
      </w:r>
      <w:r>
        <w:rPr>
          <w:i/>
        </w:rPr>
        <w:t xml:space="preserve">See </w:t>
      </w:r>
      <w:r>
        <w:t xml:space="preserve">47 </w:t>
      </w:r>
      <w:r w:rsidR="00113F93">
        <w:t>CFR</w:t>
      </w:r>
      <w:r>
        <w:t xml:space="preserve"> § 1.2106(e).  </w:t>
      </w:r>
      <w:r>
        <w:rPr>
          <w:i/>
        </w:rPr>
        <w:t>See also TPS Order,</w:t>
      </w:r>
      <w:r>
        <w:t xml:space="preserve"> 18 FCC </w:t>
      </w:r>
      <w:r>
        <w:t>Rcd</w:t>
      </w:r>
      <w:r>
        <w:t xml:space="preserve"> at 2516.</w:t>
      </w:r>
    </w:p>
  </w:footnote>
  <w:footnote w:id="56">
    <w:p w:rsidR="007E7DCA" w14:paraId="42DA4C98" w14:textId="625D654F">
      <w:pPr>
        <w:pStyle w:val="FootnoteText"/>
      </w:pPr>
      <w:r>
        <w:rPr>
          <w:rStyle w:val="FootnoteReference"/>
        </w:rPr>
        <w:footnoteRef/>
      </w:r>
      <w:r>
        <w:t xml:space="preserve"> Attachment A lists those </w:t>
      </w:r>
      <w:r w:rsidR="00FE7ADB">
        <w:t xml:space="preserve">42 </w:t>
      </w:r>
      <w:r>
        <w:t xml:space="preserve">licenses </w:t>
      </w:r>
      <w:r w:rsidR="00FE7ADB">
        <w:t xml:space="preserve">upon which </w:t>
      </w:r>
      <w:r w:rsidR="00FE7ADB">
        <w:t>Hilliary</w:t>
      </w:r>
      <w:r w:rsidR="00FE7ADB">
        <w:t xml:space="preserve"> has defaulted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513" w:rsidP="00810B6F" w14:paraId="29CA1ADA" w14:textId="4210F1A3">
    <w:pPr>
      <w:pStyle w:val="Header"/>
      <w:rPr>
        <w:b w:val="0"/>
      </w:rPr>
    </w:pPr>
    <w:r>
      <w:tab/>
      <w:t>Federal Communications Commission</w:t>
    </w:r>
    <w:r>
      <w:tab/>
      <w:t>DA 2</w:t>
    </w:r>
    <w:r w:rsidR="00E8385A">
      <w:t>2</w:t>
    </w:r>
    <w:r>
      <w:t>-</w:t>
    </w:r>
    <w:r w:rsidR="00914D0E">
      <w:t>629</w:t>
    </w:r>
  </w:p>
  <w:p w:rsidR="004F7513" w14:paraId="4974D9BD" w14:textId="1DDDADB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F7513" w14:paraId="22D1F88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513" w:rsidP="00810B6F" w14:paraId="67BC4117" w14:textId="79C9C16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DA 2</w:t>
    </w:r>
    <w:r w:rsidR="00E8385A">
      <w:t>2</w:t>
    </w:r>
    <w:r>
      <w:t>-</w:t>
    </w:r>
    <w:r w:rsidR="00914D0E">
      <w:t>629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C75938"/>
    <w:multiLevelType w:val="hybridMultilevel"/>
    <w:tmpl w:val="E648DD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E251AF7"/>
    <w:multiLevelType w:val="hybridMultilevel"/>
    <w:tmpl w:val="395E47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27"/>
    <w:rsid w:val="0000235E"/>
    <w:rsid w:val="000052D8"/>
    <w:rsid w:val="00011424"/>
    <w:rsid w:val="000142A7"/>
    <w:rsid w:val="000142CB"/>
    <w:rsid w:val="00015737"/>
    <w:rsid w:val="00017510"/>
    <w:rsid w:val="0002262C"/>
    <w:rsid w:val="0002674B"/>
    <w:rsid w:val="00027BA9"/>
    <w:rsid w:val="00030974"/>
    <w:rsid w:val="00031319"/>
    <w:rsid w:val="00031DA5"/>
    <w:rsid w:val="00036039"/>
    <w:rsid w:val="00037F90"/>
    <w:rsid w:val="00040BD1"/>
    <w:rsid w:val="000413D4"/>
    <w:rsid w:val="00043C71"/>
    <w:rsid w:val="000451ED"/>
    <w:rsid w:val="000527F2"/>
    <w:rsid w:val="000555B0"/>
    <w:rsid w:val="00056BEB"/>
    <w:rsid w:val="00062595"/>
    <w:rsid w:val="000703DE"/>
    <w:rsid w:val="0007231B"/>
    <w:rsid w:val="00073245"/>
    <w:rsid w:val="000733D0"/>
    <w:rsid w:val="0007583B"/>
    <w:rsid w:val="0007768B"/>
    <w:rsid w:val="00081728"/>
    <w:rsid w:val="000836CB"/>
    <w:rsid w:val="000859CA"/>
    <w:rsid w:val="000869F6"/>
    <w:rsid w:val="000875BF"/>
    <w:rsid w:val="000932A4"/>
    <w:rsid w:val="00093554"/>
    <w:rsid w:val="00094899"/>
    <w:rsid w:val="00096D8C"/>
    <w:rsid w:val="000A3E74"/>
    <w:rsid w:val="000A439F"/>
    <w:rsid w:val="000B6DF9"/>
    <w:rsid w:val="000C0B65"/>
    <w:rsid w:val="000D1A51"/>
    <w:rsid w:val="000D44C8"/>
    <w:rsid w:val="000E05FE"/>
    <w:rsid w:val="000E0A23"/>
    <w:rsid w:val="000E30F8"/>
    <w:rsid w:val="000E3D42"/>
    <w:rsid w:val="000E54AD"/>
    <w:rsid w:val="000F0C28"/>
    <w:rsid w:val="000F2031"/>
    <w:rsid w:val="000F3782"/>
    <w:rsid w:val="000F4E27"/>
    <w:rsid w:val="000F5830"/>
    <w:rsid w:val="000F6936"/>
    <w:rsid w:val="0010072B"/>
    <w:rsid w:val="0010263C"/>
    <w:rsid w:val="00105A49"/>
    <w:rsid w:val="001064DA"/>
    <w:rsid w:val="00111126"/>
    <w:rsid w:val="00113F93"/>
    <w:rsid w:val="00114183"/>
    <w:rsid w:val="00121BBB"/>
    <w:rsid w:val="00122BD5"/>
    <w:rsid w:val="00124117"/>
    <w:rsid w:val="00124E3B"/>
    <w:rsid w:val="001264B1"/>
    <w:rsid w:val="001312F2"/>
    <w:rsid w:val="00133F79"/>
    <w:rsid w:val="00137090"/>
    <w:rsid w:val="00144C2E"/>
    <w:rsid w:val="001527D7"/>
    <w:rsid w:val="001546C7"/>
    <w:rsid w:val="001578AF"/>
    <w:rsid w:val="0016102F"/>
    <w:rsid w:val="001710A1"/>
    <w:rsid w:val="0017338F"/>
    <w:rsid w:val="00175152"/>
    <w:rsid w:val="001769F3"/>
    <w:rsid w:val="0018755A"/>
    <w:rsid w:val="00194414"/>
    <w:rsid w:val="00194A66"/>
    <w:rsid w:val="00195F99"/>
    <w:rsid w:val="001A35BB"/>
    <w:rsid w:val="001A4119"/>
    <w:rsid w:val="001A55F9"/>
    <w:rsid w:val="001B2585"/>
    <w:rsid w:val="001C2C6F"/>
    <w:rsid w:val="001C308A"/>
    <w:rsid w:val="001D23B5"/>
    <w:rsid w:val="001D29E2"/>
    <w:rsid w:val="001D5A3E"/>
    <w:rsid w:val="001D6BCF"/>
    <w:rsid w:val="001E01CA"/>
    <w:rsid w:val="001E5D48"/>
    <w:rsid w:val="001E774B"/>
    <w:rsid w:val="001E7807"/>
    <w:rsid w:val="001E7AC2"/>
    <w:rsid w:val="001F024B"/>
    <w:rsid w:val="001F1792"/>
    <w:rsid w:val="001F7166"/>
    <w:rsid w:val="002007D2"/>
    <w:rsid w:val="0020420E"/>
    <w:rsid w:val="00204E65"/>
    <w:rsid w:val="002051D1"/>
    <w:rsid w:val="00212A69"/>
    <w:rsid w:val="002203BB"/>
    <w:rsid w:val="00220AD9"/>
    <w:rsid w:val="00223D30"/>
    <w:rsid w:val="0022494A"/>
    <w:rsid w:val="00227303"/>
    <w:rsid w:val="002303B5"/>
    <w:rsid w:val="00236EEA"/>
    <w:rsid w:val="002376F1"/>
    <w:rsid w:val="00240729"/>
    <w:rsid w:val="002422E2"/>
    <w:rsid w:val="0024613A"/>
    <w:rsid w:val="002477C8"/>
    <w:rsid w:val="00247D30"/>
    <w:rsid w:val="00253A52"/>
    <w:rsid w:val="002578C4"/>
    <w:rsid w:val="002600B9"/>
    <w:rsid w:val="002611C2"/>
    <w:rsid w:val="00262AFB"/>
    <w:rsid w:val="002674E8"/>
    <w:rsid w:val="002700DE"/>
    <w:rsid w:val="00271A4B"/>
    <w:rsid w:val="002731E8"/>
    <w:rsid w:val="00274731"/>
    <w:rsid w:val="00275CF5"/>
    <w:rsid w:val="0027612E"/>
    <w:rsid w:val="0027617F"/>
    <w:rsid w:val="0028045B"/>
    <w:rsid w:val="002804A1"/>
    <w:rsid w:val="00281B41"/>
    <w:rsid w:val="0028301F"/>
    <w:rsid w:val="00285017"/>
    <w:rsid w:val="00286DC3"/>
    <w:rsid w:val="002912DF"/>
    <w:rsid w:val="00291C25"/>
    <w:rsid w:val="00294C9C"/>
    <w:rsid w:val="0029710C"/>
    <w:rsid w:val="002A0375"/>
    <w:rsid w:val="002A25F0"/>
    <w:rsid w:val="002A2D2E"/>
    <w:rsid w:val="002B0D2E"/>
    <w:rsid w:val="002C00E8"/>
    <w:rsid w:val="002C2A35"/>
    <w:rsid w:val="002C2D52"/>
    <w:rsid w:val="002C40DC"/>
    <w:rsid w:val="002E3FE3"/>
    <w:rsid w:val="002E479E"/>
    <w:rsid w:val="002E67E1"/>
    <w:rsid w:val="002E6DFF"/>
    <w:rsid w:val="002F3AAE"/>
    <w:rsid w:val="003054AB"/>
    <w:rsid w:val="003111B8"/>
    <w:rsid w:val="00311861"/>
    <w:rsid w:val="003118DD"/>
    <w:rsid w:val="003132EC"/>
    <w:rsid w:val="003133CA"/>
    <w:rsid w:val="00313EA1"/>
    <w:rsid w:val="0032046E"/>
    <w:rsid w:val="003229F8"/>
    <w:rsid w:val="00323160"/>
    <w:rsid w:val="00325AB8"/>
    <w:rsid w:val="00327C23"/>
    <w:rsid w:val="00330B77"/>
    <w:rsid w:val="003342BD"/>
    <w:rsid w:val="003347F3"/>
    <w:rsid w:val="0033527F"/>
    <w:rsid w:val="00335841"/>
    <w:rsid w:val="003406B0"/>
    <w:rsid w:val="00341DC2"/>
    <w:rsid w:val="00343749"/>
    <w:rsid w:val="00351CFC"/>
    <w:rsid w:val="00352593"/>
    <w:rsid w:val="00352A2F"/>
    <w:rsid w:val="003622D6"/>
    <w:rsid w:val="003660ED"/>
    <w:rsid w:val="00370321"/>
    <w:rsid w:val="00373B06"/>
    <w:rsid w:val="00373E8D"/>
    <w:rsid w:val="00375D5E"/>
    <w:rsid w:val="00382617"/>
    <w:rsid w:val="00384ADF"/>
    <w:rsid w:val="00384D1D"/>
    <w:rsid w:val="00385841"/>
    <w:rsid w:val="00395239"/>
    <w:rsid w:val="00395494"/>
    <w:rsid w:val="00395D02"/>
    <w:rsid w:val="00396D85"/>
    <w:rsid w:val="003A2C6A"/>
    <w:rsid w:val="003A2DED"/>
    <w:rsid w:val="003A6818"/>
    <w:rsid w:val="003B0550"/>
    <w:rsid w:val="003B23C9"/>
    <w:rsid w:val="003B4878"/>
    <w:rsid w:val="003B694F"/>
    <w:rsid w:val="003C1E4E"/>
    <w:rsid w:val="003C2725"/>
    <w:rsid w:val="003C524C"/>
    <w:rsid w:val="003C6282"/>
    <w:rsid w:val="003D0C16"/>
    <w:rsid w:val="003D2722"/>
    <w:rsid w:val="003D6DF2"/>
    <w:rsid w:val="003F0831"/>
    <w:rsid w:val="003F171C"/>
    <w:rsid w:val="003F4E37"/>
    <w:rsid w:val="003F4E4D"/>
    <w:rsid w:val="003F67C1"/>
    <w:rsid w:val="003F6D9A"/>
    <w:rsid w:val="003F7F2F"/>
    <w:rsid w:val="00405197"/>
    <w:rsid w:val="00405D4B"/>
    <w:rsid w:val="004105FE"/>
    <w:rsid w:val="00410B46"/>
    <w:rsid w:val="00412FC5"/>
    <w:rsid w:val="00414790"/>
    <w:rsid w:val="00420F2E"/>
    <w:rsid w:val="00422276"/>
    <w:rsid w:val="004242F1"/>
    <w:rsid w:val="0042457A"/>
    <w:rsid w:val="00425886"/>
    <w:rsid w:val="0042593F"/>
    <w:rsid w:val="004275EB"/>
    <w:rsid w:val="004310D7"/>
    <w:rsid w:val="00432B24"/>
    <w:rsid w:val="004353B5"/>
    <w:rsid w:val="0043623A"/>
    <w:rsid w:val="004364FE"/>
    <w:rsid w:val="004447F3"/>
    <w:rsid w:val="00445A00"/>
    <w:rsid w:val="00447155"/>
    <w:rsid w:val="00451756"/>
    <w:rsid w:val="00451B0F"/>
    <w:rsid w:val="00457C12"/>
    <w:rsid w:val="00466AB1"/>
    <w:rsid w:val="00470262"/>
    <w:rsid w:val="0047256D"/>
    <w:rsid w:val="00475683"/>
    <w:rsid w:val="004801D4"/>
    <w:rsid w:val="0048183F"/>
    <w:rsid w:val="00482228"/>
    <w:rsid w:val="0049168E"/>
    <w:rsid w:val="00495AB9"/>
    <w:rsid w:val="0049732F"/>
    <w:rsid w:val="004A4CFF"/>
    <w:rsid w:val="004B3333"/>
    <w:rsid w:val="004B4739"/>
    <w:rsid w:val="004C2EE3"/>
    <w:rsid w:val="004C5670"/>
    <w:rsid w:val="004C645A"/>
    <w:rsid w:val="004D0DBA"/>
    <w:rsid w:val="004E2916"/>
    <w:rsid w:val="004E41BD"/>
    <w:rsid w:val="004E4A22"/>
    <w:rsid w:val="004F10A0"/>
    <w:rsid w:val="004F1FFC"/>
    <w:rsid w:val="004F3186"/>
    <w:rsid w:val="004F444F"/>
    <w:rsid w:val="004F7513"/>
    <w:rsid w:val="00501ECF"/>
    <w:rsid w:val="0050382F"/>
    <w:rsid w:val="00503AFF"/>
    <w:rsid w:val="00511968"/>
    <w:rsid w:val="00516964"/>
    <w:rsid w:val="00517C97"/>
    <w:rsid w:val="005204EE"/>
    <w:rsid w:val="00521A45"/>
    <w:rsid w:val="00522813"/>
    <w:rsid w:val="00522C40"/>
    <w:rsid w:val="0052307A"/>
    <w:rsid w:val="00530B13"/>
    <w:rsid w:val="005342EA"/>
    <w:rsid w:val="00534382"/>
    <w:rsid w:val="005356C5"/>
    <w:rsid w:val="00536EF8"/>
    <w:rsid w:val="00550EBE"/>
    <w:rsid w:val="0055614C"/>
    <w:rsid w:val="00560B92"/>
    <w:rsid w:val="005617AD"/>
    <w:rsid w:val="00566AC8"/>
    <w:rsid w:val="00566D06"/>
    <w:rsid w:val="005679A7"/>
    <w:rsid w:val="00570774"/>
    <w:rsid w:val="00574123"/>
    <w:rsid w:val="00580C64"/>
    <w:rsid w:val="00581D97"/>
    <w:rsid w:val="0058584A"/>
    <w:rsid w:val="00585C77"/>
    <w:rsid w:val="00587045"/>
    <w:rsid w:val="005A233C"/>
    <w:rsid w:val="005A32A8"/>
    <w:rsid w:val="005B0510"/>
    <w:rsid w:val="005B2EF4"/>
    <w:rsid w:val="005B5852"/>
    <w:rsid w:val="005B7969"/>
    <w:rsid w:val="005C41D8"/>
    <w:rsid w:val="005E14C2"/>
    <w:rsid w:val="005E35FC"/>
    <w:rsid w:val="005E547B"/>
    <w:rsid w:val="005E564D"/>
    <w:rsid w:val="005E6418"/>
    <w:rsid w:val="005E6652"/>
    <w:rsid w:val="00601383"/>
    <w:rsid w:val="00604E6A"/>
    <w:rsid w:val="00607BA5"/>
    <w:rsid w:val="0061180A"/>
    <w:rsid w:val="00625C59"/>
    <w:rsid w:val="00626EB6"/>
    <w:rsid w:val="00630506"/>
    <w:rsid w:val="006337D0"/>
    <w:rsid w:val="00635449"/>
    <w:rsid w:val="00640E4C"/>
    <w:rsid w:val="0064190B"/>
    <w:rsid w:val="00642BAB"/>
    <w:rsid w:val="00642CE1"/>
    <w:rsid w:val="00644E47"/>
    <w:rsid w:val="00645EB4"/>
    <w:rsid w:val="00646AFD"/>
    <w:rsid w:val="00650327"/>
    <w:rsid w:val="006523E9"/>
    <w:rsid w:val="0065561A"/>
    <w:rsid w:val="00655D03"/>
    <w:rsid w:val="006576F5"/>
    <w:rsid w:val="00660044"/>
    <w:rsid w:val="00660F95"/>
    <w:rsid w:val="00663672"/>
    <w:rsid w:val="0066762A"/>
    <w:rsid w:val="006756BF"/>
    <w:rsid w:val="00675FB6"/>
    <w:rsid w:val="00683388"/>
    <w:rsid w:val="00683894"/>
    <w:rsid w:val="00683F84"/>
    <w:rsid w:val="00684B5E"/>
    <w:rsid w:val="00687F6F"/>
    <w:rsid w:val="006905F4"/>
    <w:rsid w:val="00692C53"/>
    <w:rsid w:val="006930B9"/>
    <w:rsid w:val="00693929"/>
    <w:rsid w:val="00694600"/>
    <w:rsid w:val="00696B55"/>
    <w:rsid w:val="006A116F"/>
    <w:rsid w:val="006A1E90"/>
    <w:rsid w:val="006A4031"/>
    <w:rsid w:val="006A6A81"/>
    <w:rsid w:val="006B0731"/>
    <w:rsid w:val="006B3433"/>
    <w:rsid w:val="006B4899"/>
    <w:rsid w:val="006B4952"/>
    <w:rsid w:val="006B581E"/>
    <w:rsid w:val="006C7668"/>
    <w:rsid w:val="006D312E"/>
    <w:rsid w:val="006D7278"/>
    <w:rsid w:val="006E251D"/>
    <w:rsid w:val="006E293B"/>
    <w:rsid w:val="006E2B6D"/>
    <w:rsid w:val="006F21FF"/>
    <w:rsid w:val="006F3CCB"/>
    <w:rsid w:val="006F4C49"/>
    <w:rsid w:val="006F5532"/>
    <w:rsid w:val="006F7393"/>
    <w:rsid w:val="00701798"/>
    <w:rsid w:val="007020A1"/>
    <w:rsid w:val="0070224F"/>
    <w:rsid w:val="00702ED3"/>
    <w:rsid w:val="00706607"/>
    <w:rsid w:val="00706BFA"/>
    <w:rsid w:val="00707C1A"/>
    <w:rsid w:val="007115F7"/>
    <w:rsid w:val="007157D6"/>
    <w:rsid w:val="00715A62"/>
    <w:rsid w:val="00715D81"/>
    <w:rsid w:val="007173FF"/>
    <w:rsid w:val="00720496"/>
    <w:rsid w:val="0072288C"/>
    <w:rsid w:val="007236F4"/>
    <w:rsid w:val="007238A0"/>
    <w:rsid w:val="007316D2"/>
    <w:rsid w:val="00732956"/>
    <w:rsid w:val="00735098"/>
    <w:rsid w:val="00737862"/>
    <w:rsid w:val="0074278C"/>
    <w:rsid w:val="007439CA"/>
    <w:rsid w:val="00746184"/>
    <w:rsid w:val="0075275E"/>
    <w:rsid w:val="00762A62"/>
    <w:rsid w:val="007634C7"/>
    <w:rsid w:val="00764E95"/>
    <w:rsid w:val="00765801"/>
    <w:rsid w:val="00766F93"/>
    <w:rsid w:val="00771C0C"/>
    <w:rsid w:val="00775954"/>
    <w:rsid w:val="00780958"/>
    <w:rsid w:val="00780F5D"/>
    <w:rsid w:val="007845B2"/>
    <w:rsid w:val="00785689"/>
    <w:rsid w:val="00786D94"/>
    <w:rsid w:val="0078703C"/>
    <w:rsid w:val="00796EDF"/>
    <w:rsid w:val="0079754B"/>
    <w:rsid w:val="007A1E6D"/>
    <w:rsid w:val="007B0E83"/>
    <w:rsid w:val="007B0EB2"/>
    <w:rsid w:val="007B2B25"/>
    <w:rsid w:val="007B2B37"/>
    <w:rsid w:val="007B2C05"/>
    <w:rsid w:val="007B3832"/>
    <w:rsid w:val="007B70D1"/>
    <w:rsid w:val="007B734D"/>
    <w:rsid w:val="007B7A1C"/>
    <w:rsid w:val="007C480E"/>
    <w:rsid w:val="007D6AE6"/>
    <w:rsid w:val="007E156B"/>
    <w:rsid w:val="007E3740"/>
    <w:rsid w:val="007E7DCA"/>
    <w:rsid w:val="007F0AC7"/>
    <w:rsid w:val="007F290A"/>
    <w:rsid w:val="007F2A93"/>
    <w:rsid w:val="007F7895"/>
    <w:rsid w:val="008001C3"/>
    <w:rsid w:val="00802F57"/>
    <w:rsid w:val="00807E70"/>
    <w:rsid w:val="00810B6F"/>
    <w:rsid w:val="00813646"/>
    <w:rsid w:val="00814D9C"/>
    <w:rsid w:val="008154E6"/>
    <w:rsid w:val="0082023D"/>
    <w:rsid w:val="008204A7"/>
    <w:rsid w:val="00822CE0"/>
    <w:rsid w:val="008306CE"/>
    <w:rsid w:val="00830F89"/>
    <w:rsid w:val="00834AA0"/>
    <w:rsid w:val="008355F9"/>
    <w:rsid w:val="00837B92"/>
    <w:rsid w:val="00841AB1"/>
    <w:rsid w:val="0084268B"/>
    <w:rsid w:val="00853832"/>
    <w:rsid w:val="00855D05"/>
    <w:rsid w:val="008644FA"/>
    <w:rsid w:val="00871F17"/>
    <w:rsid w:val="008731AC"/>
    <w:rsid w:val="0087330C"/>
    <w:rsid w:val="00875C0E"/>
    <w:rsid w:val="00876C14"/>
    <w:rsid w:val="0088211F"/>
    <w:rsid w:val="008826D6"/>
    <w:rsid w:val="00887C85"/>
    <w:rsid w:val="00891991"/>
    <w:rsid w:val="0089356F"/>
    <w:rsid w:val="008A13BD"/>
    <w:rsid w:val="008A1E04"/>
    <w:rsid w:val="008A55D7"/>
    <w:rsid w:val="008A5E75"/>
    <w:rsid w:val="008A6507"/>
    <w:rsid w:val="008B0B10"/>
    <w:rsid w:val="008B6A4C"/>
    <w:rsid w:val="008C4F07"/>
    <w:rsid w:val="008C6472"/>
    <w:rsid w:val="008C68F1"/>
    <w:rsid w:val="008C7826"/>
    <w:rsid w:val="008D2A5E"/>
    <w:rsid w:val="008D31B8"/>
    <w:rsid w:val="008D65CD"/>
    <w:rsid w:val="008D7F8C"/>
    <w:rsid w:val="008E4026"/>
    <w:rsid w:val="008E684D"/>
    <w:rsid w:val="008E7621"/>
    <w:rsid w:val="008F01B2"/>
    <w:rsid w:val="008F1651"/>
    <w:rsid w:val="008F229C"/>
    <w:rsid w:val="008F5C26"/>
    <w:rsid w:val="00901B3D"/>
    <w:rsid w:val="009040AB"/>
    <w:rsid w:val="00904A99"/>
    <w:rsid w:val="00904C8A"/>
    <w:rsid w:val="00904F5E"/>
    <w:rsid w:val="009119CF"/>
    <w:rsid w:val="00913664"/>
    <w:rsid w:val="00914D0E"/>
    <w:rsid w:val="0092081E"/>
    <w:rsid w:val="00921803"/>
    <w:rsid w:val="00926503"/>
    <w:rsid w:val="00927556"/>
    <w:rsid w:val="00927A26"/>
    <w:rsid w:val="00937F4B"/>
    <w:rsid w:val="00940246"/>
    <w:rsid w:val="00941406"/>
    <w:rsid w:val="009435DF"/>
    <w:rsid w:val="009449D2"/>
    <w:rsid w:val="009505F5"/>
    <w:rsid w:val="009506FE"/>
    <w:rsid w:val="00957188"/>
    <w:rsid w:val="00962A60"/>
    <w:rsid w:val="00966DE0"/>
    <w:rsid w:val="009726D8"/>
    <w:rsid w:val="00972F40"/>
    <w:rsid w:val="009802D6"/>
    <w:rsid w:val="009808BF"/>
    <w:rsid w:val="00981162"/>
    <w:rsid w:val="009833C9"/>
    <w:rsid w:val="00984E72"/>
    <w:rsid w:val="00990101"/>
    <w:rsid w:val="009934AC"/>
    <w:rsid w:val="0099774A"/>
    <w:rsid w:val="009A088B"/>
    <w:rsid w:val="009A0EFF"/>
    <w:rsid w:val="009C4117"/>
    <w:rsid w:val="009C6311"/>
    <w:rsid w:val="009D2293"/>
    <w:rsid w:val="009D29F5"/>
    <w:rsid w:val="009D5157"/>
    <w:rsid w:val="009D7308"/>
    <w:rsid w:val="009E68AE"/>
    <w:rsid w:val="009E735D"/>
    <w:rsid w:val="009F76DB"/>
    <w:rsid w:val="00A05742"/>
    <w:rsid w:val="00A12B05"/>
    <w:rsid w:val="00A1581B"/>
    <w:rsid w:val="00A15A32"/>
    <w:rsid w:val="00A170D3"/>
    <w:rsid w:val="00A20EBC"/>
    <w:rsid w:val="00A21459"/>
    <w:rsid w:val="00A24340"/>
    <w:rsid w:val="00A257B8"/>
    <w:rsid w:val="00A25A5A"/>
    <w:rsid w:val="00A323C3"/>
    <w:rsid w:val="00A329D2"/>
    <w:rsid w:val="00A32C3B"/>
    <w:rsid w:val="00A34120"/>
    <w:rsid w:val="00A35A83"/>
    <w:rsid w:val="00A35C58"/>
    <w:rsid w:val="00A427FD"/>
    <w:rsid w:val="00A44DC3"/>
    <w:rsid w:val="00A45F4F"/>
    <w:rsid w:val="00A46783"/>
    <w:rsid w:val="00A47071"/>
    <w:rsid w:val="00A5431F"/>
    <w:rsid w:val="00A600A9"/>
    <w:rsid w:val="00A60543"/>
    <w:rsid w:val="00A6107D"/>
    <w:rsid w:val="00A75C7E"/>
    <w:rsid w:val="00A76A94"/>
    <w:rsid w:val="00A842D8"/>
    <w:rsid w:val="00A844C3"/>
    <w:rsid w:val="00A90A27"/>
    <w:rsid w:val="00A96B6B"/>
    <w:rsid w:val="00AA1E2C"/>
    <w:rsid w:val="00AA2534"/>
    <w:rsid w:val="00AA264E"/>
    <w:rsid w:val="00AA4D19"/>
    <w:rsid w:val="00AA55B7"/>
    <w:rsid w:val="00AA5B9E"/>
    <w:rsid w:val="00AB2407"/>
    <w:rsid w:val="00AB53DF"/>
    <w:rsid w:val="00AB674C"/>
    <w:rsid w:val="00AB749C"/>
    <w:rsid w:val="00AC1013"/>
    <w:rsid w:val="00AC2277"/>
    <w:rsid w:val="00AD06A7"/>
    <w:rsid w:val="00AD5BF7"/>
    <w:rsid w:val="00AD6B10"/>
    <w:rsid w:val="00AD7CCE"/>
    <w:rsid w:val="00AE0272"/>
    <w:rsid w:val="00AE496E"/>
    <w:rsid w:val="00AF63A2"/>
    <w:rsid w:val="00B0052A"/>
    <w:rsid w:val="00B012C2"/>
    <w:rsid w:val="00B05D69"/>
    <w:rsid w:val="00B07E5C"/>
    <w:rsid w:val="00B133AE"/>
    <w:rsid w:val="00B14D96"/>
    <w:rsid w:val="00B20AC6"/>
    <w:rsid w:val="00B246FC"/>
    <w:rsid w:val="00B31B5D"/>
    <w:rsid w:val="00B323FE"/>
    <w:rsid w:val="00B43292"/>
    <w:rsid w:val="00B4362E"/>
    <w:rsid w:val="00B43A5C"/>
    <w:rsid w:val="00B43A77"/>
    <w:rsid w:val="00B45680"/>
    <w:rsid w:val="00B4653F"/>
    <w:rsid w:val="00B47DBF"/>
    <w:rsid w:val="00B543A2"/>
    <w:rsid w:val="00B56BE6"/>
    <w:rsid w:val="00B64315"/>
    <w:rsid w:val="00B65AC3"/>
    <w:rsid w:val="00B811F7"/>
    <w:rsid w:val="00B8701B"/>
    <w:rsid w:val="00B90FFD"/>
    <w:rsid w:val="00B926EE"/>
    <w:rsid w:val="00B92C33"/>
    <w:rsid w:val="00B9335C"/>
    <w:rsid w:val="00B94C07"/>
    <w:rsid w:val="00BA112B"/>
    <w:rsid w:val="00BA5DC6"/>
    <w:rsid w:val="00BA6196"/>
    <w:rsid w:val="00BB3495"/>
    <w:rsid w:val="00BB4AB4"/>
    <w:rsid w:val="00BB4EB7"/>
    <w:rsid w:val="00BB78E0"/>
    <w:rsid w:val="00BC2AAD"/>
    <w:rsid w:val="00BC425E"/>
    <w:rsid w:val="00BC4B5C"/>
    <w:rsid w:val="00BC6D8C"/>
    <w:rsid w:val="00BD11C1"/>
    <w:rsid w:val="00BD3B66"/>
    <w:rsid w:val="00BD72FB"/>
    <w:rsid w:val="00BE2197"/>
    <w:rsid w:val="00BE5A40"/>
    <w:rsid w:val="00BE6C62"/>
    <w:rsid w:val="00BE7FD9"/>
    <w:rsid w:val="00BF2B2E"/>
    <w:rsid w:val="00BF37F5"/>
    <w:rsid w:val="00BF5C2D"/>
    <w:rsid w:val="00BF6710"/>
    <w:rsid w:val="00C01E41"/>
    <w:rsid w:val="00C027F9"/>
    <w:rsid w:val="00C03E3C"/>
    <w:rsid w:val="00C0430F"/>
    <w:rsid w:val="00C05D48"/>
    <w:rsid w:val="00C0718B"/>
    <w:rsid w:val="00C1047A"/>
    <w:rsid w:val="00C1187E"/>
    <w:rsid w:val="00C12D67"/>
    <w:rsid w:val="00C14BE5"/>
    <w:rsid w:val="00C20B27"/>
    <w:rsid w:val="00C232B1"/>
    <w:rsid w:val="00C25B8F"/>
    <w:rsid w:val="00C25FB4"/>
    <w:rsid w:val="00C261FD"/>
    <w:rsid w:val="00C33644"/>
    <w:rsid w:val="00C34006"/>
    <w:rsid w:val="00C36B4C"/>
    <w:rsid w:val="00C41EF6"/>
    <w:rsid w:val="00C426B1"/>
    <w:rsid w:val="00C43F08"/>
    <w:rsid w:val="00C44B57"/>
    <w:rsid w:val="00C4651A"/>
    <w:rsid w:val="00C5198F"/>
    <w:rsid w:val="00C55E2A"/>
    <w:rsid w:val="00C562E4"/>
    <w:rsid w:val="00C57D51"/>
    <w:rsid w:val="00C612D4"/>
    <w:rsid w:val="00C61D93"/>
    <w:rsid w:val="00C62CA4"/>
    <w:rsid w:val="00C62FDC"/>
    <w:rsid w:val="00C66160"/>
    <w:rsid w:val="00C672CA"/>
    <w:rsid w:val="00C721AC"/>
    <w:rsid w:val="00C73129"/>
    <w:rsid w:val="00C73EB2"/>
    <w:rsid w:val="00C74E07"/>
    <w:rsid w:val="00C76122"/>
    <w:rsid w:val="00C80D3F"/>
    <w:rsid w:val="00C81372"/>
    <w:rsid w:val="00C8238F"/>
    <w:rsid w:val="00C82CD4"/>
    <w:rsid w:val="00C83F8A"/>
    <w:rsid w:val="00C845A9"/>
    <w:rsid w:val="00C87A3E"/>
    <w:rsid w:val="00C87CCB"/>
    <w:rsid w:val="00C90D6A"/>
    <w:rsid w:val="00C91B4E"/>
    <w:rsid w:val="00C94484"/>
    <w:rsid w:val="00C949A0"/>
    <w:rsid w:val="00C958B1"/>
    <w:rsid w:val="00C977BA"/>
    <w:rsid w:val="00CA0CEC"/>
    <w:rsid w:val="00CA247E"/>
    <w:rsid w:val="00CA6D21"/>
    <w:rsid w:val="00CA70C0"/>
    <w:rsid w:val="00CB4694"/>
    <w:rsid w:val="00CB52D3"/>
    <w:rsid w:val="00CC434F"/>
    <w:rsid w:val="00CC523A"/>
    <w:rsid w:val="00CC72B6"/>
    <w:rsid w:val="00CD0537"/>
    <w:rsid w:val="00CD3010"/>
    <w:rsid w:val="00CD3966"/>
    <w:rsid w:val="00CD5910"/>
    <w:rsid w:val="00CD6B0F"/>
    <w:rsid w:val="00CD71F6"/>
    <w:rsid w:val="00CE1F31"/>
    <w:rsid w:val="00CE2A43"/>
    <w:rsid w:val="00CE6405"/>
    <w:rsid w:val="00CE6AF8"/>
    <w:rsid w:val="00CF3208"/>
    <w:rsid w:val="00CF4588"/>
    <w:rsid w:val="00CF67DE"/>
    <w:rsid w:val="00D01C38"/>
    <w:rsid w:val="00D0218D"/>
    <w:rsid w:val="00D04E99"/>
    <w:rsid w:val="00D053A5"/>
    <w:rsid w:val="00D06EB3"/>
    <w:rsid w:val="00D11713"/>
    <w:rsid w:val="00D1382B"/>
    <w:rsid w:val="00D14251"/>
    <w:rsid w:val="00D17DC5"/>
    <w:rsid w:val="00D25532"/>
    <w:rsid w:val="00D25FB5"/>
    <w:rsid w:val="00D26B09"/>
    <w:rsid w:val="00D31A84"/>
    <w:rsid w:val="00D32E85"/>
    <w:rsid w:val="00D346B1"/>
    <w:rsid w:val="00D34785"/>
    <w:rsid w:val="00D404DB"/>
    <w:rsid w:val="00D40932"/>
    <w:rsid w:val="00D42226"/>
    <w:rsid w:val="00D42579"/>
    <w:rsid w:val="00D42A30"/>
    <w:rsid w:val="00D438F4"/>
    <w:rsid w:val="00D44223"/>
    <w:rsid w:val="00D47F5F"/>
    <w:rsid w:val="00D5055C"/>
    <w:rsid w:val="00D51699"/>
    <w:rsid w:val="00D56F8C"/>
    <w:rsid w:val="00D67D5E"/>
    <w:rsid w:val="00D73BAE"/>
    <w:rsid w:val="00D75C82"/>
    <w:rsid w:val="00D763AE"/>
    <w:rsid w:val="00D8069E"/>
    <w:rsid w:val="00D80741"/>
    <w:rsid w:val="00D833BA"/>
    <w:rsid w:val="00D83C12"/>
    <w:rsid w:val="00D84C60"/>
    <w:rsid w:val="00D85586"/>
    <w:rsid w:val="00D91E05"/>
    <w:rsid w:val="00D96277"/>
    <w:rsid w:val="00D966EC"/>
    <w:rsid w:val="00DA2529"/>
    <w:rsid w:val="00DA2834"/>
    <w:rsid w:val="00DA5E8B"/>
    <w:rsid w:val="00DB130A"/>
    <w:rsid w:val="00DB1BFA"/>
    <w:rsid w:val="00DB2EBB"/>
    <w:rsid w:val="00DB7ECB"/>
    <w:rsid w:val="00DC10A1"/>
    <w:rsid w:val="00DC655F"/>
    <w:rsid w:val="00DD0B59"/>
    <w:rsid w:val="00DD1768"/>
    <w:rsid w:val="00DD1DD5"/>
    <w:rsid w:val="00DD7B49"/>
    <w:rsid w:val="00DD7EBD"/>
    <w:rsid w:val="00DF197F"/>
    <w:rsid w:val="00DF2F33"/>
    <w:rsid w:val="00DF62B6"/>
    <w:rsid w:val="00E02268"/>
    <w:rsid w:val="00E049D0"/>
    <w:rsid w:val="00E05989"/>
    <w:rsid w:val="00E07225"/>
    <w:rsid w:val="00E12D2D"/>
    <w:rsid w:val="00E150E5"/>
    <w:rsid w:val="00E17DA2"/>
    <w:rsid w:val="00E216BA"/>
    <w:rsid w:val="00E2428D"/>
    <w:rsid w:val="00E267E9"/>
    <w:rsid w:val="00E31585"/>
    <w:rsid w:val="00E36E2F"/>
    <w:rsid w:val="00E4105F"/>
    <w:rsid w:val="00E41223"/>
    <w:rsid w:val="00E42B79"/>
    <w:rsid w:val="00E43155"/>
    <w:rsid w:val="00E46A18"/>
    <w:rsid w:val="00E50BDA"/>
    <w:rsid w:val="00E5100F"/>
    <w:rsid w:val="00E5409F"/>
    <w:rsid w:val="00E54535"/>
    <w:rsid w:val="00E54BEF"/>
    <w:rsid w:val="00E60DFE"/>
    <w:rsid w:val="00E62FA3"/>
    <w:rsid w:val="00E65BAC"/>
    <w:rsid w:val="00E675C2"/>
    <w:rsid w:val="00E67DA9"/>
    <w:rsid w:val="00E72975"/>
    <w:rsid w:val="00E82BBD"/>
    <w:rsid w:val="00E8385A"/>
    <w:rsid w:val="00E86252"/>
    <w:rsid w:val="00E86D7D"/>
    <w:rsid w:val="00E87132"/>
    <w:rsid w:val="00E909C4"/>
    <w:rsid w:val="00E909CD"/>
    <w:rsid w:val="00E92BC0"/>
    <w:rsid w:val="00E9380E"/>
    <w:rsid w:val="00E93A13"/>
    <w:rsid w:val="00E95BBD"/>
    <w:rsid w:val="00EA4614"/>
    <w:rsid w:val="00EB28C1"/>
    <w:rsid w:val="00EC0B1E"/>
    <w:rsid w:val="00EC193A"/>
    <w:rsid w:val="00EC48C2"/>
    <w:rsid w:val="00EC58CA"/>
    <w:rsid w:val="00EE1B35"/>
    <w:rsid w:val="00EE1E54"/>
    <w:rsid w:val="00EE48E4"/>
    <w:rsid w:val="00EE6488"/>
    <w:rsid w:val="00F021FA"/>
    <w:rsid w:val="00F047CA"/>
    <w:rsid w:val="00F05BE5"/>
    <w:rsid w:val="00F10F90"/>
    <w:rsid w:val="00F14C2A"/>
    <w:rsid w:val="00F20252"/>
    <w:rsid w:val="00F22E6B"/>
    <w:rsid w:val="00F2612A"/>
    <w:rsid w:val="00F26432"/>
    <w:rsid w:val="00F26657"/>
    <w:rsid w:val="00F303D1"/>
    <w:rsid w:val="00F30FD7"/>
    <w:rsid w:val="00F310A4"/>
    <w:rsid w:val="00F37912"/>
    <w:rsid w:val="00F421C3"/>
    <w:rsid w:val="00F44596"/>
    <w:rsid w:val="00F45638"/>
    <w:rsid w:val="00F479DB"/>
    <w:rsid w:val="00F47D6A"/>
    <w:rsid w:val="00F52475"/>
    <w:rsid w:val="00F533D7"/>
    <w:rsid w:val="00F54AB6"/>
    <w:rsid w:val="00F5580D"/>
    <w:rsid w:val="00F57136"/>
    <w:rsid w:val="00F5732B"/>
    <w:rsid w:val="00F57D75"/>
    <w:rsid w:val="00F61436"/>
    <w:rsid w:val="00F62E97"/>
    <w:rsid w:val="00F64209"/>
    <w:rsid w:val="00F664F2"/>
    <w:rsid w:val="00F67E02"/>
    <w:rsid w:val="00F730C8"/>
    <w:rsid w:val="00F732BE"/>
    <w:rsid w:val="00F741CC"/>
    <w:rsid w:val="00F7500D"/>
    <w:rsid w:val="00F90AFB"/>
    <w:rsid w:val="00F93BF5"/>
    <w:rsid w:val="00F94C41"/>
    <w:rsid w:val="00F94DF4"/>
    <w:rsid w:val="00F9724E"/>
    <w:rsid w:val="00FA46E4"/>
    <w:rsid w:val="00FA51EA"/>
    <w:rsid w:val="00FA78E8"/>
    <w:rsid w:val="00FA7CE8"/>
    <w:rsid w:val="00FB079B"/>
    <w:rsid w:val="00FB07A2"/>
    <w:rsid w:val="00FB1DCD"/>
    <w:rsid w:val="00FD09CA"/>
    <w:rsid w:val="00FD2521"/>
    <w:rsid w:val="00FD4125"/>
    <w:rsid w:val="00FD5666"/>
    <w:rsid w:val="00FD6F14"/>
    <w:rsid w:val="00FE4C41"/>
    <w:rsid w:val="00FE6A94"/>
    <w:rsid w:val="00FE7ADB"/>
    <w:rsid w:val="00FF1DBD"/>
    <w:rsid w:val="00FF28B3"/>
    <w:rsid w:val="00FF3773"/>
    <w:rsid w:val="00FF3820"/>
    <w:rsid w:val="00FF3D72"/>
    <w:rsid w:val="00FF42D8"/>
    <w:rsid w:val="00FF73A0"/>
    <w:rsid w:val="0B290DDE"/>
    <w:rsid w:val="22224E88"/>
    <w:rsid w:val="2EB1125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EF9AAA"/>
  <w15:chartTrackingRefBased/>
  <w15:docId w15:val="{DB19267C-30C3-4170-948C-DEF3D7D0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Footnote Text Char3 Char Char Char,ft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
    <w:basedOn w:val="DefaultParagraphFont"/>
    <w:link w:val="FootnoteText"/>
    <w:rsid w:val="000F6936"/>
  </w:style>
  <w:style w:type="character" w:customStyle="1" w:styleId="FootnoteReference1">
    <w:name w:val="Footnote Reference1"/>
    <w:rsid w:val="000F6936"/>
    <w:rPr>
      <w:color w:val="000000"/>
      <w:sz w:val="20"/>
      <w:vertAlign w:val="superscript"/>
    </w:rPr>
  </w:style>
  <w:style w:type="paragraph" w:styleId="Caption">
    <w:name w:val="caption"/>
    <w:basedOn w:val="Normal"/>
    <w:next w:val="Normal"/>
    <w:qFormat/>
    <w:rsid w:val="00CD5910"/>
    <w:pPr>
      <w:spacing w:before="120" w:after="120"/>
    </w:pPr>
    <w:rPr>
      <w:b/>
    </w:rPr>
  </w:style>
  <w:style w:type="paragraph" w:customStyle="1" w:styleId="NumberedList">
    <w:name w:val="Numbered List"/>
    <w:basedOn w:val="Normal"/>
    <w:rsid w:val="00CD5910"/>
    <w:pPr>
      <w:numPr>
        <w:numId w:val="7"/>
      </w:numPr>
      <w:spacing w:after="220"/>
    </w:pPr>
  </w:style>
  <w:style w:type="character" w:customStyle="1" w:styleId="ParaNumChar">
    <w:name w:val="ParaNum Char"/>
    <w:basedOn w:val="DefaultParagraphFont"/>
    <w:link w:val="ParaNum"/>
    <w:rsid w:val="00CD5910"/>
    <w:rPr>
      <w:snapToGrid w:val="0"/>
      <w:kern w:val="28"/>
      <w:sz w:val="22"/>
    </w:rPr>
  </w:style>
  <w:style w:type="paragraph" w:styleId="BalloonText">
    <w:name w:val="Balloon Text"/>
    <w:basedOn w:val="Normal"/>
    <w:link w:val="BalloonTextChar"/>
    <w:rsid w:val="00220AD9"/>
    <w:rPr>
      <w:rFonts w:ascii="Segoe UI" w:hAnsi="Segoe UI" w:cs="Segoe UI"/>
      <w:sz w:val="18"/>
      <w:szCs w:val="18"/>
    </w:rPr>
  </w:style>
  <w:style w:type="character" w:customStyle="1" w:styleId="BalloonTextChar">
    <w:name w:val="Balloon Text Char"/>
    <w:basedOn w:val="DefaultParagraphFont"/>
    <w:link w:val="BalloonText"/>
    <w:rsid w:val="00220AD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AE0272"/>
    <w:rPr>
      <w:color w:val="605E5C"/>
      <w:shd w:val="clear" w:color="auto" w:fill="E1DFDD"/>
    </w:rPr>
  </w:style>
  <w:style w:type="character" w:styleId="FollowedHyperlink">
    <w:name w:val="FollowedHyperlink"/>
    <w:basedOn w:val="DefaultParagraphFont"/>
    <w:rsid w:val="00AE0272"/>
    <w:rPr>
      <w:color w:val="954F72" w:themeColor="followedHyperlink"/>
      <w:u w:val="single"/>
    </w:rPr>
  </w:style>
  <w:style w:type="character" w:styleId="CommentReference">
    <w:name w:val="annotation reference"/>
    <w:basedOn w:val="DefaultParagraphFont"/>
    <w:uiPriority w:val="99"/>
    <w:rsid w:val="008731AC"/>
    <w:rPr>
      <w:sz w:val="16"/>
      <w:szCs w:val="16"/>
    </w:rPr>
  </w:style>
  <w:style w:type="paragraph" w:styleId="CommentText">
    <w:name w:val="annotation text"/>
    <w:basedOn w:val="Normal"/>
    <w:link w:val="CommentTextChar"/>
    <w:uiPriority w:val="99"/>
    <w:rsid w:val="008731AC"/>
    <w:rPr>
      <w:sz w:val="20"/>
    </w:rPr>
  </w:style>
  <w:style w:type="character" w:customStyle="1" w:styleId="CommentTextChar">
    <w:name w:val="Comment Text Char"/>
    <w:basedOn w:val="DefaultParagraphFont"/>
    <w:link w:val="CommentText"/>
    <w:uiPriority w:val="99"/>
    <w:rsid w:val="008731AC"/>
    <w:rPr>
      <w:snapToGrid w:val="0"/>
      <w:kern w:val="28"/>
    </w:rPr>
  </w:style>
  <w:style w:type="paragraph" w:styleId="CommentSubject">
    <w:name w:val="annotation subject"/>
    <w:basedOn w:val="CommentText"/>
    <w:next w:val="CommentText"/>
    <w:link w:val="CommentSubjectChar"/>
    <w:rsid w:val="008731AC"/>
    <w:rPr>
      <w:b/>
      <w:bCs/>
    </w:rPr>
  </w:style>
  <w:style w:type="character" w:customStyle="1" w:styleId="CommentSubjectChar">
    <w:name w:val="Comment Subject Char"/>
    <w:basedOn w:val="CommentTextChar"/>
    <w:link w:val="CommentSubject"/>
    <w:rsid w:val="008731AC"/>
    <w:rPr>
      <w:b/>
      <w:bCs/>
      <w:snapToGrid w:val="0"/>
      <w:kern w:val="28"/>
    </w:rPr>
  </w:style>
  <w:style w:type="paragraph" w:customStyle="1" w:styleId="Heading5A">
    <w:name w:val="Heading 5 A"/>
    <w:rsid w:val="00F94DF4"/>
    <w:pPr>
      <w:outlineLvl w:val="4"/>
    </w:pPr>
    <w:rPr>
      <w:rFonts w:ascii="Times New Roman Bold" w:eastAsia="ヒラギノ角ゴ Pro W3" w:hAnsi="Times New Roman Bold"/>
      <w:color w:val="000000"/>
      <w:sz w:val="22"/>
    </w:rPr>
  </w:style>
  <w:style w:type="character" w:customStyle="1" w:styleId="FootnoteTextCharChar3CharCharCharCharChar">
    <w:name w:val="Footnote Text Char Char3 Char Char Char Char Char"/>
    <w:aliases w:val="Footnote Text Char1 Char1 Char Char,Footnote Text Char2 Char,Footnote Text Char3 Char1 Char Char Char Char,f Char,fn Char"/>
    <w:basedOn w:val="DefaultParagraphFont"/>
    <w:uiPriority w:val="99"/>
    <w:rsid w:val="00F61436"/>
    <w:rPr>
      <w:rFonts w:ascii="Times New Roman" w:hAnsi="Times New Roman" w:cs="Times New Roman"/>
      <w:sz w:val="20"/>
      <w:szCs w:val="20"/>
    </w:rPr>
  </w:style>
  <w:style w:type="table" w:styleId="TableGrid">
    <w:name w:val="Table Grid"/>
    <w:basedOn w:val="TableNormal"/>
    <w:uiPriority w:val="39"/>
    <w:rsid w:val="006930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324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ireless.fcc.gov/auctions/105/Auction-105-Application-Tutorial_3/presentation_html5.html" TargetMode="External" /><Relationship Id="rId2" Type="http://schemas.openxmlformats.org/officeDocument/2006/relationships/hyperlink" Target="https://www.whitehouse.gov/presidential-actions/proclamation-declaring-national-emergency-concerning-novel-coronavirus-disease-covid-19-outbreak/"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