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79EBE9BF" w14:textId="77777777">
      <w:pPr>
        <w:jc w:val="right"/>
        <w:rPr>
          <w:sz w:val="24"/>
        </w:rPr>
      </w:pPr>
    </w:p>
    <w:p w:rsidR="00000000" w14:paraId="64267A80" w14:textId="72F67FEB">
      <w:pPr>
        <w:jc w:val="right"/>
        <w:rPr>
          <w:b/>
          <w:sz w:val="24"/>
        </w:rPr>
      </w:pPr>
      <w:r>
        <w:rPr>
          <w:b/>
          <w:sz w:val="24"/>
        </w:rPr>
        <w:t>DA 22-631</w:t>
      </w:r>
    </w:p>
    <w:p w:rsidR="00000000" w14:paraId="33365A44" w14:textId="6EE738A7">
      <w:pPr>
        <w:spacing w:before="60"/>
        <w:jc w:val="right"/>
        <w:rPr>
          <w:b/>
          <w:sz w:val="24"/>
        </w:rPr>
      </w:pPr>
      <w:r>
        <w:rPr>
          <w:b/>
          <w:sz w:val="24"/>
        </w:rPr>
        <w:t xml:space="preserve">Released:  </w:t>
      </w:r>
      <w:r w:rsidR="00752939">
        <w:rPr>
          <w:b/>
          <w:sz w:val="24"/>
        </w:rPr>
        <w:t>June 13, 2022</w:t>
      </w:r>
    </w:p>
    <w:p w:rsidR="00000000" w14:paraId="4731AD68" w14:textId="77777777">
      <w:pPr>
        <w:jc w:val="right"/>
        <w:rPr>
          <w:sz w:val="24"/>
        </w:rPr>
      </w:pPr>
    </w:p>
    <w:p w:rsidR="00000000" w14:paraId="57D64C4A" w14:textId="5011C9E8">
      <w:pPr>
        <w:spacing w:after="240"/>
        <w:jc w:val="center"/>
        <w:rPr>
          <w:rFonts w:ascii="Times New Roman Bold" w:hAnsi="Times New Roman Bold"/>
          <w:b/>
          <w:caps/>
          <w:sz w:val="24"/>
        </w:rPr>
      </w:pPr>
      <w:r w:rsidRPr="00752939">
        <w:rPr>
          <w:rFonts w:ascii="Times New Roman Bold" w:hAnsi="Times New Roman Bold"/>
          <w:b/>
          <w:caps/>
          <w:sz w:val="24"/>
        </w:rPr>
        <w:t>WIRELINE COMPETITION BUREAU REMINDS NON-FACILITIES-BASED SMALL PROVIDERS OF STIR/SHAKEN IMPLEMENTATION DEADLINE</w:t>
      </w:r>
    </w:p>
    <w:p w:rsidR="00000000" w14:paraId="65CC395B" w14:textId="52D996D5">
      <w:pPr>
        <w:jc w:val="center"/>
        <w:rPr>
          <w:b/>
          <w:sz w:val="24"/>
        </w:rPr>
      </w:pPr>
      <w:r w:rsidRPr="00752939">
        <w:rPr>
          <w:b/>
          <w:sz w:val="24"/>
        </w:rPr>
        <w:t>WC Docket No. 17-97</w:t>
      </w:r>
    </w:p>
    <w:p w:rsidR="00752939" w14:paraId="007C3955" w14:textId="40ECFC65">
      <w:pPr>
        <w:jc w:val="center"/>
        <w:rPr>
          <w:b/>
          <w:sz w:val="24"/>
        </w:rPr>
      </w:pPr>
    </w:p>
    <w:p w:rsidR="00752939" w:rsidRPr="00E70E39" w:rsidP="00752939" w14:paraId="34CA94EE" w14:textId="77777777">
      <w:pPr>
        <w:spacing w:after="120"/>
        <w:ind w:firstLine="720"/>
        <w:rPr>
          <w:bCs/>
          <w:szCs w:val="22"/>
        </w:rPr>
      </w:pPr>
      <w:r>
        <w:rPr>
          <w:bCs/>
          <w:szCs w:val="22"/>
        </w:rPr>
        <w:t xml:space="preserve">This Public Notice reminds non-facilities-based small voice service providers that they must implement </w:t>
      </w:r>
      <w:r w:rsidRPr="00E70E39">
        <w:rPr>
          <w:bCs/>
          <w:szCs w:val="22"/>
        </w:rPr>
        <w:t xml:space="preserve">the STIR/SHAKEN caller ID authentication framework in </w:t>
      </w:r>
      <w:r>
        <w:rPr>
          <w:bCs/>
          <w:szCs w:val="22"/>
        </w:rPr>
        <w:t>their</w:t>
      </w:r>
      <w:r w:rsidRPr="00E70E39">
        <w:rPr>
          <w:bCs/>
          <w:szCs w:val="22"/>
        </w:rPr>
        <w:t xml:space="preserve"> I</w:t>
      </w:r>
      <w:r>
        <w:rPr>
          <w:bCs/>
          <w:szCs w:val="22"/>
        </w:rPr>
        <w:t xml:space="preserve">nternet </w:t>
      </w:r>
      <w:r w:rsidRPr="00E70E39">
        <w:rPr>
          <w:bCs/>
          <w:szCs w:val="22"/>
        </w:rPr>
        <w:t>P</w:t>
      </w:r>
      <w:r>
        <w:rPr>
          <w:bCs/>
          <w:szCs w:val="22"/>
        </w:rPr>
        <w:t>rotocol</w:t>
      </w:r>
      <w:r w:rsidRPr="00E70E39">
        <w:rPr>
          <w:bCs/>
          <w:szCs w:val="22"/>
        </w:rPr>
        <w:t xml:space="preserve"> networks</w:t>
      </w:r>
      <w:r>
        <w:rPr>
          <w:bCs/>
          <w:szCs w:val="22"/>
        </w:rPr>
        <w:t xml:space="preserve"> no later than </w:t>
      </w:r>
      <w:r w:rsidRPr="00A97906">
        <w:rPr>
          <w:b/>
          <w:szCs w:val="22"/>
        </w:rPr>
        <w:t>June 30, 202</w:t>
      </w:r>
      <w:r>
        <w:rPr>
          <w:b/>
          <w:szCs w:val="22"/>
        </w:rPr>
        <w:t>2</w:t>
      </w:r>
      <w:r>
        <w:rPr>
          <w:bCs/>
          <w:szCs w:val="22"/>
        </w:rPr>
        <w:t>.</w:t>
      </w:r>
      <w:r>
        <w:rPr>
          <w:rStyle w:val="FootnoteReference"/>
          <w:bCs/>
          <w:szCs w:val="22"/>
        </w:rPr>
        <w:footnoteReference w:id="3"/>
      </w:r>
      <w:r>
        <w:rPr>
          <w:bCs/>
          <w:szCs w:val="22"/>
        </w:rPr>
        <w:t xml:space="preserve"> </w:t>
      </w:r>
    </w:p>
    <w:p w:rsidR="00752939" w:rsidP="00752939" w14:paraId="5AC04800" w14:textId="77777777">
      <w:pPr>
        <w:spacing w:after="120"/>
        <w:ind w:firstLine="720"/>
        <w:rPr>
          <w:color w:val="000000"/>
          <w:szCs w:val="22"/>
        </w:rPr>
      </w:pPr>
      <w:r w:rsidRPr="00B33D16">
        <w:rPr>
          <w:color w:val="000000"/>
          <w:szCs w:val="22"/>
        </w:rPr>
        <w:t>In March 2020, the Commission adopted rules pursuant to the Pallone-Thune Telephone Robocall Abuse Criminal Enforcement and Deterrence (TRACED) Act,</w:t>
      </w:r>
      <w:r>
        <w:rPr>
          <w:rStyle w:val="FootnoteReference"/>
          <w:szCs w:val="22"/>
        </w:rPr>
        <w:footnoteReference w:id="4"/>
      </w:r>
      <w:r w:rsidRPr="00B33D16">
        <w:rPr>
          <w:color w:val="000000"/>
          <w:szCs w:val="22"/>
        </w:rPr>
        <w:t xml:space="preserve"> requiring voice service providers to implement STIR/SHAKEN caller ID </w:t>
      </w:r>
      <w:r w:rsidRPr="00815568">
        <w:rPr>
          <w:bCs/>
          <w:szCs w:val="22"/>
        </w:rPr>
        <w:t>authentication</w:t>
      </w:r>
      <w:r w:rsidRPr="00B33D16">
        <w:rPr>
          <w:color w:val="000000"/>
          <w:szCs w:val="22"/>
        </w:rPr>
        <w:t xml:space="preserve"> technology in the Internet Protocol portions of their network</w:t>
      </w:r>
      <w:r>
        <w:rPr>
          <w:color w:val="000000"/>
          <w:szCs w:val="22"/>
        </w:rPr>
        <w:t>s by June 30, 2021.</w:t>
      </w:r>
      <w:r>
        <w:rPr>
          <w:rStyle w:val="FootnoteReference"/>
          <w:szCs w:val="22"/>
        </w:rPr>
        <w:footnoteReference w:id="5"/>
      </w:r>
      <w:r w:rsidRPr="00B33D16">
        <w:rPr>
          <w:color w:val="000000"/>
          <w:szCs w:val="22"/>
        </w:rPr>
        <w:t xml:space="preserve">  </w:t>
      </w:r>
      <w:r>
        <w:rPr>
          <w:color w:val="000000"/>
          <w:szCs w:val="22"/>
        </w:rPr>
        <w:t xml:space="preserve">In September 2020, </w:t>
      </w:r>
      <w:r w:rsidRPr="00B33D16">
        <w:rPr>
          <w:color w:val="000000"/>
          <w:szCs w:val="22"/>
        </w:rPr>
        <w:t xml:space="preserve">the Commission granted extensions </w:t>
      </w:r>
      <w:r>
        <w:rPr>
          <w:color w:val="000000"/>
          <w:szCs w:val="22"/>
        </w:rPr>
        <w:t>for</w:t>
      </w:r>
      <w:r w:rsidRPr="00B33D16">
        <w:rPr>
          <w:color w:val="000000"/>
          <w:szCs w:val="22"/>
        </w:rPr>
        <w:t xml:space="preserve"> compliance with this deadline to certain classes of providers</w:t>
      </w:r>
      <w:r>
        <w:rPr>
          <w:color w:val="000000"/>
          <w:szCs w:val="22"/>
        </w:rPr>
        <w:t>,</w:t>
      </w:r>
      <w:r>
        <w:rPr>
          <w:rStyle w:val="FootnoteReference"/>
          <w:szCs w:val="22"/>
        </w:rPr>
        <w:footnoteReference w:id="6"/>
      </w:r>
      <w:r>
        <w:rPr>
          <w:color w:val="000000"/>
          <w:szCs w:val="22"/>
        </w:rPr>
        <w:t xml:space="preserve"> including a two-year extension for small voice service providers (100,000 or fewer voice access lines),</w:t>
      </w:r>
      <w:r>
        <w:rPr>
          <w:rStyle w:val="FootnoteReference"/>
          <w:szCs w:val="22"/>
        </w:rPr>
        <w:footnoteReference w:id="7"/>
      </w:r>
      <w:r>
        <w:rPr>
          <w:color w:val="000000"/>
          <w:szCs w:val="22"/>
        </w:rPr>
        <w:t xml:space="preserve"> and required providers with an extension to implement robocall mitigation programs.</w:t>
      </w:r>
      <w:r>
        <w:rPr>
          <w:rStyle w:val="FootnoteReference"/>
          <w:szCs w:val="22"/>
        </w:rPr>
        <w:footnoteReference w:id="8"/>
      </w:r>
      <w:r w:rsidRPr="00B33D16">
        <w:rPr>
          <w:color w:val="000000"/>
          <w:szCs w:val="22"/>
        </w:rPr>
        <w:t xml:space="preserve"> </w:t>
      </w:r>
      <w:r>
        <w:rPr>
          <w:color w:val="000000"/>
          <w:szCs w:val="22"/>
        </w:rPr>
        <w:t xml:space="preserve"> Based on </w:t>
      </w:r>
      <w:r>
        <w:t>“overwhelming record support and available evidence showing that non-facilities-based small voice service providers are originating a large and disproportionate amount of robocalls,”</w:t>
      </w:r>
      <w:r>
        <w:rPr>
          <w:color w:val="000000"/>
          <w:szCs w:val="22"/>
        </w:rPr>
        <w:t xml:space="preserve"> the Commission subsequently</w:t>
      </w:r>
      <w:r w:rsidRPr="001A2C0C">
        <w:t xml:space="preserve"> shortened the extension for </w:t>
      </w:r>
      <w:r>
        <w:t>this subset of</w:t>
      </w:r>
      <w:r w:rsidRPr="001A2C0C">
        <w:t xml:space="preserve"> small voice service providers by one year,</w:t>
      </w:r>
      <w:r>
        <w:rPr>
          <w:rStyle w:val="FootnoteReference"/>
        </w:rPr>
        <w:footnoteReference w:id="9"/>
      </w:r>
      <w:r w:rsidRPr="001A2C0C">
        <w:t xml:space="preserve"> </w:t>
      </w:r>
      <w:r>
        <w:t>thus requiring them to</w:t>
      </w:r>
      <w:r w:rsidRPr="001A2C0C">
        <w:t xml:space="preserve"> implement STIR/SHAKEN in the IP portions of their </w:t>
      </w:r>
      <w:r w:rsidRPr="001A2C0C">
        <w:t>networks by June 30, 2022.</w:t>
      </w:r>
      <w:r>
        <w:rPr>
          <w:rStyle w:val="FootnoteReference"/>
        </w:rPr>
        <w:footnoteReference w:id="10"/>
      </w:r>
      <w:r w:rsidRPr="001A2C0C">
        <w:t xml:space="preserve"> </w:t>
      </w:r>
      <w:r>
        <w:rPr>
          <w:color w:val="000000"/>
          <w:szCs w:val="22"/>
        </w:rPr>
        <w:t xml:space="preserve"> These affected providers were also required to </w:t>
      </w:r>
      <w:r>
        <w:t xml:space="preserve">update the robocall mitigation database within 10 business days of the effective date of the </w:t>
      </w:r>
      <w:r w:rsidRPr="00F67D5B">
        <w:rPr>
          <w:i/>
          <w:iCs/>
        </w:rPr>
        <w:t>Small Provider Order</w:t>
      </w:r>
      <w:r>
        <w:t xml:space="preserve"> to indicate they are no longer subject to a two-year extension and must implement STIR/SHAKEN by June 30, 2022 in the IP portions of their networks.</w:t>
      </w:r>
      <w:r>
        <w:rPr>
          <w:rStyle w:val="FootnoteReference"/>
        </w:rPr>
        <w:footnoteReference w:id="11"/>
      </w:r>
      <w:r>
        <w:t xml:space="preserve">  Moreover, as with other voice service providers, these providers must also update their certifications and associated filings in the Robocall Mitigation Database within 10 business days of completion of STIR/SHAKEN implementation.</w:t>
      </w:r>
      <w:r>
        <w:rPr>
          <w:rStyle w:val="FootnoteReference"/>
        </w:rPr>
        <w:footnoteReference w:id="12"/>
      </w:r>
      <w:r>
        <w:rPr>
          <w:color w:val="000000"/>
          <w:szCs w:val="22"/>
        </w:rPr>
        <w:t xml:space="preserve"> </w:t>
      </w:r>
    </w:p>
    <w:p w:rsidR="00752939" w:rsidP="00752939" w14:paraId="1D97042A" w14:textId="77777777">
      <w:pPr>
        <w:spacing w:after="120"/>
        <w:ind w:firstLine="720"/>
        <w:rPr>
          <w:bCs/>
          <w:szCs w:val="22"/>
        </w:rPr>
      </w:pPr>
      <w:r w:rsidRPr="00E70E39">
        <w:rPr>
          <w:bCs/>
          <w:szCs w:val="22"/>
        </w:rPr>
        <w:t xml:space="preserve">Those </w:t>
      </w:r>
      <w:r>
        <w:rPr>
          <w:bCs/>
          <w:szCs w:val="22"/>
        </w:rPr>
        <w:t>non-</w:t>
      </w:r>
      <w:r w:rsidRPr="00815568">
        <w:t>facilities</w:t>
      </w:r>
      <w:r>
        <w:rPr>
          <w:bCs/>
          <w:szCs w:val="22"/>
        </w:rPr>
        <w:t xml:space="preserve">-based small </w:t>
      </w:r>
      <w:r w:rsidRPr="00E70E39">
        <w:rPr>
          <w:bCs/>
          <w:szCs w:val="22"/>
        </w:rPr>
        <w:t>voice service providers</w:t>
      </w:r>
      <w:r>
        <w:rPr>
          <w:bCs/>
          <w:szCs w:val="22"/>
        </w:rPr>
        <w:t xml:space="preserve"> </w:t>
      </w:r>
      <w:r w:rsidRPr="00E70E39">
        <w:rPr>
          <w:bCs/>
          <w:szCs w:val="22"/>
        </w:rPr>
        <w:t xml:space="preserve">that fail to implement the authentication framework by </w:t>
      </w:r>
      <w:r w:rsidRPr="00A97906">
        <w:rPr>
          <w:b/>
          <w:szCs w:val="22"/>
        </w:rPr>
        <w:t>June 30, 202</w:t>
      </w:r>
      <w:r>
        <w:rPr>
          <w:b/>
          <w:szCs w:val="22"/>
        </w:rPr>
        <w:t>2</w:t>
      </w:r>
      <w:r w:rsidRPr="00E70E39">
        <w:rPr>
          <w:bCs/>
          <w:szCs w:val="22"/>
        </w:rPr>
        <w:t xml:space="preserve"> may be subject to appropriate enforcement action.</w:t>
      </w:r>
      <w:r>
        <w:rPr>
          <w:rStyle w:val="FootnoteReference"/>
          <w:bCs/>
          <w:szCs w:val="22"/>
        </w:rPr>
        <w:footnoteReference w:id="13"/>
      </w:r>
    </w:p>
    <w:p w:rsidR="00752939" w:rsidP="00752939" w14:paraId="5E9B76EC" w14:textId="447C2701">
      <w:pPr>
        <w:spacing w:after="120"/>
        <w:ind w:firstLine="720"/>
        <w:rPr>
          <w:szCs w:val="22"/>
        </w:rPr>
      </w:pPr>
      <w:r>
        <w:rPr>
          <w:i/>
          <w:iCs/>
          <w:szCs w:val="22"/>
        </w:rPr>
        <w:t>Contact Information</w:t>
      </w:r>
      <w:r>
        <w:rPr>
          <w:szCs w:val="22"/>
        </w:rPr>
        <w:t xml:space="preserve">.  </w:t>
      </w:r>
      <w:r w:rsidRPr="00E70E39">
        <w:rPr>
          <w:szCs w:val="22"/>
        </w:rPr>
        <w:t xml:space="preserve">For </w:t>
      </w:r>
      <w:r w:rsidRPr="00815568">
        <w:t>further</w:t>
      </w:r>
      <w:r w:rsidRPr="00E70E39">
        <w:rPr>
          <w:szCs w:val="22"/>
        </w:rPr>
        <w:t xml:space="preserve"> information, please contact </w:t>
      </w:r>
      <w:r>
        <w:rPr>
          <w:szCs w:val="22"/>
        </w:rPr>
        <w:t>Jonathan Lechter</w:t>
      </w:r>
      <w:r w:rsidRPr="00E70E39">
        <w:rPr>
          <w:szCs w:val="22"/>
        </w:rPr>
        <w:t xml:space="preserve">, Wireline Competition Bureau, Competition Policy </w:t>
      </w:r>
      <w:r w:rsidRPr="00815568">
        <w:t>Division</w:t>
      </w:r>
      <w:r w:rsidRPr="00E70E39">
        <w:rPr>
          <w:szCs w:val="22"/>
        </w:rPr>
        <w:t>, at (202) 418-</w:t>
      </w:r>
      <w:r>
        <w:rPr>
          <w:szCs w:val="22"/>
        </w:rPr>
        <w:t>0984</w:t>
      </w:r>
      <w:r w:rsidRPr="00E70E39">
        <w:rPr>
          <w:szCs w:val="22"/>
        </w:rPr>
        <w:t xml:space="preserve"> or by email at</w:t>
      </w:r>
      <w:r>
        <w:rPr>
          <w:szCs w:val="22"/>
        </w:rPr>
        <w:t xml:space="preserve"> </w:t>
      </w:r>
      <w:hyperlink r:id="rId5" w:history="1">
        <w:r w:rsidRPr="0083238D">
          <w:rPr>
            <w:rStyle w:val="Hyperlink"/>
            <w:szCs w:val="22"/>
          </w:rPr>
          <w:t>Jonathan.Lechter@fcc.gov</w:t>
        </w:r>
      </w:hyperlink>
      <w:r w:rsidRPr="00E70E39">
        <w:rPr>
          <w:szCs w:val="22"/>
        </w:rPr>
        <w:t>.</w:t>
      </w:r>
    </w:p>
    <w:p w:rsidR="00752939" w:rsidP="00752939" w14:paraId="51A2F9CC" w14:textId="08635BCB">
      <w:pPr>
        <w:spacing w:after="120"/>
        <w:rPr>
          <w:szCs w:val="22"/>
        </w:rPr>
      </w:pPr>
    </w:p>
    <w:p w:rsidR="00752939" w:rsidRPr="00752939" w:rsidP="00752939" w14:paraId="66C53D6E" w14:textId="51D55C8E">
      <w:pPr>
        <w:spacing w:after="120"/>
        <w:jc w:val="center"/>
        <w:rPr>
          <w:b/>
          <w:bCs/>
          <w:szCs w:val="22"/>
        </w:rPr>
      </w:pPr>
      <w:r w:rsidRPr="00752939">
        <w:rPr>
          <w:b/>
          <w:bCs/>
          <w:szCs w:val="22"/>
        </w:rPr>
        <w:t>-</w:t>
      </w:r>
      <w:r>
        <w:rPr>
          <w:b/>
          <w:bCs/>
          <w:szCs w:val="22"/>
        </w:rPr>
        <w:t xml:space="preserve"> </w:t>
      </w:r>
      <w:r w:rsidRPr="00752939">
        <w:rPr>
          <w:b/>
          <w:bCs/>
          <w:szCs w:val="22"/>
        </w:rPr>
        <w:t>FCC</w:t>
      </w:r>
      <w:r>
        <w:rPr>
          <w:b/>
          <w:bCs/>
          <w:szCs w:val="22"/>
        </w:rPr>
        <w:t xml:space="preserve"> </w:t>
      </w:r>
      <w:r w:rsidRPr="00752939">
        <w:rPr>
          <w:b/>
          <w:bCs/>
          <w:szCs w:val="22"/>
        </w:rPr>
        <w:t>-</w:t>
      </w:r>
    </w:p>
    <w:p w:rsidR="00000000" w14:paraId="66C138A4" w14:textId="77777777">
      <w:bookmarkStart w:id="0" w:name="TOChere"/>
    </w:p>
    <w:p w:rsidR="00000000" w14:paraId="1DA6CA97" w14:textId="77777777"/>
    <w:p w:rsidR="00000000" w14:paraId="22B6C29F" w14:textId="77777777"/>
    <w:bookmarkEnd w:id="0"/>
    <w:p w:rsidR="00752939" w14:paraId="58551757"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1E981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60B4B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38867C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06A54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2939" w14:paraId="536D4CAE" w14:textId="77777777">
      <w:r>
        <w:separator/>
      </w:r>
    </w:p>
  </w:footnote>
  <w:footnote w:type="continuationSeparator" w:id="1">
    <w:p w:rsidR="00752939" w14:paraId="2705559C" w14:textId="77777777">
      <w:pPr>
        <w:rPr>
          <w:sz w:val="20"/>
        </w:rPr>
      </w:pPr>
      <w:r>
        <w:rPr>
          <w:sz w:val="20"/>
        </w:rPr>
        <w:t xml:space="preserve">(Continued from previous page)  </w:t>
      </w:r>
      <w:r>
        <w:rPr>
          <w:sz w:val="20"/>
        </w:rPr>
        <w:separator/>
      </w:r>
    </w:p>
  </w:footnote>
  <w:footnote w:type="continuationNotice" w:id="2">
    <w:p w:rsidR="00752939" w14:paraId="5343FFE0" w14:textId="77777777">
      <w:pPr>
        <w:jc w:val="right"/>
        <w:rPr>
          <w:sz w:val="20"/>
        </w:rPr>
      </w:pPr>
      <w:r>
        <w:rPr>
          <w:sz w:val="20"/>
        </w:rPr>
        <w:t>(continued….)</w:t>
      </w:r>
    </w:p>
  </w:footnote>
  <w:footnote w:id="3">
    <w:p w:rsidR="00752939" w:rsidP="00752939" w14:paraId="263464BE" w14:textId="77777777">
      <w:pPr>
        <w:pStyle w:val="FootnoteText"/>
      </w:pPr>
      <w:r>
        <w:rPr>
          <w:rStyle w:val="FootnoteReference"/>
        </w:rPr>
        <w:footnoteRef/>
      </w:r>
      <w:r>
        <w:t xml:space="preserve"> </w:t>
      </w:r>
      <w:r w:rsidRPr="001A2C0C">
        <w:rPr>
          <w:i/>
        </w:rPr>
        <w:t>See</w:t>
      </w:r>
      <w:r w:rsidRPr="001A2C0C">
        <w:rPr>
          <w:i/>
          <w:iCs/>
        </w:rPr>
        <w:t xml:space="preserve"> Call Authentication Trust Anchor, </w:t>
      </w:r>
      <w:r w:rsidRPr="001A2C0C">
        <w:t>WC Docket No. 17-97</w:t>
      </w:r>
      <w:r w:rsidRPr="001A2C0C">
        <w:rPr>
          <w:i/>
          <w:iCs/>
        </w:rPr>
        <w:t xml:space="preserve">, </w:t>
      </w:r>
      <w:r w:rsidRPr="001A2C0C">
        <w:t>Fourth Report and Order, FCC 21-</w:t>
      </w:r>
      <w:r>
        <w:t>1</w:t>
      </w:r>
      <w:r w:rsidRPr="001A2C0C">
        <w:t>22, at para. 23 (rel. Dec. 10, 2021) (</w:t>
      </w:r>
      <w:r w:rsidRPr="001A2C0C">
        <w:rPr>
          <w:i/>
          <w:iCs/>
        </w:rPr>
        <w:t>Small Provider Order</w:t>
      </w:r>
      <w:r w:rsidRPr="001A2C0C">
        <w:t>).</w:t>
      </w:r>
    </w:p>
  </w:footnote>
  <w:footnote w:id="4">
    <w:p w:rsidR="00752939" w:rsidRPr="00ED2251" w:rsidP="00752939" w14:paraId="43098705" w14:textId="77777777">
      <w:pPr>
        <w:pStyle w:val="FootnoteText"/>
      </w:pPr>
      <w:r w:rsidRPr="00ED2251">
        <w:rPr>
          <w:rStyle w:val="FootnoteReference"/>
          <w:sz w:val="20"/>
        </w:rPr>
        <w:footnoteRef/>
      </w:r>
      <w:r w:rsidRPr="00ED2251">
        <w:t xml:space="preserve"> Pallone-Thune Telephone Robocall Abuse Criminal Enforcement and Deterrence Act, Pub. L. No. 116-105 (2019) (TRACED Act).</w:t>
      </w:r>
    </w:p>
  </w:footnote>
  <w:footnote w:id="5">
    <w:p w:rsidR="00752939" w:rsidRPr="00ED2251" w:rsidP="00752939" w14:paraId="5F8D94EB" w14:textId="77777777">
      <w:pPr>
        <w:pStyle w:val="FootnoteText"/>
      </w:pPr>
      <w:r w:rsidRPr="00ED2251">
        <w:rPr>
          <w:rStyle w:val="FootnoteReference"/>
          <w:sz w:val="20"/>
        </w:rPr>
        <w:footnoteRef/>
      </w:r>
      <w:r w:rsidRPr="00ED2251">
        <w:t xml:space="preserve"> </w:t>
      </w:r>
      <w:r w:rsidRPr="00616DC3">
        <w:rPr>
          <w:i/>
          <w:iCs/>
        </w:rPr>
        <w:t>Call Authentication Trust Anchor; Implementation of TRACED Act Section 6(a)—Knowledge of Customers by Entities with Access to Numbering Resources</w:t>
      </w:r>
      <w:r w:rsidRPr="00616DC3">
        <w:t xml:space="preserve">, WC Docket Nos. 17-97 and 20-67, Report and Order and Further Notice of Proposed Rulemaking, 35 FCC </w:t>
      </w:r>
      <w:r w:rsidRPr="00616DC3">
        <w:t>Rcd</w:t>
      </w:r>
      <w:r w:rsidRPr="00616DC3">
        <w:t xml:space="preserve"> 3241, </w:t>
      </w:r>
      <w:r>
        <w:t xml:space="preserve">3252, para. 24, </w:t>
      </w:r>
      <w:r w:rsidRPr="00616DC3">
        <w:t>3257-58, paras. 32-35 (2020)</w:t>
      </w:r>
      <w:r>
        <w:t xml:space="preserve">; </w:t>
      </w:r>
      <w:r w:rsidRPr="00ED2251">
        <w:t>47 CFR § 64.6301.</w:t>
      </w:r>
    </w:p>
  </w:footnote>
  <w:footnote w:id="6">
    <w:p w:rsidR="00752939" w:rsidRPr="00ED2251" w:rsidP="00752939" w14:paraId="5596EDDC" w14:textId="77777777">
      <w:pPr>
        <w:pStyle w:val="FootnoteText"/>
      </w:pPr>
      <w:r w:rsidRPr="00ED2251">
        <w:rPr>
          <w:rStyle w:val="FootnoteReference"/>
          <w:sz w:val="20"/>
        </w:rPr>
        <w:footnoteRef/>
      </w:r>
      <w:r w:rsidRPr="00ED2251">
        <w:t xml:space="preserve"> </w:t>
      </w:r>
      <w:r w:rsidRPr="00E25B41">
        <w:rPr>
          <w:i/>
          <w:iCs/>
        </w:rPr>
        <w:t>Call Authentication Trust Anchor</w:t>
      </w:r>
      <w:r w:rsidRPr="00E25B41">
        <w:t xml:space="preserve">, WC Docket No. 17-97, Second Report and Order, 36 FCC </w:t>
      </w:r>
      <w:r w:rsidRPr="00E25B41">
        <w:t>Rcd</w:t>
      </w:r>
      <w:r w:rsidRPr="00E25B41">
        <w:t xml:space="preserve"> 18</w:t>
      </w:r>
      <w:r>
        <w:t>76</w:t>
      </w:r>
      <w:r w:rsidRPr="00E25B41">
        <w:t xml:space="preserve">, para. </w:t>
      </w:r>
      <w:r>
        <w:t>38</w:t>
      </w:r>
      <w:r w:rsidRPr="00E25B41">
        <w:t xml:space="preserve"> (2020)</w:t>
      </w:r>
      <w:r>
        <w:t xml:space="preserve"> (</w:t>
      </w:r>
      <w:r w:rsidRPr="006F4935">
        <w:rPr>
          <w:i/>
          <w:iCs/>
        </w:rPr>
        <w:t>Second Caller ID Authentication Report and Order</w:t>
      </w:r>
      <w:r>
        <w:t>)</w:t>
      </w:r>
      <w:r w:rsidRPr="00ED2251">
        <w:t xml:space="preserve"> (explaining that the Commission granted the following extensions from implementation of caller ID authentication: </w:t>
      </w:r>
      <w:r>
        <w:t xml:space="preserve"> </w:t>
      </w:r>
      <w:r w:rsidRPr="00ED2251">
        <w:t>“(1) a two-year extension to small, including small rural, voice service providers; (2) an extension to voice service providers that cannot obtain a certificate due to the Governance Authority’s token access policy until such provider is able to obtain a certificate; (3) a one-year extension to services scheduled for section 214 discontinuance; and (4) as required by the TRACED Act, an extension for the parts of a voice service provider’s network that rely on technology that cannot initiate, maintain, and terminate SIP calls until a solution for such calls is reasonably available</w:t>
      </w:r>
      <w:r>
        <w:t>.</w:t>
      </w:r>
      <w:r w:rsidRPr="00ED2251">
        <w:t>”).</w:t>
      </w:r>
    </w:p>
  </w:footnote>
  <w:footnote w:id="7">
    <w:p w:rsidR="00752939" w:rsidRPr="001F61D8" w:rsidP="00752939" w14:paraId="1A2FFFBE" w14:textId="77777777">
      <w:pPr>
        <w:pStyle w:val="FootnoteText"/>
      </w:pPr>
      <w:r>
        <w:rPr>
          <w:rStyle w:val="FootnoteReference"/>
        </w:rPr>
        <w:footnoteRef/>
      </w:r>
      <w:r>
        <w:t xml:space="preserve"> </w:t>
      </w:r>
      <w:r w:rsidRPr="00FF4208">
        <w:rPr>
          <w:i/>
          <w:iCs/>
        </w:rPr>
        <w:t>Id</w:t>
      </w:r>
      <w:r>
        <w:rPr>
          <w:i/>
          <w:iCs/>
        </w:rPr>
        <w:t>.</w:t>
      </w:r>
      <w:r>
        <w:t xml:space="preserve"> at 1877, para. 40.</w:t>
      </w:r>
    </w:p>
  </w:footnote>
  <w:footnote w:id="8">
    <w:p w:rsidR="00752939" w:rsidP="00752939" w14:paraId="3E72E84D" w14:textId="77777777">
      <w:pPr>
        <w:pStyle w:val="FootnoteText"/>
      </w:pPr>
      <w:r>
        <w:rPr>
          <w:rStyle w:val="FootnoteReference"/>
        </w:rPr>
        <w:footnoteRef/>
      </w:r>
      <w:r>
        <w:t xml:space="preserve"> </w:t>
      </w:r>
      <w:r w:rsidRPr="00FF4208">
        <w:rPr>
          <w:i/>
          <w:iCs/>
        </w:rPr>
        <w:t>Id</w:t>
      </w:r>
      <w:r>
        <w:t>. at 1897, para. 74.</w:t>
      </w:r>
    </w:p>
  </w:footnote>
  <w:footnote w:id="9">
    <w:p w:rsidR="00752939" w:rsidP="00752939" w14:paraId="5946A85D" w14:textId="77777777">
      <w:pPr>
        <w:pStyle w:val="FootnoteText"/>
      </w:pPr>
      <w:r>
        <w:rPr>
          <w:rStyle w:val="FootnoteReference"/>
        </w:rPr>
        <w:footnoteRef/>
      </w:r>
      <w:r>
        <w:t xml:space="preserve"> </w:t>
      </w:r>
      <w:r w:rsidRPr="001A2C0C">
        <w:rPr>
          <w:i/>
          <w:iCs/>
        </w:rPr>
        <w:t>Small Provider Order</w:t>
      </w:r>
      <w:r>
        <w:t xml:space="preserve"> at para. 9.</w:t>
      </w:r>
    </w:p>
  </w:footnote>
  <w:footnote w:id="10">
    <w:p w:rsidR="00752939" w:rsidP="00752939" w14:paraId="06B5E230" w14:textId="77777777">
      <w:pPr>
        <w:pStyle w:val="FootnoteText"/>
      </w:pPr>
      <w:r>
        <w:rPr>
          <w:rStyle w:val="FootnoteReference"/>
        </w:rPr>
        <w:footnoteRef/>
      </w:r>
      <w:r>
        <w:t xml:space="preserve"> </w:t>
      </w:r>
      <w:r w:rsidRPr="001A2C0C">
        <w:rPr>
          <w:i/>
        </w:rPr>
        <w:t>See</w:t>
      </w:r>
      <w:r w:rsidRPr="001A2C0C">
        <w:rPr>
          <w:i/>
          <w:iCs/>
        </w:rPr>
        <w:t xml:space="preserve"> </w:t>
      </w:r>
      <w:r>
        <w:rPr>
          <w:i/>
          <w:iCs/>
        </w:rPr>
        <w:t>id.</w:t>
      </w:r>
      <w:r>
        <w:t xml:space="preserve"> at para. 23.  </w:t>
      </w:r>
    </w:p>
  </w:footnote>
  <w:footnote w:id="11">
    <w:p w:rsidR="00752939" w:rsidP="00752939" w14:paraId="0AB2FC38" w14:textId="77777777">
      <w:pPr>
        <w:pStyle w:val="FootnoteText"/>
      </w:pPr>
      <w:r>
        <w:rPr>
          <w:rStyle w:val="FootnoteReference"/>
        </w:rPr>
        <w:footnoteRef/>
      </w:r>
      <w:r>
        <w:t xml:space="preserve"> </w:t>
      </w:r>
      <w:r w:rsidRPr="00F67D5B">
        <w:rPr>
          <w:i/>
          <w:iCs/>
        </w:rPr>
        <w:t>Id</w:t>
      </w:r>
      <w:r>
        <w:t xml:space="preserve">. at para. 24; </w:t>
      </w:r>
      <w:r>
        <w:rPr>
          <w:i/>
          <w:iCs/>
        </w:rPr>
        <w:t>s</w:t>
      </w:r>
      <w:r w:rsidRPr="004B43DD">
        <w:rPr>
          <w:i/>
          <w:iCs/>
        </w:rPr>
        <w:t>ee</w:t>
      </w:r>
      <w:r>
        <w:rPr>
          <w:i/>
          <w:iCs/>
        </w:rPr>
        <w:t xml:space="preserve"> also</w:t>
      </w:r>
      <w:r>
        <w:t xml:space="preserve"> 47 CFR </w:t>
      </w:r>
      <w:r w:rsidRPr="004B43DD">
        <w:t>§</w:t>
      </w:r>
      <w:r>
        <w:t xml:space="preserve"> 64.6305(b)(5); 47 CFR </w:t>
      </w:r>
      <w:r w:rsidRPr="004B43DD">
        <w:t>§</w:t>
      </w:r>
      <w:r>
        <w:t xml:space="preserve"> 64.6305(b)(2)(</w:t>
      </w:r>
      <w:r w:rsidRPr="009F6394">
        <w:t>i</w:t>
      </w:r>
      <w:r>
        <w:t xml:space="preserve">) (requiring a voice service provider to indicate the “type” of extension received).  For example, a provider could indicate in its certification that it is subject to a one-year extension for being a non-facilities-based small voice service provider.  </w:t>
      </w:r>
    </w:p>
  </w:footnote>
  <w:footnote w:id="12">
    <w:p w:rsidR="00752939" w:rsidRPr="00504B4A" w:rsidP="00752939" w14:paraId="0F82AD57" w14:textId="77777777">
      <w:pPr>
        <w:pStyle w:val="FootnoteText"/>
      </w:pPr>
      <w:r>
        <w:rPr>
          <w:rStyle w:val="FootnoteReference"/>
        </w:rPr>
        <w:footnoteRef/>
      </w:r>
      <w:r>
        <w:t xml:space="preserve"> </w:t>
      </w:r>
      <w:r w:rsidRPr="00F67D5B">
        <w:rPr>
          <w:i/>
          <w:iCs/>
        </w:rPr>
        <w:t>Small Provider Order</w:t>
      </w:r>
      <w:r>
        <w:t xml:space="preserve"> at para. 24; </w:t>
      </w:r>
      <w:r>
        <w:rPr>
          <w:i/>
          <w:iCs/>
        </w:rPr>
        <w:t xml:space="preserve">see also </w:t>
      </w:r>
      <w:r w:rsidRPr="006F4935">
        <w:rPr>
          <w:i/>
          <w:iCs/>
        </w:rPr>
        <w:t>Second Caller ID Authentication Report and Order</w:t>
      </w:r>
      <w:r>
        <w:t xml:space="preserve">, 36 FCC </w:t>
      </w:r>
      <w:r>
        <w:t>Rcd</w:t>
      </w:r>
      <w:r>
        <w:t xml:space="preserve"> at 1903, para. 85 (“We also require voice service providers to submit to the Commission via the appropriate portal any necessary updates to the information they filed in the certification process within 10 business days.”). </w:t>
      </w:r>
    </w:p>
  </w:footnote>
  <w:footnote w:id="13">
    <w:p w:rsidR="00752939" w:rsidRPr="009D7111" w:rsidP="00752939" w14:paraId="2340908A" w14:textId="77777777">
      <w:pPr>
        <w:pStyle w:val="FootnoteText"/>
      </w:pPr>
      <w:r>
        <w:rPr>
          <w:rStyle w:val="FootnoteReference"/>
        </w:rPr>
        <w:footnoteRef/>
      </w:r>
      <w:r>
        <w:t xml:space="preserve"> 47 U.S.C. </w:t>
      </w:r>
      <w:r w:rsidRPr="00616DC3">
        <w:t>§</w:t>
      </w:r>
      <w:r>
        <w:t xml:space="preserve"> 503(b); </w:t>
      </w:r>
      <w:r w:rsidRPr="006F4935">
        <w:rPr>
          <w:i/>
          <w:iCs/>
        </w:rPr>
        <w:t>Second Caller ID Authentication Report and Order</w:t>
      </w:r>
      <w:r>
        <w:t xml:space="preserve">, 36 FCC </w:t>
      </w:r>
      <w:r>
        <w:t>Rcd</w:t>
      </w:r>
      <w:r>
        <w:t xml:space="preserve"> at 1903, para. 83 (“</w:t>
      </w:r>
      <w:r w:rsidRPr="009D7111">
        <w:t>If we find that a certification is deficient in some way</w:t>
      </w:r>
      <w:r>
        <w:t xml:space="preserve"> . . . </w:t>
      </w:r>
      <w:r w:rsidRPr="009D7111">
        <w:t>we may take enforcement action as appropriate.</w:t>
      </w:r>
      <w:r>
        <w:t xml:space="preserve"> </w:t>
      </w:r>
      <w:r w:rsidRPr="009D7111">
        <w:t xml:space="preserve"> Enforcement actions may include, among others</w:t>
      </w:r>
      <w:r>
        <w:t xml:space="preserve"> . . .</w:t>
      </w:r>
      <w:r w:rsidRPr="009D7111">
        <w:t xml:space="preserve"> imposition of a forfeiture.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3C46F72" w14:textId="6D9E0A3E">
    <w:pPr>
      <w:tabs>
        <w:tab w:val="center" w:pos="4680"/>
        <w:tab w:val="right" w:pos="9360"/>
      </w:tabs>
    </w:pPr>
    <w:r>
      <w:rPr>
        <w:b/>
      </w:rPr>
      <w:tab/>
      <w:t>Federal Communications Commission</w:t>
    </w:r>
    <w:r>
      <w:rPr>
        <w:b/>
      </w:rPr>
      <w:tab/>
    </w:r>
    <w:r w:rsidR="00012A39">
      <w:rPr>
        <w:b/>
      </w:rPr>
      <w:t>DA 22-631</w:t>
    </w:r>
  </w:p>
  <w:p w:rsidR="00000000" w14:paraId="61F4315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7014E68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52F632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39"/>
    <w:rsid w:val="00012A39"/>
    <w:rsid w:val="001A2C0C"/>
    <w:rsid w:val="001F61D8"/>
    <w:rsid w:val="004B43DD"/>
    <w:rsid w:val="00504B4A"/>
    <w:rsid w:val="00616DC3"/>
    <w:rsid w:val="006F4935"/>
    <w:rsid w:val="00752939"/>
    <w:rsid w:val="00815568"/>
    <w:rsid w:val="0083238D"/>
    <w:rsid w:val="00883051"/>
    <w:rsid w:val="009D7111"/>
    <w:rsid w:val="009F6394"/>
    <w:rsid w:val="00A97906"/>
    <w:rsid w:val="00B33D16"/>
    <w:rsid w:val="00E25B41"/>
    <w:rsid w:val="00E70E39"/>
    <w:rsid w:val="00ED2251"/>
    <w:rsid w:val="00F67D5B"/>
    <w:rsid w:val="00FF42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0F7EBA"/>
  <w15:chartTrackingRefBased/>
  <w15:docId w15:val="{99539AB9-A226-4E7B-94AC-BB20EEE9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fn "/>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5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than.Lech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